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CC4" w:rsidRPr="00534CC4" w:rsidRDefault="00534CC4" w:rsidP="00857746">
      <w:pPr>
        <w:autoSpaceDE w:val="0"/>
        <w:autoSpaceDN w:val="0"/>
        <w:adjustRightInd w:val="0"/>
        <w:spacing w:after="0" w:line="360" w:lineRule="auto"/>
        <w:jc w:val="center"/>
        <w:rPr>
          <w:rFonts w:ascii="Times New Roman" w:eastAsiaTheme="minorEastAsia" w:hAnsi="Times New Roman" w:cs="Times New Roman"/>
          <w:b/>
          <w:sz w:val="32"/>
          <w:lang w:val="en-GB"/>
        </w:rPr>
      </w:pPr>
      <w:bookmarkStart w:id="0" w:name="_GoBack"/>
      <w:bookmarkEnd w:id="0"/>
      <w:r w:rsidRPr="00534CC4">
        <w:rPr>
          <w:rFonts w:ascii="Times New Roman" w:eastAsiaTheme="minorEastAsia" w:hAnsi="Times New Roman" w:cs="Times New Roman"/>
          <w:b/>
          <w:sz w:val="32"/>
          <w:lang w:val="en-GB"/>
        </w:rPr>
        <w:t>EU S</w:t>
      </w:r>
      <w:r w:rsidR="00857746" w:rsidRPr="00534CC4">
        <w:rPr>
          <w:rFonts w:ascii="Times New Roman" w:eastAsiaTheme="minorEastAsia" w:hAnsi="Times New Roman" w:cs="Times New Roman"/>
          <w:b/>
          <w:sz w:val="32"/>
          <w:lang w:val="en-GB"/>
        </w:rPr>
        <w:t xml:space="preserve">overeign </w:t>
      </w:r>
      <w:r w:rsidRPr="00534CC4">
        <w:rPr>
          <w:rFonts w:ascii="Times New Roman" w:eastAsiaTheme="minorEastAsia" w:hAnsi="Times New Roman" w:cs="Times New Roman"/>
          <w:b/>
          <w:sz w:val="32"/>
          <w:lang w:val="en-GB"/>
        </w:rPr>
        <w:t>B</w:t>
      </w:r>
      <w:r w:rsidR="00857746" w:rsidRPr="00534CC4">
        <w:rPr>
          <w:rFonts w:ascii="Times New Roman" w:eastAsiaTheme="minorEastAsia" w:hAnsi="Times New Roman" w:cs="Times New Roman"/>
          <w:b/>
          <w:sz w:val="32"/>
          <w:lang w:val="en-GB"/>
        </w:rPr>
        <w:t xml:space="preserve">ond </w:t>
      </w:r>
      <w:r w:rsidRPr="00534CC4">
        <w:rPr>
          <w:rFonts w:ascii="Times New Roman" w:eastAsiaTheme="minorEastAsia" w:hAnsi="Times New Roman" w:cs="Times New Roman"/>
          <w:b/>
          <w:sz w:val="32"/>
          <w:lang w:val="en-GB"/>
        </w:rPr>
        <w:t>Y</w:t>
      </w:r>
      <w:r w:rsidR="00857746" w:rsidRPr="00534CC4">
        <w:rPr>
          <w:rFonts w:ascii="Times New Roman" w:eastAsiaTheme="minorEastAsia" w:hAnsi="Times New Roman" w:cs="Times New Roman"/>
          <w:b/>
          <w:sz w:val="32"/>
          <w:lang w:val="en-GB"/>
        </w:rPr>
        <w:t xml:space="preserve">ields </w:t>
      </w:r>
      <w:r w:rsidRPr="00534CC4">
        <w:rPr>
          <w:rFonts w:ascii="Times New Roman" w:eastAsiaTheme="minorEastAsia" w:hAnsi="Times New Roman" w:cs="Times New Roman"/>
          <w:b/>
          <w:sz w:val="32"/>
          <w:lang w:val="en-GB"/>
        </w:rPr>
        <w:t>and Deviation</w:t>
      </w:r>
      <w:r w:rsidR="00D62C5D">
        <w:rPr>
          <w:rFonts w:ascii="Times New Roman" w:eastAsiaTheme="minorEastAsia" w:hAnsi="Times New Roman" w:cs="Times New Roman"/>
          <w:b/>
          <w:sz w:val="32"/>
          <w:lang w:val="en-GB"/>
        </w:rPr>
        <w:t>s</w:t>
      </w:r>
      <w:r w:rsidRPr="00534CC4">
        <w:rPr>
          <w:rFonts w:ascii="Times New Roman" w:eastAsiaTheme="minorEastAsia" w:hAnsi="Times New Roman" w:cs="Times New Roman"/>
          <w:b/>
          <w:sz w:val="32"/>
          <w:lang w:val="en-GB"/>
        </w:rPr>
        <w:t xml:space="preserve"> from L</w:t>
      </w:r>
      <w:r w:rsidR="00857746" w:rsidRPr="00534CC4">
        <w:rPr>
          <w:rFonts w:ascii="Times New Roman" w:eastAsiaTheme="minorEastAsia" w:hAnsi="Times New Roman" w:cs="Times New Roman"/>
          <w:b/>
          <w:sz w:val="32"/>
          <w:lang w:val="en-GB"/>
        </w:rPr>
        <w:t>ong-</w:t>
      </w:r>
      <w:r w:rsidRPr="00534CC4">
        <w:rPr>
          <w:rFonts w:ascii="Times New Roman" w:eastAsiaTheme="minorEastAsia" w:hAnsi="Times New Roman" w:cs="Times New Roman"/>
          <w:b/>
          <w:sz w:val="32"/>
          <w:lang w:val="en-GB"/>
        </w:rPr>
        <w:t>R</w:t>
      </w:r>
      <w:r w:rsidR="00857746" w:rsidRPr="00534CC4">
        <w:rPr>
          <w:rFonts w:ascii="Times New Roman" w:eastAsiaTheme="minorEastAsia" w:hAnsi="Times New Roman" w:cs="Times New Roman"/>
          <w:b/>
          <w:sz w:val="32"/>
          <w:lang w:val="en-GB"/>
        </w:rPr>
        <w:t xml:space="preserve">un </w:t>
      </w:r>
      <w:r w:rsidRPr="00534CC4">
        <w:rPr>
          <w:rFonts w:ascii="Times New Roman" w:eastAsiaTheme="minorEastAsia" w:hAnsi="Times New Roman" w:cs="Times New Roman"/>
          <w:b/>
          <w:sz w:val="32"/>
          <w:lang w:val="en-GB"/>
        </w:rPr>
        <w:t>Equilibrium</w:t>
      </w:r>
    </w:p>
    <w:p w:rsidR="00534CC4" w:rsidRPr="00534CC4" w:rsidRDefault="00534CC4" w:rsidP="00857746">
      <w:pPr>
        <w:autoSpaceDE w:val="0"/>
        <w:autoSpaceDN w:val="0"/>
        <w:adjustRightInd w:val="0"/>
        <w:spacing w:after="0" w:line="360" w:lineRule="auto"/>
        <w:jc w:val="center"/>
        <w:rPr>
          <w:rFonts w:ascii="Times New Roman" w:eastAsiaTheme="minorEastAsia" w:hAnsi="Times New Roman" w:cs="Times New Roman"/>
          <w:lang w:val="en-GB"/>
        </w:rPr>
      </w:pPr>
    </w:p>
    <w:p w:rsidR="00534CC4" w:rsidRPr="00534CC4" w:rsidRDefault="00534CC4" w:rsidP="00857746">
      <w:pPr>
        <w:autoSpaceDE w:val="0"/>
        <w:autoSpaceDN w:val="0"/>
        <w:adjustRightInd w:val="0"/>
        <w:spacing w:after="0" w:line="360" w:lineRule="auto"/>
        <w:jc w:val="center"/>
        <w:rPr>
          <w:rFonts w:ascii="Times New Roman" w:eastAsiaTheme="minorEastAsia" w:hAnsi="Times New Roman" w:cs="Times New Roman"/>
          <w:i/>
          <w:sz w:val="24"/>
          <w:lang w:val="en-GB"/>
        </w:rPr>
      </w:pPr>
      <w:r w:rsidRPr="00534CC4">
        <w:rPr>
          <w:rFonts w:ascii="Times New Roman" w:eastAsiaTheme="minorEastAsia" w:hAnsi="Times New Roman" w:cs="Times New Roman"/>
          <w:i/>
          <w:sz w:val="24"/>
          <w:lang w:val="en-GB"/>
        </w:rPr>
        <w:t>To what extent do sovereign bond yields of certain EU members deviate from the LR equilibrium indicated by underlying macroeconomic fundamentals between 2000 and 2014?</w:t>
      </w:r>
    </w:p>
    <w:p w:rsidR="009946A8" w:rsidRPr="003C2E1A" w:rsidRDefault="009946A8">
      <w:pPr>
        <w:rPr>
          <w:rFonts w:ascii="Times New Roman" w:hAnsi="Times New Roman" w:cs="Times New Roman"/>
          <w:sz w:val="28"/>
          <w:u w:val="single"/>
          <w:lang w:val="en-GB"/>
        </w:rPr>
      </w:pPr>
    </w:p>
    <w:p w:rsidR="00857746" w:rsidRPr="003C2E1A" w:rsidRDefault="002D6733" w:rsidP="00E558F8">
      <w:pPr>
        <w:jc w:val="center"/>
        <w:rPr>
          <w:rFonts w:ascii="Times New Roman" w:hAnsi="Times New Roman" w:cs="Times New Roman"/>
          <w:sz w:val="24"/>
          <w:lang w:val="en-GB"/>
        </w:rPr>
      </w:pPr>
      <w:r w:rsidRPr="003C2E1A">
        <w:rPr>
          <w:rFonts w:ascii="Times New Roman" w:hAnsi="Times New Roman" w:cs="Times New Roman"/>
          <w:sz w:val="24"/>
          <w:lang w:val="en-GB"/>
        </w:rPr>
        <w:t>Bachelor Thesis International Bachelors Economics and Business</w:t>
      </w:r>
    </w:p>
    <w:p w:rsidR="003F5E21" w:rsidRPr="003C2E1A" w:rsidRDefault="003F5E21" w:rsidP="00E558F8">
      <w:pPr>
        <w:jc w:val="center"/>
        <w:rPr>
          <w:rFonts w:ascii="Times New Roman" w:hAnsi="Times New Roman" w:cs="Times New Roman"/>
          <w:sz w:val="24"/>
          <w:lang w:val="en-GB"/>
        </w:rPr>
      </w:pPr>
      <w:r w:rsidRPr="003C2E1A">
        <w:rPr>
          <w:rFonts w:ascii="Times New Roman" w:hAnsi="Times New Roman" w:cs="Times New Roman"/>
          <w:sz w:val="24"/>
          <w:lang w:val="en-GB"/>
        </w:rPr>
        <w:t>Marloes L.C. Spanjersberg</w:t>
      </w:r>
      <w:r w:rsidR="002D6733" w:rsidRPr="003C2E1A">
        <w:rPr>
          <w:rStyle w:val="FootnoteReference"/>
          <w:rFonts w:ascii="Times New Roman" w:hAnsi="Times New Roman" w:cs="Times New Roman"/>
          <w:sz w:val="24"/>
          <w:lang w:val="en-GB"/>
        </w:rPr>
        <w:footnoteReference w:id="1"/>
      </w:r>
    </w:p>
    <w:p w:rsidR="002D6733" w:rsidRPr="003C2E1A" w:rsidRDefault="002D6733" w:rsidP="00E558F8">
      <w:pPr>
        <w:jc w:val="center"/>
        <w:rPr>
          <w:rFonts w:ascii="Times New Roman" w:hAnsi="Times New Roman" w:cs="Times New Roman"/>
          <w:sz w:val="24"/>
          <w:lang w:val="en-GB"/>
        </w:rPr>
      </w:pPr>
      <w:r w:rsidRPr="003C2E1A">
        <w:rPr>
          <w:rFonts w:ascii="Times New Roman" w:hAnsi="Times New Roman" w:cs="Times New Roman"/>
          <w:sz w:val="24"/>
          <w:lang w:val="en-GB"/>
        </w:rPr>
        <w:t>Supervisor: Dr. Y. Adema</w:t>
      </w:r>
      <w:r w:rsidRPr="003C2E1A">
        <w:rPr>
          <w:rStyle w:val="FootnoteReference"/>
          <w:rFonts w:ascii="Times New Roman" w:hAnsi="Times New Roman" w:cs="Times New Roman"/>
          <w:sz w:val="24"/>
          <w:lang w:val="en-GB"/>
        </w:rPr>
        <w:footnoteReference w:id="2"/>
      </w:r>
    </w:p>
    <w:p w:rsidR="003F5E21" w:rsidRPr="003C2E1A" w:rsidRDefault="0041066F" w:rsidP="00E558F8">
      <w:pPr>
        <w:jc w:val="center"/>
        <w:rPr>
          <w:rFonts w:ascii="Times New Roman" w:hAnsi="Times New Roman" w:cs="Times New Roman"/>
          <w:sz w:val="24"/>
          <w:lang w:val="en-GB"/>
        </w:rPr>
      </w:pPr>
      <w:r w:rsidRPr="003C2E1A">
        <w:rPr>
          <w:rFonts w:ascii="Times New Roman" w:hAnsi="Times New Roman" w:cs="Times New Roman"/>
          <w:sz w:val="24"/>
          <w:lang w:val="en-GB"/>
        </w:rPr>
        <w:t>2</w:t>
      </w:r>
      <w:r w:rsidR="006F2D07">
        <w:rPr>
          <w:rFonts w:ascii="Times New Roman" w:hAnsi="Times New Roman" w:cs="Times New Roman"/>
          <w:sz w:val="24"/>
          <w:lang w:val="en-GB"/>
        </w:rPr>
        <w:t>6</w:t>
      </w:r>
      <w:r w:rsidRPr="003C2E1A">
        <w:rPr>
          <w:rFonts w:ascii="Times New Roman" w:hAnsi="Times New Roman" w:cs="Times New Roman"/>
          <w:sz w:val="24"/>
          <w:vertAlign w:val="superscript"/>
          <w:lang w:val="en-GB"/>
        </w:rPr>
        <w:t>th</w:t>
      </w:r>
      <w:r w:rsidRPr="003C2E1A">
        <w:rPr>
          <w:rFonts w:ascii="Times New Roman" w:hAnsi="Times New Roman" w:cs="Times New Roman"/>
          <w:sz w:val="24"/>
          <w:lang w:val="en-GB"/>
        </w:rPr>
        <w:t xml:space="preserve"> of </w:t>
      </w:r>
      <w:r w:rsidR="00DC4940">
        <w:rPr>
          <w:rFonts w:ascii="Times New Roman" w:hAnsi="Times New Roman" w:cs="Times New Roman"/>
          <w:sz w:val="24"/>
          <w:lang w:val="en-GB"/>
        </w:rPr>
        <w:t>August</w:t>
      </w:r>
      <w:r w:rsidRPr="003C2E1A">
        <w:rPr>
          <w:rFonts w:ascii="Times New Roman" w:hAnsi="Times New Roman" w:cs="Times New Roman"/>
          <w:sz w:val="24"/>
          <w:lang w:val="en-GB"/>
        </w:rPr>
        <w:t>, 2015</w:t>
      </w:r>
    </w:p>
    <w:p w:rsidR="00857746" w:rsidRPr="003C2E1A" w:rsidRDefault="00E558F8">
      <w:pPr>
        <w:rPr>
          <w:rFonts w:ascii="Times New Roman" w:hAnsi="Times New Roman" w:cs="Times New Roman"/>
          <w:sz w:val="28"/>
          <w:lang w:val="en-GB"/>
        </w:rPr>
      </w:pPr>
      <w:r w:rsidRPr="003C2E1A">
        <w:rPr>
          <w:rFonts w:ascii="Times New Roman" w:hAnsi="Times New Roman" w:cs="Times New Roman"/>
          <w:sz w:val="28"/>
          <w:lang w:val="en-GB"/>
        </w:rPr>
        <w:t>Abstract</w:t>
      </w:r>
    </w:p>
    <w:p w:rsidR="00F12432" w:rsidRPr="00612592" w:rsidRDefault="00E558F8" w:rsidP="00B211CC">
      <w:pPr>
        <w:spacing w:after="0" w:line="360" w:lineRule="auto"/>
        <w:rPr>
          <w:rFonts w:ascii="Times New Roman" w:eastAsiaTheme="minorEastAsia" w:hAnsi="Times New Roman" w:cs="Times New Roman"/>
          <w:sz w:val="24"/>
          <w:lang w:val="en-GB"/>
        </w:rPr>
      </w:pPr>
      <w:r w:rsidRPr="003C2E1A">
        <w:rPr>
          <w:rFonts w:ascii="Times New Roman" w:hAnsi="Times New Roman" w:cs="Times New Roman"/>
          <w:sz w:val="24"/>
          <w:lang w:val="en-GB"/>
        </w:rPr>
        <w:t>The aim of this thesis is to empirically investigate the dynamic relationship between sovereign bond yields, macroeconomic fundamentals and risk proxies for each of 7 different E</w:t>
      </w:r>
      <w:r w:rsidR="00126292">
        <w:rPr>
          <w:rFonts w:ascii="Times New Roman" w:hAnsi="Times New Roman" w:cs="Times New Roman"/>
          <w:sz w:val="24"/>
          <w:lang w:val="en-GB"/>
        </w:rPr>
        <w:t xml:space="preserve">uro </w:t>
      </w:r>
      <w:r w:rsidRPr="003C2E1A">
        <w:rPr>
          <w:rFonts w:ascii="Times New Roman" w:hAnsi="Times New Roman" w:cs="Times New Roman"/>
          <w:sz w:val="24"/>
          <w:lang w:val="en-GB"/>
        </w:rPr>
        <w:t>A</w:t>
      </w:r>
      <w:r w:rsidR="00126292">
        <w:rPr>
          <w:rFonts w:ascii="Times New Roman" w:hAnsi="Times New Roman" w:cs="Times New Roman"/>
          <w:sz w:val="24"/>
          <w:lang w:val="en-GB"/>
        </w:rPr>
        <w:t xml:space="preserve">rea (EA) </w:t>
      </w:r>
      <w:r w:rsidRPr="003C2E1A">
        <w:rPr>
          <w:rFonts w:ascii="Times New Roman" w:hAnsi="Times New Roman" w:cs="Times New Roman"/>
          <w:sz w:val="24"/>
          <w:lang w:val="en-GB"/>
        </w:rPr>
        <w:t>members between 2000 and 2014.</w:t>
      </w:r>
      <w:r w:rsidR="00DA67A7" w:rsidRPr="003C2E1A">
        <w:rPr>
          <w:rFonts w:ascii="Times New Roman" w:hAnsi="Times New Roman" w:cs="Times New Roman"/>
          <w:sz w:val="24"/>
          <w:lang w:val="en-GB"/>
        </w:rPr>
        <w:t xml:space="preserve"> </w:t>
      </w:r>
      <w:r w:rsidRPr="003C2E1A">
        <w:rPr>
          <w:rFonts w:ascii="Times New Roman" w:hAnsi="Times New Roman" w:cs="Times New Roman"/>
          <w:sz w:val="24"/>
          <w:lang w:val="en-GB"/>
        </w:rPr>
        <w:t>In order t</w:t>
      </w:r>
      <w:r w:rsidR="00DA67A7" w:rsidRPr="003C2E1A">
        <w:rPr>
          <w:rFonts w:ascii="Times New Roman" w:hAnsi="Times New Roman" w:cs="Times New Roman"/>
          <w:sz w:val="24"/>
          <w:lang w:val="en-GB"/>
        </w:rPr>
        <w:t>o uncover the long-run equilibrium effect of a set of independent variables on</w:t>
      </w:r>
      <w:r w:rsidR="00126292">
        <w:rPr>
          <w:rFonts w:ascii="Times New Roman" w:hAnsi="Times New Roman" w:cs="Times New Roman"/>
          <w:sz w:val="24"/>
          <w:lang w:val="en-GB"/>
        </w:rPr>
        <w:t xml:space="preserve"> sovereign bond yields, I </w:t>
      </w:r>
      <w:r w:rsidR="00DA67A7" w:rsidRPr="003C2E1A">
        <w:rPr>
          <w:rFonts w:ascii="Times New Roman" w:hAnsi="Times New Roman" w:cs="Times New Roman"/>
          <w:sz w:val="24"/>
          <w:lang w:val="en-GB"/>
        </w:rPr>
        <w:t xml:space="preserve">utilize a multivariate Vector Error Correction Model. </w:t>
      </w:r>
      <w:r w:rsidR="00B211CC" w:rsidRPr="003C2E1A">
        <w:rPr>
          <w:rFonts w:ascii="Times New Roman" w:hAnsi="Times New Roman" w:cs="Times New Roman"/>
          <w:sz w:val="24"/>
          <w:lang w:val="en-GB"/>
        </w:rPr>
        <w:t xml:space="preserve">To gauge the </w:t>
      </w:r>
      <w:r w:rsidR="00B211CC" w:rsidRPr="003C2E1A">
        <w:rPr>
          <w:rFonts w:ascii="Times New Roman" w:eastAsiaTheme="minorEastAsia" w:hAnsi="Times New Roman" w:cs="Times New Roman"/>
          <w:sz w:val="24"/>
          <w:lang w:val="en-GB"/>
        </w:rPr>
        <w:t>time duration of deviations from their respective long-run sovereign bond yield level</w:t>
      </w:r>
      <w:r w:rsidR="00126292">
        <w:rPr>
          <w:rFonts w:ascii="Times New Roman" w:eastAsiaTheme="minorEastAsia" w:hAnsi="Times New Roman" w:cs="Times New Roman"/>
          <w:sz w:val="24"/>
          <w:lang w:val="en-GB"/>
        </w:rPr>
        <w:t>, an Impulse Response Function is</w:t>
      </w:r>
      <w:r w:rsidR="00F12432" w:rsidRPr="003C2E1A">
        <w:rPr>
          <w:rFonts w:ascii="Times New Roman" w:eastAsiaTheme="minorEastAsia" w:hAnsi="Times New Roman" w:cs="Times New Roman"/>
          <w:sz w:val="24"/>
          <w:lang w:val="en-GB"/>
        </w:rPr>
        <w:t xml:space="preserve"> used. </w:t>
      </w:r>
      <w:r w:rsidR="0041066F" w:rsidRPr="003C2E1A">
        <w:rPr>
          <w:rFonts w:ascii="Times New Roman" w:eastAsiaTheme="minorEastAsia" w:hAnsi="Times New Roman" w:cs="Times New Roman"/>
          <w:sz w:val="24"/>
          <w:lang w:val="en-GB"/>
        </w:rPr>
        <w:t>The main finding is that</w:t>
      </w:r>
      <w:r w:rsidR="005411A9" w:rsidRPr="003C2E1A">
        <w:rPr>
          <w:rFonts w:ascii="Times New Roman" w:eastAsiaTheme="minorEastAsia" w:hAnsi="Times New Roman" w:cs="Times New Roman"/>
          <w:sz w:val="24"/>
          <w:lang w:val="en-GB"/>
        </w:rPr>
        <w:t xml:space="preserve"> each country’s sovereign bond yield has a</w:t>
      </w:r>
      <w:r w:rsidR="0041066F" w:rsidRPr="003C2E1A">
        <w:rPr>
          <w:rFonts w:ascii="Times New Roman" w:eastAsiaTheme="minorEastAsia" w:hAnsi="Times New Roman" w:cs="Times New Roman"/>
          <w:sz w:val="24"/>
          <w:lang w:val="en-GB"/>
        </w:rPr>
        <w:t xml:space="preserve"> sign</w:t>
      </w:r>
      <w:r w:rsidR="003B35E7" w:rsidRPr="003C2E1A">
        <w:rPr>
          <w:rFonts w:ascii="Times New Roman" w:eastAsiaTheme="minorEastAsia" w:hAnsi="Times New Roman" w:cs="Times New Roman"/>
          <w:sz w:val="24"/>
          <w:lang w:val="en-GB"/>
        </w:rPr>
        <w:t>i</w:t>
      </w:r>
      <w:r w:rsidR="0041066F" w:rsidRPr="003C2E1A">
        <w:rPr>
          <w:rFonts w:ascii="Times New Roman" w:eastAsiaTheme="minorEastAsia" w:hAnsi="Times New Roman" w:cs="Times New Roman"/>
          <w:sz w:val="24"/>
          <w:lang w:val="en-GB"/>
        </w:rPr>
        <w:t>ficantly</w:t>
      </w:r>
      <w:r w:rsidR="005411A9" w:rsidRPr="003C2E1A">
        <w:rPr>
          <w:rFonts w:ascii="Times New Roman" w:eastAsiaTheme="minorEastAsia" w:hAnsi="Times New Roman" w:cs="Times New Roman"/>
          <w:sz w:val="24"/>
          <w:lang w:val="en-GB"/>
        </w:rPr>
        <w:t xml:space="preserve"> different dynamic relationship with underlyi</w:t>
      </w:r>
      <w:r w:rsidR="003B35E7" w:rsidRPr="003C2E1A">
        <w:rPr>
          <w:rFonts w:ascii="Times New Roman" w:eastAsiaTheme="minorEastAsia" w:hAnsi="Times New Roman" w:cs="Times New Roman"/>
          <w:sz w:val="24"/>
          <w:lang w:val="en-GB"/>
        </w:rPr>
        <w:t xml:space="preserve">ng fundamental </w:t>
      </w:r>
      <w:r w:rsidR="003B35E7" w:rsidRPr="00A830C6">
        <w:rPr>
          <w:rFonts w:ascii="Times New Roman" w:eastAsiaTheme="minorEastAsia" w:hAnsi="Times New Roman" w:cs="Times New Roman"/>
          <w:sz w:val="24"/>
          <w:lang w:val="en-GB"/>
        </w:rPr>
        <w:t xml:space="preserve">characteristics. In fact, </w:t>
      </w:r>
      <w:r w:rsidR="00E27BF9" w:rsidRPr="00A830C6">
        <w:rPr>
          <w:rFonts w:ascii="Times New Roman" w:eastAsiaTheme="minorEastAsia" w:hAnsi="Times New Roman" w:cs="Times New Roman"/>
          <w:sz w:val="24"/>
          <w:lang w:val="en-GB"/>
        </w:rPr>
        <w:t>during periods of economic uncertainty and</w:t>
      </w:r>
      <w:r w:rsidR="00126292" w:rsidRPr="00A830C6">
        <w:rPr>
          <w:rFonts w:ascii="Times New Roman" w:eastAsiaTheme="minorEastAsia" w:hAnsi="Times New Roman" w:cs="Times New Roman"/>
          <w:sz w:val="24"/>
          <w:lang w:val="en-GB"/>
        </w:rPr>
        <w:t>/</w:t>
      </w:r>
      <w:r w:rsidR="00E27BF9" w:rsidRPr="00A830C6">
        <w:rPr>
          <w:rFonts w:ascii="Times New Roman" w:eastAsiaTheme="minorEastAsia" w:hAnsi="Times New Roman" w:cs="Times New Roman"/>
          <w:sz w:val="24"/>
          <w:lang w:val="en-GB"/>
        </w:rPr>
        <w:t>or economic distress, the relationship between sovereign bond yields and underlying fundamentals can alter drastically and almost instantaneously.</w:t>
      </w:r>
      <w:r w:rsidR="00850D51" w:rsidRPr="00A830C6">
        <w:rPr>
          <w:rFonts w:ascii="Times New Roman" w:eastAsiaTheme="minorEastAsia" w:hAnsi="Times New Roman" w:cs="Times New Roman"/>
          <w:sz w:val="24"/>
          <w:lang w:val="en-GB"/>
        </w:rPr>
        <w:t xml:space="preserve"> The effect of exogenous shocks can alter the underlying relationship with sovereign bond yield to such an extent that the propagation of the yield movement has altered its long-run pathway. This process of deviation adjustment can persist for an extended period of time and is marked by fluctuating sovereign yields with oscillations of different magnitude around the long-run </w:t>
      </w:r>
      <w:r w:rsidR="00850D51" w:rsidRPr="00612592">
        <w:rPr>
          <w:rFonts w:ascii="Times New Roman" w:eastAsiaTheme="minorEastAsia" w:hAnsi="Times New Roman" w:cs="Times New Roman"/>
          <w:sz w:val="24"/>
          <w:lang w:val="en-GB"/>
        </w:rPr>
        <w:t xml:space="preserve">equilibrium. </w:t>
      </w:r>
      <w:r w:rsidR="00612592" w:rsidRPr="00612592">
        <w:rPr>
          <w:rFonts w:ascii="Times New Roman" w:eastAsiaTheme="minorEastAsia" w:hAnsi="Times New Roman" w:cs="Times New Roman"/>
          <w:sz w:val="24"/>
          <w:lang w:val="en-GB"/>
        </w:rPr>
        <w:t xml:space="preserve">Finally, Dynamic OLS models will give further evidence for the lack of coordinated coherence in the relationship between fiscal/macroeconomic fundamentals and sovereign bond yields. </w:t>
      </w:r>
      <w:r w:rsidR="00850D51" w:rsidRPr="00612592">
        <w:rPr>
          <w:rFonts w:ascii="Times New Roman" w:eastAsiaTheme="minorEastAsia" w:hAnsi="Times New Roman" w:cs="Times New Roman"/>
          <w:sz w:val="24"/>
          <w:lang w:val="en-GB"/>
        </w:rPr>
        <w:t xml:space="preserve"> </w:t>
      </w:r>
    </w:p>
    <w:p w:rsidR="00612592" w:rsidRDefault="00612592" w:rsidP="00B211CC">
      <w:pPr>
        <w:spacing w:after="0" w:line="360" w:lineRule="auto"/>
        <w:rPr>
          <w:rFonts w:ascii="Times New Roman" w:eastAsiaTheme="minorEastAsia" w:hAnsi="Times New Roman" w:cs="Times New Roman"/>
          <w:sz w:val="24"/>
          <w:lang w:val="en-GB"/>
        </w:rPr>
      </w:pPr>
    </w:p>
    <w:p w:rsidR="009946A8" w:rsidRPr="003C2E1A" w:rsidRDefault="0096552C">
      <w:pPr>
        <w:rPr>
          <w:rFonts w:ascii="Times New Roman" w:hAnsi="Times New Roman" w:cs="Times New Roman"/>
          <w:sz w:val="28"/>
          <w:u w:val="single"/>
          <w:lang w:val="en-GB"/>
        </w:rPr>
      </w:pPr>
      <w:r w:rsidRPr="003C2E1A">
        <w:rPr>
          <w:rFonts w:ascii="Times New Roman" w:hAnsi="Times New Roman" w:cs="Times New Roman"/>
          <w:sz w:val="24"/>
          <w:lang w:val="en-GB"/>
        </w:rPr>
        <w:t>Keywords: Sovereign bond yield, VECM, macroeconomic fundamentals, short run deviation.</w:t>
      </w:r>
    </w:p>
    <w:p w:rsidR="002C54CA" w:rsidRPr="003C2E1A" w:rsidRDefault="002C54CA" w:rsidP="00B23992">
      <w:pPr>
        <w:spacing w:after="0" w:line="360" w:lineRule="auto"/>
        <w:jc w:val="center"/>
        <w:rPr>
          <w:rFonts w:ascii="Times New Roman" w:hAnsi="Times New Roman" w:cs="Times New Roman"/>
          <w:b/>
          <w:sz w:val="28"/>
          <w:lang w:val="en-GB"/>
        </w:rPr>
      </w:pPr>
      <w:r w:rsidRPr="003C2E1A">
        <w:rPr>
          <w:rFonts w:ascii="Times New Roman" w:hAnsi="Times New Roman" w:cs="Times New Roman"/>
          <w:b/>
          <w:sz w:val="28"/>
          <w:lang w:val="en-GB"/>
        </w:rPr>
        <w:lastRenderedPageBreak/>
        <w:t>TABLE OF CONTENTS</w:t>
      </w:r>
    </w:p>
    <w:sdt>
      <w:sdtPr>
        <w:rPr>
          <w:rFonts w:asciiTheme="minorHAnsi" w:eastAsiaTheme="minorEastAsia" w:hAnsiTheme="minorHAnsi" w:cstheme="minorBidi"/>
          <w:b w:val="0"/>
          <w:bCs w:val="0"/>
          <w:color w:val="auto"/>
          <w:sz w:val="22"/>
          <w:szCs w:val="22"/>
        </w:rPr>
        <w:id w:val="284099630"/>
        <w:docPartObj>
          <w:docPartGallery w:val="Table of Contents"/>
          <w:docPartUnique/>
        </w:docPartObj>
      </w:sdtPr>
      <w:sdtEndPr/>
      <w:sdtContent>
        <w:p w:rsidR="00FB0966" w:rsidRPr="003C2E1A" w:rsidRDefault="00FB0966">
          <w:pPr>
            <w:pStyle w:val="TOCHeading"/>
            <w:rPr>
              <w:color w:val="auto"/>
            </w:rPr>
          </w:pPr>
        </w:p>
        <w:p w:rsidR="00FB0966" w:rsidRPr="003C2E1A" w:rsidRDefault="00FB0966">
          <w:pPr>
            <w:pStyle w:val="TOC1"/>
            <w:rPr>
              <w:rFonts w:ascii="Times New Roman" w:hAnsi="Times New Roman" w:cs="Times New Roman"/>
              <w:b/>
              <w:sz w:val="24"/>
            </w:rPr>
          </w:pPr>
          <w:r w:rsidRPr="003C2E1A">
            <w:rPr>
              <w:rFonts w:ascii="Times New Roman" w:hAnsi="Times New Roman" w:cs="Times New Roman"/>
              <w:b/>
              <w:sz w:val="24"/>
            </w:rPr>
            <w:t>1.</w:t>
          </w:r>
          <w:r w:rsidRPr="003C2E1A">
            <w:rPr>
              <w:rFonts w:ascii="Times New Roman" w:hAnsi="Times New Roman" w:cs="Times New Roman"/>
              <w:b/>
              <w:sz w:val="24"/>
            </w:rPr>
            <w:tab/>
            <w:t>Introduction</w:t>
          </w:r>
          <w:r w:rsidRPr="003C2E1A">
            <w:rPr>
              <w:rFonts w:ascii="Times New Roman" w:hAnsi="Times New Roman" w:cs="Times New Roman"/>
              <w:b/>
              <w:sz w:val="24"/>
            </w:rPr>
            <w:ptab w:relativeTo="margin" w:alignment="right" w:leader="dot"/>
          </w:r>
          <w:r w:rsidR="000515C0" w:rsidRPr="003C2E1A">
            <w:rPr>
              <w:rFonts w:ascii="Times New Roman" w:hAnsi="Times New Roman" w:cs="Times New Roman"/>
              <w:b/>
              <w:sz w:val="24"/>
            </w:rPr>
            <w:t>2</w:t>
          </w:r>
        </w:p>
        <w:p w:rsidR="00FB0966" w:rsidRPr="003C2E1A" w:rsidRDefault="00F11C52">
          <w:pPr>
            <w:pStyle w:val="TOC1"/>
            <w:rPr>
              <w:rFonts w:ascii="Times New Roman" w:hAnsi="Times New Roman" w:cs="Times New Roman"/>
              <w:b/>
              <w:sz w:val="24"/>
            </w:rPr>
          </w:pPr>
          <w:r w:rsidRPr="003C2E1A">
            <w:rPr>
              <w:rFonts w:ascii="Times New Roman" w:hAnsi="Times New Roman" w:cs="Times New Roman"/>
              <w:b/>
              <w:sz w:val="24"/>
            </w:rPr>
            <w:t>2.</w:t>
          </w:r>
          <w:r w:rsidRPr="003C2E1A">
            <w:rPr>
              <w:rFonts w:ascii="Times New Roman" w:hAnsi="Times New Roman" w:cs="Times New Roman"/>
              <w:b/>
              <w:sz w:val="24"/>
            </w:rPr>
            <w:tab/>
            <w:t>Theoretical Framework</w:t>
          </w:r>
          <w:r w:rsidR="00FB0966" w:rsidRPr="003C2E1A">
            <w:rPr>
              <w:rFonts w:ascii="Times New Roman" w:hAnsi="Times New Roman" w:cs="Times New Roman"/>
              <w:b/>
              <w:sz w:val="24"/>
            </w:rPr>
            <w:ptab w:relativeTo="margin" w:alignment="right" w:leader="dot"/>
          </w:r>
          <w:r w:rsidR="000515C0" w:rsidRPr="003C2E1A">
            <w:rPr>
              <w:rFonts w:ascii="Times New Roman" w:hAnsi="Times New Roman" w:cs="Times New Roman"/>
              <w:b/>
              <w:sz w:val="24"/>
            </w:rPr>
            <w:t>8</w:t>
          </w:r>
        </w:p>
        <w:p w:rsidR="00E9619D" w:rsidRPr="003C2E1A" w:rsidRDefault="00E9619D" w:rsidP="00E9619D">
          <w:pPr>
            <w:pStyle w:val="TOC2"/>
            <w:ind w:left="216"/>
            <w:rPr>
              <w:rFonts w:ascii="Times New Roman" w:hAnsi="Times New Roman" w:cs="Times New Roman"/>
              <w:i/>
              <w:sz w:val="24"/>
            </w:rPr>
          </w:pPr>
          <w:r w:rsidRPr="003C2E1A">
            <w:rPr>
              <w:rFonts w:ascii="Times New Roman" w:hAnsi="Times New Roman" w:cs="Times New Roman"/>
              <w:i/>
              <w:sz w:val="24"/>
            </w:rPr>
            <w:t>2.1</w:t>
          </w:r>
          <w:r w:rsidRPr="003C2E1A">
            <w:rPr>
              <w:rFonts w:ascii="Times New Roman" w:hAnsi="Times New Roman" w:cs="Times New Roman"/>
              <w:i/>
              <w:sz w:val="24"/>
            </w:rPr>
            <w:tab/>
            <w:t>Theoretical Considerations</w:t>
          </w:r>
          <w:r w:rsidRPr="003C2E1A">
            <w:rPr>
              <w:rFonts w:ascii="Times New Roman" w:hAnsi="Times New Roman" w:cs="Times New Roman"/>
              <w:i/>
              <w:sz w:val="24"/>
            </w:rPr>
            <w:ptab w:relativeTo="margin" w:alignment="right" w:leader="dot"/>
          </w:r>
          <w:r w:rsidR="000515C0" w:rsidRPr="003C2E1A">
            <w:rPr>
              <w:rFonts w:ascii="Times New Roman" w:hAnsi="Times New Roman" w:cs="Times New Roman"/>
              <w:sz w:val="24"/>
            </w:rPr>
            <w:t>9</w:t>
          </w:r>
        </w:p>
        <w:p w:rsidR="0004656D" w:rsidRPr="003C2E1A" w:rsidRDefault="00E9619D" w:rsidP="00E9619D">
          <w:pPr>
            <w:pStyle w:val="TOC2"/>
            <w:ind w:left="216"/>
            <w:rPr>
              <w:rFonts w:ascii="Times New Roman" w:hAnsi="Times New Roman" w:cs="Times New Roman"/>
              <w:i/>
              <w:sz w:val="24"/>
            </w:rPr>
          </w:pPr>
          <w:r w:rsidRPr="003C2E1A">
            <w:rPr>
              <w:rFonts w:ascii="Times New Roman" w:hAnsi="Times New Roman" w:cs="Times New Roman"/>
              <w:i/>
              <w:sz w:val="24"/>
            </w:rPr>
            <w:t>2.2</w:t>
          </w:r>
          <w:r w:rsidRPr="003C2E1A">
            <w:rPr>
              <w:rFonts w:ascii="Times New Roman" w:hAnsi="Times New Roman" w:cs="Times New Roman"/>
              <w:i/>
              <w:sz w:val="24"/>
            </w:rPr>
            <w:tab/>
            <w:t xml:space="preserve">Types of Risk </w:t>
          </w:r>
          <w:r w:rsidR="00FB0966" w:rsidRPr="003C2E1A">
            <w:rPr>
              <w:rFonts w:ascii="Times New Roman" w:hAnsi="Times New Roman" w:cs="Times New Roman"/>
              <w:i/>
              <w:sz w:val="24"/>
            </w:rPr>
            <w:ptab w:relativeTo="margin" w:alignment="right" w:leader="dot"/>
          </w:r>
          <w:r w:rsidR="00826A84" w:rsidRPr="003C2E1A">
            <w:rPr>
              <w:rFonts w:ascii="Times New Roman" w:hAnsi="Times New Roman" w:cs="Times New Roman"/>
              <w:sz w:val="24"/>
            </w:rPr>
            <w:t>1</w:t>
          </w:r>
          <w:r w:rsidR="00DE2BE5">
            <w:rPr>
              <w:rFonts w:ascii="Times New Roman" w:hAnsi="Times New Roman" w:cs="Times New Roman"/>
              <w:sz w:val="24"/>
            </w:rPr>
            <w:t>1</w:t>
          </w:r>
        </w:p>
        <w:p w:rsidR="0004656D" w:rsidRPr="003C2E1A" w:rsidRDefault="0004656D" w:rsidP="0004656D">
          <w:pPr>
            <w:pStyle w:val="TOC1"/>
            <w:rPr>
              <w:rFonts w:ascii="Times New Roman" w:hAnsi="Times New Roman" w:cs="Times New Roman"/>
              <w:b/>
              <w:sz w:val="24"/>
            </w:rPr>
          </w:pPr>
          <w:r w:rsidRPr="003C2E1A">
            <w:rPr>
              <w:rFonts w:ascii="Times New Roman" w:hAnsi="Times New Roman" w:cs="Times New Roman"/>
              <w:b/>
              <w:sz w:val="24"/>
            </w:rPr>
            <w:t>3.</w:t>
          </w:r>
          <w:r w:rsidRPr="003C2E1A">
            <w:rPr>
              <w:rFonts w:ascii="Times New Roman" w:hAnsi="Times New Roman" w:cs="Times New Roman"/>
              <w:b/>
              <w:sz w:val="24"/>
            </w:rPr>
            <w:tab/>
            <w:t>Literature Review</w:t>
          </w:r>
          <w:r w:rsidRPr="003C2E1A">
            <w:rPr>
              <w:rFonts w:ascii="Times New Roman" w:hAnsi="Times New Roman" w:cs="Times New Roman"/>
              <w:b/>
              <w:sz w:val="24"/>
            </w:rPr>
            <w:ptab w:relativeTo="margin" w:alignment="right" w:leader="dot"/>
          </w:r>
          <w:r w:rsidR="003A4338" w:rsidRPr="003C2E1A">
            <w:rPr>
              <w:rFonts w:ascii="Times New Roman" w:hAnsi="Times New Roman" w:cs="Times New Roman"/>
              <w:b/>
              <w:sz w:val="24"/>
            </w:rPr>
            <w:t>1</w:t>
          </w:r>
          <w:r w:rsidR="00DE2BE5">
            <w:rPr>
              <w:rFonts w:ascii="Times New Roman" w:hAnsi="Times New Roman" w:cs="Times New Roman"/>
              <w:b/>
              <w:sz w:val="24"/>
            </w:rPr>
            <w:t>3</w:t>
          </w:r>
        </w:p>
        <w:p w:rsidR="00E9619D" w:rsidRDefault="00E9619D" w:rsidP="00E9619D">
          <w:pPr>
            <w:pStyle w:val="TOC1"/>
            <w:rPr>
              <w:rFonts w:ascii="Times New Roman" w:hAnsi="Times New Roman" w:cs="Times New Roman"/>
              <w:b/>
              <w:sz w:val="24"/>
            </w:rPr>
          </w:pPr>
          <w:r w:rsidRPr="003C2E1A">
            <w:rPr>
              <w:rFonts w:ascii="Times New Roman" w:hAnsi="Times New Roman" w:cs="Times New Roman"/>
              <w:b/>
              <w:sz w:val="24"/>
            </w:rPr>
            <w:t>4.</w:t>
          </w:r>
          <w:r w:rsidRPr="003C2E1A">
            <w:rPr>
              <w:rFonts w:ascii="Times New Roman" w:hAnsi="Times New Roman" w:cs="Times New Roman"/>
              <w:b/>
              <w:sz w:val="24"/>
            </w:rPr>
            <w:tab/>
            <w:t>Data</w:t>
          </w:r>
          <w:r w:rsidRPr="003C2E1A">
            <w:rPr>
              <w:rFonts w:ascii="Times New Roman" w:hAnsi="Times New Roman" w:cs="Times New Roman"/>
              <w:b/>
              <w:sz w:val="24"/>
            </w:rPr>
            <w:ptab w:relativeTo="margin" w:alignment="right" w:leader="dot"/>
          </w:r>
          <w:r w:rsidR="00DE2BE5">
            <w:rPr>
              <w:rFonts w:ascii="Times New Roman" w:hAnsi="Times New Roman" w:cs="Times New Roman"/>
              <w:b/>
              <w:sz w:val="24"/>
            </w:rPr>
            <w:t>17</w:t>
          </w:r>
        </w:p>
        <w:p w:rsidR="00426807" w:rsidRPr="003C2E1A" w:rsidRDefault="00426807" w:rsidP="00426807">
          <w:pPr>
            <w:pStyle w:val="TOC2"/>
            <w:ind w:left="216"/>
            <w:rPr>
              <w:rFonts w:ascii="Times New Roman" w:hAnsi="Times New Roman" w:cs="Times New Roman"/>
              <w:i/>
              <w:sz w:val="24"/>
            </w:rPr>
          </w:pPr>
          <w:r>
            <w:rPr>
              <w:rFonts w:ascii="Times New Roman" w:hAnsi="Times New Roman" w:cs="Times New Roman"/>
              <w:i/>
              <w:sz w:val="24"/>
            </w:rPr>
            <w:t>4.1</w:t>
          </w:r>
          <w:r>
            <w:rPr>
              <w:rFonts w:ascii="Times New Roman" w:hAnsi="Times New Roman" w:cs="Times New Roman"/>
              <w:i/>
              <w:sz w:val="24"/>
            </w:rPr>
            <w:tab/>
          </w:r>
          <w:r w:rsidRPr="003C2E1A">
            <w:rPr>
              <w:rFonts w:ascii="Times New Roman" w:hAnsi="Times New Roman" w:cs="Times New Roman"/>
              <w:i/>
              <w:sz w:val="24"/>
            </w:rPr>
            <w:t>Data Sources</w:t>
          </w:r>
          <w:r w:rsidRPr="003C2E1A">
            <w:rPr>
              <w:rFonts w:ascii="Times New Roman" w:hAnsi="Times New Roman" w:cs="Times New Roman"/>
              <w:i/>
              <w:sz w:val="24"/>
            </w:rPr>
            <w:ptab w:relativeTo="margin" w:alignment="right" w:leader="dot"/>
          </w:r>
          <w:r w:rsidR="00DE2BE5">
            <w:rPr>
              <w:rFonts w:ascii="Times New Roman" w:hAnsi="Times New Roman" w:cs="Times New Roman"/>
              <w:sz w:val="24"/>
            </w:rPr>
            <w:t>17</w:t>
          </w:r>
        </w:p>
        <w:p w:rsidR="00426807" w:rsidRDefault="00426807" w:rsidP="00426807">
          <w:pPr>
            <w:pStyle w:val="TOC2"/>
            <w:ind w:left="216"/>
            <w:rPr>
              <w:rFonts w:ascii="Times New Roman" w:hAnsi="Times New Roman" w:cs="Times New Roman"/>
              <w:sz w:val="24"/>
            </w:rPr>
          </w:pPr>
          <w:r>
            <w:rPr>
              <w:rFonts w:ascii="Times New Roman" w:hAnsi="Times New Roman" w:cs="Times New Roman"/>
              <w:i/>
              <w:sz w:val="24"/>
            </w:rPr>
            <w:t>4</w:t>
          </w:r>
          <w:r w:rsidRPr="003C2E1A">
            <w:rPr>
              <w:rFonts w:ascii="Times New Roman" w:hAnsi="Times New Roman" w:cs="Times New Roman"/>
              <w:i/>
              <w:sz w:val="24"/>
            </w:rPr>
            <w:t>.2</w:t>
          </w:r>
          <w:r w:rsidRPr="003C2E1A">
            <w:rPr>
              <w:rFonts w:ascii="Times New Roman" w:hAnsi="Times New Roman" w:cs="Times New Roman"/>
              <w:i/>
              <w:sz w:val="24"/>
            </w:rPr>
            <w:tab/>
            <w:t>Descriptive Statistics</w:t>
          </w:r>
          <w:r w:rsidRPr="003C2E1A">
            <w:rPr>
              <w:rFonts w:ascii="Times New Roman" w:hAnsi="Times New Roman" w:cs="Times New Roman"/>
              <w:i/>
              <w:sz w:val="24"/>
            </w:rPr>
            <w:ptab w:relativeTo="margin" w:alignment="right" w:leader="dot"/>
          </w:r>
          <w:r w:rsidR="00DE2BE5">
            <w:rPr>
              <w:rFonts w:ascii="Times New Roman" w:hAnsi="Times New Roman" w:cs="Times New Roman"/>
              <w:sz w:val="24"/>
            </w:rPr>
            <w:t>17</w:t>
          </w:r>
        </w:p>
        <w:p w:rsidR="00426807" w:rsidRPr="003C2E1A" w:rsidRDefault="00426807" w:rsidP="00426807">
          <w:pPr>
            <w:pStyle w:val="TOC2"/>
            <w:ind w:left="216"/>
            <w:rPr>
              <w:rFonts w:ascii="Times New Roman" w:hAnsi="Times New Roman" w:cs="Times New Roman"/>
              <w:sz w:val="24"/>
            </w:rPr>
          </w:pPr>
          <w:r>
            <w:rPr>
              <w:rFonts w:ascii="Times New Roman" w:hAnsi="Times New Roman" w:cs="Times New Roman"/>
              <w:i/>
              <w:sz w:val="24"/>
            </w:rPr>
            <w:t>4</w:t>
          </w:r>
          <w:r w:rsidRPr="003C2E1A">
            <w:rPr>
              <w:rFonts w:ascii="Times New Roman" w:hAnsi="Times New Roman" w:cs="Times New Roman"/>
              <w:i/>
              <w:sz w:val="24"/>
            </w:rPr>
            <w:t>.</w:t>
          </w:r>
          <w:r>
            <w:rPr>
              <w:rFonts w:ascii="Times New Roman" w:hAnsi="Times New Roman" w:cs="Times New Roman"/>
              <w:i/>
              <w:sz w:val="24"/>
            </w:rPr>
            <w:t>3</w:t>
          </w:r>
          <w:r w:rsidRPr="003C2E1A">
            <w:rPr>
              <w:rFonts w:ascii="Times New Roman" w:hAnsi="Times New Roman" w:cs="Times New Roman"/>
              <w:i/>
              <w:sz w:val="24"/>
            </w:rPr>
            <w:tab/>
          </w:r>
          <w:r>
            <w:rPr>
              <w:rFonts w:ascii="Times New Roman" w:hAnsi="Times New Roman" w:cs="Times New Roman"/>
              <w:i/>
              <w:sz w:val="24"/>
            </w:rPr>
            <w:t>Variables under Consideration</w:t>
          </w:r>
          <w:r w:rsidRPr="003C2E1A">
            <w:rPr>
              <w:rFonts w:ascii="Times New Roman" w:hAnsi="Times New Roman" w:cs="Times New Roman"/>
              <w:i/>
              <w:sz w:val="24"/>
            </w:rPr>
            <w:ptab w:relativeTo="margin" w:alignment="right" w:leader="dot"/>
          </w:r>
          <w:r w:rsidR="00DE2BE5" w:rsidRPr="00DE2BE5">
            <w:rPr>
              <w:rFonts w:ascii="Times New Roman" w:hAnsi="Times New Roman" w:cs="Times New Roman"/>
              <w:sz w:val="24"/>
            </w:rPr>
            <w:t>18</w:t>
          </w:r>
        </w:p>
        <w:p w:rsidR="00E9619D" w:rsidRPr="003C2E1A" w:rsidRDefault="00E9619D" w:rsidP="00E9619D">
          <w:pPr>
            <w:pStyle w:val="TOC1"/>
            <w:rPr>
              <w:rFonts w:ascii="Times New Roman" w:hAnsi="Times New Roman" w:cs="Times New Roman"/>
              <w:b/>
              <w:sz w:val="24"/>
            </w:rPr>
          </w:pPr>
          <w:r w:rsidRPr="003C2E1A">
            <w:rPr>
              <w:rFonts w:ascii="Times New Roman" w:hAnsi="Times New Roman" w:cs="Times New Roman"/>
              <w:b/>
              <w:sz w:val="24"/>
            </w:rPr>
            <w:t>5.</w:t>
          </w:r>
          <w:r w:rsidRPr="003C2E1A">
            <w:rPr>
              <w:rFonts w:ascii="Times New Roman" w:hAnsi="Times New Roman" w:cs="Times New Roman"/>
              <w:b/>
              <w:sz w:val="24"/>
            </w:rPr>
            <w:tab/>
            <w:t>Methodology</w:t>
          </w:r>
          <w:r w:rsidRPr="003C2E1A">
            <w:rPr>
              <w:rFonts w:ascii="Times New Roman" w:hAnsi="Times New Roman" w:cs="Times New Roman"/>
              <w:b/>
              <w:sz w:val="24"/>
            </w:rPr>
            <w:ptab w:relativeTo="margin" w:alignment="right" w:leader="dot"/>
          </w:r>
          <w:r w:rsidR="005E53D6">
            <w:rPr>
              <w:rFonts w:ascii="Times New Roman" w:hAnsi="Times New Roman" w:cs="Times New Roman"/>
              <w:b/>
              <w:sz w:val="24"/>
            </w:rPr>
            <w:t>24</w:t>
          </w:r>
        </w:p>
        <w:p w:rsidR="00E9619D" w:rsidRPr="003C2E1A" w:rsidRDefault="00E9619D" w:rsidP="00E9619D">
          <w:pPr>
            <w:pStyle w:val="TOC2"/>
            <w:ind w:left="216"/>
            <w:rPr>
              <w:rFonts w:ascii="Times New Roman" w:hAnsi="Times New Roman" w:cs="Times New Roman"/>
              <w:sz w:val="24"/>
            </w:rPr>
          </w:pPr>
          <w:r w:rsidRPr="003C2E1A">
            <w:rPr>
              <w:rFonts w:ascii="Times New Roman" w:hAnsi="Times New Roman" w:cs="Times New Roman"/>
              <w:i/>
              <w:sz w:val="24"/>
            </w:rPr>
            <w:t>5.1</w:t>
          </w:r>
          <w:r w:rsidRPr="003C2E1A">
            <w:rPr>
              <w:rFonts w:ascii="Times New Roman" w:hAnsi="Times New Roman" w:cs="Times New Roman"/>
              <w:i/>
              <w:sz w:val="24"/>
            </w:rPr>
            <w:tab/>
            <w:t>Statistical/Econometric Models</w:t>
          </w:r>
          <w:r w:rsidRPr="003C2E1A">
            <w:rPr>
              <w:rFonts w:ascii="Times New Roman" w:hAnsi="Times New Roman" w:cs="Times New Roman"/>
              <w:i/>
              <w:sz w:val="24"/>
            </w:rPr>
            <w:ptab w:relativeTo="margin" w:alignment="right" w:leader="dot"/>
          </w:r>
          <w:r w:rsidR="00F34E8F" w:rsidRPr="003C2E1A">
            <w:rPr>
              <w:rFonts w:ascii="Times New Roman" w:hAnsi="Times New Roman" w:cs="Times New Roman"/>
              <w:sz w:val="24"/>
            </w:rPr>
            <w:t>2</w:t>
          </w:r>
          <w:r w:rsidR="005E53D6">
            <w:rPr>
              <w:rFonts w:ascii="Times New Roman" w:hAnsi="Times New Roman" w:cs="Times New Roman"/>
              <w:sz w:val="24"/>
            </w:rPr>
            <w:t>4</w:t>
          </w:r>
        </w:p>
        <w:p w:rsidR="000515C0" w:rsidRPr="003C2E1A" w:rsidRDefault="000515C0" w:rsidP="000515C0">
          <w:pPr>
            <w:pStyle w:val="TOC1"/>
            <w:rPr>
              <w:rFonts w:ascii="Times New Roman" w:hAnsi="Times New Roman" w:cs="Times New Roman"/>
              <w:b/>
              <w:sz w:val="24"/>
            </w:rPr>
          </w:pPr>
          <w:r w:rsidRPr="003C2E1A">
            <w:rPr>
              <w:rFonts w:ascii="Times New Roman" w:hAnsi="Times New Roman" w:cs="Times New Roman"/>
              <w:b/>
              <w:sz w:val="24"/>
            </w:rPr>
            <w:t>6.</w:t>
          </w:r>
          <w:r w:rsidRPr="003C2E1A">
            <w:rPr>
              <w:rFonts w:ascii="Times New Roman" w:hAnsi="Times New Roman" w:cs="Times New Roman"/>
              <w:b/>
              <w:sz w:val="24"/>
            </w:rPr>
            <w:tab/>
            <w:t>Results</w:t>
          </w:r>
          <w:r w:rsidRPr="003C2E1A">
            <w:rPr>
              <w:rFonts w:ascii="Times New Roman" w:hAnsi="Times New Roman" w:cs="Times New Roman"/>
              <w:b/>
              <w:sz w:val="24"/>
            </w:rPr>
            <w:ptab w:relativeTo="margin" w:alignment="right" w:leader="dot"/>
          </w:r>
          <w:r w:rsidR="00F34E8F" w:rsidRPr="003C2E1A">
            <w:rPr>
              <w:rFonts w:ascii="Times New Roman" w:hAnsi="Times New Roman" w:cs="Times New Roman"/>
              <w:b/>
              <w:sz w:val="24"/>
            </w:rPr>
            <w:t>2</w:t>
          </w:r>
          <w:r w:rsidR="005E53D6">
            <w:rPr>
              <w:rFonts w:ascii="Times New Roman" w:hAnsi="Times New Roman" w:cs="Times New Roman"/>
              <w:b/>
              <w:sz w:val="24"/>
            </w:rPr>
            <w:t>8</w:t>
          </w:r>
        </w:p>
        <w:p w:rsidR="000515C0" w:rsidRPr="003C2E1A" w:rsidRDefault="000515C0" w:rsidP="000515C0">
          <w:pPr>
            <w:pStyle w:val="TOC2"/>
            <w:ind w:left="216"/>
            <w:rPr>
              <w:rFonts w:ascii="Times New Roman" w:hAnsi="Times New Roman" w:cs="Times New Roman"/>
              <w:sz w:val="24"/>
            </w:rPr>
          </w:pPr>
          <w:r w:rsidRPr="003C2E1A">
            <w:rPr>
              <w:rFonts w:ascii="Times New Roman" w:hAnsi="Times New Roman" w:cs="Times New Roman"/>
              <w:i/>
              <w:sz w:val="24"/>
            </w:rPr>
            <w:t>6.1</w:t>
          </w:r>
          <w:r w:rsidRPr="003C2E1A">
            <w:rPr>
              <w:rFonts w:ascii="Times New Roman" w:hAnsi="Times New Roman" w:cs="Times New Roman"/>
              <w:i/>
              <w:sz w:val="24"/>
            </w:rPr>
            <w:tab/>
          </w:r>
          <w:r w:rsidR="00AC0E80" w:rsidRPr="003C2E1A">
            <w:rPr>
              <w:rFonts w:ascii="Times New Roman" w:hAnsi="Times New Roman" w:cs="Times New Roman"/>
              <w:i/>
              <w:sz w:val="24"/>
            </w:rPr>
            <w:t>Group ADF Unit Root Tests</w:t>
          </w:r>
          <w:r w:rsidRPr="003C2E1A">
            <w:rPr>
              <w:rFonts w:ascii="Times New Roman" w:hAnsi="Times New Roman" w:cs="Times New Roman"/>
              <w:i/>
              <w:sz w:val="24"/>
            </w:rPr>
            <w:ptab w:relativeTo="margin" w:alignment="right" w:leader="dot"/>
          </w:r>
          <w:r w:rsidR="008732C0" w:rsidRPr="003C2E1A">
            <w:rPr>
              <w:rFonts w:ascii="Times New Roman" w:hAnsi="Times New Roman" w:cs="Times New Roman"/>
              <w:sz w:val="24"/>
            </w:rPr>
            <w:t>28</w:t>
          </w:r>
        </w:p>
        <w:p w:rsidR="00CA1DBC" w:rsidRPr="003C2E1A" w:rsidRDefault="00CA1DBC" w:rsidP="00CA1DBC">
          <w:pPr>
            <w:pStyle w:val="TOC2"/>
            <w:ind w:left="216"/>
            <w:rPr>
              <w:rFonts w:ascii="Times New Roman" w:hAnsi="Times New Roman" w:cs="Times New Roman"/>
              <w:i/>
              <w:sz w:val="24"/>
            </w:rPr>
          </w:pPr>
          <w:r w:rsidRPr="003C2E1A">
            <w:rPr>
              <w:rFonts w:ascii="Times New Roman" w:hAnsi="Times New Roman" w:cs="Times New Roman"/>
              <w:i/>
              <w:sz w:val="24"/>
            </w:rPr>
            <w:t>6.2</w:t>
          </w:r>
          <w:r w:rsidRPr="003C2E1A">
            <w:rPr>
              <w:rFonts w:ascii="Times New Roman" w:hAnsi="Times New Roman" w:cs="Times New Roman"/>
              <w:i/>
              <w:sz w:val="24"/>
            </w:rPr>
            <w:tab/>
          </w:r>
          <w:r w:rsidR="00AC0E80" w:rsidRPr="003C2E1A">
            <w:rPr>
              <w:rFonts w:ascii="Times New Roman" w:hAnsi="Times New Roman" w:cs="Times New Roman"/>
              <w:i/>
              <w:sz w:val="24"/>
            </w:rPr>
            <w:t>Johansen’s Multivariate Cointegration Analyses</w:t>
          </w:r>
          <w:r w:rsidRPr="003C2E1A">
            <w:rPr>
              <w:rFonts w:ascii="Times New Roman" w:hAnsi="Times New Roman" w:cs="Times New Roman"/>
              <w:i/>
              <w:sz w:val="24"/>
            </w:rPr>
            <w:ptab w:relativeTo="margin" w:alignment="right" w:leader="dot"/>
          </w:r>
          <w:r w:rsidR="008732C0" w:rsidRPr="003C2E1A">
            <w:rPr>
              <w:rFonts w:ascii="Times New Roman" w:hAnsi="Times New Roman" w:cs="Times New Roman"/>
              <w:sz w:val="24"/>
            </w:rPr>
            <w:t>2</w:t>
          </w:r>
          <w:r w:rsidR="00BF7AB2">
            <w:rPr>
              <w:rFonts w:ascii="Times New Roman" w:hAnsi="Times New Roman" w:cs="Times New Roman"/>
              <w:sz w:val="24"/>
            </w:rPr>
            <w:t>9</w:t>
          </w:r>
        </w:p>
        <w:p w:rsidR="00CA1DBC" w:rsidRPr="003C2E1A" w:rsidRDefault="00CA1DBC" w:rsidP="00CA1DBC">
          <w:pPr>
            <w:pStyle w:val="TOC2"/>
            <w:ind w:left="216"/>
            <w:rPr>
              <w:rFonts w:ascii="Times New Roman" w:hAnsi="Times New Roman" w:cs="Times New Roman"/>
              <w:i/>
              <w:sz w:val="24"/>
            </w:rPr>
          </w:pPr>
          <w:r w:rsidRPr="003C2E1A">
            <w:rPr>
              <w:rFonts w:ascii="Times New Roman" w:hAnsi="Times New Roman" w:cs="Times New Roman"/>
              <w:i/>
              <w:sz w:val="24"/>
            </w:rPr>
            <w:t>6.3</w:t>
          </w:r>
          <w:r w:rsidRPr="003C2E1A">
            <w:rPr>
              <w:rFonts w:ascii="Times New Roman" w:hAnsi="Times New Roman" w:cs="Times New Roman"/>
              <w:i/>
              <w:sz w:val="24"/>
            </w:rPr>
            <w:tab/>
          </w:r>
          <w:r w:rsidR="00D76DBB" w:rsidRPr="003C2E1A">
            <w:rPr>
              <w:rFonts w:ascii="Times New Roman" w:hAnsi="Times New Roman" w:cs="Times New Roman"/>
              <w:i/>
              <w:sz w:val="24"/>
            </w:rPr>
            <w:t xml:space="preserve">Multivariate Vector Error Correction Models </w:t>
          </w:r>
          <w:r w:rsidRPr="003C2E1A">
            <w:rPr>
              <w:rFonts w:ascii="Times New Roman" w:hAnsi="Times New Roman" w:cs="Times New Roman"/>
              <w:i/>
              <w:sz w:val="24"/>
            </w:rPr>
            <w:ptab w:relativeTo="margin" w:alignment="right" w:leader="dot"/>
          </w:r>
          <w:r w:rsidR="008732C0" w:rsidRPr="003C2E1A">
            <w:rPr>
              <w:rFonts w:ascii="Times New Roman" w:hAnsi="Times New Roman" w:cs="Times New Roman"/>
              <w:sz w:val="24"/>
            </w:rPr>
            <w:t>30</w:t>
          </w:r>
        </w:p>
        <w:p w:rsidR="00AC0E80" w:rsidRPr="003C2E1A" w:rsidRDefault="00CA1DBC" w:rsidP="00AC0E80">
          <w:pPr>
            <w:pStyle w:val="TOC2"/>
            <w:ind w:left="216"/>
            <w:rPr>
              <w:rFonts w:ascii="Times New Roman" w:hAnsi="Times New Roman" w:cs="Times New Roman"/>
              <w:i/>
              <w:sz w:val="24"/>
            </w:rPr>
          </w:pPr>
          <w:r w:rsidRPr="003C2E1A">
            <w:rPr>
              <w:rFonts w:ascii="Times New Roman" w:hAnsi="Times New Roman" w:cs="Times New Roman"/>
              <w:i/>
              <w:sz w:val="24"/>
            </w:rPr>
            <w:t>6.4</w:t>
          </w:r>
          <w:r w:rsidRPr="003C2E1A">
            <w:rPr>
              <w:rFonts w:ascii="Times New Roman" w:hAnsi="Times New Roman" w:cs="Times New Roman"/>
              <w:i/>
              <w:sz w:val="24"/>
            </w:rPr>
            <w:tab/>
          </w:r>
          <w:r w:rsidR="00D76DBB" w:rsidRPr="003C2E1A">
            <w:rPr>
              <w:rFonts w:ascii="Times New Roman" w:hAnsi="Times New Roman" w:cs="Times New Roman"/>
              <w:i/>
              <w:sz w:val="24"/>
            </w:rPr>
            <w:t xml:space="preserve">VEC Granger Causality/Block Exogeneity Wald Test </w:t>
          </w:r>
          <w:r w:rsidRPr="003C2E1A">
            <w:rPr>
              <w:rFonts w:ascii="Times New Roman" w:hAnsi="Times New Roman" w:cs="Times New Roman"/>
              <w:i/>
              <w:sz w:val="24"/>
            </w:rPr>
            <w:ptab w:relativeTo="margin" w:alignment="right" w:leader="dot"/>
          </w:r>
          <w:r w:rsidR="00AA3A05" w:rsidRPr="003C2E1A">
            <w:rPr>
              <w:rFonts w:ascii="Times New Roman" w:hAnsi="Times New Roman" w:cs="Times New Roman"/>
              <w:sz w:val="24"/>
            </w:rPr>
            <w:t>3</w:t>
          </w:r>
          <w:r w:rsidR="00BF7AB2">
            <w:rPr>
              <w:rFonts w:ascii="Times New Roman" w:hAnsi="Times New Roman" w:cs="Times New Roman"/>
              <w:sz w:val="24"/>
            </w:rPr>
            <w:t>3</w:t>
          </w:r>
        </w:p>
        <w:p w:rsidR="005D2534" w:rsidRPr="005D2534" w:rsidRDefault="00AC0E80" w:rsidP="005D2534">
          <w:pPr>
            <w:pStyle w:val="TOC2"/>
            <w:ind w:left="216"/>
            <w:rPr>
              <w:rFonts w:ascii="Times New Roman" w:hAnsi="Times New Roman" w:cs="Times New Roman"/>
              <w:sz w:val="24"/>
            </w:rPr>
          </w:pPr>
          <w:r w:rsidRPr="003C2E1A">
            <w:rPr>
              <w:rFonts w:ascii="Times New Roman" w:hAnsi="Times New Roman" w:cs="Times New Roman"/>
              <w:i/>
              <w:sz w:val="24"/>
            </w:rPr>
            <w:t>6.5</w:t>
          </w:r>
          <w:r w:rsidRPr="003C2E1A">
            <w:rPr>
              <w:rFonts w:ascii="Times New Roman" w:hAnsi="Times New Roman" w:cs="Times New Roman"/>
              <w:i/>
              <w:sz w:val="24"/>
            </w:rPr>
            <w:tab/>
          </w:r>
          <w:r w:rsidR="00D76DBB" w:rsidRPr="003C2E1A">
            <w:rPr>
              <w:rFonts w:ascii="Times New Roman" w:hAnsi="Times New Roman" w:cs="Times New Roman"/>
              <w:i/>
              <w:sz w:val="24"/>
            </w:rPr>
            <w:t>Impulse Response Functions</w:t>
          </w:r>
          <w:r w:rsidRPr="003C2E1A">
            <w:rPr>
              <w:rFonts w:ascii="Times New Roman" w:hAnsi="Times New Roman" w:cs="Times New Roman"/>
              <w:i/>
              <w:sz w:val="24"/>
            </w:rPr>
            <w:ptab w:relativeTo="margin" w:alignment="right" w:leader="dot"/>
          </w:r>
          <w:r w:rsidR="00AA3A05" w:rsidRPr="003C2E1A">
            <w:rPr>
              <w:rFonts w:ascii="Times New Roman" w:hAnsi="Times New Roman" w:cs="Times New Roman"/>
              <w:sz w:val="24"/>
            </w:rPr>
            <w:t>3</w:t>
          </w:r>
          <w:r w:rsidR="00BF7AB2">
            <w:rPr>
              <w:rFonts w:ascii="Times New Roman" w:hAnsi="Times New Roman" w:cs="Times New Roman"/>
              <w:sz w:val="24"/>
            </w:rPr>
            <w:t>6</w:t>
          </w:r>
          <w:r w:rsidR="005D2534">
            <w:rPr>
              <w:rFonts w:ascii="Times New Roman" w:hAnsi="Times New Roman" w:cs="Times New Roman"/>
              <w:sz w:val="24"/>
            </w:rPr>
            <w:t xml:space="preserve"> </w:t>
          </w:r>
        </w:p>
        <w:p w:rsidR="005D2534" w:rsidRDefault="005D2534" w:rsidP="005D2534">
          <w:pPr>
            <w:pStyle w:val="TOC2"/>
            <w:ind w:left="216"/>
            <w:rPr>
              <w:rFonts w:ascii="Times New Roman" w:hAnsi="Times New Roman" w:cs="Times New Roman"/>
              <w:sz w:val="24"/>
            </w:rPr>
          </w:pPr>
          <w:r>
            <w:rPr>
              <w:rFonts w:ascii="Times New Roman" w:hAnsi="Times New Roman" w:cs="Times New Roman"/>
              <w:i/>
              <w:sz w:val="24"/>
            </w:rPr>
            <w:t>6.6</w:t>
          </w:r>
          <w:r w:rsidRPr="003C2E1A">
            <w:rPr>
              <w:rFonts w:ascii="Times New Roman" w:hAnsi="Times New Roman" w:cs="Times New Roman"/>
              <w:i/>
              <w:sz w:val="24"/>
            </w:rPr>
            <w:tab/>
          </w:r>
          <w:r>
            <w:rPr>
              <w:rFonts w:ascii="Times New Roman" w:hAnsi="Times New Roman" w:cs="Times New Roman"/>
              <w:i/>
              <w:sz w:val="24"/>
            </w:rPr>
            <w:t>Dynamic Ordinary Least Square</w:t>
          </w:r>
          <w:r w:rsidRPr="003C2E1A">
            <w:rPr>
              <w:rFonts w:ascii="Times New Roman" w:hAnsi="Times New Roman" w:cs="Times New Roman"/>
              <w:i/>
              <w:sz w:val="24"/>
            </w:rPr>
            <w:t>s</w:t>
          </w:r>
          <w:r w:rsidRPr="003C2E1A">
            <w:rPr>
              <w:rFonts w:ascii="Times New Roman" w:hAnsi="Times New Roman" w:cs="Times New Roman"/>
              <w:i/>
              <w:sz w:val="24"/>
            </w:rPr>
            <w:ptab w:relativeTo="margin" w:alignment="right" w:leader="dot"/>
          </w:r>
          <w:r w:rsidRPr="003C2E1A">
            <w:rPr>
              <w:rFonts w:ascii="Times New Roman" w:hAnsi="Times New Roman" w:cs="Times New Roman"/>
              <w:sz w:val="24"/>
            </w:rPr>
            <w:t>3</w:t>
          </w:r>
          <w:r>
            <w:rPr>
              <w:rFonts w:ascii="Times New Roman" w:hAnsi="Times New Roman" w:cs="Times New Roman"/>
              <w:sz w:val="24"/>
            </w:rPr>
            <w:t>7</w:t>
          </w:r>
        </w:p>
        <w:p w:rsidR="000515C0" w:rsidRPr="003C2E1A" w:rsidRDefault="000515C0" w:rsidP="000515C0">
          <w:pPr>
            <w:pStyle w:val="TOC1"/>
            <w:rPr>
              <w:rFonts w:ascii="Times New Roman" w:hAnsi="Times New Roman" w:cs="Times New Roman"/>
              <w:b/>
              <w:sz w:val="24"/>
            </w:rPr>
          </w:pPr>
          <w:r w:rsidRPr="003C2E1A">
            <w:rPr>
              <w:rFonts w:ascii="Times New Roman" w:hAnsi="Times New Roman" w:cs="Times New Roman"/>
              <w:b/>
              <w:sz w:val="24"/>
            </w:rPr>
            <w:t>7.</w:t>
          </w:r>
          <w:r w:rsidRPr="003C2E1A">
            <w:rPr>
              <w:rFonts w:ascii="Times New Roman" w:hAnsi="Times New Roman" w:cs="Times New Roman"/>
              <w:b/>
              <w:sz w:val="24"/>
            </w:rPr>
            <w:tab/>
            <w:t>Conclusion</w:t>
          </w:r>
          <w:r w:rsidR="00AC0E80" w:rsidRPr="003C2E1A">
            <w:rPr>
              <w:rFonts w:ascii="Times New Roman" w:hAnsi="Times New Roman" w:cs="Times New Roman"/>
              <w:b/>
              <w:sz w:val="24"/>
            </w:rPr>
            <w:t xml:space="preserve"> </w:t>
          </w:r>
          <w:r w:rsidRPr="003C2E1A">
            <w:rPr>
              <w:rFonts w:ascii="Times New Roman" w:hAnsi="Times New Roman" w:cs="Times New Roman"/>
              <w:b/>
              <w:sz w:val="24"/>
            </w:rPr>
            <w:ptab w:relativeTo="margin" w:alignment="right" w:leader="dot"/>
          </w:r>
          <w:r w:rsidR="000D6F13">
            <w:rPr>
              <w:rFonts w:ascii="Times New Roman" w:hAnsi="Times New Roman" w:cs="Times New Roman"/>
              <w:b/>
              <w:sz w:val="24"/>
            </w:rPr>
            <w:t>3</w:t>
          </w:r>
          <w:r w:rsidR="009326BD">
            <w:rPr>
              <w:rFonts w:ascii="Times New Roman" w:hAnsi="Times New Roman" w:cs="Times New Roman"/>
              <w:b/>
              <w:sz w:val="24"/>
            </w:rPr>
            <w:t>8</w:t>
          </w:r>
        </w:p>
        <w:p w:rsidR="000515C0" w:rsidRPr="003C2E1A" w:rsidRDefault="00D76DBB" w:rsidP="000515C0">
          <w:pPr>
            <w:pStyle w:val="TOC1"/>
            <w:rPr>
              <w:rFonts w:ascii="Times New Roman" w:hAnsi="Times New Roman" w:cs="Times New Roman"/>
              <w:b/>
              <w:sz w:val="24"/>
            </w:rPr>
          </w:pPr>
          <w:r w:rsidRPr="003C2E1A">
            <w:rPr>
              <w:rFonts w:ascii="Times New Roman" w:hAnsi="Times New Roman" w:cs="Times New Roman"/>
              <w:b/>
              <w:sz w:val="24"/>
            </w:rPr>
            <w:tab/>
          </w:r>
          <w:r w:rsidR="000515C0" w:rsidRPr="003C2E1A">
            <w:rPr>
              <w:rFonts w:ascii="Times New Roman" w:hAnsi="Times New Roman" w:cs="Times New Roman"/>
              <w:b/>
              <w:sz w:val="24"/>
            </w:rPr>
            <w:t>References</w:t>
          </w:r>
          <w:r w:rsidRPr="003C2E1A">
            <w:rPr>
              <w:rFonts w:ascii="Times New Roman" w:hAnsi="Times New Roman" w:cs="Times New Roman"/>
              <w:i/>
              <w:sz w:val="24"/>
            </w:rPr>
            <w:ptab w:relativeTo="margin" w:alignment="right" w:leader="dot"/>
          </w:r>
          <w:r w:rsidR="00807264">
            <w:rPr>
              <w:rFonts w:ascii="Times New Roman" w:hAnsi="Times New Roman" w:cs="Times New Roman"/>
              <w:sz w:val="24"/>
            </w:rPr>
            <w:t>39</w:t>
          </w:r>
        </w:p>
        <w:p w:rsidR="000515C0" w:rsidRPr="001A156C" w:rsidRDefault="00D76DBB" w:rsidP="000515C0">
          <w:pPr>
            <w:rPr>
              <w:lang w:val="en-US"/>
            </w:rPr>
          </w:pPr>
          <w:r w:rsidRPr="000C4596">
            <w:rPr>
              <w:rFonts w:ascii="Times New Roman" w:hAnsi="Times New Roman" w:cs="Times New Roman"/>
              <w:b/>
              <w:sz w:val="24"/>
              <w:lang w:val="en-GB"/>
            </w:rPr>
            <w:tab/>
            <w:t>Appendix</w:t>
          </w:r>
          <w:r w:rsidRPr="003C2E1A">
            <w:rPr>
              <w:rFonts w:ascii="Times New Roman" w:hAnsi="Times New Roman" w:cs="Times New Roman"/>
              <w:i/>
              <w:sz w:val="24"/>
            </w:rPr>
            <w:ptab w:relativeTo="margin" w:alignment="right" w:leader="dot"/>
          </w:r>
        </w:p>
        <w:p w:rsidR="000515C0" w:rsidRPr="003C2E1A" w:rsidRDefault="000515C0" w:rsidP="00E9619D">
          <w:pPr>
            <w:pStyle w:val="TOC2"/>
            <w:ind w:left="216"/>
            <w:rPr>
              <w:rFonts w:ascii="Times New Roman" w:hAnsi="Times New Roman" w:cs="Times New Roman"/>
              <w:i/>
              <w:sz w:val="24"/>
            </w:rPr>
          </w:pPr>
        </w:p>
        <w:p w:rsidR="00FB0966" w:rsidRPr="003C2E1A" w:rsidRDefault="00FD58CE" w:rsidP="00E9619D">
          <w:pPr>
            <w:pStyle w:val="TOC2"/>
            <w:ind w:left="216"/>
            <w:rPr>
              <w:rFonts w:ascii="Times New Roman" w:hAnsi="Times New Roman" w:cs="Times New Roman"/>
              <w:i/>
              <w:sz w:val="24"/>
            </w:rPr>
          </w:pPr>
        </w:p>
      </w:sdtContent>
    </w:sdt>
    <w:p w:rsidR="00B23992" w:rsidRPr="003C2E1A" w:rsidRDefault="002C54CA" w:rsidP="009F6A4F">
      <w:pPr>
        <w:pStyle w:val="ListParagraph"/>
        <w:numPr>
          <w:ilvl w:val="0"/>
          <w:numId w:val="13"/>
        </w:numPr>
        <w:rPr>
          <w:rFonts w:ascii="Times New Roman" w:hAnsi="Times New Roman" w:cs="Times New Roman"/>
          <w:b/>
          <w:sz w:val="24"/>
          <w:lang w:val="en-GB"/>
        </w:rPr>
      </w:pPr>
      <w:r w:rsidRPr="003C2E1A">
        <w:rPr>
          <w:rFonts w:ascii="Times New Roman" w:hAnsi="Times New Roman" w:cs="Times New Roman"/>
          <w:sz w:val="24"/>
          <w:u w:val="single"/>
          <w:lang w:val="en-GB"/>
        </w:rPr>
        <w:br w:type="page"/>
      </w:r>
      <w:r w:rsidR="009F6A4F" w:rsidRPr="003C2E1A">
        <w:rPr>
          <w:rFonts w:ascii="Times New Roman" w:hAnsi="Times New Roman" w:cs="Times New Roman"/>
          <w:b/>
          <w:sz w:val="24"/>
          <w:lang w:val="en-GB"/>
        </w:rPr>
        <w:lastRenderedPageBreak/>
        <w:t>Introduction</w:t>
      </w:r>
    </w:p>
    <w:p w:rsidR="002049AA" w:rsidRPr="003C2E1A" w:rsidRDefault="00561FA7" w:rsidP="00B23992">
      <w:pPr>
        <w:spacing w:after="0" w:line="360" w:lineRule="auto"/>
        <w:jc w:val="both"/>
        <w:rPr>
          <w:rFonts w:ascii="Times New Roman" w:hAnsi="Times New Roman" w:cs="Times New Roman"/>
          <w:sz w:val="24"/>
          <w:lang w:val="en-GB"/>
        </w:rPr>
      </w:pPr>
      <w:r w:rsidRPr="003C2E1A">
        <w:rPr>
          <w:rFonts w:ascii="Times New Roman" w:hAnsi="Times New Roman" w:cs="Times New Roman"/>
          <w:sz w:val="24"/>
          <w:lang w:val="en-GB"/>
        </w:rPr>
        <w:t>On the 9</w:t>
      </w:r>
      <w:r w:rsidRPr="003C2E1A">
        <w:rPr>
          <w:rFonts w:ascii="Times New Roman" w:hAnsi="Times New Roman" w:cs="Times New Roman"/>
          <w:sz w:val="24"/>
          <w:vertAlign w:val="superscript"/>
          <w:lang w:val="en-GB"/>
        </w:rPr>
        <w:t>th</w:t>
      </w:r>
      <w:r w:rsidRPr="003C2E1A">
        <w:rPr>
          <w:rFonts w:ascii="Times New Roman" w:hAnsi="Times New Roman" w:cs="Times New Roman"/>
          <w:sz w:val="24"/>
          <w:lang w:val="en-GB"/>
        </w:rPr>
        <w:t xml:space="preserve"> of March 2015, the E</w:t>
      </w:r>
      <w:r w:rsidR="008E3723" w:rsidRPr="003C2E1A">
        <w:rPr>
          <w:rFonts w:ascii="Times New Roman" w:hAnsi="Times New Roman" w:cs="Times New Roman"/>
          <w:sz w:val="24"/>
          <w:lang w:val="en-GB"/>
        </w:rPr>
        <w:t xml:space="preserve">uropean </w:t>
      </w:r>
      <w:r w:rsidRPr="003C2E1A">
        <w:rPr>
          <w:rFonts w:ascii="Times New Roman" w:hAnsi="Times New Roman" w:cs="Times New Roman"/>
          <w:sz w:val="24"/>
          <w:lang w:val="en-GB"/>
        </w:rPr>
        <w:t>C</w:t>
      </w:r>
      <w:r w:rsidR="008E3723" w:rsidRPr="003C2E1A">
        <w:rPr>
          <w:rFonts w:ascii="Times New Roman" w:hAnsi="Times New Roman" w:cs="Times New Roman"/>
          <w:sz w:val="24"/>
          <w:lang w:val="en-GB"/>
        </w:rPr>
        <w:t xml:space="preserve">entral </w:t>
      </w:r>
      <w:r w:rsidRPr="003C2E1A">
        <w:rPr>
          <w:rFonts w:ascii="Times New Roman" w:hAnsi="Times New Roman" w:cs="Times New Roman"/>
          <w:sz w:val="24"/>
          <w:lang w:val="en-GB"/>
        </w:rPr>
        <w:t>B</w:t>
      </w:r>
      <w:r w:rsidR="008E3723" w:rsidRPr="003C2E1A">
        <w:rPr>
          <w:rFonts w:ascii="Times New Roman" w:hAnsi="Times New Roman" w:cs="Times New Roman"/>
          <w:sz w:val="24"/>
          <w:lang w:val="en-GB"/>
        </w:rPr>
        <w:t>ank [ECB]</w:t>
      </w:r>
      <w:r w:rsidRPr="003C2E1A">
        <w:rPr>
          <w:rFonts w:ascii="Times New Roman" w:hAnsi="Times New Roman" w:cs="Times New Roman"/>
          <w:sz w:val="24"/>
          <w:lang w:val="en-GB"/>
        </w:rPr>
        <w:t xml:space="preserve"> commenced </w:t>
      </w:r>
      <w:r w:rsidR="008E3723" w:rsidRPr="003C2E1A">
        <w:rPr>
          <w:rFonts w:ascii="Times New Roman" w:hAnsi="Times New Roman" w:cs="Times New Roman"/>
          <w:sz w:val="24"/>
          <w:lang w:val="en-GB"/>
        </w:rPr>
        <w:t>its block-buster bond-purchase program (Expanded Asset Purchase Program</w:t>
      </w:r>
      <w:r w:rsidR="003A58A5" w:rsidRPr="003C2E1A">
        <w:rPr>
          <w:rFonts w:ascii="Times New Roman" w:hAnsi="Times New Roman" w:cs="Times New Roman"/>
          <w:sz w:val="24"/>
          <w:lang w:val="en-GB"/>
        </w:rPr>
        <w:t xml:space="preserve"> [EAPP]</w:t>
      </w:r>
      <w:r w:rsidR="008E3723" w:rsidRPr="003C2E1A">
        <w:rPr>
          <w:rFonts w:ascii="Times New Roman" w:hAnsi="Times New Roman" w:cs="Times New Roman"/>
          <w:sz w:val="24"/>
          <w:lang w:val="en-GB"/>
        </w:rPr>
        <w:t xml:space="preserve">) in order to fulfil its price stability mandate. </w:t>
      </w:r>
      <w:r w:rsidR="0052150D" w:rsidRPr="003C2E1A">
        <w:rPr>
          <w:rFonts w:ascii="Times New Roman" w:hAnsi="Times New Roman" w:cs="Times New Roman"/>
          <w:sz w:val="24"/>
          <w:lang w:val="en-GB"/>
        </w:rPr>
        <w:t>The program is a structured</w:t>
      </w:r>
      <w:r w:rsidR="00815509" w:rsidRPr="003C2E1A">
        <w:rPr>
          <w:rFonts w:ascii="Times New Roman" w:hAnsi="Times New Roman" w:cs="Times New Roman"/>
          <w:sz w:val="24"/>
          <w:lang w:val="en-GB"/>
        </w:rPr>
        <w:t xml:space="preserve"> extension of the Asset-Backed Securities Purchase Program [ABSPP] and the Covered Bond Purchase Program [CBPP3]</w:t>
      </w:r>
      <w:r w:rsidR="003A58A5" w:rsidRPr="003C2E1A">
        <w:rPr>
          <w:rFonts w:ascii="Times New Roman" w:hAnsi="Times New Roman" w:cs="Times New Roman"/>
          <w:sz w:val="24"/>
          <w:lang w:val="en-GB"/>
        </w:rPr>
        <w:t>, the latter of which w</w:t>
      </w:r>
      <w:r w:rsidR="00FB0966" w:rsidRPr="003C2E1A">
        <w:rPr>
          <w:rFonts w:ascii="Times New Roman" w:hAnsi="Times New Roman" w:cs="Times New Roman"/>
          <w:sz w:val="24"/>
          <w:lang w:val="en-GB"/>
        </w:rPr>
        <w:t xml:space="preserve">as </w:t>
      </w:r>
      <w:r w:rsidR="003A58A5" w:rsidRPr="003C2E1A">
        <w:rPr>
          <w:rFonts w:ascii="Times New Roman" w:hAnsi="Times New Roman" w:cs="Times New Roman"/>
          <w:sz w:val="24"/>
          <w:lang w:val="en-GB"/>
        </w:rPr>
        <w:t>launched in 2014</w:t>
      </w:r>
      <w:r w:rsidR="00DB4D0A" w:rsidRPr="003C2E1A">
        <w:rPr>
          <w:rStyle w:val="FootnoteReference"/>
          <w:rFonts w:ascii="Times New Roman" w:hAnsi="Times New Roman" w:cs="Times New Roman"/>
          <w:sz w:val="24"/>
          <w:lang w:val="en-GB"/>
        </w:rPr>
        <w:footnoteReference w:id="3"/>
      </w:r>
      <w:r w:rsidR="003A58A5" w:rsidRPr="003C2E1A">
        <w:rPr>
          <w:rFonts w:ascii="Times New Roman" w:hAnsi="Times New Roman" w:cs="Times New Roman"/>
          <w:sz w:val="24"/>
          <w:lang w:val="en-GB"/>
        </w:rPr>
        <w:t xml:space="preserve">. The EAPP will contrive to </w:t>
      </w:r>
      <w:r w:rsidR="001E7941" w:rsidRPr="003C2E1A">
        <w:rPr>
          <w:rFonts w:ascii="Times New Roman" w:hAnsi="Times New Roman" w:cs="Times New Roman"/>
          <w:sz w:val="24"/>
          <w:lang w:val="en-GB"/>
        </w:rPr>
        <w:t>achieve monthly bond purchases in the secondary market of Eurozone sovereign bonds amounting to €60 billion</w:t>
      </w:r>
      <w:r w:rsidR="00DB4D0A" w:rsidRPr="003C2E1A">
        <w:rPr>
          <w:rStyle w:val="FootnoteReference"/>
          <w:rFonts w:ascii="Times New Roman" w:hAnsi="Times New Roman" w:cs="Times New Roman"/>
          <w:sz w:val="24"/>
          <w:lang w:val="en-GB"/>
        </w:rPr>
        <w:footnoteReference w:id="4"/>
      </w:r>
      <w:r w:rsidR="001E7941" w:rsidRPr="003C2E1A">
        <w:rPr>
          <w:rFonts w:ascii="Times New Roman" w:hAnsi="Times New Roman" w:cs="Times New Roman"/>
          <w:sz w:val="24"/>
          <w:lang w:val="en-GB"/>
        </w:rPr>
        <w:t xml:space="preserve">. At the culmination of the ECBs Quantitative Easing program by September 2016, up to €1.1 trillion </w:t>
      </w:r>
      <w:r w:rsidR="00046C8A" w:rsidRPr="003C2E1A">
        <w:rPr>
          <w:rFonts w:ascii="Times New Roman" w:hAnsi="Times New Roman" w:cs="Times New Roman"/>
          <w:sz w:val="24"/>
          <w:lang w:val="en-GB"/>
        </w:rPr>
        <w:t>in securities will have been purchased of European institutions that in turn can acquire other assets and ensure widespread credit availability in the real economy</w:t>
      </w:r>
      <w:r w:rsidR="00F73E6A" w:rsidRPr="003C2E1A">
        <w:rPr>
          <w:rStyle w:val="FootnoteReference"/>
          <w:rFonts w:ascii="Times New Roman" w:hAnsi="Times New Roman" w:cs="Times New Roman"/>
          <w:sz w:val="24"/>
          <w:lang w:val="en-GB"/>
        </w:rPr>
        <w:footnoteReference w:id="5"/>
      </w:r>
      <w:r w:rsidR="00046C8A" w:rsidRPr="003C2E1A">
        <w:rPr>
          <w:rFonts w:ascii="Times New Roman" w:hAnsi="Times New Roman" w:cs="Times New Roman"/>
          <w:sz w:val="24"/>
          <w:lang w:val="en-GB"/>
        </w:rPr>
        <w:t xml:space="preserve">. </w:t>
      </w:r>
      <w:r w:rsidR="005052C3" w:rsidRPr="003C2E1A">
        <w:rPr>
          <w:rFonts w:ascii="Times New Roman" w:hAnsi="Times New Roman" w:cs="Times New Roman"/>
          <w:sz w:val="24"/>
          <w:lang w:val="en-GB"/>
        </w:rPr>
        <w:t>Furthermore, close to €1.5 trillion of longer-maturity debt originating in the Euro area pays</w:t>
      </w:r>
      <w:r w:rsidR="00B7389D" w:rsidRPr="003C2E1A">
        <w:rPr>
          <w:rFonts w:ascii="Times New Roman" w:hAnsi="Times New Roman" w:cs="Times New Roman"/>
          <w:sz w:val="24"/>
          <w:lang w:val="en-GB"/>
        </w:rPr>
        <w:t xml:space="preserve"> </w:t>
      </w:r>
      <w:r w:rsidR="005052C3" w:rsidRPr="003C2E1A">
        <w:rPr>
          <w:rFonts w:ascii="Times New Roman" w:hAnsi="Times New Roman" w:cs="Times New Roman"/>
          <w:sz w:val="24"/>
          <w:lang w:val="en-GB"/>
        </w:rPr>
        <w:t>negative yields</w:t>
      </w:r>
      <w:r w:rsidR="00F73E6A" w:rsidRPr="003C2E1A">
        <w:rPr>
          <w:rStyle w:val="FootnoteReference"/>
          <w:rFonts w:ascii="Times New Roman" w:hAnsi="Times New Roman" w:cs="Times New Roman"/>
          <w:sz w:val="24"/>
          <w:lang w:val="en-GB"/>
        </w:rPr>
        <w:footnoteReference w:id="6"/>
      </w:r>
      <w:r w:rsidR="00184BFA" w:rsidRPr="003C2E1A">
        <w:rPr>
          <w:rFonts w:ascii="Times New Roman" w:hAnsi="Times New Roman" w:cs="Times New Roman"/>
          <w:sz w:val="24"/>
          <w:lang w:val="en-GB"/>
        </w:rPr>
        <w:t>.</w:t>
      </w:r>
      <w:r w:rsidR="00885A24" w:rsidRPr="003C2E1A">
        <w:rPr>
          <w:rFonts w:ascii="Times New Roman" w:hAnsi="Times New Roman" w:cs="Times New Roman"/>
          <w:sz w:val="24"/>
          <w:lang w:val="en-GB"/>
        </w:rPr>
        <w:t xml:space="preserve"> Ad nauseam,</w:t>
      </w:r>
      <w:r w:rsidR="00184BFA" w:rsidRPr="003C2E1A">
        <w:rPr>
          <w:rFonts w:ascii="Times New Roman" w:hAnsi="Times New Roman" w:cs="Times New Roman"/>
          <w:sz w:val="24"/>
          <w:lang w:val="en-GB"/>
        </w:rPr>
        <w:t xml:space="preserve"> the notion that yields</w:t>
      </w:r>
      <w:r w:rsidR="00A01C70" w:rsidRPr="003C2E1A">
        <w:rPr>
          <w:rFonts w:ascii="Times New Roman" w:hAnsi="Times New Roman" w:cs="Times New Roman"/>
          <w:sz w:val="24"/>
          <w:lang w:val="en-GB"/>
        </w:rPr>
        <w:t>’</w:t>
      </w:r>
      <w:r w:rsidR="00184BFA" w:rsidRPr="003C2E1A">
        <w:rPr>
          <w:rFonts w:ascii="Times New Roman" w:hAnsi="Times New Roman" w:cs="Times New Roman"/>
          <w:sz w:val="24"/>
          <w:lang w:val="en-GB"/>
        </w:rPr>
        <w:t xml:space="preserve"> natural floor </w:t>
      </w:r>
      <w:r w:rsidR="00A01C70" w:rsidRPr="003C2E1A">
        <w:rPr>
          <w:rFonts w:ascii="Times New Roman" w:hAnsi="Times New Roman" w:cs="Times New Roman"/>
          <w:sz w:val="24"/>
          <w:lang w:val="en-GB"/>
        </w:rPr>
        <w:t xml:space="preserve">is </w:t>
      </w:r>
      <w:r w:rsidR="00184BFA" w:rsidRPr="003C2E1A">
        <w:rPr>
          <w:rFonts w:ascii="Times New Roman" w:hAnsi="Times New Roman" w:cs="Times New Roman"/>
          <w:sz w:val="24"/>
          <w:lang w:val="en-GB"/>
        </w:rPr>
        <w:t xml:space="preserve">at the 0% mark </w:t>
      </w:r>
      <w:r w:rsidR="004C65AE" w:rsidRPr="003C2E1A">
        <w:rPr>
          <w:rFonts w:ascii="Times New Roman" w:hAnsi="Times New Roman" w:cs="Times New Roman"/>
          <w:sz w:val="24"/>
          <w:lang w:val="en-GB"/>
        </w:rPr>
        <w:t>was</w:t>
      </w:r>
      <w:r w:rsidR="00E91C24" w:rsidRPr="003C2E1A">
        <w:rPr>
          <w:rFonts w:ascii="Times New Roman" w:hAnsi="Times New Roman" w:cs="Times New Roman"/>
          <w:sz w:val="24"/>
          <w:lang w:val="en-GB"/>
        </w:rPr>
        <w:t xml:space="preserve"> considered </w:t>
      </w:r>
      <w:r w:rsidR="00885A24" w:rsidRPr="003C2E1A">
        <w:rPr>
          <w:rFonts w:ascii="Times New Roman" w:hAnsi="Times New Roman" w:cs="Times New Roman"/>
          <w:sz w:val="24"/>
          <w:lang w:val="en-GB"/>
        </w:rPr>
        <w:t xml:space="preserve">to be an aphorism, a universally accepted truth. </w:t>
      </w:r>
      <w:r w:rsidR="004C65AE" w:rsidRPr="003C2E1A">
        <w:rPr>
          <w:rFonts w:ascii="Times New Roman" w:hAnsi="Times New Roman" w:cs="Times New Roman"/>
          <w:sz w:val="24"/>
          <w:lang w:val="en-GB"/>
        </w:rPr>
        <w:t xml:space="preserve">Nevertheless, </w:t>
      </w:r>
      <w:r w:rsidR="00885A24" w:rsidRPr="003C2E1A">
        <w:rPr>
          <w:rFonts w:ascii="Times New Roman" w:hAnsi="Times New Roman" w:cs="Times New Roman"/>
          <w:sz w:val="24"/>
          <w:lang w:val="en-GB"/>
        </w:rPr>
        <w:t xml:space="preserve">recent events have indicated that </w:t>
      </w:r>
      <w:r w:rsidR="004C65AE" w:rsidRPr="003C2E1A">
        <w:rPr>
          <w:rFonts w:ascii="Times New Roman" w:hAnsi="Times New Roman" w:cs="Times New Roman"/>
          <w:sz w:val="24"/>
          <w:lang w:val="en-GB"/>
        </w:rPr>
        <w:t xml:space="preserve">holding on to negative-yielding bonds is acceptable as long as </w:t>
      </w:r>
      <w:r w:rsidR="00FB0966" w:rsidRPr="003C2E1A">
        <w:rPr>
          <w:rFonts w:ascii="Times New Roman" w:hAnsi="Times New Roman" w:cs="Times New Roman"/>
          <w:sz w:val="24"/>
          <w:lang w:val="en-GB"/>
        </w:rPr>
        <w:t xml:space="preserve">the </w:t>
      </w:r>
      <w:r w:rsidR="004C65AE" w:rsidRPr="003C2E1A">
        <w:rPr>
          <w:rFonts w:ascii="Times New Roman" w:hAnsi="Times New Roman" w:cs="Times New Roman"/>
          <w:sz w:val="24"/>
          <w:lang w:val="en-GB"/>
        </w:rPr>
        <w:t>yi</w:t>
      </w:r>
      <w:r w:rsidR="00E91C24" w:rsidRPr="003C2E1A">
        <w:rPr>
          <w:rFonts w:ascii="Times New Roman" w:hAnsi="Times New Roman" w:cs="Times New Roman"/>
          <w:sz w:val="24"/>
          <w:lang w:val="en-GB"/>
        </w:rPr>
        <w:t xml:space="preserve">eld is expected to fall further, </w:t>
      </w:r>
      <w:r w:rsidR="00885A24" w:rsidRPr="003C2E1A">
        <w:rPr>
          <w:rFonts w:ascii="Times New Roman" w:hAnsi="Times New Roman" w:cs="Times New Roman"/>
          <w:sz w:val="24"/>
          <w:lang w:val="en-GB"/>
        </w:rPr>
        <w:t>and thus</w:t>
      </w:r>
      <w:r w:rsidR="004C65AE" w:rsidRPr="003C2E1A">
        <w:rPr>
          <w:rFonts w:ascii="Times New Roman" w:hAnsi="Times New Roman" w:cs="Times New Roman"/>
          <w:sz w:val="24"/>
          <w:lang w:val="en-GB"/>
        </w:rPr>
        <w:t xml:space="preserve"> attain capital gains. Currently, the natural floor of bond yields within the Euro area has been set equal to the ECBs negative deposit rate of </w:t>
      </w:r>
      <w:r w:rsidR="00E91C24" w:rsidRPr="003C2E1A">
        <w:rPr>
          <w:rFonts w:ascii="Times New Roman" w:hAnsi="Times New Roman" w:cs="Times New Roman"/>
          <w:sz w:val="24"/>
          <w:lang w:val="en-GB"/>
        </w:rPr>
        <w:t>-0.20%.</w:t>
      </w:r>
      <w:r w:rsidR="00885A24" w:rsidRPr="003C2E1A">
        <w:rPr>
          <w:rFonts w:ascii="Times New Roman" w:hAnsi="Times New Roman" w:cs="Times New Roman"/>
          <w:sz w:val="24"/>
          <w:lang w:val="en-GB"/>
        </w:rPr>
        <w:t xml:space="preserve"> </w:t>
      </w:r>
      <w:r w:rsidR="00370BD6" w:rsidRPr="003C2E1A">
        <w:rPr>
          <w:rFonts w:ascii="Times New Roman" w:hAnsi="Times New Roman" w:cs="Times New Roman"/>
          <w:sz w:val="24"/>
          <w:lang w:val="en-GB"/>
        </w:rPr>
        <w:t xml:space="preserve">The </w:t>
      </w:r>
      <w:r w:rsidR="00612E64" w:rsidRPr="003C2E1A">
        <w:rPr>
          <w:rFonts w:ascii="Times New Roman" w:hAnsi="Times New Roman" w:cs="Times New Roman"/>
          <w:sz w:val="24"/>
          <w:lang w:val="en-GB"/>
        </w:rPr>
        <w:t xml:space="preserve">Main </w:t>
      </w:r>
      <w:r w:rsidR="00370BD6" w:rsidRPr="003C2E1A">
        <w:rPr>
          <w:rFonts w:ascii="Times New Roman" w:hAnsi="Times New Roman" w:cs="Times New Roman"/>
          <w:sz w:val="24"/>
          <w:lang w:val="en-GB"/>
        </w:rPr>
        <w:t>R</w:t>
      </w:r>
      <w:r w:rsidR="00612E64" w:rsidRPr="003C2E1A">
        <w:rPr>
          <w:rFonts w:ascii="Times New Roman" w:hAnsi="Times New Roman" w:cs="Times New Roman"/>
          <w:sz w:val="24"/>
          <w:lang w:val="en-GB"/>
        </w:rPr>
        <w:t xml:space="preserve">efinancing </w:t>
      </w:r>
      <w:r w:rsidR="00370BD6" w:rsidRPr="003C2E1A">
        <w:rPr>
          <w:rFonts w:ascii="Times New Roman" w:hAnsi="Times New Roman" w:cs="Times New Roman"/>
          <w:sz w:val="24"/>
          <w:lang w:val="en-GB"/>
        </w:rPr>
        <w:t>Operations interest rate, which provides the largest share of liquidity to the European banking system, has remained positive but clo</w:t>
      </w:r>
      <w:r w:rsidR="00F73E6A" w:rsidRPr="003C2E1A">
        <w:rPr>
          <w:rFonts w:ascii="Times New Roman" w:hAnsi="Times New Roman" w:cs="Times New Roman"/>
          <w:sz w:val="24"/>
          <w:lang w:val="en-GB"/>
        </w:rPr>
        <w:t>se to zero at approximately 0.05</w:t>
      </w:r>
      <w:r w:rsidR="00370BD6" w:rsidRPr="003C2E1A">
        <w:rPr>
          <w:rFonts w:ascii="Times New Roman" w:hAnsi="Times New Roman" w:cs="Times New Roman"/>
          <w:sz w:val="24"/>
          <w:lang w:val="en-GB"/>
        </w:rPr>
        <w:t xml:space="preserve">%. </w:t>
      </w:r>
      <w:r w:rsidR="00F73E6A" w:rsidRPr="003C2E1A">
        <w:rPr>
          <w:rStyle w:val="FootnoteReference"/>
          <w:rFonts w:ascii="Times New Roman" w:hAnsi="Times New Roman" w:cs="Times New Roman"/>
          <w:sz w:val="24"/>
          <w:lang w:val="en-GB"/>
        </w:rPr>
        <w:footnoteReference w:id="7"/>
      </w:r>
    </w:p>
    <w:p w:rsidR="00450122" w:rsidRPr="003C2E1A" w:rsidRDefault="002049AA" w:rsidP="00755EA1">
      <w:pPr>
        <w:spacing w:after="0" w:line="360" w:lineRule="auto"/>
        <w:jc w:val="both"/>
        <w:rPr>
          <w:rFonts w:ascii="Times New Roman" w:hAnsi="Times New Roman" w:cs="Times New Roman"/>
          <w:sz w:val="24"/>
          <w:lang w:val="en-GB"/>
        </w:rPr>
      </w:pPr>
      <w:r w:rsidRPr="003C2E1A">
        <w:rPr>
          <w:rFonts w:ascii="Times New Roman" w:hAnsi="Times New Roman" w:cs="Times New Roman"/>
          <w:sz w:val="24"/>
          <w:lang w:val="en-GB"/>
        </w:rPr>
        <w:t>As nearly €220 billion of bank reserves faces negative deposit rates</w:t>
      </w:r>
      <w:r w:rsidR="00276E45" w:rsidRPr="003C2E1A">
        <w:rPr>
          <w:rStyle w:val="FootnoteReference"/>
          <w:rFonts w:ascii="Times New Roman" w:hAnsi="Times New Roman" w:cs="Times New Roman"/>
          <w:sz w:val="24"/>
          <w:lang w:val="en-GB"/>
        </w:rPr>
        <w:footnoteReference w:id="8"/>
      </w:r>
      <w:r w:rsidR="00F72696" w:rsidRPr="003C2E1A">
        <w:rPr>
          <w:rFonts w:ascii="Times New Roman" w:hAnsi="Times New Roman" w:cs="Times New Roman"/>
          <w:sz w:val="24"/>
          <w:lang w:val="en-GB"/>
        </w:rPr>
        <w:t xml:space="preserve">, and more are soon to follow in the wake of the EAPP, government bonds with negative-yields may prove a viable alternative to paying even more in order to store cash on deposits. </w:t>
      </w:r>
      <w:r w:rsidR="006852C1" w:rsidRPr="003C2E1A">
        <w:rPr>
          <w:rFonts w:ascii="Times New Roman" w:hAnsi="Times New Roman" w:cs="Times New Roman"/>
          <w:sz w:val="24"/>
          <w:lang w:val="en-GB"/>
        </w:rPr>
        <w:t xml:space="preserve">This development has already led </w:t>
      </w:r>
      <w:r w:rsidR="00FF19E5" w:rsidRPr="003C2E1A">
        <w:rPr>
          <w:rFonts w:ascii="Times New Roman" w:hAnsi="Times New Roman" w:cs="Times New Roman"/>
          <w:sz w:val="24"/>
          <w:lang w:val="en-GB"/>
        </w:rPr>
        <w:t>to the stockpiling</w:t>
      </w:r>
      <w:r w:rsidR="006852C1" w:rsidRPr="003C2E1A">
        <w:rPr>
          <w:rFonts w:ascii="Times New Roman" w:hAnsi="Times New Roman" w:cs="Times New Roman"/>
          <w:sz w:val="24"/>
          <w:lang w:val="en-GB"/>
        </w:rPr>
        <w:t xml:space="preserve"> of </w:t>
      </w:r>
      <w:r w:rsidR="00FF19E5" w:rsidRPr="003C2E1A">
        <w:rPr>
          <w:rFonts w:ascii="Times New Roman" w:hAnsi="Times New Roman" w:cs="Times New Roman"/>
          <w:sz w:val="24"/>
          <w:lang w:val="en-GB"/>
        </w:rPr>
        <w:t xml:space="preserve">$3.6 trillion of </w:t>
      </w:r>
      <w:r w:rsidR="006852C1" w:rsidRPr="003C2E1A">
        <w:rPr>
          <w:rFonts w:ascii="Times New Roman" w:hAnsi="Times New Roman" w:cs="Times New Roman"/>
          <w:sz w:val="24"/>
          <w:lang w:val="en-GB"/>
        </w:rPr>
        <w:t xml:space="preserve">negative-yielding government bonds </w:t>
      </w:r>
      <w:r w:rsidR="00FF19E5" w:rsidRPr="003C2E1A">
        <w:rPr>
          <w:rFonts w:ascii="Times New Roman" w:hAnsi="Times New Roman" w:cs="Times New Roman"/>
          <w:sz w:val="24"/>
          <w:lang w:val="en-GB"/>
        </w:rPr>
        <w:t xml:space="preserve">worldwide </w:t>
      </w:r>
      <w:r w:rsidR="006852C1" w:rsidRPr="003C2E1A">
        <w:rPr>
          <w:rFonts w:ascii="Times New Roman" w:hAnsi="Times New Roman" w:cs="Times New Roman"/>
          <w:sz w:val="24"/>
          <w:lang w:val="en-GB"/>
        </w:rPr>
        <w:t>(approximately 16% of the global sovereign bond markets)</w:t>
      </w:r>
      <w:r w:rsidR="00276E45" w:rsidRPr="003C2E1A">
        <w:rPr>
          <w:rStyle w:val="FootnoteReference"/>
          <w:rFonts w:ascii="Times New Roman" w:hAnsi="Times New Roman" w:cs="Times New Roman"/>
          <w:sz w:val="24"/>
          <w:lang w:val="en-GB"/>
        </w:rPr>
        <w:footnoteReference w:id="9"/>
      </w:r>
      <w:r w:rsidR="006852C1" w:rsidRPr="003C2E1A">
        <w:rPr>
          <w:rFonts w:ascii="Times New Roman" w:hAnsi="Times New Roman" w:cs="Times New Roman"/>
          <w:sz w:val="24"/>
          <w:lang w:val="en-GB"/>
        </w:rPr>
        <w:t>.</w:t>
      </w:r>
      <w:r w:rsidR="00FF19E5" w:rsidRPr="003C2E1A">
        <w:rPr>
          <w:rFonts w:ascii="Times New Roman" w:hAnsi="Times New Roman" w:cs="Times New Roman"/>
          <w:sz w:val="24"/>
          <w:lang w:val="en-GB"/>
        </w:rPr>
        <w:t xml:space="preserve"> </w:t>
      </w:r>
      <w:r w:rsidR="00755EA1" w:rsidRPr="003C2E1A">
        <w:rPr>
          <w:rFonts w:ascii="Times New Roman" w:hAnsi="Times New Roman" w:cs="Times New Roman"/>
          <w:sz w:val="24"/>
          <w:lang w:val="en-GB"/>
        </w:rPr>
        <w:t>To gauge the implications of recent developments and the run-up to the Financial Crisis and the subsequent Sovereign Debt Crisis, this thesis</w:t>
      </w:r>
      <w:r w:rsidR="00450122" w:rsidRPr="003C2E1A">
        <w:rPr>
          <w:rFonts w:ascii="Times New Roman" w:hAnsi="Times New Roman" w:cs="Times New Roman"/>
          <w:sz w:val="24"/>
          <w:lang w:val="en-GB"/>
        </w:rPr>
        <w:t xml:space="preserve"> shall focus on the determinants of sovereign bond yields within a selection of countries belonging to the Eurozone. Determinants include macroeconomic/fiscal fundamentals and several risk proxies</w:t>
      </w:r>
      <w:r w:rsidR="00755EA1" w:rsidRPr="003C2E1A">
        <w:rPr>
          <w:rFonts w:ascii="Times New Roman" w:hAnsi="Times New Roman" w:cs="Times New Roman"/>
          <w:sz w:val="24"/>
          <w:lang w:val="en-GB"/>
        </w:rPr>
        <w:t xml:space="preserve"> (see Section 2: Theoretical Framework)</w:t>
      </w:r>
      <w:r w:rsidR="00450122" w:rsidRPr="003C2E1A">
        <w:rPr>
          <w:rFonts w:ascii="Times New Roman" w:hAnsi="Times New Roman" w:cs="Times New Roman"/>
          <w:sz w:val="24"/>
          <w:lang w:val="en-GB"/>
        </w:rPr>
        <w:t xml:space="preserve">. Furthermore, I shall endeavour to elucidate how changes in the underlying fundamentals cause short-run deviations from long-run sovereign bond yields and the duration </w:t>
      </w:r>
      <w:r w:rsidR="00450122" w:rsidRPr="003C2E1A">
        <w:rPr>
          <w:rFonts w:ascii="Times New Roman" w:hAnsi="Times New Roman" w:cs="Times New Roman"/>
          <w:sz w:val="24"/>
          <w:lang w:val="en-GB"/>
        </w:rPr>
        <w:lastRenderedPageBreak/>
        <w:t>of the abovementioned short-run deviations</w:t>
      </w:r>
      <w:r w:rsidR="00755EA1" w:rsidRPr="003C2E1A">
        <w:rPr>
          <w:rFonts w:ascii="Times New Roman" w:hAnsi="Times New Roman" w:cs="Times New Roman"/>
          <w:sz w:val="24"/>
          <w:lang w:val="en-GB"/>
        </w:rPr>
        <w:t xml:space="preserve"> via Johansen’s Multivariate Cointegration Analysis, Vector Error Correction Models and their associated Impulse Response Functions.</w:t>
      </w:r>
      <w:r w:rsidR="00450122" w:rsidRPr="003C2E1A">
        <w:rPr>
          <w:rFonts w:ascii="Times New Roman" w:hAnsi="Times New Roman" w:cs="Times New Roman"/>
          <w:sz w:val="24"/>
          <w:lang w:val="en-GB"/>
        </w:rPr>
        <w:t xml:space="preserve">  If one understands the driving forces imbedded in the system, we can better gauge how they may dictate policy choice during the post-crisis adjustment period.</w:t>
      </w:r>
    </w:p>
    <w:p w:rsidR="00BF74FF" w:rsidRPr="003C2E1A" w:rsidRDefault="00B319A5" w:rsidP="00BF74FF">
      <w:pPr>
        <w:spacing w:after="0" w:line="360" w:lineRule="auto"/>
        <w:jc w:val="both"/>
        <w:rPr>
          <w:rFonts w:ascii="Times New Roman" w:hAnsi="Times New Roman" w:cs="Times New Roman"/>
          <w:sz w:val="24"/>
          <w:szCs w:val="24"/>
          <w:lang w:val="en-GB"/>
        </w:rPr>
      </w:pPr>
      <w:r w:rsidRPr="003C2E1A">
        <w:rPr>
          <w:rFonts w:ascii="Times New Roman" w:hAnsi="Times New Roman" w:cs="Times New Roman"/>
          <w:sz w:val="24"/>
          <w:lang w:val="en-GB"/>
        </w:rPr>
        <w:tab/>
      </w:r>
      <w:r w:rsidR="00F1102D" w:rsidRPr="003C2E1A">
        <w:rPr>
          <w:rFonts w:ascii="Times New Roman" w:hAnsi="Times New Roman" w:cs="Times New Roman"/>
          <w:sz w:val="24"/>
          <w:lang w:val="en-GB"/>
        </w:rPr>
        <w:t xml:space="preserve">In order to understand the current </w:t>
      </w:r>
      <w:r w:rsidR="00182AA3" w:rsidRPr="003C2E1A">
        <w:rPr>
          <w:rFonts w:ascii="Times New Roman" w:hAnsi="Times New Roman" w:cs="Times New Roman"/>
          <w:sz w:val="24"/>
          <w:lang w:val="en-GB"/>
        </w:rPr>
        <w:t xml:space="preserve">Eurozone </w:t>
      </w:r>
      <w:r w:rsidR="005A6E4E">
        <w:rPr>
          <w:rFonts w:ascii="Times New Roman" w:hAnsi="Times New Roman" w:cs="Times New Roman"/>
          <w:sz w:val="24"/>
          <w:lang w:val="en-GB"/>
        </w:rPr>
        <w:t>sovereign bond market environment</w:t>
      </w:r>
      <w:r w:rsidR="00182AA3" w:rsidRPr="003C2E1A">
        <w:rPr>
          <w:rFonts w:ascii="Times New Roman" w:hAnsi="Times New Roman" w:cs="Times New Roman"/>
          <w:sz w:val="24"/>
          <w:lang w:val="en-GB"/>
        </w:rPr>
        <w:t xml:space="preserve"> one must understand its </w:t>
      </w:r>
      <w:r w:rsidR="00F1102D" w:rsidRPr="003C2E1A">
        <w:rPr>
          <w:rFonts w:ascii="Times New Roman" w:hAnsi="Times New Roman" w:cs="Times New Roman"/>
          <w:sz w:val="24"/>
          <w:lang w:val="en-GB"/>
        </w:rPr>
        <w:t xml:space="preserve">evolutionary pathway. </w:t>
      </w:r>
      <w:r w:rsidR="00182AA3" w:rsidRPr="003C2E1A">
        <w:rPr>
          <w:rFonts w:ascii="Times New Roman" w:hAnsi="Times New Roman" w:cs="Times New Roman"/>
          <w:sz w:val="24"/>
          <w:lang w:val="en-GB"/>
        </w:rPr>
        <w:t xml:space="preserve">The EU finally gained traction with the abolishment of exchange rate controls and liberalization of capital movement between EU member states. This was to be the first step on the road towards financial, economic and political integration across the EU. Thus, an </w:t>
      </w:r>
      <w:r w:rsidR="00FF19E5" w:rsidRPr="003C2E1A">
        <w:rPr>
          <w:rFonts w:ascii="Times New Roman" w:hAnsi="Times New Roman" w:cs="Times New Roman"/>
          <w:sz w:val="24"/>
          <w:lang w:val="en-GB"/>
        </w:rPr>
        <w:t xml:space="preserve">imperative part of the establishment of the Economic and Monetary Union (EMU) was the European Exchange Rate Mechanism (ERM). The ERM was an EU Target Zone Model based on a de jure central rate referred to as the European Currency Unit, </w:t>
      </w:r>
      <w:r w:rsidR="00A031FB" w:rsidRPr="003C2E1A">
        <w:rPr>
          <w:rFonts w:ascii="Times New Roman" w:hAnsi="Times New Roman" w:cs="Times New Roman"/>
          <w:sz w:val="24"/>
          <w:lang w:val="en-GB"/>
        </w:rPr>
        <w:t>e.g.,</w:t>
      </w:r>
      <w:r w:rsidR="00FF19E5" w:rsidRPr="003C2E1A">
        <w:rPr>
          <w:rFonts w:ascii="Times New Roman" w:hAnsi="Times New Roman" w:cs="Times New Roman"/>
          <w:sz w:val="24"/>
          <w:lang w:val="en-GB"/>
        </w:rPr>
        <w:t xml:space="preserve"> weighted average of a basket of currencies of participating members. The target bands were initially set at 2.25%</w:t>
      </w:r>
      <w:r w:rsidR="00A031FB" w:rsidRPr="003C2E1A">
        <w:rPr>
          <w:rStyle w:val="FootnoteReference"/>
          <w:rFonts w:ascii="Times New Roman" w:hAnsi="Times New Roman" w:cs="Times New Roman"/>
          <w:sz w:val="24"/>
          <w:lang w:val="en-GB"/>
        </w:rPr>
        <w:footnoteReference w:id="10"/>
      </w:r>
      <w:r w:rsidR="00FF19E5" w:rsidRPr="003C2E1A">
        <w:rPr>
          <w:rFonts w:ascii="Times New Roman" w:hAnsi="Times New Roman" w:cs="Times New Roman"/>
          <w:sz w:val="24"/>
          <w:lang w:val="en-GB"/>
        </w:rPr>
        <w:t xml:space="preserve"> on either side of the central parity to ensure a form of allostasis with respect to exchange rate fluctuation, </w:t>
      </w:r>
      <w:r w:rsidR="00A031FB" w:rsidRPr="003C2E1A">
        <w:rPr>
          <w:rFonts w:ascii="Times New Roman" w:hAnsi="Times New Roman" w:cs="Times New Roman"/>
          <w:sz w:val="24"/>
          <w:lang w:val="en-GB"/>
        </w:rPr>
        <w:t>i.e.,</w:t>
      </w:r>
      <w:r w:rsidR="00FF19E5" w:rsidRPr="003C2E1A">
        <w:rPr>
          <w:rFonts w:ascii="Times New Roman" w:hAnsi="Times New Roman" w:cs="Times New Roman"/>
          <w:sz w:val="24"/>
          <w:lang w:val="en-GB"/>
        </w:rPr>
        <w:t xml:space="preserve"> adaptation to a range (rather than a single point) within a dynamic exchange rate process to attain monetary stability. Nevertheless, the Deutschmark rapidly became the de facto lead currency rate within the ERM </w:t>
      </w:r>
      <w:r w:rsidR="00175F63" w:rsidRPr="003C2E1A">
        <w:rPr>
          <w:rFonts w:ascii="Times New Roman" w:hAnsi="Times New Roman" w:cs="Times New Roman"/>
          <w:sz w:val="24"/>
          <w:lang w:val="en-GB"/>
        </w:rPr>
        <w:t xml:space="preserve">prior to 1999. </w:t>
      </w:r>
      <w:r w:rsidR="00464D37" w:rsidRPr="003C2E1A">
        <w:rPr>
          <w:rFonts w:ascii="Times New Roman" w:hAnsi="Times New Roman" w:cs="Times New Roman"/>
          <w:sz w:val="24"/>
          <w:lang w:val="en-GB"/>
        </w:rPr>
        <w:t xml:space="preserve">Simultaneously, sovereign bond yields began to converge </w:t>
      </w:r>
      <w:r w:rsidR="00A031FB" w:rsidRPr="003C2E1A">
        <w:rPr>
          <w:rFonts w:ascii="Times New Roman" w:hAnsi="Times New Roman" w:cs="Times New Roman"/>
          <w:sz w:val="24"/>
          <w:lang w:val="en-GB"/>
        </w:rPr>
        <w:t>to</w:t>
      </w:r>
      <w:r w:rsidR="00464D37" w:rsidRPr="003C2E1A">
        <w:rPr>
          <w:rFonts w:ascii="Times New Roman" w:hAnsi="Times New Roman" w:cs="Times New Roman"/>
          <w:sz w:val="24"/>
          <w:lang w:val="en-GB"/>
        </w:rPr>
        <w:t xml:space="preserve"> the German Bunds, partly due to the elimination of exchange rate risk and inflationary pressure. Contemporaneously many European governments also endeavoured to reduce their budgetary deficit and outstanding debt levels to fulfil the Maastricht treaty criteria in order to be eligible as a </w:t>
      </w:r>
      <w:r w:rsidR="004D0F71" w:rsidRPr="003C2E1A">
        <w:rPr>
          <w:rFonts w:ascii="Times New Roman" w:hAnsi="Times New Roman" w:cs="Times New Roman"/>
          <w:sz w:val="24"/>
          <w:lang w:val="en-GB"/>
        </w:rPr>
        <w:t>m</w:t>
      </w:r>
      <w:r w:rsidR="00464D37" w:rsidRPr="003C2E1A">
        <w:rPr>
          <w:rFonts w:ascii="Times New Roman" w:hAnsi="Times New Roman" w:cs="Times New Roman"/>
          <w:sz w:val="24"/>
          <w:lang w:val="en-GB"/>
        </w:rPr>
        <w:t xml:space="preserve">ember state for the adoption of the Euro. </w:t>
      </w:r>
      <w:r w:rsidR="004D0F71" w:rsidRPr="003C2E1A">
        <w:rPr>
          <w:rFonts w:ascii="Times New Roman" w:hAnsi="Times New Roman" w:cs="Times New Roman"/>
          <w:sz w:val="24"/>
          <w:lang w:val="en-GB"/>
        </w:rPr>
        <w:t>Between 1999 and mid-2008, sovereign bond yield</w:t>
      </w:r>
      <w:r w:rsidR="00A031FB" w:rsidRPr="003C2E1A">
        <w:rPr>
          <w:rFonts w:ascii="Times New Roman" w:hAnsi="Times New Roman" w:cs="Times New Roman"/>
          <w:sz w:val="24"/>
          <w:lang w:val="en-GB"/>
        </w:rPr>
        <w:t>s</w:t>
      </w:r>
      <w:r w:rsidR="004D0F71" w:rsidRPr="003C2E1A">
        <w:rPr>
          <w:rFonts w:ascii="Times New Roman" w:hAnsi="Times New Roman" w:cs="Times New Roman"/>
          <w:sz w:val="24"/>
          <w:lang w:val="en-GB"/>
        </w:rPr>
        <w:t xml:space="preserve"> showed a high degree of homogeneity and fluctuated vis-à-vis the ten-year German bund yield with 15 basis points on average. </w:t>
      </w:r>
      <w:r w:rsidR="009019F4" w:rsidRPr="003C2E1A">
        <w:rPr>
          <w:rFonts w:ascii="Times New Roman" w:hAnsi="Times New Roman" w:cs="Times New Roman"/>
          <w:sz w:val="24"/>
          <w:lang w:val="en-GB"/>
        </w:rPr>
        <w:t xml:space="preserve">A peculiar finding as fiscal solidity differed enormously between the same countries and ought to have led to yield divergence. Conversely, it is a hallmark of prolonged periods </w:t>
      </w:r>
      <w:r w:rsidR="005A2707" w:rsidRPr="003C2E1A">
        <w:rPr>
          <w:rFonts w:ascii="Times New Roman" w:hAnsi="Times New Roman" w:cs="Times New Roman"/>
          <w:sz w:val="24"/>
          <w:lang w:val="en-GB"/>
        </w:rPr>
        <w:t>of low macroeconomic volatility where</w:t>
      </w:r>
      <w:r w:rsidR="009019F4" w:rsidRPr="003C2E1A">
        <w:rPr>
          <w:rFonts w:ascii="Times New Roman" w:hAnsi="Times New Roman" w:cs="Times New Roman"/>
          <w:sz w:val="24"/>
          <w:lang w:val="en-GB"/>
        </w:rPr>
        <w:t xml:space="preserve"> </w:t>
      </w:r>
      <w:r w:rsidR="005A2707" w:rsidRPr="003C2E1A">
        <w:rPr>
          <w:rFonts w:ascii="Times New Roman" w:hAnsi="Times New Roman" w:cs="Times New Roman"/>
          <w:sz w:val="24"/>
          <w:lang w:val="en-GB"/>
        </w:rPr>
        <w:t xml:space="preserve">investors’ risk aversion is at an all-time low as they felt insulated from macroeconomic upheavals and the idea that any Eurozone government could reach its fiscal limit, </w:t>
      </w:r>
      <w:r w:rsidR="00A031FB" w:rsidRPr="003C2E1A">
        <w:rPr>
          <w:rFonts w:ascii="Times New Roman" w:hAnsi="Times New Roman" w:cs="Times New Roman"/>
          <w:sz w:val="24"/>
          <w:lang w:val="en-GB"/>
        </w:rPr>
        <w:t>i.e.,</w:t>
      </w:r>
      <w:r w:rsidR="005A2707" w:rsidRPr="003C2E1A">
        <w:rPr>
          <w:rFonts w:ascii="Times New Roman" w:hAnsi="Times New Roman" w:cs="Times New Roman"/>
          <w:sz w:val="24"/>
          <w:lang w:val="en-GB"/>
        </w:rPr>
        <w:t xml:space="preserve"> </w:t>
      </w:r>
      <w:r w:rsidR="00BF74FF" w:rsidRPr="003C2E1A">
        <w:rPr>
          <w:rFonts w:ascii="Times New Roman" w:hAnsi="Times New Roman" w:cs="Times New Roman"/>
          <w:sz w:val="24"/>
          <w:lang w:val="en-GB"/>
        </w:rPr>
        <w:t xml:space="preserve">government can no longer finance higher debt levels, was deemed preposterous and unfounded. Similarly, the expansion and diversification of global FOREX reserves and market depth of the euro government bond markets created the misconception that sovereign bond demand was infinite. </w:t>
      </w:r>
      <w:r w:rsidR="00BF74FF" w:rsidRPr="003C2E1A">
        <w:rPr>
          <w:rFonts w:ascii="Times New Roman" w:hAnsi="Times New Roman" w:cs="Times New Roman"/>
          <w:sz w:val="24"/>
          <w:szCs w:val="24"/>
          <w:lang w:val="en-GB"/>
        </w:rPr>
        <w:t xml:space="preserve">The depth of market refers to a security’s ability to withstand swift execution of large market orders without creating large swings in a security’s price. Bond </w:t>
      </w:r>
      <w:r w:rsidR="00BF74FF" w:rsidRPr="003C2E1A">
        <w:rPr>
          <w:rFonts w:ascii="Times New Roman" w:hAnsi="Times New Roman" w:cs="Times New Roman"/>
          <w:sz w:val="24"/>
          <w:szCs w:val="24"/>
          <w:lang w:val="en-GB"/>
        </w:rPr>
        <w:lastRenderedPageBreak/>
        <w:t xml:space="preserve">markets that are typified by high market depth do not require market makers to facilitate sufficient liquidity. </w:t>
      </w:r>
    </w:p>
    <w:p w:rsidR="00355CC8" w:rsidRPr="003C2E1A" w:rsidRDefault="00BF74FF" w:rsidP="0015093D">
      <w:pPr>
        <w:spacing w:after="0" w:line="360" w:lineRule="auto"/>
        <w:jc w:val="both"/>
        <w:rPr>
          <w:rFonts w:ascii="TimesNewRomanPSMT" w:hAnsi="TimesNewRomanPSMT" w:cs="TimesNewRomanPSMT"/>
          <w:sz w:val="24"/>
          <w:szCs w:val="24"/>
          <w:lang w:val="en-GB"/>
        </w:rPr>
      </w:pPr>
      <w:r w:rsidRPr="003C2E1A">
        <w:rPr>
          <w:rFonts w:ascii="Times New Roman" w:hAnsi="Times New Roman" w:cs="Times New Roman"/>
          <w:sz w:val="24"/>
          <w:szCs w:val="24"/>
          <w:lang w:val="en-GB"/>
        </w:rPr>
        <w:tab/>
      </w:r>
      <w:r w:rsidR="00CD7240" w:rsidRPr="003C2E1A">
        <w:rPr>
          <w:rFonts w:ascii="Times New Roman" w:hAnsi="Times New Roman" w:cs="Times New Roman"/>
          <w:sz w:val="24"/>
          <w:szCs w:val="24"/>
          <w:lang w:val="en-GB"/>
        </w:rPr>
        <w:t>However, during the onset of the Credit Crunch (2007-2009), government bond yields began to diverge and for certain countries (</w:t>
      </w:r>
      <w:r w:rsidR="00A031FB" w:rsidRPr="003C2E1A">
        <w:rPr>
          <w:rFonts w:ascii="Times New Roman" w:hAnsi="Times New Roman" w:cs="Times New Roman"/>
          <w:sz w:val="24"/>
          <w:szCs w:val="24"/>
          <w:lang w:val="en-GB"/>
        </w:rPr>
        <w:t>e.g.,</w:t>
      </w:r>
      <w:r w:rsidR="00CD7240" w:rsidRPr="003C2E1A">
        <w:rPr>
          <w:rFonts w:ascii="Times New Roman" w:hAnsi="Times New Roman" w:cs="Times New Roman"/>
          <w:sz w:val="24"/>
          <w:szCs w:val="24"/>
          <w:lang w:val="en-GB"/>
        </w:rPr>
        <w:t xml:space="preserve"> Spain, Greece, Italy and Ireland) they were subject to soaring and vagarious premia owing to fear of contagion and </w:t>
      </w:r>
      <w:r w:rsidR="00BF5FCB" w:rsidRPr="003C2E1A">
        <w:rPr>
          <w:rFonts w:ascii="Times New Roman" w:hAnsi="Times New Roman" w:cs="Times New Roman"/>
          <w:sz w:val="24"/>
          <w:szCs w:val="24"/>
          <w:lang w:val="en-GB"/>
        </w:rPr>
        <w:t xml:space="preserve">‘market mania’. </w:t>
      </w:r>
      <w:r w:rsidR="0096646A" w:rsidRPr="003C2E1A">
        <w:rPr>
          <w:rFonts w:ascii="Times New Roman" w:hAnsi="Times New Roman" w:cs="Times New Roman"/>
          <w:sz w:val="24"/>
          <w:szCs w:val="24"/>
          <w:lang w:val="en-GB"/>
        </w:rPr>
        <w:t xml:space="preserve">The Financial Crisis (2007-2012) directly contributed to the sovereign debt crisis in the Eurozone as governments were called upon to bail-out the largest banks under their respective supervision in order to assure financial stability and prevent a banking system collapse and/or another credit crunch from emerging. Thus Eurozone countries began to amass major debt burdens as evidenced by a worsening debt-to-GDP ratio for most member states involved. </w:t>
      </w:r>
      <w:r w:rsidR="0096646A" w:rsidRPr="003C2E1A">
        <w:rPr>
          <w:rFonts w:ascii="Times New Roman" w:hAnsi="Times New Roman" w:cs="Times New Roman"/>
          <w:sz w:val="24"/>
          <w:szCs w:val="24"/>
          <w:lang w:val="en-GB"/>
        </w:rPr>
        <w:tab/>
        <w:t xml:space="preserve">During the subsequent European sovereign debt crisis (2009-present), fiscal sustainability in advanced economies became the crux of economic intervention by ‘Troika’ (triumvirate, </w:t>
      </w:r>
      <w:r w:rsidR="00A031FB" w:rsidRPr="003C2E1A">
        <w:rPr>
          <w:rFonts w:ascii="Times New Roman" w:hAnsi="Times New Roman" w:cs="Times New Roman"/>
          <w:sz w:val="24"/>
          <w:szCs w:val="24"/>
          <w:lang w:val="en-GB"/>
        </w:rPr>
        <w:t>e.g.,</w:t>
      </w:r>
      <w:r w:rsidR="0096646A" w:rsidRPr="003C2E1A">
        <w:rPr>
          <w:rFonts w:ascii="Times New Roman" w:hAnsi="Times New Roman" w:cs="Times New Roman"/>
          <w:sz w:val="24"/>
          <w:szCs w:val="24"/>
          <w:lang w:val="en-GB"/>
        </w:rPr>
        <w:t xml:space="preserve"> International Monetary Fund, European Commission and the European Central Bank). Several advanced economies with time-honoured and exceptional credit ratings (up to and including AAA) have faced severe downgrading by leading credit rating agencies such as Standard &amp; Poor, Moody’s and Fitch (together they comprise 95% of total market share), due to accelerating government debt burdens and unsustainable government budget deficits. </w:t>
      </w:r>
      <w:r w:rsidR="0015093D" w:rsidRPr="003C2E1A">
        <w:rPr>
          <w:rFonts w:ascii="Times New Roman" w:hAnsi="Times New Roman" w:cs="Times New Roman"/>
          <w:sz w:val="24"/>
          <w:szCs w:val="24"/>
          <w:lang w:val="en-GB"/>
        </w:rPr>
        <w:t>A</w:t>
      </w:r>
      <w:r w:rsidR="0096646A" w:rsidRPr="003C2E1A">
        <w:rPr>
          <w:rFonts w:ascii="TimesNewRomanPSMT" w:hAnsi="TimesNewRomanPSMT" w:cs="TimesNewRomanPSMT"/>
          <w:sz w:val="24"/>
          <w:szCs w:val="24"/>
          <w:lang w:val="en-GB"/>
        </w:rPr>
        <w:t>s government debt rises</w:t>
      </w:r>
      <w:r w:rsidR="0015093D" w:rsidRPr="003C2E1A">
        <w:rPr>
          <w:rFonts w:ascii="TimesNewRomanPSMT" w:hAnsi="TimesNewRomanPSMT" w:cs="TimesNewRomanPSMT"/>
          <w:sz w:val="24"/>
          <w:szCs w:val="24"/>
          <w:lang w:val="en-GB"/>
        </w:rPr>
        <w:t>,</w:t>
      </w:r>
      <w:r w:rsidR="0096646A" w:rsidRPr="003C2E1A">
        <w:rPr>
          <w:rFonts w:ascii="TimesNewRomanPSMT" w:hAnsi="TimesNewRomanPSMT" w:cs="TimesNewRomanPSMT"/>
          <w:sz w:val="24"/>
          <w:szCs w:val="24"/>
          <w:lang w:val="en-GB"/>
        </w:rPr>
        <w:t xml:space="preserve"> sovereign bond yields should go up in recognition of the higher associated default risk, </w:t>
      </w:r>
      <w:r w:rsidR="000C0ECE" w:rsidRPr="003C2E1A">
        <w:rPr>
          <w:rFonts w:ascii="TimesNewRomanPSMT" w:hAnsi="TimesNewRomanPSMT" w:cs="TimesNewRomanPSMT"/>
          <w:sz w:val="24"/>
          <w:szCs w:val="24"/>
          <w:lang w:val="en-GB"/>
        </w:rPr>
        <w:t>economic</w:t>
      </w:r>
      <w:r w:rsidR="0096646A" w:rsidRPr="003C2E1A">
        <w:rPr>
          <w:rFonts w:ascii="TimesNewRomanPSMT" w:hAnsi="TimesNewRomanPSMT" w:cs="TimesNewRomanPSMT"/>
          <w:sz w:val="24"/>
          <w:szCs w:val="24"/>
          <w:lang w:val="en-GB"/>
        </w:rPr>
        <w:t xml:space="preserve"> depreciation and inflationary pressure. Concurringly</w:t>
      </w:r>
      <w:r w:rsidR="0015093D" w:rsidRPr="003C2E1A">
        <w:rPr>
          <w:rFonts w:ascii="TimesNewRomanPSMT" w:hAnsi="TimesNewRomanPSMT" w:cs="TimesNewRomanPSMT"/>
          <w:sz w:val="24"/>
          <w:szCs w:val="24"/>
          <w:lang w:val="en-GB"/>
        </w:rPr>
        <w:t>, many EU member states have witnessed a p</w:t>
      </w:r>
      <w:r w:rsidR="00194846" w:rsidRPr="003C2E1A">
        <w:rPr>
          <w:rFonts w:ascii="TimesNewRomanPSMT" w:hAnsi="TimesNewRomanPSMT" w:cs="TimesNewRomanPSMT"/>
          <w:sz w:val="24"/>
          <w:szCs w:val="24"/>
          <w:lang w:val="en-GB"/>
        </w:rPr>
        <w:t>lummeting sovereign bond yield. Negative yields are now offered on sovereign bonds spread out over a spectrum of maturities; these countries include</w:t>
      </w:r>
      <w:r w:rsidR="0015093D" w:rsidRPr="003C2E1A">
        <w:rPr>
          <w:rFonts w:ascii="TimesNewRomanPSMT" w:hAnsi="TimesNewRomanPSMT" w:cs="TimesNewRomanPSMT"/>
          <w:sz w:val="24"/>
          <w:szCs w:val="24"/>
          <w:lang w:val="en-GB"/>
        </w:rPr>
        <w:t xml:space="preserve"> Germany, Denmark, the Netherlands, Austria, Sweden, France, Belgium, Finland and Switzerland. </w:t>
      </w:r>
      <w:r w:rsidR="0096646A" w:rsidRPr="003C2E1A">
        <w:rPr>
          <w:rFonts w:ascii="TimesNewRomanPSMT" w:hAnsi="TimesNewRomanPSMT" w:cs="TimesNewRomanPSMT"/>
          <w:sz w:val="24"/>
          <w:szCs w:val="24"/>
          <w:lang w:val="en-GB"/>
        </w:rPr>
        <w:t xml:space="preserve"> </w:t>
      </w:r>
      <w:r w:rsidR="002751D7" w:rsidRPr="003C2E1A">
        <w:rPr>
          <w:rFonts w:ascii="TimesNewRomanPSMT" w:hAnsi="TimesNewRomanPSMT" w:cs="TimesNewRomanPSMT"/>
          <w:sz w:val="24"/>
          <w:szCs w:val="24"/>
          <w:lang w:val="en-GB"/>
        </w:rPr>
        <w:t>To prevent debt deflation</w:t>
      </w:r>
      <w:r w:rsidR="00C73E10" w:rsidRPr="003C2E1A">
        <w:rPr>
          <w:rFonts w:ascii="TimesNewRomanPSMT" w:hAnsi="TimesNewRomanPSMT" w:cs="TimesNewRomanPSMT"/>
          <w:sz w:val="24"/>
          <w:szCs w:val="24"/>
          <w:lang w:val="en-GB"/>
        </w:rPr>
        <w:t xml:space="preserve"> (</w:t>
      </w:r>
      <w:r w:rsidR="00B8549E" w:rsidRPr="003C2E1A">
        <w:rPr>
          <w:rFonts w:ascii="TimesNewRomanPSMT" w:hAnsi="TimesNewRomanPSMT" w:cs="TimesNewRomanPSMT"/>
          <w:sz w:val="24"/>
          <w:szCs w:val="24"/>
          <w:lang w:val="en-GB"/>
        </w:rPr>
        <w:t xml:space="preserve">originated </w:t>
      </w:r>
      <w:r w:rsidR="002751D7" w:rsidRPr="003C2E1A">
        <w:rPr>
          <w:rFonts w:ascii="TimesNewRomanPSMT" w:hAnsi="TimesNewRomanPSMT" w:cs="TimesNewRomanPSMT"/>
          <w:sz w:val="24"/>
          <w:szCs w:val="24"/>
          <w:lang w:val="en-GB"/>
        </w:rPr>
        <w:t>during the financial crisis</w:t>
      </w:r>
      <w:r w:rsidR="00C73E10" w:rsidRPr="003C2E1A">
        <w:rPr>
          <w:rFonts w:ascii="TimesNewRomanPSMT" w:hAnsi="TimesNewRomanPSMT" w:cs="TimesNewRomanPSMT"/>
          <w:sz w:val="24"/>
          <w:szCs w:val="24"/>
          <w:lang w:val="en-GB"/>
        </w:rPr>
        <w:t>)</w:t>
      </w:r>
      <w:r w:rsidR="002751D7" w:rsidRPr="003C2E1A">
        <w:rPr>
          <w:rFonts w:ascii="TimesNewRomanPSMT" w:hAnsi="TimesNewRomanPSMT" w:cs="TimesNewRomanPSMT"/>
          <w:sz w:val="24"/>
          <w:szCs w:val="24"/>
          <w:lang w:val="en-GB"/>
        </w:rPr>
        <w:t xml:space="preserve"> from turning into a liquidity trap, </w:t>
      </w:r>
      <w:r w:rsidR="006B031F" w:rsidRPr="003C2E1A">
        <w:rPr>
          <w:rFonts w:ascii="TimesNewRomanPSMT" w:hAnsi="TimesNewRomanPSMT" w:cs="TimesNewRomanPSMT"/>
          <w:sz w:val="24"/>
          <w:szCs w:val="24"/>
          <w:lang w:val="en-GB"/>
        </w:rPr>
        <w:t xml:space="preserve">one can either turn to fiscal policy measures or Gesell taxes. </w:t>
      </w:r>
      <w:r w:rsidR="002751D7" w:rsidRPr="003C2E1A">
        <w:rPr>
          <w:rFonts w:ascii="TimesNewRomanPSMT" w:hAnsi="TimesNewRomanPSMT" w:cs="TimesNewRomanPSMT"/>
          <w:sz w:val="24"/>
          <w:szCs w:val="24"/>
          <w:lang w:val="en-GB"/>
        </w:rPr>
        <w:t xml:space="preserve">Debt deflation </w:t>
      </w:r>
      <w:r w:rsidR="00355CC8" w:rsidRPr="003C2E1A">
        <w:rPr>
          <w:rFonts w:ascii="TimesNewRomanPSMT" w:hAnsi="TimesNewRomanPSMT" w:cs="TimesNewRomanPSMT"/>
          <w:sz w:val="24"/>
          <w:szCs w:val="24"/>
          <w:lang w:val="en-GB"/>
        </w:rPr>
        <w:t>occurs when collateral of asset-backed securities declines in value</w:t>
      </w:r>
      <w:r w:rsidR="002751D7" w:rsidRPr="003C2E1A">
        <w:rPr>
          <w:rFonts w:ascii="TimesNewRomanPSMT" w:hAnsi="TimesNewRomanPSMT" w:cs="TimesNewRomanPSMT"/>
          <w:sz w:val="24"/>
          <w:szCs w:val="24"/>
          <w:lang w:val="en-GB"/>
        </w:rPr>
        <w:t xml:space="preserve"> and heightens </w:t>
      </w:r>
      <w:r w:rsidR="00355CC8" w:rsidRPr="003C2E1A">
        <w:rPr>
          <w:rFonts w:ascii="TimesNewRomanPSMT" w:hAnsi="TimesNewRomanPSMT" w:cs="TimesNewRomanPSMT"/>
          <w:sz w:val="24"/>
          <w:szCs w:val="24"/>
          <w:lang w:val="en-GB"/>
        </w:rPr>
        <w:t>risk of default</w:t>
      </w:r>
      <w:r w:rsidR="002751D7" w:rsidRPr="003C2E1A">
        <w:rPr>
          <w:rFonts w:ascii="TimesNewRomanPSMT" w:hAnsi="TimesNewRomanPSMT" w:cs="TimesNewRomanPSMT"/>
          <w:sz w:val="24"/>
          <w:szCs w:val="24"/>
          <w:lang w:val="en-GB"/>
        </w:rPr>
        <w:t>. Subsequent margin calls and bankruptcies lead to mounting</w:t>
      </w:r>
      <w:r w:rsidR="00355CC8" w:rsidRPr="003C2E1A">
        <w:rPr>
          <w:rFonts w:ascii="TimesNewRomanPSMT" w:hAnsi="TimesNewRomanPSMT" w:cs="TimesNewRomanPSMT"/>
          <w:sz w:val="24"/>
          <w:szCs w:val="24"/>
          <w:lang w:val="en-GB"/>
        </w:rPr>
        <w:t xml:space="preserve"> </w:t>
      </w:r>
      <w:r w:rsidR="002751D7" w:rsidRPr="003C2E1A">
        <w:rPr>
          <w:rFonts w:ascii="TimesNewRomanPSMT" w:hAnsi="TimesNewRomanPSMT" w:cs="TimesNewRomanPSMT"/>
          <w:sz w:val="24"/>
          <w:szCs w:val="24"/>
          <w:lang w:val="en-GB"/>
        </w:rPr>
        <w:t xml:space="preserve">deleveraging pressure, which </w:t>
      </w:r>
      <w:r w:rsidR="00355CC8" w:rsidRPr="003C2E1A">
        <w:rPr>
          <w:rFonts w:ascii="TimesNewRomanPSMT" w:hAnsi="TimesNewRomanPSMT" w:cs="TimesNewRomanPSMT"/>
          <w:sz w:val="24"/>
          <w:szCs w:val="24"/>
          <w:lang w:val="en-GB"/>
        </w:rPr>
        <w:t xml:space="preserve">may develop into a full-fledged </w:t>
      </w:r>
      <w:r w:rsidR="002751D7" w:rsidRPr="003C2E1A">
        <w:rPr>
          <w:rFonts w:ascii="TimesNewRomanPSMT" w:hAnsi="TimesNewRomanPSMT" w:cs="TimesNewRomanPSMT"/>
          <w:sz w:val="24"/>
          <w:szCs w:val="24"/>
          <w:lang w:val="en-GB"/>
        </w:rPr>
        <w:t>‘</w:t>
      </w:r>
      <w:r w:rsidR="00355CC8" w:rsidRPr="003C2E1A">
        <w:rPr>
          <w:rFonts w:ascii="TimesNewRomanPSMT" w:hAnsi="TimesNewRomanPSMT" w:cs="TimesNewRomanPSMT"/>
          <w:sz w:val="24"/>
          <w:szCs w:val="24"/>
          <w:lang w:val="en-GB"/>
        </w:rPr>
        <w:t>fire sale</w:t>
      </w:r>
      <w:r w:rsidR="002751D7" w:rsidRPr="003C2E1A">
        <w:rPr>
          <w:rFonts w:ascii="TimesNewRomanPSMT" w:hAnsi="TimesNewRomanPSMT" w:cs="TimesNewRomanPSMT"/>
          <w:sz w:val="24"/>
          <w:szCs w:val="24"/>
          <w:lang w:val="en-GB"/>
        </w:rPr>
        <w:t>’ of assets</w:t>
      </w:r>
      <w:r w:rsidR="00B8549E" w:rsidRPr="003C2E1A">
        <w:rPr>
          <w:rFonts w:ascii="TimesNewRomanPSMT" w:hAnsi="TimesNewRomanPSMT" w:cs="TimesNewRomanPSMT"/>
          <w:sz w:val="24"/>
          <w:szCs w:val="24"/>
          <w:lang w:val="en-GB"/>
        </w:rPr>
        <w:t>.</w:t>
      </w:r>
      <w:r w:rsidR="00B57BB0" w:rsidRPr="003C2E1A">
        <w:rPr>
          <w:rStyle w:val="FootnoteReference"/>
          <w:rFonts w:ascii="TimesNewRomanPSMT" w:hAnsi="TimesNewRomanPSMT" w:cs="TimesNewRomanPSMT"/>
          <w:sz w:val="24"/>
          <w:szCs w:val="24"/>
          <w:lang w:val="en-GB"/>
        </w:rPr>
        <w:footnoteReference w:id="11"/>
      </w:r>
      <w:r w:rsidR="00B8549E" w:rsidRPr="003C2E1A">
        <w:rPr>
          <w:rFonts w:ascii="TimesNewRomanPSMT" w:hAnsi="TimesNewRomanPSMT" w:cs="TimesNewRomanPSMT"/>
          <w:sz w:val="24"/>
          <w:szCs w:val="24"/>
          <w:lang w:val="en-GB"/>
        </w:rPr>
        <w:t xml:space="preserve"> This causes a further fall in asset prices and thus leads the economy into a downward spiral. </w:t>
      </w:r>
      <w:r w:rsidR="00AF21DE" w:rsidRPr="003C2E1A">
        <w:rPr>
          <w:rFonts w:ascii="TimesNewRomanPSMT" w:hAnsi="TimesNewRomanPSMT" w:cs="TimesNewRomanPSMT"/>
          <w:sz w:val="24"/>
          <w:szCs w:val="24"/>
          <w:lang w:val="en-GB"/>
        </w:rPr>
        <w:t>Similarly, a</w:t>
      </w:r>
      <w:r w:rsidR="00B8549E" w:rsidRPr="003C2E1A">
        <w:rPr>
          <w:rFonts w:ascii="TimesNewRomanPSMT" w:hAnsi="TimesNewRomanPSMT" w:cs="TimesNewRomanPSMT"/>
          <w:sz w:val="24"/>
          <w:szCs w:val="24"/>
          <w:lang w:val="en-GB"/>
        </w:rPr>
        <w:t xml:space="preserve"> liquidity trap </w:t>
      </w:r>
      <w:r w:rsidR="00FE2A13" w:rsidRPr="003C2E1A">
        <w:rPr>
          <w:rFonts w:ascii="TimesNewRomanPSMT" w:hAnsi="TimesNewRomanPSMT" w:cs="TimesNewRomanPSMT"/>
          <w:sz w:val="24"/>
          <w:szCs w:val="24"/>
          <w:lang w:val="en-GB"/>
        </w:rPr>
        <w:t>occurs when short-term nominal interest is set to zero and monetary policy is rendered ineffective</w:t>
      </w:r>
      <w:r w:rsidR="00C73E10" w:rsidRPr="003C2E1A">
        <w:rPr>
          <w:rFonts w:ascii="TimesNewRomanPSMT" w:hAnsi="TimesNewRomanPSMT" w:cs="TimesNewRomanPSMT"/>
          <w:sz w:val="24"/>
          <w:szCs w:val="24"/>
          <w:lang w:val="en-GB"/>
        </w:rPr>
        <w:t xml:space="preserve">. </w:t>
      </w:r>
      <w:r w:rsidR="00045C3C" w:rsidRPr="003C2E1A">
        <w:rPr>
          <w:rFonts w:ascii="TimesNewRomanPSMT" w:hAnsi="TimesNewRomanPSMT" w:cs="TimesNewRomanPSMT"/>
          <w:sz w:val="24"/>
          <w:szCs w:val="24"/>
          <w:lang w:val="en-GB"/>
        </w:rPr>
        <w:t xml:space="preserve">In order to escape from a liquidity trap economic agents can either utilize expansionary fiscal policy or </w:t>
      </w:r>
      <w:r w:rsidR="005A6E4E">
        <w:rPr>
          <w:rFonts w:ascii="TimesNewRomanPSMT" w:hAnsi="TimesNewRomanPSMT" w:cs="TimesNewRomanPSMT"/>
          <w:sz w:val="24"/>
          <w:szCs w:val="24"/>
          <w:lang w:val="en-GB"/>
        </w:rPr>
        <w:t>set</w:t>
      </w:r>
      <w:r w:rsidR="00045C3C" w:rsidRPr="003C2E1A">
        <w:rPr>
          <w:rFonts w:ascii="TimesNewRomanPSMT" w:hAnsi="TimesNewRomanPSMT" w:cs="TimesNewRomanPSMT"/>
          <w:sz w:val="24"/>
          <w:szCs w:val="24"/>
          <w:lang w:val="en-GB"/>
        </w:rPr>
        <w:t xml:space="preserve"> negative </w:t>
      </w:r>
      <w:r w:rsidR="005A6E4E">
        <w:rPr>
          <w:rFonts w:ascii="TimesNewRomanPSMT" w:hAnsi="TimesNewRomanPSMT" w:cs="TimesNewRomanPSMT"/>
          <w:sz w:val="24"/>
          <w:szCs w:val="24"/>
          <w:lang w:val="en-GB"/>
        </w:rPr>
        <w:t xml:space="preserve">interest </w:t>
      </w:r>
      <w:r w:rsidR="00045C3C" w:rsidRPr="003C2E1A">
        <w:rPr>
          <w:rFonts w:ascii="TimesNewRomanPSMT" w:hAnsi="TimesNewRomanPSMT" w:cs="TimesNewRomanPSMT"/>
          <w:sz w:val="24"/>
          <w:szCs w:val="24"/>
          <w:lang w:val="en-GB"/>
        </w:rPr>
        <w:t xml:space="preserve">rates </w:t>
      </w:r>
      <w:r w:rsidR="005A6E4E">
        <w:rPr>
          <w:rFonts w:ascii="TimesNewRomanPSMT" w:hAnsi="TimesNewRomanPSMT" w:cs="TimesNewRomanPSMT"/>
          <w:sz w:val="24"/>
          <w:szCs w:val="24"/>
          <w:lang w:val="en-GB"/>
        </w:rPr>
        <w:t xml:space="preserve">for the deposit facility at </w:t>
      </w:r>
      <w:r w:rsidR="005A6E4E">
        <w:rPr>
          <w:rFonts w:ascii="TimesNewRomanPSMT" w:hAnsi="TimesNewRomanPSMT" w:cs="TimesNewRomanPSMT"/>
          <w:sz w:val="24"/>
          <w:szCs w:val="24"/>
          <w:lang w:val="en-GB"/>
        </w:rPr>
        <w:lastRenderedPageBreak/>
        <w:t>the ECB</w:t>
      </w:r>
      <w:r w:rsidR="00AF21DE" w:rsidRPr="003C2E1A">
        <w:rPr>
          <w:rFonts w:ascii="TimesNewRomanPSMT" w:hAnsi="TimesNewRomanPSMT" w:cs="TimesNewRomanPSMT"/>
          <w:sz w:val="24"/>
          <w:szCs w:val="24"/>
          <w:lang w:val="en-GB"/>
        </w:rPr>
        <w:t>.</w:t>
      </w:r>
      <w:r w:rsidR="00CC1349" w:rsidRPr="003C2E1A">
        <w:rPr>
          <w:rStyle w:val="FootnoteReference"/>
          <w:rFonts w:ascii="TimesNewRomanPSMT" w:hAnsi="TimesNewRomanPSMT" w:cs="TimesNewRomanPSMT"/>
          <w:sz w:val="24"/>
          <w:szCs w:val="24"/>
          <w:lang w:val="en-GB"/>
        </w:rPr>
        <w:footnoteReference w:id="12"/>
      </w:r>
      <w:r w:rsidR="00AF21DE" w:rsidRPr="003C2E1A">
        <w:rPr>
          <w:rFonts w:ascii="TimesNewRomanPSMT" w:hAnsi="TimesNewRomanPSMT" w:cs="TimesNewRomanPSMT"/>
          <w:sz w:val="24"/>
          <w:szCs w:val="24"/>
          <w:lang w:val="en-GB"/>
        </w:rPr>
        <w:t xml:space="preserve"> T</w:t>
      </w:r>
      <w:r w:rsidR="00045C3C" w:rsidRPr="003C2E1A">
        <w:rPr>
          <w:rFonts w:ascii="TimesNewRomanPSMT" w:hAnsi="TimesNewRomanPSMT" w:cs="TimesNewRomanPSMT"/>
          <w:sz w:val="24"/>
          <w:szCs w:val="24"/>
          <w:lang w:val="en-GB"/>
        </w:rPr>
        <w:t xml:space="preserve">he latter </w:t>
      </w:r>
      <w:r w:rsidR="00AF21DE" w:rsidRPr="003C2E1A">
        <w:rPr>
          <w:rFonts w:ascii="TimesNewRomanPSMT" w:hAnsi="TimesNewRomanPSMT" w:cs="TimesNewRomanPSMT"/>
          <w:sz w:val="24"/>
          <w:szCs w:val="24"/>
          <w:lang w:val="en-GB"/>
        </w:rPr>
        <w:t>is</w:t>
      </w:r>
      <w:r w:rsidR="00045C3C" w:rsidRPr="003C2E1A">
        <w:rPr>
          <w:rFonts w:ascii="TimesNewRomanPSMT" w:hAnsi="TimesNewRomanPSMT" w:cs="TimesNewRomanPSMT"/>
          <w:sz w:val="24"/>
          <w:szCs w:val="24"/>
          <w:lang w:val="en-GB"/>
        </w:rPr>
        <w:t xml:space="preserve"> based on Gesell’s idea of </w:t>
      </w:r>
      <w:r w:rsidR="00AF21DE" w:rsidRPr="003C2E1A">
        <w:rPr>
          <w:rFonts w:ascii="TimesNewRomanPSMT" w:hAnsi="TimesNewRomanPSMT" w:cs="TimesNewRomanPSMT"/>
          <w:sz w:val="24"/>
          <w:szCs w:val="24"/>
          <w:lang w:val="en-GB"/>
        </w:rPr>
        <w:t xml:space="preserve">ensuring a negative effective return rate on currency in order to deal with excess reserves that are the result of the ‘nuclear’ option that is quantitative easing (QE). </w:t>
      </w:r>
    </w:p>
    <w:p w:rsidR="00CB1E3F" w:rsidRPr="003C2E1A" w:rsidRDefault="00AF21DE" w:rsidP="00610AF6">
      <w:pPr>
        <w:spacing w:after="0" w:line="360" w:lineRule="auto"/>
        <w:jc w:val="both"/>
        <w:rPr>
          <w:rFonts w:ascii="Times New Roman" w:hAnsi="Times New Roman" w:cs="Times New Roman"/>
          <w:sz w:val="24"/>
          <w:szCs w:val="24"/>
          <w:lang w:val="en-GB"/>
        </w:rPr>
      </w:pPr>
      <w:r w:rsidRPr="003C2E1A">
        <w:rPr>
          <w:rFonts w:ascii="TimesNewRomanPSMT" w:hAnsi="TimesNewRomanPSMT" w:cs="TimesNewRomanPSMT"/>
          <w:sz w:val="24"/>
          <w:szCs w:val="24"/>
          <w:lang w:val="en-GB"/>
        </w:rPr>
        <w:tab/>
      </w:r>
      <w:r w:rsidRPr="003C2E1A">
        <w:rPr>
          <w:rFonts w:ascii="Times New Roman" w:hAnsi="Times New Roman" w:cs="Times New Roman"/>
          <w:sz w:val="24"/>
          <w:szCs w:val="24"/>
          <w:lang w:val="en-GB"/>
        </w:rPr>
        <w:t>The effectiveness of monetary policy and the stability of sovereign debt markets are intricately and fundamentally linked. Government bonds are the medium-term financing vehicles that form the basis of the monetary policy transmission mechanism via four channels; the interest rate channel, collateral channel, banks’ balance sheet channel and the wealth channel.</w:t>
      </w:r>
    </w:p>
    <w:p w:rsidR="00D572AE" w:rsidRPr="003C2E1A" w:rsidRDefault="00610AF6" w:rsidP="00610AF6">
      <w:pPr>
        <w:spacing w:after="0" w:line="360" w:lineRule="auto"/>
        <w:jc w:val="both"/>
        <w:rPr>
          <w:rFonts w:ascii="Times New Roman" w:hAnsi="Times New Roman" w:cs="Times New Roman"/>
          <w:sz w:val="24"/>
          <w:szCs w:val="24"/>
          <w:lang w:val="en-GB"/>
        </w:rPr>
      </w:pPr>
      <w:r w:rsidRPr="003C2E1A">
        <w:rPr>
          <w:rFonts w:ascii="Times New Roman" w:hAnsi="Times New Roman" w:cs="Times New Roman"/>
          <w:sz w:val="24"/>
          <w:szCs w:val="24"/>
          <w:lang w:val="en-GB"/>
        </w:rPr>
        <w:tab/>
      </w:r>
      <w:r w:rsidR="00AF21DE" w:rsidRPr="003C2E1A">
        <w:rPr>
          <w:rFonts w:ascii="Times New Roman" w:hAnsi="Times New Roman" w:cs="Times New Roman"/>
          <w:sz w:val="24"/>
          <w:szCs w:val="24"/>
          <w:lang w:val="en-GB"/>
        </w:rPr>
        <w:t xml:space="preserve">Prior to the financial crisis, sovereign bonds were considered as risk-free and relatively liquid instruments whereby only a change in current or expected policy rates could alter the sovereign bond yield curve. Long-term sovereign bond yields influenced bank lending rates, municipal and corporate bond yields via the process of arbitrage and bond pricing approximations. Sovereign bonds can serve as a hedge in investors’ portfolios against interest rate risk and stock market deterioration and are often the go-to solution during financial crises. However, there seem to be time-varying elements present in the bond market that lead to periods of negative and positive correlations between stock and bond markets. When both markets move as a cointegrated pair, treasury bonds may in fact increase macroeconomic risk exposure of investors. </w:t>
      </w:r>
      <w:r w:rsidRPr="003C2E1A">
        <w:rPr>
          <w:rFonts w:ascii="Times New Roman" w:hAnsi="Times New Roman" w:cs="Times New Roman"/>
          <w:sz w:val="24"/>
          <w:szCs w:val="24"/>
          <w:lang w:val="en-GB"/>
        </w:rPr>
        <w:t>Particularly during periods of financial distress, long-run relationship between government bond yields and macroeconomic fundamentals</w:t>
      </w:r>
      <w:r w:rsidR="00352423" w:rsidRPr="003C2E1A">
        <w:rPr>
          <w:rFonts w:ascii="Times New Roman" w:hAnsi="Times New Roman" w:cs="Times New Roman"/>
          <w:sz w:val="24"/>
          <w:szCs w:val="24"/>
          <w:lang w:val="en-GB"/>
        </w:rPr>
        <w:t xml:space="preserve"> can break down and persist for an extended period of time. During this period country-specific factors may come to the fore and influence sovereign bond yield movements. For example, despite the stockpiling of government debt in the US, fears of a ‘fiscal cliff’ </w:t>
      </w:r>
      <w:r w:rsidR="00151B9A" w:rsidRPr="003C2E1A">
        <w:rPr>
          <w:rFonts w:ascii="Times New Roman" w:hAnsi="Times New Roman" w:cs="Times New Roman"/>
          <w:sz w:val="24"/>
          <w:szCs w:val="24"/>
          <w:lang w:val="en-GB"/>
        </w:rPr>
        <w:t>(budgetary spending cuts across-the-</w:t>
      </w:r>
      <w:r w:rsidR="00352423" w:rsidRPr="003C2E1A">
        <w:rPr>
          <w:rFonts w:ascii="Times New Roman" w:hAnsi="Times New Roman" w:cs="Times New Roman"/>
          <w:sz w:val="24"/>
          <w:szCs w:val="24"/>
          <w:lang w:val="en-GB"/>
        </w:rPr>
        <w:t xml:space="preserve">board and </w:t>
      </w:r>
      <w:r w:rsidR="00151B9A" w:rsidRPr="003C2E1A">
        <w:rPr>
          <w:rFonts w:ascii="Times New Roman" w:hAnsi="Times New Roman" w:cs="Times New Roman"/>
          <w:sz w:val="24"/>
          <w:szCs w:val="24"/>
          <w:lang w:val="en-GB"/>
        </w:rPr>
        <w:t xml:space="preserve">abolishment of Bush-era tax-relief provisions) and a fast-approaching </w:t>
      </w:r>
      <w:r w:rsidR="00731212" w:rsidRPr="003C2E1A">
        <w:rPr>
          <w:rFonts w:ascii="Times New Roman" w:hAnsi="Times New Roman" w:cs="Times New Roman"/>
          <w:sz w:val="24"/>
          <w:szCs w:val="24"/>
          <w:lang w:val="en-GB"/>
        </w:rPr>
        <w:t>US</w:t>
      </w:r>
      <w:r w:rsidR="00151B9A" w:rsidRPr="003C2E1A">
        <w:rPr>
          <w:rFonts w:ascii="Times New Roman" w:hAnsi="Times New Roman" w:cs="Times New Roman"/>
          <w:sz w:val="24"/>
          <w:szCs w:val="24"/>
          <w:lang w:val="en-GB"/>
        </w:rPr>
        <w:t xml:space="preserve"> recession</w:t>
      </w:r>
      <w:r w:rsidR="00BF503B" w:rsidRPr="003C2E1A">
        <w:rPr>
          <w:rFonts w:ascii="Times New Roman" w:hAnsi="Times New Roman" w:cs="Times New Roman"/>
          <w:sz w:val="24"/>
          <w:szCs w:val="24"/>
          <w:lang w:val="en-GB"/>
        </w:rPr>
        <w:t>;</w:t>
      </w:r>
      <w:r w:rsidR="00731212" w:rsidRPr="003C2E1A">
        <w:rPr>
          <w:rFonts w:ascii="Times New Roman" w:hAnsi="Times New Roman" w:cs="Times New Roman"/>
          <w:sz w:val="24"/>
          <w:szCs w:val="24"/>
          <w:lang w:val="en-GB"/>
        </w:rPr>
        <w:t xml:space="preserve"> US T</w:t>
      </w:r>
      <w:r w:rsidR="009222AC" w:rsidRPr="003C2E1A">
        <w:rPr>
          <w:rFonts w:ascii="Times New Roman" w:hAnsi="Times New Roman" w:cs="Times New Roman"/>
          <w:sz w:val="24"/>
          <w:szCs w:val="24"/>
          <w:lang w:val="en-GB"/>
        </w:rPr>
        <w:t xml:space="preserve">-bill rates </w:t>
      </w:r>
      <w:r w:rsidR="00731212" w:rsidRPr="003C2E1A">
        <w:rPr>
          <w:rFonts w:ascii="Times New Roman" w:hAnsi="Times New Roman" w:cs="Times New Roman"/>
          <w:sz w:val="24"/>
          <w:szCs w:val="24"/>
          <w:lang w:val="en-GB"/>
        </w:rPr>
        <w:t xml:space="preserve">have </w:t>
      </w:r>
      <w:r w:rsidR="00CB6EDE" w:rsidRPr="003C2E1A">
        <w:rPr>
          <w:rFonts w:ascii="Times New Roman" w:hAnsi="Times New Roman" w:cs="Times New Roman"/>
          <w:sz w:val="24"/>
          <w:szCs w:val="24"/>
          <w:lang w:val="en-GB"/>
        </w:rPr>
        <w:t>remained at a relatively low level for months</w:t>
      </w:r>
      <w:r w:rsidR="009222AC" w:rsidRPr="003C2E1A">
        <w:rPr>
          <w:rFonts w:ascii="Times New Roman" w:hAnsi="Times New Roman" w:cs="Times New Roman"/>
          <w:sz w:val="24"/>
          <w:szCs w:val="24"/>
          <w:lang w:val="en-GB"/>
        </w:rPr>
        <w:t>.</w:t>
      </w:r>
    </w:p>
    <w:p w:rsidR="00D572AE" w:rsidRPr="003C2E1A" w:rsidRDefault="00D572AE" w:rsidP="00D572AE">
      <w:pPr>
        <w:spacing w:after="0" w:line="360" w:lineRule="auto"/>
        <w:rPr>
          <w:rFonts w:ascii="Times New Roman" w:hAnsi="Times New Roman" w:cs="Times New Roman"/>
          <w:b/>
          <w:sz w:val="24"/>
          <w:szCs w:val="24"/>
          <w:u w:val="single"/>
          <w:lang w:val="en-GB"/>
        </w:rPr>
      </w:pPr>
      <w:r w:rsidRPr="003C2E1A">
        <w:rPr>
          <w:rFonts w:ascii="Times New Roman" w:hAnsi="Times New Roman" w:cs="Times New Roman"/>
          <w:sz w:val="24"/>
          <w:szCs w:val="24"/>
          <w:lang w:val="en-GB"/>
        </w:rPr>
        <w:tab/>
        <w:t xml:space="preserve">Academic relevance of this thesis would include a dissection of government bond yield determinants and the level of asymmetry between the included countries in terms of the impact of macroeconomic fundamentals on sovereign bond yields. Also, most research in the field has been geared towards high-yield corporate bonds while sovereign bonds have mainly been researched in emerging market economies. This paper will venture into the uncharted territory of time-varying parameters, their propagation in terms of short-run deviations of sovereign bond yields in advanced economies and the length of deviation in time units. To understand the behaviour exhibited by sovereign bond yields during periods of financial </w:t>
      </w:r>
      <w:r w:rsidRPr="003C2E1A">
        <w:rPr>
          <w:rFonts w:ascii="Times New Roman" w:hAnsi="Times New Roman" w:cs="Times New Roman"/>
          <w:sz w:val="24"/>
          <w:szCs w:val="24"/>
          <w:lang w:val="en-GB"/>
        </w:rPr>
        <w:lastRenderedPageBreak/>
        <w:t xml:space="preserve">distress is imperative, for sovereign bonds have become one of the bedrocks of investment portfolios of large financial institutions. </w:t>
      </w:r>
    </w:p>
    <w:p w:rsidR="00D572AE" w:rsidRPr="003C2E1A" w:rsidRDefault="00D572AE" w:rsidP="00D572AE">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ab/>
        <w:t xml:space="preserve">Economic relevance includes recent QE measures taken by the ECB, for example the one trillion euro rescue package to counter the ‘European malaise’ and their immediate effect, e.g., EU bond credit spread compression. Conversely, the EU bonds market may be another asset bubble in the making. Borrowing costs for peripheral economies (i.e., Spain or Ireland) have steadily declined amidst plummeting interest rates in the Eurozone. Bond prices have moved in the opposite direction and have (on average) continued to climb for close to 24 consecutive months. The ECBs announcement of further measures to combat the deflationary spiral has rendered more than €1.7 trillion of the Euro zone’s government bonds in the negative yield spectrum. Also, 1-year and 2-year EU sovereign bond yields have been negative since August 2014 for many member states including the Netherlands, Germany and France. </w:t>
      </w:r>
    </w:p>
    <w:p w:rsidR="00D572AE" w:rsidRPr="003C2E1A" w:rsidRDefault="00D572AE" w:rsidP="00D572AE">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t>Sovereign bond investments can aid economic agents with the preservation of capital whilst earning a predictable return by creating a steady income stream (coupons) prior to maturity. Simultaneously, they also feature heavily in hedging strategies as protection against volatile stock market movements, or as a ‘safe haven’ during periods of financial turmoil</w:t>
      </w:r>
      <w:r w:rsidR="005D0892">
        <w:rPr>
          <w:rStyle w:val="FootnoteReference"/>
          <w:rFonts w:ascii="Times New Roman" w:hAnsi="Times New Roman" w:cs="Times New Roman"/>
          <w:sz w:val="24"/>
          <w:lang w:val="en-GB"/>
        </w:rPr>
        <w:footnoteReference w:id="13"/>
      </w:r>
      <w:r w:rsidRPr="003C2E1A">
        <w:rPr>
          <w:rFonts w:ascii="Times New Roman" w:hAnsi="Times New Roman" w:cs="Times New Roman"/>
          <w:sz w:val="24"/>
          <w:lang w:val="en-GB"/>
        </w:rPr>
        <w:t>. Sovereign bonds from certain EU governments are considered the safest in the world as they are usually characterized by transparency of public budgets, reliable principal repayments, sustainable fiscal policy and sufficiently strong output growth. Thus, sovereign Eurozone bonds retain a pivotal status in many investment strategies</w:t>
      </w:r>
      <w:r w:rsidR="00EF2421" w:rsidRPr="003C2E1A">
        <w:rPr>
          <w:rFonts w:ascii="Times New Roman" w:hAnsi="Times New Roman" w:cs="Times New Roman"/>
          <w:sz w:val="24"/>
          <w:lang w:val="en-GB"/>
        </w:rPr>
        <w:t xml:space="preserve"> and</w:t>
      </w:r>
      <w:r w:rsidR="00EF2421" w:rsidRPr="003C2E1A">
        <w:rPr>
          <w:rFonts w:ascii="Times New Roman" w:hAnsi="Times New Roman" w:cs="Times New Roman"/>
          <w:sz w:val="24"/>
          <w:szCs w:val="24"/>
          <w:lang w:val="en-GB"/>
        </w:rPr>
        <w:t xml:space="preserve"> it is imperative that we understand the underlying determinants of the bond markets’ risk and price movements in order to gauge the extent of short-run sovereign bond yield deviation from its long-run level as ascertained by underlying macroeconomic fundamentals.</w:t>
      </w:r>
      <w:r w:rsidRPr="003C2E1A">
        <w:rPr>
          <w:rFonts w:ascii="Times New Roman" w:hAnsi="Times New Roman" w:cs="Times New Roman"/>
          <w:sz w:val="24"/>
          <w:lang w:val="en-GB"/>
        </w:rPr>
        <w:t xml:space="preserve"> As the research performed in this thesis shall indicate the altered relationship of underlying fundamentals that drive sovereign bond yields in advanced economies (in the Eurozone) and the propagation of time-varying parameters that result in deviations from the sovereign bond yield,</w:t>
      </w:r>
      <w:r w:rsidR="00C24EA3" w:rsidRPr="003C2E1A">
        <w:rPr>
          <w:rFonts w:ascii="Times New Roman" w:hAnsi="Times New Roman" w:cs="Times New Roman"/>
          <w:sz w:val="24"/>
          <w:lang w:val="en-GB"/>
        </w:rPr>
        <w:t xml:space="preserve"> the research </w:t>
      </w:r>
      <w:r w:rsidR="00B319A5" w:rsidRPr="003C2E1A">
        <w:rPr>
          <w:rFonts w:ascii="Times New Roman" w:hAnsi="Times New Roman" w:cs="Times New Roman"/>
          <w:sz w:val="24"/>
          <w:lang w:val="en-GB"/>
        </w:rPr>
        <w:t>‘</w:t>
      </w:r>
      <w:r w:rsidR="00C24EA3" w:rsidRPr="003C2E1A">
        <w:rPr>
          <w:rFonts w:ascii="Times New Roman" w:hAnsi="Times New Roman" w:cs="Times New Roman"/>
          <w:sz w:val="24"/>
          <w:lang w:val="en-GB"/>
        </w:rPr>
        <w:t>an sich</w:t>
      </w:r>
      <w:r w:rsidR="00B319A5" w:rsidRPr="003C2E1A">
        <w:rPr>
          <w:rFonts w:ascii="Times New Roman" w:hAnsi="Times New Roman" w:cs="Times New Roman"/>
          <w:sz w:val="24"/>
          <w:lang w:val="en-GB"/>
        </w:rPr>
        <w:t>’</w:t>
      </w:r>
      <w:r w:rsidR="00C24EA3" w:rsidRPr="003C2E1A">
        <w:rPr>
          <w:rFonts w:ascii="Times New Roman" w:hAnsi="Times New Roman" w:cs="Times New Roman"/>
          <w:sz w:val="24"/>
          <w:lang w:val="en-GB"/>
        </w:rPr>
        <w:t xml:space="preserve"> contributes towards a deeper understanding of the nature of the temporary disturbances and/or permanent changes regarding the</w:t>
      </w:r>
      <w:r w:rsidRPr="003C2E1A">
        <w:rPr>
          <w:rFonts w:ascii="Times New Roman" w:hAnsi="Times New Roman" w:cs="Times New Roman"/>
          <w:sz w:val="24"/>
          <w:lang w:val="en-GB"/>
        </w:rPr>
        <w:t xml:space="preserve"> </w:t>
      </w:r>
      <w:r w:rsidR="00C24EA3" w:rsidRPr="003C2E1A">
        <w:rPr>
          <w:rFonts w:ascii="Times New Roman" w:hAnsi="Times New Roman" w:cs="Times New Roman"/>
          <w:sz w:val="24"/>
          <w:lang w:val="en-GB"/>
        </w:rPr>
        <w:t xml:space="preserve">driving factors of long-run sovereign bond yields. The Impulse Response Functions will </w:t>
      </w:r>
      <w:r w:rsidR="00EF2421" w:rsidRPr="003C2E1A">
        <w:rPr>
          <w:rFonts w:ascii="Times New Roman" w:hAnsi="Times New Roman" w:cs="Times New Roman"/>
          <w:sz w:val="24"/>
          <w:lang w:val="en-GB"/>
        </w:rPr>
        <w:t xml:space="preserve">indicate how rapidly the influence of a shock in the underlying variables dissipates over time. Based on this my main research question and hypotheses were crafted and shall be illuminated below. </w:t>
      </w:r>
      <w:r w:rsidR="00C24EA3" w:rsidRPr="003C2E1A">
        <w:rPr>
          <w:rFonts w:ascii="Times New Roman" w:hAnsi="Times New Roman" w:cs="Times New Roman"/>
          <w:sz w:val="24"/>
          <w:lang w:val="en-GB"/>
        </w:rPr>
        <w:t xml:space="preserve"> </w:t>
      </w:r>
    </w:p>
    <w:p w:rsidR="00EF2421" w:rsidRPr="003C2E1A" w:rsidRDefault="00EF2421" w:rsidP="00D572AE">
      <w:pPr>
        <w:spacing w:after="0" w:line="360" w:lineRule="auto"/>
        <w:rPr>
          <w:rFonts w:ascii="Times New Roman" w:hAnsi="Times New Roman" w:cs="Times New Roman"/>
          <w:sz w:val="24"/>
          <w:lang w:val="en-GB"/>
        </w:rPr>
      </w:pP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The main research question concerns the interaction between sovereign bond yields and the possible deviation from their long-run level as indicated by underlying macroeconomic fundamentals. The time period under consideration will be from the 1</w:t>
      </w:r>
      <w:r w:rsidRPr="003C2E1A">
        <w:rPr>
          <w:rFonts w:ascii="Times New Roman" w:eastAsiaTheme="minorEastAsia" w:hAnsi="Times New Roman" w:cs="Times New Roman"/>
          <w:sz w:val="24"/>
          <w:vertAlign w:val="superscript"/>
          <w:lang w:val="en-GB"/>
        </w:rPr>
        <w:t>st</w:t>
      </w:r>
      <w:r w:rsidR="009A7C0A" w:rsidRPr="003C2E1A">
        <w:rPr>
          <w:rFonts w:ascii="Times New Roman" w:eastAsiaTheme="minorEastAsia" w:hAnsi="Times New Roman" w:cs="Times New Roman"/>
          <w:sz w:val="24"/>
          <w:lang w:val="en-GB"/>
        </w:rPr>
        <w:t xml:space="preserve"> of January 2000</w:t>
      </w:r>
      <w:r w:rsidRPr="003C2E1A">
        <w:rPr>
          <w:rFonts w:ascii="Times New Roman" w:eastAsiaTheme="minorEastAsia" w:hAnsi="Times New Roman" w:cs="Times New Roman"/>
          <w:sz w:val="24"/>
          <w:lang w:val="en-GB"/>
        </w:rPr>
        <w:t xml:space="preserve"> till the 31</w:t>
      </w:r>
      <w:r w:rsidRPr="003C2E1A">
        <w:rPr>
          <w:rFonts w:ascii="Times New Roman" w:eastAsiaTheme="minorEastAsia" w:hAnsi="Times New Roman" w:cs="Times New Roman"/>
          <w:sz w:val="24"/>
          <w:vertAlign w:val="superscript"/>
          <w:lang w:val="en-GB"/>
        </w:rPr>
        <w:t>st</w:t>
      </w:r>
      <w:r w:rsidRPr="003C2E1A">
        <w:rPr>
          <w:rFonts w:ascii="Times New Roman" w:eastAsiaTheme="minorEastAsia" w:hAnsi="Times New Roman" w:cs="Times New Roman"/>
          <w:sz w:val="24"/>
          <w:lang w:val="en-GB"/>
        </w:rPr>
        <w:t xml:space="preserve"> of December 2014. This period was chosen as it enables me to study the relationship of underlying variables with sovereign bond yields and their juxtaposition, i.e., prior to and during a period of economic distress. Furthermore, until recently negative bond yields and deposit rates were considered mere theoretical constructs and not valid representations of reality. Thus the main research question is as follows: </w:t>
      </w: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8"/>
          <w:lang w:val="en-GB"/>
        </w:rPr>
      </w:pPr>
    </w:p>
    <w:p w:rsidR="0002504B" w:rsidRPr="003C2E1A" w:rsidRDefault="0002504B" w:rsidP="0002504B">
      <w:pPr>
        <w:autoSpaceDE w:val="0"/>
        <w:autoSpaceDN w:val="0"/>
        <w:adjustRightInd w:val="0"/>
        <w:spacing w:after="0" w:line="360" w:lineRule="auto"/>
        <w:jc w:val="center"/>
        <w:rPr>
          <w:rFonts w:ascii="Times New Roman" w:eastAsiaTheme="minorEastAsia" w:hAnsi="Times New Roman" w:cs="Times New Roman"/>
          <w:b/>
          <w:i/>
          <w:sz w:val="24"/>
          <w:lang w:val="en-GB"/>
        </w:rPr>
      </w:pPr>
      <w:r w:rsidRPr="003C2E1A">
        <w:rPr>
          <w:rFonts w:ascii="Times New Roman" w:eastAsiaTheme="minorEastAsia" w:hAnsi="Times New Roman" w:cs="Times New Roman"/>
          <w:b/>
          <w:i/>
          <w:sz w:val="24"/>
          <w:lang w:val="en-GB"/>
        </w:rPr>
        <w:t>“To what extent do sovereign bond yields deviate from their long-run level as indicated by underlying macroeconomic fundamentals from 200</w:t>
      </w:r>
      <w:r w:rsidR="009A7C0A" w:rsidRPr="003C2E1A">
        <w:rPr>
          <w:rFonts w:ascii="Times New Roman" w:eastAsiaTheme="minorEastAsia" w:hAnsi="Times New Roman" w:cs="Times New Roman"/>
          <w:b/>
          <w:i/>
          <w:sz w:val="24"/>
          <w:lang w:val="en-GB"/>
        </w:rPr>
        <w:t>0</w:t>
      </w:r>
      <w:r w:rsidRPr="003C2E1A">
        <w:rPr>
          <w:rFonts w:ascii="Times New Roman" w:eastAsiaTheme="minorEastAsia" w:hAnsi="Times New Roman" w:cs="Times New Roman"/>
          <w:b/>
          <w:i/>
          <w:sz w:val="24"/>
          <w:lang w:val="en-GB"/>
        </w:rPr>
        <w:t>-2014?”</w:t>
      </w:r>
    </w:p>
    <w:p w:rsidR="0002504B" w:rsidRPr="003C2E1A" w:rsidRDefault="0002504B" w:rsidP="0002504B">
      <w:pPr>
        <w:autoSpaceDE w:val="0"/>
        <w:autoSpaceDN w:val="0"/>
        <w:adjustRightInd w:val="0"/>
        <w:spacing w:after="0" w:line="360" w:lineRule="auto"/>
        <w:jc w:val="center"/>
        <w:rPr>
          <w:rFonts w:ascii="Times New Roman" w:eastAsiaTheme="minorEastAsia" w:hAnsi="Times New Roman" w:cs="Times New Roman"/>
          <w:b/>
          <w:i/>
          <w:sz w:val="8"/>
          <w:lang w:val="en-GB"/>
        </w:rPr>
      </w:pP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It will prove interesting to see whether relationships between variables and the sovereign yield have altered, disappeared or endured during our current climate typified by extreme economic conditions in contrast to their relation before the financial crisis (2007-2009). In order to answer the main question I have devised two hypotheses that ought to guide us towards an informed answer. The first is concerned with differences between countries’ sovereign bond yields in terms of their susceptibility to fiscal- and macroeconomic underlying factors. Thus the first hypothesis is as follows:</w:t>
      </w: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8"/>
          <w:lang w:val="en-GB"/>
        </w:rPr>
      </w:pP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r>
      <w:r w:rsidRPr="003C2E1A">
        <w:rPr>
          <w:rFonts w:ascii="Times New Roman" w:eastAsiaTheme="minorEastAsia" w:hAnsi="Times New Roman" w:cs="Times New Roman"/>
          <w:b/>
          <w:sz w:val="24"/>
          <w:lang w:val="en-GB"/>
        </w:rPr>
        <w:t>Hypothesis 1:</w:t>
      </w:r>
      <w:r w:rsidRPr="003C2E1A">
        <w:rPr>
          <w:rFonts w:ascii="Times New Roman" w:eastAsiaTheme="minorEastAsia" w:hAnsi="Times New Roman" w:cs="Times New Roman"/>
          <w:b/>
          <w:sz w:val="24"/>
          <w:lang w:val="en-GB"/>
        </w:rPr>
        <w:tab/>
      </w:r>
      <w:r w:rsidRPr="003C2E1A">
        <w:rPr>
          <w:rFonts w:ascii="Times New Roman" w:eastAsiaTheme="minorEastAsia" w:hAnsi="Times New Roman" w:cs="Times New Roman"/>
          <w:sz w:val="24"/>
          <w:lang w:val="en-GB"/>
        </w:rPr>
        <w:t xml:space="preserve">There exists no asymmetry in the respective countries’ sovereign bond </w:t>
      </w:r>
      <w:r w:rsidRPr="003C2E1A">
        <w:rPr>
          <w:rFonts w:ascii="Times New Roman" w:eastAsiaTheme="minorEastAsia" w:hAnsi="Times New Roman" w:cs="Times New Roman"/>
          <w:sz w:val="24"/>
          <w:lang w:val="en-GB"/>
        </w:rPr>
        <w:tab/>
      </w:r>
      <w:r w:rsidRPr="003C2E1A">
        <w:rPr>
          <w:rFonts w:ascii="Times New Roman" w:eastAsiaTheme="minorEastAsia" w:hAnsi="Times New Roman" w:cs="Times New Roman"/>
          <w:sz w:val="24"/>
          <w:lang w:val="en-GB"/>
        </w:rPr>
        <w:tab/>
      </w:r>
      <w:r w:rsidRPr="003C2E1A">
        <w:rPr>
          <w:rFonts w:ascii="Times New Roman" w:eastAsiaTheme="minorEastAsia" w:hAnsi="Times New Roman" w:cs="Times New Roman"/>
          <w:sz w:val="24"/>
          <w:lang w:val="en-GB"/>
        </w:rPr>
        <w:tab/>
        <w:t xml:space="preserve"> yields responsiveness to changes in underlying fundamental factors. </w:t>
      </w:r>
    </w:p>
    <w:p w:rsidR="0002504B" w:rsidRPr="003C2E1A" w:rsidRDefault="0002504B" w:rsidP="0002504B">
      <w:pPr>
        <w:autoSpaceDE w:val="0"/>
        <w:autoSpaceDN w:val="0"/>
        <w:adjustRightInd w:val="0"/>
        <w:spacing w:after="0" w:line="360" w:lineRule="auto"/>
        <w:rPr>
          <w:rFonts w:ascii="Times New Roman" w:hAnsi="Times New Roman" w:cs="Times New Roman"/>
          <w:sz w:val="8"/>
          <w:szCs w:val="24"/>
          <w:lang w:val="en-GB"/>
        </w:rPr>
      </w:pP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 xml:space="preserve">Presumably, the higher the degree of substitutability between sovereign bonds (i.e., assumption of homogeneity), the greater the symmetry of their response will be with respect to altering fundamentals. In order to gauge the abovementioned hypothesis I shall utilize Johansen’s Multivariate Cointegration Analysis </w:t>
      </w:r>
      <w:r w:rsidR="00B13213" w:rsidRPr="003C2E1A">
        <w:rPr>
          <w:rFonts w:ascii="Times New Roman" w:eastAsiaTheme="minorEastAsia" w:hAnsi="Times New Roman" w:cs="Times New Roman"/>
          <w:sz w:val="24"/>
          <w:lang w:val="en-GB"/>
        </w:rPr>
        <w:t>and multivari</w:t>
      </w:r>
      <w:r w:rsidR="00B52BB7">
        <w:rPr>
          <w:rFonts w:ascii="Times New Roman" w:eastAsiaTheme="minorEastAsia" w:hAnsi="Times New Roman" w:cs="Times New Roman"/>
          <w:sz w:val="24"/>
          <w:lang w:val="en-GB"/>
        </w:rPr>
        <w:t>a</w:t>
      </w:r>
      <w:r w:rsidR="00B13213" w:rsidRPr="003C2E1A">
        <w:rPr>
          <w:rFonts w:ascii="Times New Roman" w:eastAsiaTheme="minorEastAsia" w:hAnsi="Times New Roman" w:cs="Times New Roman"/>
          <w:sz w:val="24"/>
          <w:lang w:val="en-GB"/>
        </w:rPr>
        <w:t xml:space="preserve">te VECM </w:t>
      </w:r>
      <w:r w:rsidRPr="003C2E1A">
        <w:rPr>
          <w:rFonts w:ascii="Times New Roman" w:eastAsiaTheme="minorEastAsia" w:hAnsi="Times New Roman" w:cs="Times New Roman"/>
          <w:sz w:val="24"/>
          <w:lang w:val="en-GB"/>
        </w:rPr>
        <w:t>separat</w:t>
      </w:r>
      <w:r w:rsidR="009A7C0A" w:rsidRPr="003C2E1A">
        <w:rPr>
          <w:rFonts w:ascii="Times New Roman" w:eastAsiaTheme="minorEastAsia" w:hAnsi="Times New Roman" w:cs="Times New Roman"/>
          <w:sz w:val="24"/>
          <w:lang w:val="en-GB"/>
        </w:rPr>
        <w:t>ely for each respective country.</w:t>
      </w: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t>The second hypothesis is concerned with the time duration of sovereign bond yield deviations from their respective long-run level. If deviations are more persistent than initially anticipated, it ought to be taken into consideration when one devises a more long-term solution to ensure (fiscal) sustainability then for the ECBs current QE measures. Hence, the second hypothesis is as follows:</w:t>
      </w: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8"/>
          <w:lang w:val="en-GB"/>
        </w:rPr>
      </w:pPr>
      <w:r w:rsidRPr="003C2E1A">
        <w:rPr>
          <w:rFonts w:ascii="Times New Roman" w:eastAsiaTheme="minorEastAsia" w:hAnsi="Times New Roman" w:cs="Times New Roman"/>
          <w:sz w:val="24"/>
          <w:lang w:val="en-GB"/>
        </w:rPr>
        <w:t xml:space="preserve"> </w:t>
      </w: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r>
      <w:r w:rsidRPr="003C2E1A">
        <w:rPr>
          <w:rFonts w:ascii="Times New Roman" w:eastAsiaTheme="minorEastAsia" w:hAnsi="Times New Roman" w:cs="Times New Roman"/>
          <w:b/>
          <w:sz w:val="24"/>
          <w:lang w:val="en-GB"/>
        </w:rPr>
        <w:t>Hypothesis 2:</w:t>
      </w:r>
      <w:r w:rsidRPr="003C2E1A">
        <w:rPr>
          <w:rFonts w:ascii="Times New Roman" w:eastAsiaTheme="minorEastAsia" w:hAnsi="Times New Roman" w:cs="Times New Roman"/>
          <w:b/>
          <w:sz w:val="24"/>
          <w:lang w:val="en-GB"/>
        </w:rPr>
        <w:tab/>
      </w:r>
      <w:r w:rsidRPr="003C2E1A">
        <w:rPr>
          <w:rFonts w:ascii="Times New Roman" w:eastAsiaTheme="minorEastAsia" w:hAnsi="Times New Roman" w:cs="Times New Roman"/>
          <w:sz w:val="24"/>
          <w:lang w:val="en-GB"/>
        </w:rPr>
        <w:t xml:space="preserve">The time duration of deviations from long-run sovereign bond yields as </w:t>
      </w:r>
      <w:r w:rsidRPr="003C2E1A">
        <w:rPr>
          <w:rFonts w:ascii="Times New Roman" w:eastAsiaTheme="minorEastAsia" w:hAnsi="Times New Roman" w:cs="Times New Roman"/>
          <w:sz w:val="24"/>
          <w:lang w:val="en-GB"/>
        </w:rPr>
        <w:tab/>
      </w:r>
      <w:r w:rsidRPr="003C2E1A">
        <w:rPr>
          <w:rFonts w:ascii="Times New Roman" w:eastAsiaTheme="minorEastAsia" w:hAnsi="Times New Roman" w:cs="Times New Roman"/>
          <w:sz w:val="24"/>
          <w:lang w:val="en-GB"/>
        </w:rPr>
        <w:tab/>
      </w:r>
      <w:r w:rsidRPr="003C2E1A">
        <w:rPr>
          <w:rFonts w:ascii="Times New Roman" w:eastAsiaTheme="minorEastAsia" w:hAnsi="Times New Roman" w:cs="Times New Roman"/>
          <w:sz w:val="24"/>
          <w:lang w:val="en-GB"/>
        </w:rPr>
        <w:tab/>
        <w:t xml:space="preserve">indicated by macroeconomic fundamentals are negligible. </w:t>
      </w:r>
    </w:p>
    <w:p w:rsidR="00094038" w:rsidRPr="003C2E1A" w:rsidRDefault="00094038" w:rsidP="0002504B">
      <w:pPr>
        <w:autoSpaceDE w:val="0"/>
        <w:autoSpaceDN w:val="0"/>
        <w:adjustRightInd w:val="0"/>
        <w:spacing w:after="0" w:line="360" w:lineRule="auto"/>
        <w:rPr>
          <w:rFonts w:ascii="Times New Roman" w:eastAsiaTheme="minorEastAsia" w:hAnsi="Times New Roman" w:cs="Times New Roman"/>
          <w:sz w:val="2"/>
          <w:lang w:val="en-GB"/>
        </w:rPr>
      </w:pPr>
    </w:p>
    <w:p w:rsidR="0002504B" w:rsidRPr="003C2E1A" w:rsidRDefault="0002504B" w:rsidP="0002504B">
      <w:pPr>
        <w:autoSpaceDE w:val="0"/>
        <w:autoSpaceDN w:val="0"/>
        <w:adjustRightInd w:val="0"/>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lastRenderedPageBreak/>
        <w:t xml:space="preserve">This shall be analysed via a Vector Error Correction Model and the associated Impulse Response Functions. Concisely, if the time duration of shocks or deviations from the long-run level are significant then the elemental relationship between sovereign bond yields and macroeconomic fundamentals may have altered due to severe economic conditions in which the bond markets currently operate. If the dynamics of the underlying fundamentals and sovereign bond yields can change so drastically we might have to revise an array of investment strategies and bond portfolio theories. </w:t>
      </w:r>
    </w:p>
    <w:p w:rsidR="002A2D29" w:rsidRPr="003C2E1A" w:rsidRDefault="00BF503B" w:rsidP="002846FD">
      <w:pPr>
        <w:spacing w:after="0" w:line="360" w:lineRule="auto"/>
        <w:jc w:val="both"/>
        <w:rPr>
          <w:rFonts w:ascii="Times New Roman" w:hAnsi="Times New Roman" w:cs="Times New Roman"/>
          <w:sz w:val="24"/>
          <w:lang w:val="en-GB"/>
        </w:rPr>
      </w:pPr>
      <w:r w:rsidRPr="003C2E1A">
        <w:rPr>
          <w:rFonts w:ascii="Times New Roman" w:hAnsi="Times New Roman" w:cs="Times New Roman"/>
          <w:sz w:val="24"/>
          <w:lang w:val="en-GB"/>
        </w:rPr>
        <w:tab/>
      </w:r>
      <w:r w:rsidR="00B23992" w:rsidRPr="003C2E1A">
        <w:rPr>
          <w:rFonts w:ascii="Times New Roman" w:hAnsi="Times New Roman" w:cs="Times New Roman"/>
          <w:sz w:val="24"/>
          <w:lang w:val="en-GB"/>
        </w:rPr>
        <w:t xml:space="preserve">The remainder of the paper is structured as follows. </w:t>
      </w:r>
      <w:r w:rsidR="002612C5" w:rsidRPr="003C2E1A">
        <w:rPr>
          <w:rFonts w:ascii="Times New Roman" w:hAnsi="Times New Roman" w:cs="Times New Roman"/>
          <w:sz w:val="24"/>
          <w:lang w:val="en-GB"/>
        </w:rPr>
        <w:t xml:space="preserve">Section 2 </w:t>
      </w:r>
      <w:r w:rsidR="00614FB2" w:rsidRPr="003C2E1A">
        <w:rPr>
          <w:rFonts w:ascii="Times New Roman" w:hAnsi="Times New Roman" w:cs="Times New Roman"/>
          <w:sz w:val="24"/>
          <w:lang w:val="en-GB"/>
        </w:rPr>
        <w:t xml:space="preserve">elucidates the theoretical framework. </w:t>
      </w:r>
      <w:r w:rsidR="00B23992" w:rsidRPr="003C2E1A">
        <w:rPr>
          <w:rFonts w:ascii="Times New Roman" w:hAnsi="Times New Roman" w:cs="Times New Roman"/>
          <w:sz w:val="24"/>
          <w:lang w:val="en-GB"/>
        </w:rPr>
        <w:t xml:space="preserve">Section </w:t>
      </w:r>
      <w:r w:rsidR="002612C5" w:rsidRPr="003C2E1A">
        <w:rPr>
          <w:rFonts w:ascii="Times New Roman" w:hAnsi="Times New Roman" w:cs="Times New Roman"/>
          <w:sz w:val="24"/>
          <w:lang w:val="en-GB"/>
        </w:rPr>
        <w:t>3</w:t>
      </w:r>
      <w:r w:rsidR="00B23992" w:rsidRPr="003C2E1A">
        <w:rPr>
          <w:rFonts w:ascii="Times New Roman" w:hAnsi="Times New Roman" w:cs="Times New Roman"/>
          <w:sz w:val="24"/>
          <w:lang w:val="en-GB"/>
        </w:rPr>
        <w:t xml:space="preserve"> </w:t>
      </w:r>
      <w:r w:rsidR="00614FB2" w:rsidRPr="003C2E1A">
        <w:rPr>
          <w:rFonts w:ascii="Times New Roman" w:hAnsi="Times New Roman" w:cs="Times New Roman"/>
          <w:sz w:val="24"/>
          <w:lang w:val="en-GB"/>
        </w:rPr>
        <w:t>focuses on the current body of literature on sovereign bonds and associated yield movements.</w:t>
      </w:r>
      <w:r w:rsidR="00930100" w:rsidRPr="003C2E1A">
        <w:rPr>
          <w:rFonts w:ascii="Times New Roman" w:hAnsi="Times New Roman" w:cs="Times New Roman"/>
          <w:sz w:val="24"/>
          <w:lang w:val="en-GB"/>
        </w:rPr>
        <w:t xml:space="preserve"> </w:t>
      </w:r>
      <w:r w:rsidR="00B23992" w:rsidRPr="003C2E1A">
        <w:rPr>
          <w:rFonts w:ascii="Times New Roman" w:hAnsi="Times New Roman" w:cs="Times New Roman"/>
          <w:sz w:val="24"/>
          <w:lang w:val="en-GB"/>
        </w:rPr>
        <w:t xml:space="preserve">Section </w:t>
      </w:r>
      <w:r w:rsidR="002612C5" w:rsidRPr="003C2E1A">
        <w:rPr>
          <w:rFonts w:ascii="Times New Roman" w:hAnsi="Times New Roman" w:cs="Times New Roman"/>
          <w:sz w:val="24"/>
          <w:lang w:val="en-GB"/>
        </w:rPr>
        <w:t>4</w:t>
      </w:r>
      <w:r w:rsidR="00094038" w:rsidRPr="003C2E1A">
        <w:rPr>
          <w:rFonts w:ascii="Times New Roman" w:hAnsi="Times New Roman" w:cs="Times New Roman"/>
          <w:sz w:val="24"/>
          <w:lang w:val="en-GB"/>
        </w:rPr>
        <w:t xml:space="preserve"> consists of the elucidation of the variables under consideration, including the risk proxies evident in the models. Finally, Section 5 will consist of the Methodology and includes</w:t>
      </w:r>
      <w:r w:rsidR="00B23992" w:rsidRPr="003C2E1A">
        <w:rPr>
          <w:rFonts w:ascii="Times New Roman" w:hAnsi="Times New Roman" w:cs="Times New Roman"/>
          <w:sz w:val="24"/>
          <w:lang w:val="en-GB"/>
        </w:rPr>
        <w:t xml:space="preserve"> </w:t>
      </w:r>
      <w:r w:rsidR="00BB510D" w:rsidRPr="003C2E1A">
        <w:rPr>
          <w:rFonts w:ascii="Times New Roman" w:hAnsi="Times New Roman" w:cs="Times New Roman"/>
          <w:sz w:val="24"/>
          <w:lang w:val="en-GB"/>
        </w:rPr>
        <w:t xml:space="preserve">data sources, descriptive statistics and </w:t>
      </w:r>
      <w:r w:rsidR="00B23992" w:rsidRPr="003C2E1A">
        <w:rPr>
          <w:rFonts w:ascii="Times New Roman" w:hAnsi="Times New Roman" w:cs="Times New Roman"/>
          <w:sz w:val="24"/>
          <w:lang w:val="en-GB"/>
        </w:rPr>
        <w:t xml:space="preserve">the </w:t>
      </w:r>
      <w:r w:rsidR="002612C5" w:rsidRPr="003C2E1A">
        <w:rPr>
          <w:rFonts w:ascii="Times New Roman" w:hAnsi="Times New Roman" w:cs="Times New Roman"/>
          <w:sz w:val="24"/>
          <w:lang w:val="en-GB"/>
        </w:rPr>
        <w:t xml:space="preserve">models </w:t>
      </w:r>
      <w:r w:rsidR="00761667" w:rsidRPr="003C2E1A">
        <w:rPr>
          <w:rFonts w:ascii="Times New Roman" w:hAnsi="Times New Roman" w:cs="Times New Roman"/>
          <w:sz w:val="24"/>
          <w:lang w:val="en-GB"/>
        </w:rPr>
        <w:t>utiliz</w:t>
      </w:r>
      <w:r w:rsidR="00B23992" w:rsidRPr="003C2E1A">
        <w:rPr>
          <w:rFonts w:ascii="Times New Roman" w:hAnsi="Times New Roman" w:cs="Times New Roman"/>
          <w:sz w:val="24"/>
          <w:lang w:val="en-GB"/>
        </w:rPr>
        <w:t>ed</w:t>
      </w:r>
      <w:r w:rsidR="00BB510D" w:rsidRPr="003C2E1A">
        <w:rPr>
          <w:rFonts w:ascii="Times New Roman" w:hAnsi="Times New Roman" w:cs="Times New Roman"/>
          <w:sz w:val="24"/>
          <w:lang w:val="en-GB"/>
        </w:rPr>
        <w:t xml:space="preserve"> </w:t>
      </w:r>
      <w:r w:rsidR="00761667" w:rsidRPr="003C2E1A">
        <w:rPr>
          <w:rFonts w:ascii="Times New Roman" w:hAnsi="Times New Roman" w:cs="Times New Roman"/>
          <w:sz w:val="24"/>
          <w:lang w:val="en-GB"/>
        </w:rPr>
        <w:t xml:space="preserve">for the purpose of </w:t>
      </w:r>
      <w:r w:rsidR="002612C5" w:rsidRPr="003C2E1A">
        <w:rPr>
          <w:rFonts w:ascii="Times New Roman" w:hAnsi="Times New Roman" w:cs="Times New Roman"/>
          <w:sz w:val="24"/>
          <w:lang w:val="en-GB"/>
        </w:rPr>
        <w:t>this thesis</w:t>
      </w:r>
      <w:r w:rsidR="00B23992" w:rsidRPr="003C2E1A">
        <w:rPr>
          <w:rFonts w:ascii="Times New Roman" w:hAnsi="Times New Roman" w:cs="Times New Roman"/>
          <w:sz w:val="24"/>
          <w:lang w:val="en-GB"/>
        </w:rPr>
        <w:t xml:space="preserve">. Empirical analysis will be conducted in </w:t>
      </w:r>
      <w:r w:rsidR="00930100" w:rsidRPr="003C2E1A">
        <w:rPr>
          <w:rFonts w:ascii="Times New Roman" w:hAnsi="Times New Roman" w:cs="Times New Roman"/>
          <w:sz w:val="24"/>
          <w:lang w:val="en-GB"/>
        </w:rPr>
        <w:t>S</w:t>
      </w:r>
      <w:r w:rsidR="00B23992" w:rsidRPr="003C2E1A">
        <w:rPr>
          <w:rFonts w:ascii="Times New Roman" w:hAnsi="Times New Roman" w:cs="Times New Roman"/>
          <w:sz w:val="24"/>
          <w:lang w:val="en-GB"/>
        </w:rPr>
        <w:t xml:space="preserve">ection </w:t>
      </w:r>
      <w:r w:rsidR="00094038" w:rsidRPr="003C2E1A">
        <w:rPr>
          <w:rFonts w:ascii="Times New Roman" w:hAnsi="Times New Roman" w:cs="Times New Roman"/>
          <w:sz w:val="24"/>
          <w:lang w:val="en-GB"/>
        </w:rPr>
        <w:t>6</w:t>
      </w:r>
      <w:r w:rsidR="00B23992" w:rsidRPr="003C2E1A">
        <w:rPr>
          <w:rFonts w:ascii="Times New Roman" w:hAnsi="Times New Roman" w:cs="Times New Roman"/>
          <w:sz w:val="24"/>
          <w:lang w:val="en-GB"/>
        </w:rPr>
        <w:t xml:space="preserve"> where the Johansen Multivariate Cointegration model and a Vector Error C</w:t>
      </w:r>
      <w:r w:rsidR="00761667" w:rsidRPr="003C2E1A">
        <w:rPr>
          <w:rFonts w:ascii="Times New Roman" w:hAnsi="Times New Roman" w:cs="Times New Roman"/>
          <w:sz w:val="24"/>
          <w:lang w:val="en-GB"/>
        </w:rPr>
        <w:t>orrection model will be employed</w:t>
      </w:r>
      <w:r w:rsidR="00B23992" w:rsidRPr="003C2E1A">
        <w:rPr>
          <w:rFonts w:ascii="Times New Roman" w:hAnsi="Times New Roman" w:cs="Times New Roman"/>
          <w:sz w:val="24"/>
          <w:lang w:val="en-GB"/>
        </w:rPr>
        <w:t xml:space="preserve"> to trace long-term equilibrium and short-run deviations</w:t>
      </w:r>
      <w:r w:rsidR="00761667" w:rsidRPr="003C2E1A">
        <w:rPr>
          <w:rFonts w:ascii="Times New Roman" w:hAnsi="Times New Roman" w:cs="Times New Roman"/>
          <w:sz w:val="24"/>
          <w:lang w:val="en-GB"/>
        </w:rPr>
        <w:t xml:space="preserve"> in the relationship between sovereign bond yields and a selection of macroeconomic fundamental variables</w:t>
      </w:r>
      <w:r w:rsidR="00B23992" w:rsidRPr="003C2E1A">
        <w:rPr>
          <w:rFonts w:ascii="Times New Roman" w:hAnsi="Times New Roman" w:cs="Times New Roman"/>
          <w:sz w:val="24"/>
          <w:lang w:val="en-GB"/>
        </w:rPr>
        <w:t xml:space="preserve">. </w:t>
      </w:r>
      <w:r w:rsidR="00761667" w:rsidRPr="003C2E1A">
        <w:rPr>
          <w:rFonts w:ascii="Times New Roman" w:hAnsi="Times New Roman" w:cs="Times New Roman"/>
          <w:sz w:val="24"/>
          <w:lang w:val="en-GB"/>
        </w:rPr>
        <w:t>A</w:t>
      </w:r>
      <w:r w:rsidR="00B23992" w:rsidRPr="003C2E1A">
        <w:rPr>
          <w:rFonts w:ascii="Times New Roman" w:hAnsi="Times New Roman" w:cs="Times New Roman"/>
          <w:sz w:val="24"/>
          <w:lang w:val="en-GB"/>
        </w:rPr>
        <w:t xml:space="preserve"> VEC Impulse Response </w:t>
      </w:r>
      <w:r w:rsidR="005D30F6" w:rsidRPr="003C2E1A">
        <w:rPr>
          <w:rFonts w:ascii="Times New Roman" w:hAnsi="Times New Roman" w:cs="Times New Roman"/>
          <w:sz w:val="24"/>
          <w:lang w:val="en-GB"/>
        </w:rPr>
        <w:t>Function</w:t>
      </w:r>
      <w:r w:rsidR="00761667" w:rsidRPr="003C2E1A">
        <w:rPr>
          <w:rFonts w:ascii="Times New Roman" w:hAnsi="Times New Roman" w:cs="Times New Roman"/>
          <w:sz w:val="24"/>
          <w:lang w:val="en-GB"/>
        </w:rPr>
        <w:t xml:space="preserve"> is also featured here in order to gauge duration of shocks in variables and their </w:t>
      </w:r>
      <w:r w:rsidR="005D30F6" w:rsidRPr="003C2E1A">
        <w:rPr>
          <w:rFonts w:ascii="Times New Roman" w:hAnsi="Times New Roman" w:cs="Times New Roman"/>
          <w:sz w:val="24"/>
          <w:lang w:val="en-GB"/>
        </w:rPr>
        <w:t xml:space="preserve">time-dependent </w:t>
      </w:r>
      <w:r w:rsidR="00761667" w:rsidRPr="003C2E1A">
        <w:rPr>
          <w:rFonts w:ascii="Times New Roman" w:hAnsi="Times New Roman" w:cs="Times New Roman"/>
          <w:sz w:val="24"/>
          <w:lang w:val="en-GB"/>
        </w:rPr>
        <w:t>effect on sovereign yields</w:t>
      </w:r>
      <w:r w:rsidR="00B23992" w:rsidRPr="003C2E1A">
        <w:rPr>
          <w:rFonts w:ascii="Times New Roman" w:hAnsi="Times New Roman" w:cs="Times New Roman"/>
          <w:sz w:val="24"/>
          <w:lang w:val="en-GB"/>
        </w:rPr>
        <w:t xml:space="preserve">. Conclusions drawn from the empirics using these aforementioned models will be illuminated in </w:t>
      </w:r>
      <w:r w:rsidR="00930100" w:rsidRPr="003C2E1A">
        <w:rPr>
          <w:rFonts w:ascii="Times New Roman" w:hAnsi="Times New Roman" w:cs="Times New Roman"/>
          <w:sz w:val="24"/>
          <w:lang w:val="en-GB"/>
        </w:rPr>
        <w:t>S</w:t>
      </w:r>
      <w:r w:rsidR="00B23992" w:rsidRPr="003C2E1A">
        <w:rPr>
          <w:rFonts w:ascii="Times New Roman" w:hAnsi="Times New Roman" w:cs="Times New Roman"/>
          <w:sz w:val="24"/>
          <w:lang w:val="en-GB"/>
        </w:rPr>
        <w:t xml:space="preserve">ection </w:t>
      </w:r>
      <w:r w:rsidR="00094038" w:rsidRPr="003C2E1A">
        <w:rPr>
          <w:rFonts w:ascii="Times New Roman" w:hAnsi="Times New Roman" w:cs="Times New Roman"/>
          <w:sz w:val="24"/>
          <w:lang w:val="en-GB"/>
        </w:rPr>
        <w:t>7</w:t>
      </w:r>
      <w:r w:rsidR="00761667" w:rsidRPr="003C2E1A">
        <w:rPr>
          <w:rFonts w:ascii="Times New Roman" w:hAnsi="Times New Roman" w:cs="Times New Roman"/>
          <w:sz w:val="24"/>
          <w:lang w:val="en-GB"/>
        </w:rPr>
        <w:t xml:space="preserve">. </w:t>
      </w:r>
    </w:p>
    <w:p w:rsidR="008D6806" w:rsidRPr="00A774A2" w:rsidRDefault="008D6806" w:rsidP="002846FD">
      <w:pPr>
        <w:spacing w:after="0" w:line="360" w:lineRule="auto"/>
        <w:jc w:val="both"/>
        <w:rPr>
          <w:rFonts w:ascii="Times New Roman" w:hAnsi="Times New Roman" w:cs="Times New Roman"/>
          <w:sz w:val="28"/>
          <w:lang w:val="en-GB"/>
        </w:rPr>
      </w:pPr>
    </w:p>
    <w:p w:rsidR="00332F33" w:rsidRPr="003C2E1A" w:rsidRDefault="00332F33" w:rsidP="00D12DBF">
      <w:pPr>
        <w:pStyle w:val="ListParagraph"/>
        <w:numPr>
          <w:ilvl w:val="0"/>
          <w:numId w:val="13"/>
        </w:numPr>
        <w:rPr>
          <w:rFonts w:ascii="Times New Roman" w:hAnsi="Times New Roman" w:cs="Times New Roman"/>
          <w:b/>
          <w:szCs w:val="24"/>
          <w:lang w:val="en-GB"/>
        </w:rPr>
      </w:pPr>
      <w:r w:rsidRPr="003C2E1A">
        <w:rPr>
          <w:rFonts w:ascii="Times New Roman" w:hAnsi="Times New Roman" w:cs="Times New Roman"/>
          <w:b/>
          <w:sz w:val="24"/>
          <w:lang w:val="en-GB"/>
        </w:rPr>
        <w:t>Theoretical Framework</w:t>
      </w:r>
    </w:p>
    <w:p w:rsidR="00A774A2" w:rsidRDefault="00B319A5" w:rsidP="00AC0368">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In this </w:t>
      </w:r>
      <w:r w:rsidR="00CE3FAD">
        <w:rPr>
          <w:rFonts w:ascii="Times New Roman" w:hAnsi="Times New Roman" w:cs="Times New Roman"/>
          <w:sz w:val="24"/>
          <w:szCs w:val="24"/>
          <w:lang w:val="en-GB"/>
        </w:rPr>
        <w:t>s</w:t>
      </w:r>
      <w:r w:rsidRPr="003C2E1A">
        <w:rPr>
          <w:rFonts w:ascii="Times New Roman" w:hAnsi="Times New Roman" w:cs="Times New Roman"/>
          <w:sz w:val="24"/>
          <w:szCs w:val="24"/>
          <w:lang w:val="en-GB"/>
        </w:rPr>
        <w:t xml:space="preserve">ection I shall </w:t>
      </w:r>
      <w:r w:rsidR="00326995" w:rsidRPr="003C2E1A">
        <w:rPr>
          <w:rFonts w:ascii="Times New Roman" w:hAnsi="Times New Roman" w:cs="Times New Roman"/>
          <w:sz w:val="24"/>
          <w:szCs w:val="24"/>
          <w:lang w:val="en-GB"/>
        </w:rPr>
        <w:t>endeavour to elucidate the theoretical considerations</w:t>
      </w:r>
      <w:r w:rsidR="006C55D1" w:rsidRPr="003C2E1A">
        <w:rPr>
          <w:rFonts w:ascii="Times New Roman" w:hAnsi="Times New Roman" w:cs="Times New Roman"/>
          <w:sz w:val="24"/>
          <w:szCs w:val="24"/>
          <w:lang w:val="en-GB"/>
        </w:rPr>
        <w:t xml:space="preserve"> of this thesis and the types of risk I expect to have a bearing on sovereign bond yield movements in the Eurozone. </w:t>
      </w:r>
      <w:r w:rsidR="00A00087" w:rsidRPr="003C2E1A">
        <w:rPr>
          <w:rFonts w:ascii="Times New Roman" w:hAnsi="Times New Roman" w:cs="Times New Roman"/>
          <w:sz w:val="24"/>
          <w:szCs w:val="24"/>
          <w:lang w:val="en-GB"/>
        </w:rPr>
        <w:t xml:space="preserve">The theoretical framework </w:t>
      </w:r>
      <w:r w:rsidR="00F47DB7" w:rsidRPr="003C2E1A">
        <w:rPr>
          <w:rFonts w:ascii="Times New Roman" w:hAnsi="Times New Roman" w:cs="Times New Roman"/>
          <w:sz w:val="24"/>
          <w:szCs w:val="24"/>
          <w:lang w:val="en-GB"/>
        </w:rPr>
        <w:t xml:space="preserve">as explicated in Section 2.1 </w:t>
      </w:r>
      <w:r w:rsidR="00A00087" w:rsidRPr="003C2E1A">
        <w:rPr>
          <w:rFonts w:ascii="Times New Roman" w:hAnsi="Times New Roman" w:cs="Times New Roman"/>
          <w:sz w:val="24"/>
          <w:szCs w:val="24"/>
          <w:lang w:val="en-GB"/>
        </w:rPr>
        <w:t>is partly derived from neoclassical economic theory with respect to the presumed relationship between sovereign bond yields</w:t>
      </w:r>
      <w:r w:rsidR="00F47DB7" w:rsidRPr="003C2E1A">
        <w:rPr>
          <w:rFonts w:ascii="Times New Roman" w:hAnsi="Times New Roman" w:cs="Times New Roman"/>
          <w:sz w:val="24"/>
          <w:szCs w:val="24"/>
          <w:lang w:val="en-GB"/>
        </w:rPr>
        <w:t xml:space="preserve"> and macroeconomic fundamentals;</w:t>
      </w:r>
      <w:r w:rsidR="00A00087" w:rsidRPr="003C2E1A">
        <w:rPr>
          <w:rFonts w:ascii="Times New Roman" w:hAnsi="Times New Roman" w:cs="Times New Roman"/>
          <w:sz w:val="24"/>
          <w:szCs w:val="24"/>
          <w:lang w:val="en-GB"/>
        </w:rPr>
        <w:t xml:space="preserve"> whereas bond investors’ behaviour and/or motivation are assumed to be governed by a term structure theory and a specific bond investment strategy. </w:t>
      </w:r>
      <w:r w:rsidR="00F47DB7" w:rsidRPr="003C2E1A">
        <w:rPr>
          <w:rFonts w:ascii="Times New Roman" w:hAnsi="Times New Roman" w:cs="Times New Roman"/>
          <w:sz w:val="24"/>
          <w:szCs w:val="24"/>
          <w:lang w:val="en-GB"/>
        </w:rPr>
        <w:t>Furthermore, the 7 most common types of risk associated with sovereign bonds will be highlighted in Section 2.2.</w:t>
      </w:r>
    </w:p>
    <w:p w:rsidR="00A774A2" w:rsidRDefault="00A774A2"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Default="00E645B3" w:rsidP="00AC0368">
      <w:pPr>
        <w:spacing w:after="0" w:line="360" w:lineRule="auto"/>
        <w:rPr>
          <w:rFonts w:ascii="Times New Roman" w:hAnsi="Times New Roman" w:cs="Times New Roman"/>
          <w:sz w:val="4"/>
          <w:szCs w:val="24"/>
          <w:lang w:val="en-GB"/>
        </w:rPr>
      </w:pPr>
    </w:p>
    <w:p w:rsidR="00E645B3" w:rsidRPr="00A774A2" w:rsidRDefault="00E645B3" w:rsidP="00AC0368">
      <w:pPr>
        <w:spacing w:after="0" w:line="360" w:lineRule="auto"/>
        <w:rPr>
          <w:rFonts w:ascii="Times New Roman" w:hAnsi="Times New Roman" w:cs="Times New Roman"/>
          <w:sz w:val="4"/>
          <w:szCs w:val="24"/>
          <w:lang w:val="en-GB"/>
        </w:rPr>
      </w:pPr>
    </w:p>
    <w:p w:rsidR="00F47DB7" w:rsidRPr="003C2E1A" w:rsidRDefault="00F47DB7" w:rsidP="00F47DB7">
      <w:pPr>
        <w:pStyle w:val="ListParagraph"/>
        <w:spacing w:after="0" w:line="360" w:lineRule="auto"/>
        <w:ind w:left="360"/>
        <w:rPr>
          <w:rFonts w:ascii="Times New Roman" w:hAnsi="Times New Roman" w:cs="Times New Roman"/>
          <w:b/>
          <w:sz w:val="24"/>
          <w:lang w:val="en-GB"/>
        </w:rPr>
      </w:pPr>
      <w:r w:rsidRPr="003C2E1A">
        <w:rPr>
          <w:rFonts w:ascii="Times New Roman" w:hAnsi="Times New Roman" w:cs="Times New Roman"/>
          <w:b/>
          <w:sz w:val="24"/>
          <w:lang w:val="en-GB"/>
        </w:rPr>
        <w:lastRenderedPageBreak/>
        <w:t>2.1</w:t>
      </w:r>
      <w:r w:rsidRPr="003C2E1A">
        <w:rPr>
          <w:rFonts w:ascii="Times New Roman" w:hAnsi="Times New Roman" w:cs="Times New Roman"/>
          <w:b/>
          <w:sz w:val="24"/>
          <w:lang w:val="en-GB"/>
        </w:rPr>
        <w:tab/>
        <w:t xml:space="preserve">     </w:t>
      </w:r>
      <w:r w:rsidR="00FF7799" w:rsidRPr="00A774A2">
        <w:rPr>
          <w:rFonts w:ascii="Times New Roman" w:hAnsi="Times New Roman" w:cs="Times New Roman"/>
          <w:b/>
          <w:sz w:val="24"/>
          <w:lang w:val="en-GB"/>
        </w:rPr>
        <w:t>Theoretical considerations:</w:t>
      </w:r>
    </w:p>
    <w:p w:rsidR="00F47DB7" w:rsidRPr="003C2E1A" w:rsidRDefault="00F47DB7" w:rsidP="00F47DB7">
      <w:pPr>
        <w:pStyle w:val="ListParagraph"/>
        <w:spacing w:after="0" w:line="360" w:lineRule="auto"/>
        <w:ind w:left="360"/>
        <w:rPr>
          <w:rFonts w:ascii="Times New Roman" w:hAnsi="Times New Roman" w:cs="Times New Roman"/>
          <w:b/>
          <w:sz w:val="2"/>
          <w:lang w:val="en-GB"/>
        </w:rPr>
      </w:pPr>
    </w:p>
    <w:p w:rsidR="00FF7799" w:rsidRPr="003C2E1A" w:rsidRDefault="00FF7799" w:rsidP="00FF7799">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For investors whom trade in bonds to achieve capital-gains we assume they adhere to a term structure theory called the Preferred Habitat Theorem</w:t>
      </w:r>
      <w:r w:rsidR="003E74F3">
        <w:rPr>
          <w:rStyle w:val="FootnoteReference"/>
          <w:rFonts w:ascii="Times New Roman" w:hAnsi="Times New Roman" w:cs="Times New Roman"/>
          <w:sz w:val="24"/>
          <w:lang w:val="en-GB"/>
        </w:rPr>
        <w:footnoteReference w:id="14"/>
      </w:r>
      <w:r w:rsidRPr="003C2E1A">
        <w:rPr>
          <w:rFonts w:ascii="Times New Roman" w:hAnsi="Times New Roman" w:cs="Times New Roman"/>
          <w:sz w:val="24"/>
          <w:lang w:val="en-GB"/>
        </w:rPr>
        <w:t xml:space="preserve"> (PHT), which postulates that different bond investors have a specific maturity preference and can only be induced to deviate from their preferred maturity range if the yield deviation sufficiently compensates them. The PHT is a synthesis of the </w:t>
      </w:r>
      <w:r w:rsidR="00FA77FB">
        <w:rPr>
          <w:rFonts w:ascii="Times New Roman" w:hAnsi="Times New Roman" w:cs="Times New Roman"/>
          <w:sz w:val="24"/>
          <w:lang w:val="en-GB"/>
        </w:rPr>
        <w:t xml:space="preserve">pure </w:t>
      </w:r>
      <w:r w:rsidRPr="003C2E1A">
        <w:rPr>
          <w:rFonts w:ascii="Times New Roman" w:hAnsi="Times New Roman" w:cs="Times New Roman"/>
          <w:sz w:val="24"/>
          <w:lang w:val="en-GB"/>
        </w:rPr>
        <w:t>expectations theory</w:t>
      </w:r>
      <w:r w:rsidR="00FA77FB">
        <w:rPr>
          <w:rStyle w:val="FootnoteReference"/>
          <w:rFonts w:ascii="Times New Roman" w:hAnsi="Times New Roman" w:cs="Times New Roman"/>
          <w:sz w:val="24"/>
          <w:lang w:val="en-GB"/>
        </w:rPr>
        <w:footnoteReference w:id="15"/>
      </w:r>
      <w:r w:rsidRPr="003C2E1A">
        <w:rPr>
          <w:rFonts w:ascii="Times New Roman" w:hAnsi="Times New Roman" w:cs="Times New Roman"/>
          <w:sz w:val="24"/>
          <w:lang w:val="en-GB"/>
        </w:rPr>
        <w:t xml:space="preserve"> (ET) and the Market Segmentation Theory</w:t>
      </w:r>
      <w:r w:rsidR="00FA77FB">
        <w:rPr>
          <w:rStyle w:val="FootnoteReference"/>
          <w:rFonts w:ascii="Times New Roman" w:hAnsi="Times New Roman" w:cs="Times New Roman"/>
          <w:sz w:val="24"/>
          <w:lang w:val="en-GB"/>
        </w:rPr>
        <w:footnoteReference w:id="16"/>
      </w:r>
      <w:r w:rsidRPr="003C2E1A">
        <w:rPr>
          <w:rFonts w:ascii="Times New Roman" w:hAnsi="Times New Roman" w:cs="Times New Roman"/>
          <w:sz w:val="24"/>
          <w:lang w:val="en-GB"/>
        </w:rPr>
        <w:t xml:space="preserve"> (MST). ET purports that long-term yields are naught but a close approximation of future short-term yields. Thus bond investors are solely concerned with yield and have no maturity preference. This is indicative of a flat term structure, where nominal interest rates are not expected to rise.  </w:t>
      </w:r>
    </w:p>
    <w:p w:rsidR="00FF7799" w:rsidRPr="003C2E1A" w:rsidRDefault="00FF7799" w:rsidP="00FF7799">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t>Conversely, MST postulates that bonds characterized by different maturities are not perfect substitutable, hence short-run interest rates are determined separately from long-term interest rates. Bond prices and thus yields are determined by the forces of supply and demand in separate market segments, and ‘never the twain shall meet’</w:t>
      </w:r>
      <w:r w:rsidR="00F815F2" w:rsidRPr="003C2E1A">
        <w:rPr>
          <w:rStyle w:val="FootnoteReference"/>
          <w:rFonts w:ascii="Times New Roman" w:hAnsi="Times New Roman" w:cs="Times New Roman"/>
          <w:sz w:val="24"/>
          <w:lang w:val="en-GB"/>
        </w:rPr>
        <w:footnoteReference w:id="17"/>
      </w:r>
      <w:r w:rsidRPr="003C2E1A">
        <w:rPr>
          <w:rFonts w:ascii="Times New Roman" w:hAnsi="Times New Roman" w:cs="Times New Roman"/>
          <w:sz w:val="24"/>
          <w:lang w:val="en-GB"/>
        </w:rPr>
        <w:t xml:space="preserve">. If current interest rates are high we anticipate a future decline in interest rates, which feeds demand for long-term bonds (anticipated future capital gains) whilst limiting its supply (bond issuers do not wish to lock-in at high interest rates). Vice versa would be the case if investors anticipate a future increase in interest rates. </w:t>
      </w:r>
    </w:p>
    <w:p w:rsidR="00FF7799" w:rsidRPr="003C2E1A" w:rsidRDefault="00FF7799" w:rsidP="00FF7799">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t xml:space="preserve">On a standalone basis, both the MST and the ET do not suffice as adequate explications of observed bond market phenomena. The PHT claims that investors tend to prefer a certain term structure and risk, but they are willing to opt for a different maturity range if they are duly compensated via risk premia. The latter expounds the readily observed upward-sloping yield curve that is oft found during ‘normal’ periods of economic growth, </w:t>
      </w:r>
      <w:r w:rsidR="00A031FB" w:rsidRPr="003C2E1A">
        <w:rPr>
          <w:rFonts w:ascii="Times New Roman" w:hAnsi="Times New Roman" w:cs="Times New Roman"/>
          <w:sz w:val="24"/>
          <w:lang w:val="en-GB"/>
        </w:rPr>
        <w:t>e.g.,</w:t>
      </w:r>
      <w:r w:rsidRPr="003C2E1A">
        <w:rPr>
          <w:rFonts w:ascii="Times New Roman" w:hAnsi="Times New Roman" w:cs="Times New Roman"/>
          <w:sz w:val="24"/>
          <w:lang w:val="en-GB"/>
        </w:rPr>
        <w:t xml:space="preserve"> no political or financial distress. Under an upward-sloping yield curve, investors expect interest rates to remain close to their current level. If the yield curve is downward-sloping then short term interest rates are expected to fall. Higher maturities are characterized by even lower interest rates than the current level despite the former’s associated risk premia. A flat yield curve indicates that investors expect a moderate fall in interest rates. Nevertheless, according to the PHT, investors will always prefer short term fixed income securities over long term bonds if they carry the same interest rate. Also, long term bond yields are expected to be higher than short term bonds.  </w:t>
      </w:r>
    </w:p>
    <w:p w:rsidR="00A22794" w:rsidRPr="003C2E1A" w:rsidRDefault="00A22794" w:rsidP="008F6647">
      <w:pPr>
        <w:spacing w:after="0" w:line="360" w:lineRule="auto"/>
        <w:rPr>
          <w:rFonts w:ascii="Times New Roman" w:eastAsiaTheme="minorEastAsia" w:hAnsi="Times New Roman" w:cs="Times New Roman"/>
          <w:sz w:val="20"/>
          <w:lang w:val="en-GB"/>
        </w:rPr>
      </w:pPr>
      <w:r w:rsidRPr="003C2E1A">
        <w:rPr>
          <w:rFonts w:ascii="Times New Roman" w:hAnsi="Times New Roman" w:cs="Times New Roman"/>
          <w:sz w:val="24"/>
          <w:lang w:val="en-GB"/>
        </w:rPr>
        <w:lastRenderedPageBreak/>
        <w:tab/>
        <w:t>Dynamic Asset Allocation Theory</w:t>
      </w:r>
      <w:r w:rsidR="004A1D9B">
        <w:rPr>
          <w:rStyle w:val="FootnoteReference"/>
          <w:rFonts w:ascii="Times New Roman" w:hAnsi="Times New Roman" w:cs="Times New Roman"/>
          <w:sz w:val="24"/>
          <w:lang w:val="en-GB"/>
        </w:rPr>
        <w:footnoteReference w:id="18"/>
      </w:r>
      <w:r w:rsidRPr="003C2E1A">
        <w:rPr>
          <w:rFonts w:ascii="Times New Roman" w:hAnsi="Times New Roman" w:cs="Times New Roman"/>
          <w:sz w:val="24"/>
          <w:lang w:val="en-GB"/>
        </w:rPr>
        <w:t xml:space="preserve"> (DAAT) assumptions will apply to investors whom attain bonds that are held-for-collection. DAAT is a portfolio investment strategy whereby an investor enters into a long-term investment of asset classes or securities and periodically actively rebalances the positions via purchasing and selling of securities (active rebalancing) to ensure the asset mix remains in line with its long-term target. DAAT involves the use of Constant Proportion Portfolio Insurance</w:t>
      </w:r>
      <w:r w:rsidR="000015F6">
        <w:rPr>
          <w:rStyle w:val="FootnoteReference"/>
          <w:rFonts w:ascii="Times New Roman" w:hAnsi="Times New Roman" w:cs="Times New Roman"/>
          <w:sz w:val="24"/>
          <w:lang w:val="en-GB"/>
        </w:rPr>
        <w:footnoteReference w:id="19"/>
      </w:r>
      <w:r w:rsidRPr="003C2E1A">
        <w:rPr>
          <w:rFonts w:ascii="Times New Roman" w:hAnsi="Times New Roman" w:cs="Times New Roman"/>
          <w:sz w:val="24"/>
          <w:lang w:val="en-GB"/>
        </w:rPr>
        <w:t xml:space="preserve"> (CPPI). CPPI is a ‘convex’ strategy that relies on a capital guarantee against downside risk whilst retaining exposure to upside potential (capital gains). The capital guarantee is based on a position in sovereign bonds, </w:t>
      </w:r>
      <w:r w:rsidR="00A031FB" w:rsidRPr="003C2E1A">
        <w:rPr>
          <w:rFonts w:ascii="Times New Roman" w:hAnsi="Times New Roman" w:cs="Times New Roman"/>
          <w:sz w:val="24"/>
          <w:lang w:val="en-GB"/>
        </w:rPr>
        <w:t>e.g.,</w:t>
      </w:r>
      <w:r w:rsidRPr="003C2E1A">
        <w:rPr>
          <w:rFonts w:ascii="Times New Roman" w:hAnsi="Times New Roman" w:cs="Times New Roman"/>
          <w:sz w:val="24"/>
          <w:lang w:val="en-GB"/>
        </w:rPr>
        <w:t xml:space="preserve"> the floor; the position in the risky asset is usually highly leveraged and is calculated as follows:</w:t>
      </w:r>
      <w:r w:rsidRPr="003C2E1A">
        <w:rPr>
          <w:rFonts w:ascii="Times New Roman" w:eastAsiaTheme="minorEastAsia" w:hAnsi="Times New Roman" w:cs="Times New Roman"/>
          <w:sz w:val="20"/>
          <w:lang w:val="en-GB"/>
        </w:rPr>
        <w:t xml:space="preserve"> </w:t>
      </w:r>
    </w:p>
    <w:p w:rsidR="008F6647" w:rsidRPr="003C2E1A" w:rsidRDefault="008F6647" w:rsidP="008F6647">
      <w:pPr>
        <w:spacing w:after="0" w:line="360" w:lineRule="auto"/>
        <w:rPr>
          <w:rFonts w:ascii="Times New Roman" w:eastAsiaTheme="minorEastAsia" w:hAnsi="Times New Roman" w:cs="Times New Roman"/>
          <w:sz w:val="2"/>
          <w:lang w:val="en-GB"/>
        </w:rPr>
      </w:pPr>
    </w:p>
    <w:p w:rsidR="008F6647" w:rsidRPr="003C2E1A" w:rsidRDefault="00FD58CE" w:rsidP="008F6647">
      <w:pPr>
        <w:spacing w:after="0" w:line="240" w:lineRule="auto"/>
        <w:rPr>
          <w:rFonts w:ascii="Times New Roman" w:eastAsiaTheme="minorEastAsia" w:hAnsi="Times New Roman" w:cs="Times New Roman"/>
          <w:sz w:val="20"/>
        </w:rPr>
      </w:pPr>
      <m:oMathPara>
        <m:oMath>
          <m:d>
            <m:dPr>
              <m:ctrlPr>
                <w:rPr>
                  <w:rFonts w:ascii="Cambria Math" w:hAnsi="Cambria Math" w:cs="Times New Roman"/>
                  <w:i/>
                  <w:sz w:val="20"/>
                  <w:lang w:val="en-GB"/>
                </w:rPr>
              </m:ctrlPr>
            </m:dPr>
            <m:e>
              <m:r>
                <w:rPr>
                  <w:rFonts w:ascii="Cambria Math" w:hAnsi="Cambria Math" w:cs="Times New Roman"/>
                  <w:sz w:val="20"/>
                </w:rPr>
                <m:t>Current Portfolio Value – Floor</m:t>
              </m:r>
            </m:e>
          </m:d>
          <m:r>
            <w:rPr>
              <w:rFonts w:ascii="Cambria Math" w:hAnsi="Cambria Math" w:cs="Times New Roman"/>
              <w:sz w:val="20"/>
            </w:rPr>
            <m:t>*predetermined multipl</m:t>
          </m:r>
          <m:r>
            <w:rPr>
              <w:rFonts w:ascii="Cambria Math" w:eastAsiaTheme="minorEastAsia" w:hAnsi="Cambria Math" w:cs="Times New Roman"/>
              <w:sz w:val="20"/>
            </w:rPr>
            <m:t>e</m:t>
          </m:r>
        </m:oMath>
      </m:oMathPara>
    </w:p>
    <w:p w:rsidR="008F6647" w:rsidRPr="003C2E1A" w:rsidRDefault="008F6647" w:rsidP="008F6647">
      <w:pPr>
        <w:spacing w:after="0" w:line="240" w:lineRule="auto"/>
        <w:rPr>
          <w:rFonts w:ascii="Times New Roman" w:eastAsiaTheme="minorEastAsia" w:hAnsi="Times New Roman" w:cs="Times New Roman"/>
          <w:sz w:val="16"/>
        </w:rPr>
      </w:pPr>
    </w:p>
    <w:p w:rsidR="00A22794" w:rsidRPr="003C2E1A" w:rsidRDefault="00A22794" w:rsidP="00A22794">
      <w:pPr>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 xml:space="preserve">This portfolio strategy is superior provided that the following criteria are met: </w:t>
      </w:r>
    </w:p>
    <w:p w:rsidR="00A22794" w:rsidRPr="003C2E1A" w:rsidRDefault="00A22794" w:rsidP="00A22794">
      <w:pPr>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t>i) Asset returns are serially correlated.</w:t>
      </w:r>
    </w:p>
    <w:p w:rsidR="00A22794" w:rsidRPr="003C2E1A" w:rsidRDefault="00A22794" w:rsidP="00A22794">
      <w:pPr>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t xml:space="preserve">ii) Existence of transaction costs. </w:t>
      </w:r>
    </w:p>
    <w:p w:rsidR="00A22794" w:rsidRPr="003C2E1A" w:rsidRDefault="00A22794" w:rsidP="00A22794">
      <w:pPr>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t>iii) Multi-stage rebalancing occurs via a stochastic-time path.</w:t>
      </w:r>
    </w:p>
    <w:p w:rsidR="0006518D" w:rsidRPr="003C2E1A" w:rsidRDefault="00A22794" w:rsidP="00A22794">
      <w:pPr>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t>iv) No sudden ‘jumps’ in asset prices</w:t>
      </w:r>
      <w:r w:rsidR="006F5EB8" w:rsidRPr="003C2E1A">
        <w:rPr>
          <w:rFonts w:ascii="Times New Roman" w:eastAsiaTheme="minorEastAsia" w:hAnsi="Times New Roman" w:cs="Times New Roman"/>
          <w:sz w:val="24"/>
          <w:lang w:val="en-GB"/>
        </w:rPr>
        <w:t>.</w:t>
      </w:r>
      <w:r w:rsidRPr="003C2E1A">
        <w:rPr>
          <w:rStyle w:val="FootnoteReference"/>
          <w:rFonts w:ascii="Times New Roman" w:eastAsiaTheme="minorEastAsia" w:hAnsi="Times New Roman" w:cs="Times New Roman"/>
          <w:sz w:val="24"/>
        </w:rPr>
        <w:footnoteReference w:id="20"/>
      </w:r>
    </w:p>
    <w:p w:rsidR="0006518D" w:rsidRPr="003C2E1A" w:rsidRDefault="0006518D" w:rsidP="00A22794">
      <w:pPr>
        <w:spacing w:after="0" w:line="360" w:lineRule="auto"/>
        <w:rPr>
          <w:rFonts w:ascii="Times New Roman" w:eastAsiaTheme="minorEastAsia" w:hAnsi="Times New Roman" w:cs="Times New Roman"/>
          <w:sz w:val="24"/>
          <w:lang w:val="en-GB"/>
        </w:rPr>
      </w:pPr>
    </w:p>
    <w:p w:rsidR="00F27FDC" w:rsidRPr="003C2E1A" w:rsidRDefault="00F27FDC" w:rsidP="00A22794">
      <w:pPr>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Furthermore, we shall assume that the relationship between sovereign bond yields and underlying macroeconomic fundament</w:t>
      </w:r>
      <w:r w:rsidR="00261BDC" w:rsidRPr="003C2E1A">
        <w:rPr>
          <w:rFonts w:ascii="Times New Roman" w:eastAsiaTheme="minorEastAsia" w:hAnsi="Times New Roman" w:cs="Times New Roman"/>
          <w:sz w:val="24"/>
          <w:lang w:val="en-GB"/>
        </w:rPr>
        <w:t>als</w:t>
      </w:r>
      <w:r w:rsidRPr="003C2E1A">
        <w:rPr>
          <w:rFonts w:ascii="Times New Roman" w:eastAsiaTheme="minorEastAsia" w:hAnsi="Times New Roman" w:cs="Times New Roman"/>
          <w:sz w:val="24"/>
          <w:lang w:val="en-GB"/>
        </w:rPr>
        <w:t xml:space="preserve"> adhere</w:t>
      </w:r>
      <w:r w:rsidR="00261BDC" w:rsidRPr="003C2E1A">
        <w:rPr>
          <w:rFonts w:ascii="Times New Roman" w:eastAsiaTheme="minorEastAsia" w:hAnsi="Times New Roman" w:cs="Times New Roman"/>
          <w:sz w:val="24"/>
          <w:lang w:val="en-GB"/>
        </w:rPr>
        <w:t>s</w:t>
      </w:r>
      <w:r w:rsidRPr="003C2E1A">
        <w:rPr>
          <w:rFonts w:ascii="Times New Roman" w:eastAsiaTheme="minorEastAsia" w:hAnsi="Times New Roman" w:cs="Times New Roman"/>
          <w:sz w:val="24"/>
          <w:lang w:val="en-GB"/>
        </w:rPr>
        <w:t xml:space="preserve"> to</w:t>
      </w:r>
      <w:r w:rsidR="00261BDC" w:rsidRPr="003C2E1A">
        <w:rPr>
          <w:rFonts w:ascii="Times New Roman" w:eastAsiaTheme="minorEastAsia" w:hAnsi="Times New Roman" w:cs="Times New Roman"/>
          <w:sz w:val="24"/>
          <w:lang w:val="en-GB"/>
        </w:rPr>
        <w:t xml:space="preserve"> the principles expounded by</w:t>
      </w:r>
      <w:r w:rsidRPr="003C2E1A">
        <w:rPr>
          <w:rFonts w:ascii="Times New Roman" w:eastAsiaTheme="minorEastAsia" w:hAnsi="Times New Roman" w:cs="Times New Roman"/>
          <w:sz w:val="24"/>
          <w:lang w:val="en-GB"/>
        </w:rPr>
        <w:t xml:space="preserve"> New Keynesian economic theory. Thus, financial markets </w:t>
      </w:r>
      <w:r w:rsidR="00261BDC" w:rsidRPr="003C2E1A">
        <w:rPr>
          <w:rFonts w:ascii="Times New Roman" w:eastAsiaTheme="minorEastAsia" w:hAnsi="Times New Roman" w:cs="Times New Roman"/>
          <w:sz w:val="24"/>
          <w:lang w:val="en-GB"/>
        </w:rPr>
        <w:t xml:space="preserve">are segmented to the extent of investors’ risk attitude. Also, </w:t>
      </w:r>
      <w:r w:rsidR="00CD46A7" w:rsidRPr="003C2E1A">
        <w:rPr>
          <w:rFonts w:ascii="Times New Roman" w:eastAsiaTheme="minorEastAsia" w:hAnsi="Times New Roman" w:cs="Times New Roman"/>
          <w:sz w:val="24"/>
          <w:lang w:val="en-GB"/>
        </w:rPr>
        <w:t xml:space="preserve">the theory advocates that prices and wages exhibit sluggish adjustment and thus give rise to short-term economic fluctuations. </w:t>
      </w:r>
      <w:r w:rsidR="002F3173" w:rsidRPr="003C2E1A">
        <w:rPr>
          <w:rFonts w:ascii="Times New Roman" w:eastAsiaTheme="minorEastAsia" w:hAnsi="Times New Roman" w:cs="Times New Roman"/>
          <w:sz w:val="24"/>
          <w:lang w:val="en-GB"/>
        </w:rPr>
        <w:t>These small nominal (temporary) deviations may have severely amplified macroeconomic consequences.</w:t>
      </w:r>
      <w:r w:rsidR="00821581" w:rsidRPr="003C2E1A">
        <w:rPr>
          <w:rFonts w:ascii="Times New Roman" w:eastAsiaTheme="minorEastAsia" w:hAnsi="Times New Roman" w:cs="Times New Roman"/>
          <w:sz w:val="24"/>
          <w:lang w:val="en-GB"/>
        </w:rPr>
        <w:t xml:space="preserve">  Under New Keynesianism, central bank’s interest rate decisions are seen as the factotum of macroeconomic procedures, as aggregate demand is receptive to interest rate changes. Pivotal is that the money market (short-term) interest rate and the long-term bond yield are seen as separate entities. </w:t>
      </w:r>
      <w:r w:rsidR="005C2FF3">
        <w:rPr>
          <w:rFonts w:ascii="Times New Roman" w:eastAsiaTheme="minorEastAsia" w:hAnsi="Times New Roman" w:cs="Times New Roman"/>
          <w:sz w:val="24"/>
          <w:lang w:val="en-GB"/>
        </w:rPr>
        <w:t xml:space="preserve">Furthermore, it is assumed that if general wealth level or </w:t>
      </w:r>
      <w:r w:rsidR="0045220C">
        <w:rPr>
          <w:rFonts w:ascii="Times New Roman" w:eastAsiaTheme="minorEastAsia" w:hAnsi="Times New Roman" w:cs="Times New Roman"/>
          <w:sz w:val="24"/>
          <w:lang w:val="en-GB"/>
        </w:rPr>
        <w:t xml:space="preserve">sovereign </w:t>
      </w:r>
      <w:r w:rsidR="005C2FF3">
        <w:rPr>
          <w:rFonts w:ascii="Times New Roman" w:eastAsiaTheme="minorEastAsia" w:hAnsi="Times New Roman" w:cs="Times New Roman"/>
          <w:sz w:val="24"/>
          <w:lang w:val="en-GB"/>
        </w:rPr>
        <w:t>bond market liquidity increases, then bond demand will rise</w:t>
      </w:r>
      <w:r w:rsidR="0045220C">
        <w:rPr>
          <w:rFonts w:ascii="Times New Roman" w:eastAsiaTheme="minorEastAsia" w:hAnsi="Times New Roman" w:cs="Times New Roman"/>
          <w:sz w:val="24"/>
          <w:lang w:val="en-GB"/>
        </w:rPr>
        <w:t>;</w:t>
      </w:r>
      <w:r w:rsidR="005C2FF3">
        <w:rPr>
          <w:rFonts w:ascii="Times New Roman" w:eastAsiaTheme="minorEastAsia" w:hAnsi="Times New Roman" w:cs="Times New Roman"/>
          <w:sz w:val="24"/>
          <w:lang w:val="en-GB"/>
        </w:rPr>
        <w:t xml:space="preserve"> </w:t>
      </w:r>
      <w:r w:rsidR="0045220C">
        <w:rPr>
          <w:rFonts w:ascii="Times New Roman" w:eastAsiaTheme="minorEastAsia" w:hAnsi="Times New Roman" w:cs="Times New Roman"/>
          <w:sz w:val="24"/>
          <w:lang w:val="en-GB"/>
        </w:rPr>
        <w:t>w</w:t>
      </w:r>
      <w:r w:rsidR="005C2FF3">
        <w:rPr>
          <w:rFonts w:ascii="Times New Roman" w:eastAsiaTheme="minorEastAsia" w:hAnsi="Times New Roman" w:cs="Times New Roman"/>
          <w:sz w:val="24"/>
          <w:lang w:val="en-GB"/>
        </w:rPr>
        <w:t>hilst an increase in expected interest rates, expected inflation or risk</w:t>
      </w:r>
      <w:r w:rsidR="0045220C">
        <w:rPr>
          <w:rFonts w:ascii="Times New Roman" w:eastAsiaTheme="minorEastAsia" w:hAnsi="Times New Roman" w:cs="Times New Roman"/>
          <w:sz w:val="24"/>
          <w:lang w:val="en-GB"/>
        </w:rPr>
        <w:t xml:space="preserve">, leads to a fall in demand for sovereign bonds. On the supply side, if public deficit and/or debt levels become unsustainable, then bond supply rises. </w:t>
      </w:r>
      <w:r w:rsidR="0045220C">
        <w:rPr>
          <w:rFonts w:ascii="Times New Roman" w:eastAsiaTheme="minorEastAsia" w:hAnsi="Times New Roman" w:cs="Times New Roman"/>
          <w:sz w:val="24"/>
          <w:lang w:val="en-GB"/>
        </w:rPr>
        <w:lastRenderedPageBreak/>
        <w:t xml:space="preserve">Nevertheless, an increase in expected inflation or expected </w:t>
      </w:r>
      <w:r w:rsidR="003B42A8">
        <w:rPr>
          <w:rFonts w:ascii="Times New Roman" w:eastAsiaTheme="minorEastAsia" w:hAnsi="Times New Roman" w:cs="Times New Roman"/>
          <w:sz w:val="24"/>
          <w:lang w:val="en-GB"/>
        </w:rPr>
        <w:t>growth</w:t>
      </w:r>
      <w:r w:rsidR="0045220C">
        <w:rPr>
          <w:rFonts w:ascii="Times New Roman" w:eastAsiaTheme="minorEastAsia" w:hAnsi="Times New Roman" w:cs="Times New Roman"/>
          <w:sz w:val="24"/>
          <w:lang w:val="en-GB"/>
        </w:rPr>
        <w:t xml:space="preserve"> rates will lead to a rise in sovereign bond supply.  </w:t>
      </w:r>
    </w:p>
    <w:p w:rsidR="006A3957" w:rsidRPr="003C2E1A" w:rsidRDefault="006A3957" w:rsidP="00A22794">
      <w:pPr>
        <w:spacing w:after="0" w:line="360" w:lineRule="auto"/>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t xml:space="preserve">It is assumed that the default risk rises as the financial market conditions deteriorate, leading to faltering investment spending and a contraction of GDP. As monetary policy tightens, credit tightening and disintermediation may give rise to higher liquidity risk and subsequently more insolvencies. Credit market disturbances may also reflect </w:t>
      </w:r>
      <w:r w:rsidR="0006518D" w:rsidRPr="003C2E1A">
        <w:rPr>
          <w:rFonts w:ascii="Times New Roman" w:eastAsiaTheme="minorEastAsia" w:hAnsi="Times New Roman" w:cs="Times New Roman"/>
          <w:sz w:val="24"/>
          <w:lang w:val="en-GB"/>
        </w:rPr>
        <w:t xml:space="preserve">forecasts of future </w:t>
      </w:r>
      <w:r w:rsidRPr="003C2E1A">
        <w:rPr>
          <w:rFonts w:ascii="Times New Roman" w:eastAsiaTheme="minorEastAsia" w:hAnsi="Times New Roman" w:cs="Times New Roman"/>
          <w:sz w:val="24"/>
          <w:lang w:val="en-GB"/>
        </w:rPr>
        <w:t>monetary policy decisions</w:t>
      </w:r>
      <w:r w:rsidR="0006518D" w:rsidRPr="003C2E1A">
        <w:rPr>
          <w:rFonts w:ascii="Times New Roman" w:eastAsiaTheme="minorEastAsia" w:hAnsi="Times New Roman" w:cs="Times New Roman"/>
          <w:sz w:val="24"/>
          <w:lang w:val="en-GB"/>
        </w:rPr>
        <w:t xml:space="preserve">, as Euribor movements do not perfectly match monetary policy shocks.  </w:t>
      </w:r>
    </w:p>
    <w:p w:rsidR="006F5EB8" w:rsidRPr="003C2E1A" w:rsidRDefault="006F5EB8" w:rsidP="00CD46A7">
      <w:pPr>
        <w:autoSpaceDE w:val="0"/>
        <w:autoSpaceDN w:val="0"/>
        <w:adjustRightInd w:val="0"/>
        <w:spacing w:after="0" w:line="360" w:lineRule="auto"/>
        <w:rPr>
          <w:rFonts w:ascii="Times New Roman" w:hAnsi="Times New Roman" w:cs="Times New Roman"/>
          <w:b/>
          <w:sz w:val="24"/>
          <w:szCs w:val="24"/>
          <w:lang w:val="en-GB"/>
        </w:rPr>
      </w:pPr>
    </w:p>
    <w:p w:rsidR="00F47DB7" w:rsidRPr="003C2E1A" w:rsidRDefault="00F47DB7" w:rsidP="00F47DB7">
      <w:pPr>
        <w:pStyle w:val="ListParagraph"/>
        <w:spacing w:after="0" w:line="360" w:lineRule="auto"/>
        <w:ind w:left="360"/>
        <w:rPr>
          <w:rFonts w:ascii="Times New Roman" w:hAnsi="Times New Roman" w:cs="Times New Roman"/>
          <w:b/>
          <w:sz w:val="24"/>
          <w:lang w:val="en-GB"/>
        </w:rPr>
      </w:pPr>
      <w:r w:rsidRPr="003C2E1A">
        <w:rPr>
          <w:rFonts w:ascii="Times New Roman" w:hAnsi="Times New Roman" w:cs="Times New Roman"/>
          <w:b/>
          <w:sz w:val="24"/>
          <w:lang w:val="en-GB"/>
        </w:rPr>
        <w:t>2.2</w:t>
      </w:r>
      <w:r w:rsidRPr="003C2E1A">
        <w:rPr>
          <w:rFonts w:ascii="Times New Roman" w:hAnsi="Times New Roman" w:cs="Times New Roman"/>
          <w:b/>
          <w:sz w:val="24"/>
          <w:lang w:val="en-GB"/>
        </w:rPr>
        <w:tab/>
        <w:t xml:space="preserve">     Types of Risk:</w:t>
      </w:r>
    </w:p>
    <w:p w:rsidR="003E2A53" w:rsidRPr="003C2E1A" w:rsidRDefault="005D6296" w:rsidP="00EA0CC6">
      <w:pPr>
        <w:spacing w:after="0" w:line="360" w:lineRule="auto"/>
        <w:rPr>
          <w:rFonts w:ascii="Times New Roman" w:eastAsiaTheme="minorEastAsia" w:hAnsi="Times New Roman" w:cs="Times New Roman"/>
          <w:sz w:val="24"/>
          <w:szCs w:val="24"/>
          <w:lang w:val="en-GB"/>
        </w:rPr>
      </w:pPr>
      <w:r w:rsidRPr="003C2E1A">
        <w:rPr>
          <w:rFonts w:ascii="Times New Roman" w:hAnsi="Times New Roman" w:cs="Times New Roman"/>
          <w:sz w:val="24"/>
          <w:szCs w:val="24"/>
          <w:lang w:val="en-GB"/>
        </w:rPr>
        <w:t xml:space="preserve">There are numerous types of risk associated with investing in sovereign bonds. The importance of specific risk factors tends to be strongly time-dependent and country- or region-specific. Nevertheless, the most commonplace types of risk will be described in detail below. </w:t>
      </w:r>
      <w:r w:rsidRPr="003C2E1A">
        <w:rPr>
          <w:rFonts w:ascii="Times New Roman" w:hAnsi="Times New Roman" w:cs="Times New Roman"/>
          <w:sz w:val="24"/>
          <w:szCs w:val="24"/>
          <w:lang w:val="en-GB"/>
        </w:rPr>
        <w:tab/>
        <w:t xml:space="preserve">The first type of risk is exchange rate risk, which occurs when an investor purchases a bond that is denominated in a foreign currency. As principal and coupon payments are in a foreign currency, the investor may find that the value of his sovereign bond holdings has diminished due to an appreciation of his home currency or a depreciation of foreign currency. One usually turns towards the Uncovered Interest Rate Parity condition (UIRP) or the Covered Interest Rate Parity condition (CIRP). </w:t>
      </w:r>
      <w:r w:rsidR="003E2A53" w:rsidRPr="003C2E1A">
        <w:rPr>
          <w:rFonts w:ascii="Times New Roman" w:eastAsiaTheme="minorEastAsia" w:hAnsi="Times New Roman" w:cs="Times New Roman"/>
          <w:sz w:val="24"/>
          <w:szCs w:val="24"/>
          <w:lang w:val="en-GB"/>
        </w:rPr>
        <w:t>Nevertheless, since the countries under consid</w:t>
      </w:r>
      <w:r w:rsidR="005E1E15" w:rsidRPr="003C2E1A">
        <w:rPr>
          <w:rFonts w:ascii="Times New Roman" w:eastAsiaTheme="minorEastAsia" w:hAnsi="Times New Roman" w:cs="Times New Roman"/>
          <w:sz w:val="24"/>
          <w:szCs w:val="24"/>
          <w:lang w:val="en-GB"/>
        </w:rPr>
        <w:t>eration have all joined the EMU,</w:t>
      </w:r>
      <w:r w:rsidR="003E2A53" w:rsidRPr="003C2E1A">
        <w:rPr>
          <w:rFonts w:ascii="Times New Roman" w:eastAsiaTheme="minorEastAsia" w:hAnsi="Times New Roman" w:cs="Times New Roman"/>
          <w:sz w:val="24"/>
          <w:szCs w:val="24"/>
          <w:lang w:val="en-GB"/>
        </w:rPr>
        <w:t xml:space="preserve"> only the real effective exchange rate will be considered for the models featured in this thesis.  </w:t>
      </w:r>
    </w:p>
    <w:p w:rsidR="008E7C35" w:rsidRPr="003C2E1A" w:rsidRDefault="008E7C35" w:rsidP="00EA0CC6">
      <w:pPr>
        <w:spacing w:after="0" w:line="360" w:lineRule="auto"/>
        <w:rPr>
          <w:rFonts w:ascii="Times New Roman" w:eastAsiaTheme="minorEastAsia" w:hAnsi="Times New Roman" w:cs="Times New Roman"/>
          <w:sz w:val="24"/>
          <w:szCs w:val="24"/>
          <w:lang w:val="en-GB"/>
        </w:rPr>
      </w:pPr>
      <w:r w:rsidRPr="003C2E1A">
        <w:rPr>
          <w:rFonts w:ascii="Times New Roman" w:eastAsiaTheme="minorEastAsia" w:hAnsi="Times New Roman" w:cs="Times New Roman"/>
          <w:sz w:val="24"/>
          <w:szCs w:val="24"/>
          <w:lang w:val="en-GB"/>
        </w:rPr>
        <w:tab/>
        <w:t xml:space="preserve">Another type of risk is inflation risk, </w:t>
      </w:r>
      <w:r w:rsidR="009F3012" w:rsidRPr="003C2E1A">
        <w:rPr>
          <w:rFonts w:ascii="Times New Roman" w:eastAsiaTheme="minorEastAsia" w:hAnsi="Times New Roman" w:cs="Times New Roman"/>
          <w:sz w:val="24"/>
          <w:szCs w:val="24"/>
          <w:lang w:val="en-GB"/>
        </w:rPr>
        <w:t xml:space="preserve">also referred to as Purchasing Power Risk. It refers to the erosion of value of cash flows from securities due to inflationary pressure. Thus the real return of the interest payment on the bond is equal to the coupon rate (nominal) minus the inflation rate. Treasury Inflation-Protected Securities (TIPS) ensure that the principal (and thus the coupon amount) is periodically adjusted to the Consumer Price Index. At maturity either the original or the adjusted principal is paid out depending on whichever one is greater. Real and nominal interest rates will feature as independent </w:t>
      </w:r>
      <w:r w:rsidR="0085169E">
        <w:rPr>
          <w:rFonts w:ascii="Times New Roman" w:eastAsiaTheme="minorEastAsia" w:hAnsi="Times New Roman" w:cs="Times New Roman"/>
          <w:sz w:val="24"/>
          <w:szCs w:val="24"/>
          <w:lang w:val="en-GB"/>
        </w:rPr>
        <w:t xml:space="preserve">variables along with expected </w:t>
      </w:r>
      <w:r w:rsidR="009F3012" w:rsidRPr="003C2E1A">
        <w:rPr>
          <w:rFonts w:ascii="Times New Roman" w:eastAsiaTheme="minorEastAsia" w:hAnsi="Times New Roman" w:cs="Times New Roman"/>
          <w:sz w:val="24"/>
          <w:szCs w:val="24"/>
          <w:lang w:val="en-GB"/>
        </w:rPr>
        <w:t xml:space="preserve">and nominal inflation. </w:t>
      </w:r>
      <w:r w:rsidRPr="003C2E1A">
        <w:rPr>
          <w:rFonts w:ascii="Times New Roman" w:eastAsiaTheme="minorEastAsia" w:hAnsi="Times New Roman" w:cs="Times New Roman"/>
          <w:sz w:val="24"/>
          <w:szCs w:val="24"/>
          <w:lang w:val="en-GB"/>
        </w:rPr>
        <w:t xml:space="preserve"> </w:t>
      </w:r>
    </w:p>
    <w:p w:rsidR="009F3012" w:rsidRPr="003C2E1A" w:rsidRDefault="009F3012" w:rsidP="00EA0CC6">
      <w:pPr>
        <w:spacing w:after="0" w:line="360" w:lineRule="auto"/>
        <w:rPr>
          <w:rFonts w:ascii="Times New Roman" w:eastAsiaTheme="minorEastAsia" w:hAnsi="Times New Roman" w:cs="Times New Roman"/>
          <w:sz w:val="24"/>
          <w:szCs w:val="24"/>
          <w:lang w:val="en-GB"/>
        </w:rPr>
      </w:pPr>
      <w:r w:rsidRPr="003C2E1A">
        <w:rPr>
          <w:rFonts w:ascii="Times New Roman" w:eastAsiaTheme="minorEastAsia" w:hAnsi="Times New Roman" w:cs="Times New Roman"/>
          <w:sz w:val="24"/>
          <w:szCs w:val="24"/>
          <w:lang w:val="en-GB"/>
        </w:rPr>
        <w:tab/>
        <w:t xml:space="preserve">Thirdly, </w:t>
      </w:r>
      <w:r w:rsidR="00BE3EFA" w:rsidRPr="003C2E1A">
        <w:rPr>
          <w:rFonts w:ascii="Times New Roman" w:eastAsiaTheme="minorEastAsia" w:hAnsi="Times New Roman" w:cs="Times New Roman"/>
          <w:sz w:val="24"/>
          <w:szCs w:val="24"/>
          <w:lang w:val="en-GB"/>
        </w:rPr>
        <w:t>taxation risk refers to</w:t>
      </w:r>
      <w:r w:rsidR="00B319A5" w:rsidRPr="003C2E1A">
        <w:rPr>
          <w:rFonts w:ascii="Times New Roman" w:eastAsiaTheme="minorEastAsia" w:hAnsi="Times New Roman" w:cs="Times New Roman"/>
          <w:sz w:val="24"/>
          <w:szCs w:val="24"/>
          <w:lang w:val="en-GB"/>
        </w:rPr>
        <w:t xml:space="preserve"> the</w:t>
      </w:r>
      <w:r w:rsidR="00BE3EFA" w:rsidRPr="003C2E1A">
        <w:rPr>
          <w:rFonts w:ascii="Times New Roman" w:eastAsiaTheme="minorEastAsia" w:hAnsi="Times New Roman" w:cs="Times New Roman"/>
          <w:sz w:val="24"/>
          <w:szCs w:val="24"/>
          <w:lang w:val="en-GB"/>
        </w:rPr>
        <w:t xml:space="preserve"> level of tax paid on each interest payment of a bond. Certain municipal bonds are typified by their tax-exempt status. Nevertheless, due to the high degree of financial integration within the EMU, lack of market segmentation and lack of intra-Eurozone capital controls we can safely assumed that differences in sovereign yield sensitivity did not stem from tax treatment practices. </w:t>
      </w:r>
    </w:p>
    <w:p w:rsidR="00BE3EFA" w:rsidRPr="003C2E1A" w:rsidRDefault="00BE3EFA" w:rsidP="00EA0CC6">
      <w:pPr>
        <w:spacing w:after="0" w:line="360" w:lineRule="auto"/>
        <w:rPr>
          <w:rFonts w:ascii="Times New Roman" w:eastAsiaTheme="minorEastAsia" w:hAnsi="Times New Roman" w:cs="Times New Roman"/>
          <w:sz w:val="24"/>
          <w:szCs w:val="24"/>
          <w:lang w:val="en-GB"/>
        </w:rPr>
      </w:pPr>
      <w:r w:rsidRPr="003C2E1A">
        <w:rPr>
          <w:rFonts w:ascii="Times New Roman" w:eastAsiaTheme="minorEastAsia" w:hAnsi="Times New Roman" w:cs="Times New Roman"/>
          <w:sz w:val="24"/>
          <w:szCs w:val="24"/>
          <w:lang w:val="en-GB"/>
        </w:rPr>
        <w:lastRenderedPageBreak/>
        <w:tab/>
        <w:t xml:space="preserve">Fourthly, general market risk entails the risk that the sovereign bond market as a whole would suffer from plummeting prices, which would reduce the value of individual securities regardless of their fundamentals. Market risk will also feature as one of the risk proxies in this thesis’ models, thus it is further elucidated below. </w:t>
      </w:r>
    </w:p>
    <w:p w:rsidR="00BE3EFA" w:rsidRPr="003C2E1A" w:rsidRDefault="00BE3EFA" w:rsidP="00BE3EFA">
      <w:pPr>
        <w:spacing w:after="0" w:line="360" w:lineRule="auto"/>
        <w:rPr>
          <w:rFonts w:ascii="Times New Roman" w:eastAsiaTheme="minorEastAsia" w:hAnsi="Times New Roman" w:cs="Times New Roman"/>
          <w:sz w:val="24"/>
          <w:szCs w:val="24"/>
          <w:lang w:val="en-GB"/>
        </w:rPr>
      </w:pPr>
      <w:r w:rsidRPr="003C2E1A">
        <w:rPr>
          <w:rFonts w:ascii="Times New Roman" w:eastAsiaTheme="minorEastAsia" w:hAnsi="Times New Roman" w:cs="Times New Roman"/>
          <w:sz w:val="24"/>
          <w:szCs w:val="24"/>
          <w:lang w:val="en-GB"/>
        </w:rPr>
        <w:tab/>
        <w:t>Penultimately, liquidity risk</w:t>
      </w:r>
      <w:r w:rsidR="007332DA" w:rsidRPr="003C2E1A">
        <w:rPr>
          <w:rStyle w:val="FootnoteReference"/>
          <w:rFonts w:ascii="Times New Roman" w:eastAsiaTheme="minorEastAsia" w:hAnsi="Times New Roman" w:cs="Times New Roman"/>
          <w:sz w:val="24"/>
          <w:szCs w:val="24"/>
          <w:lang w:val="en-GB"/>
        </w:rPr>
        <w:footnoteReference w:id="21"/>
      </w:r>
      <w:r w:rsidRPr="003C2E1A">
        <w:rPr>
          <w:rFonts w:ascii="Times New Roman" w:eastAsiaTheme="minorEastAsia" w:hAnsi="Times New Roman" w:cs="Times New Roman"/>
          <w:sz w:val="24"/>
          <w:szCs w:val="24"/>
          <w:lang w:val="en-GB"/>
        </w:rPr>
        <w:t xml:space="preserve"> refers to the depth of the market of a particular security. Liquidity indicates how readily an investor can buy or sell bonds in the market without shifting the market prices to a notable degree. Concisely, liquidity indicates the ease with which an investor can convert the security into cash or cash-equivalents. If the market is illiquid an investor cannot engage in loss minimization by quickly reducing a position. Similarly, the practice of marking-to-market for bonds may render revaluation a costly endeavour in an illiquid market. Thus illiquid fixed-income securities require a higher risk premium that compensates investors for the added liquidity risk. Conversely, Bernoth et al (2012) purports that liquidity premiums in the Eurozone have been all but vanquished due to membership of the EMU and the financial integration which accompanied it. Financial market integration alongside capital controls abolishment has essentially pooled all Eurozone members’ bond markets to create one cohesive fixed-income security market. Existence of liquidity risk in the sovereign bond markets of Eurozone members remains ambiguous at best. Thus it will be corrected for via a liquidity proxy during the actual research. </w:t>
      </w:r>
    </w:p>
    <w:p w:rsidR="00BE3EFA" w:rsidRPr="003C2E1A" w:rsidRDefault="00BE3EFA" w:rsidP="00BE3EFA">
      <w:pPr>
        <w:spacing w:after="0" w:line="360" w:lineRule="auto"/>
        <w:rPr>
          <w:rFonts w:ascii="Times New Roman" w:eastAsiaTheme="minorEastAsia" w:hAnsi="Times New Roman" w:cs="Times New Roman"/>
          <w:sz w:val="24"/>
          <w:szCs w:val="24"/>
          <w:lang w:val="en-GB"/>
        </w:rPr>
      </w:pPr>
      <w:r w:rsidRPr="003C2E1A">
        <w:rPr>
          <w:rFonts w:ascii="Times New Roman" w:eastAsiaTheme="minorEastAsia" w:hAnsi="Times New Roman" w:cs="Times New Roman"/>
          <w:sz w:val="24"/>
          <w:szCs w:val="24"/>
          <w:lang w:val="en-GB"/>
        </w:rPr>
        <w:tab/>
        <w:t xml:space="preserve">Finally, credit risk is an inherent part associated with the holding of any fixed-income security. </w:t>
      </w:r>
      <w:r w:rsidR="00240DBE" w:rsidRPr="003C2E1A">
        <w:rPr>
          <w:rFonts w:ascii="Times New Roman" w:eastAsiaTheme="minorEastAsia" w:hAnsi="Times New Roman" w:cs="Times New Roman"/>
          <w:sz w:val="24"/>
          <w:szCs w:val="24"/>
          <w:lang w:val="en-GB"/>
        </w:rPr>
        <w:t>It is concerned with the risk that the issuer of the bond will not be able to make interest- and or principal payments at their due date and thus may default on them. Normally, sovereign bonds from the Eurozone are considered risk-free due to their longstanding creditworthiness as indicated by their credit ratings (AAA). Credit ratings are essentially a relative rank order that is indicative of the associated probability of default. Conversely, d</w:t>
      </w:r>
      <w:r w:rsidRPr="003C2E1A">
        <w:rPr>
          <w:rFonts w:ascii="Times New Roman" w:eastAsiaTheme="minorEastAsia" w:hAnsi="Times New Roman" w:cs="Times New Roman"/>
          <w:sz w:val="24"/>
          <w:szCs w:val="24"/>
          <w:lang w:val="en-GB"/>
        </w:rPr>
        <w:t xml:space="preserve">ue to recent financial upheaval and unsustainable fiscal imbalances, </w:t>
      </w:r>
      <w:r w:rsidR="00240DBE" w:rsidRPr="003C2E1A">
        <w:rPr>
          <w:rFonts w:ascii="Times New Roman" w:eastAsiaTheme="minorEastAsia" w:hAnsi="Times New Roman" w:cs="Times New Roman"/>
          <w:sz w:val="24"/>
          <w:szCs w:val="24"/>
          <w:lang w:val="en-GB"/>
        </w:rPr>
        <w:t>certain types of sovereign bond</w:t>
      </w:r>
      <w:r w:rsidRPr="003C2E1A">
        <w:rPr>
          <w:rFonts w:ascii="Times New Roman" w:eastAsiaTheme="minorEastAsia" w:hAnsi="Times New Roman" w:cs="Times New Roman"/>
          <w:sz w:val="24"/>
          <w:szCs w:val="24"/>
          <w:lang w:val="en-GB"/>
        </w:rPr>
        <w:t xml:space="preserve"> are no longe</w:t>
      </w:r>
      <w:r w:rsidR="00240DBE" w:rsidRPr="003C2E1A">
        <w:rPr>
          <w:rFonts w:ascii="Times New Roman" w:eastAsiaTheme="minorEastAsia" w:hAnsi="Times New Roman" w:cs="Times New Roman"/>
          <w:sz w:val="24"/>
          <w:szCs w:val="24"/>
          <w:lang w:val="en-GB"/>
        </w:rPr>
        <w:t>r deemed impervious to default and have indeed been downgraded by leading credit rating corporations (</w:t>
      </w:r>
      <w:r w:rsidR="00A031FB" w:rsidRPr="003C2E1A">
        <w:rPr>
          <w:rFonts w:ascii="Times New Roman" w:eastAsiaTheme="minorEastAsia" w:hAnsi="Times New Roman" w:cs="Times New Roman"/>
          <w:sz w:val="24"/>
          <w:szCs w:val="24"/>
          <w:lang w:val="en-GB"/>
        </w:rPr>
        <w:t>e.g.,</w:t>
      </w:r>
      <w:r w:rsidR="00240DBE" w:rsidRPr="003C2E1A">
        <w:rPr>
          <w:rFonts w:ascii="Times New Roman" w:eastAsiaTheme="minorEastAsia" w:hAnsi="Times New Roman" w:cs="Times New Roman"/>
          <w:sz w:val="24"/>
          <w:szCs w:val="24"/>
          <w:lang w:val="en-GB"/>
        </w:rPr>
        <w:t xml:space="preserve"> Moody’s, Fitch and S&amp;P).</w:t>
      </w:r>
    </w:p>
    <w:p w:rsidR="00BE3EFA" w:rsidRPr="003C2E1A" w:rsidRDefault="00240DBE" w:rsidP="00BE3EFA">
      <w:pPr>
        <w:spacing w:after="0" w:line="360" w:lineRule="auto"/>
        <w:rPr>
          <w:rFonts w:ascii="Times New Roman" w:eastAsiaTheme="minorEastAsia" w:hAnsi="Times New Roman" w:cs="Times New Roman"/>
          <w:sz w:val="24"/>
          <w:szCs w:val="24"/>
          <w:lang w:val="en-GB"/>
        </w:rPr>
      </w:pPr>
      <w:r w:rsidRPr="003C2E1A">
        <w:rPr>
          <w:rFonts w:ascii="Times New Roman" w:eastAsiaTheme="minorEastAsia" w:hAnsi="Times New Roman" w:cs="Times New Roman"/>
          <w:sz w:val="24"/>
          <w:szCs w:val="24"/>
          <w:lang w:val="en-GB"/>
        </w:rPr>
        <w:tab/>
        <w:t xml:space="preserve">Volatility risk will not be considered </w:t>
      </w:r>
      <w:r w:rsidR="000128AA" w:rsidRPr="003C2E1A">
        <w:rPr>
          <w:rFonts w:ascii="Times New Roman" w:eastAsiaTheme="minorEastAsia" w:hAnsi="Times New Roman" w:cs="Times New Roman"/>
          <w:sz w:val="24"/>
          <w:szCs w:val="24"/>
          <w:lang w:val="en-GB"/>
        </w:rPr>
        <w:t xml:space="preserve">as it is associated with Embedded Options, </w:t>
      </w:r>
      <w:r w:rsidR="00A031FB" w:rsidRPr="003C2E1A">
        <w:rPr>
          <w:rFonts w:ascii="Times New Roman" w:eastAsiaTheme="minorEastAsia" w:hAnsi="Times New Roman" w:cs="Times New Roman"/>
          <w:sz w:val="24"/>
          <w:szCs w:val="24"/>
          <w:lang w:val="en-GB"/>
        </w:rPr>
        <w:t>e.g.,</w:t>
      </w:r>
      <w:r w:rsidR="000128AA" w:rsidRPr="003C2E1A">
        <w:rPr>
          <w:rFonts w:ascii="Times New Roman" w:eastAsiaTheme="minorEastAsia" w:hAnsi="Times New Roman" w:cs="Times New Roman"/>
          <w:sz w:val="24"/>
          <w:szCs w:val="24"/>
          <w:lang w:val="en-GB"/>
        </w:rPr>
        <w:t xml:space="preserve"> Call and Put options have been incorporated in the bond structure. For Callable bonds the risk is that volatility increases, whereas for Puttable bonds the risk is that volatility decreases. No Embedded Option bonds will be included in the data and thus this type of risk can be safely disregarded. </w:t>
      </w:r>
    </w:p>
    <w:p w:rsidR="002A2D29" w:rsidRPr="003C2E1A" w:rsidRDefault="002A2D29" w:rsidP="002A2D29">
      <w:pPr>
        <w:pStyle w:val="ListParagraph"/>
        <w:numPr>
          <w:ilvl w:val="0"/>
          <w:numId w:val="13"/>
        </w:numPr>
        <w:spacing w:after="0" w:line="360" w:lineRule="auto"/>
        <w:ind w:left="0" w:firstLine="0"/>
        <w:jc w:val="both"/>
        <w:rPr>
          <w:rFonts w:ascii="Times New Roman" w:hAnsi="Times New Roman" w:cs="Times New Roman"/>
          <w:b/>
          <w:lang w:val="en-GB"/>
        </w:rPr>
      </w:pPr>
      <w:r w:rsidRPr="003C2E1A">
        <w:rPr>
          <w:rFonts w:ascii="Times New Roman" w:hAnsi="Times New Roman" w:cs="Times New Roman"/>
          <w:b/>
          <w:sz w:val="24"/>
          <w:lang w:val="en-GB"/>
        </w:rPr>
        <w:lastRenderedPageBreak/>
        <w:t>Literature Review</w:t>
      </w:r>
    </w:p>
    <w:p w:rsidR="00F11C52" w:rsidRPr="003C2E1A" w:rsidRDefault="00F14517" w:rsidP="00F11C52">
      <w:pPr>
        <w:pStyle w:val="ListParagraph"/>
        <w:spacing w:after="0" w:line="360" w:lineRule="auto"/>
        <w:ind w:left="0"/>
        <w:rPr>
          <w:rFonts w:ascii="Times New Roman" w:hAnsi="Times New Roman" w:cs="Times New Roman"/>
          <w:sz w:val="24"/>
          <w:lang w:val="en-GB"/>
        </w:rPr>
      </w:pPr>
      <w:r w:rsidRPr="003C2E1A">
        <w:rPr>
          <w:rFonts w:ascii="Times New Roman" w:hAnsi="Times New Roman" w:cs="Times New Roman"/>
          <w:sz w:val="24"/>
          <w:lang w:val="en-GB"/>
        </w:rPr>
        <w:t xml:space="preserve">What follows in this </w:t>
      </w:r>
      <w:r w:rsidR="00DC4940">
        <w:rPr>
          <w:rFonts w:ascii="Times New Roman" w:hAnsi="Times New Roman" w:cs="Times New Roman"/>
          <w:sz w:val="24"/>
          <w:lang w:val="en-GB"/>
        </w:rPr>
        <w:t>s</w:t>
      </w:r>
      <w:r w:rsidRPr="003C2E1A">
        <w:rPr>
          <w:rFonts w:ascii="Times New Roman" w:hAnsi="Times New Roman" w:cs="Times New Roman"/>
          <w:sz w:val="24"/>
          <w:lang w:val="en-GB"/>
        </w:rPr>
        <w:t xml:space="preserve">ection is the illumination of the current body of evidence pertaining to the economic analysis of sovereign bond yields worldwide, though the focal point will be sovereign bond yields of the EA-countries. </w:t>
      </w:r>
    </w:p>
    <w:p w:rsidR="0039676D" w:rsidRPr="003C2E1A" w:rsidRDefault="00F14517" w:rsidP="00F11C52">
      <w:pPr>
        <w:pStyle w:val="ListParagraph"/>
        <w:spacing w:after="0" w:line="360" w:lineRule="auto"/>
        <w:ind w:left="0"/>
        <w:rPr>
          <w:rFonts w:ascii="Times New Roman" w:hAnsi="Times New Roman" w:cs="Times New Roman"/>
          <w:sz w:val="24"/>
          <w:lang w:val="en-GB"/>
        </w:rPr>
      </w:pPr>
      <w:r w:rsidRPr="003C2E1A">
        <w:rPr>
          <w:rFonts w:ascii="Times New Roman" w:hAnsi="Times New Roman" w:cs="Times New Roman"/>
          <w:sz w:val="24"/>
          <w:lang w:val="en-GB"/>
        </w:rPr>
        <w:tab/>
      </w:r>
      <w:r w:rsidR="00986C79" w:rsidRPr="003C2E1A">
        <w:rPr>
          <w:rFonts w:ascii="Times New Roman" w:hAnsi="Times New Roman" w:cs="Times New Roman"/>
          <w:sz w:val="24"/>
          <w:lang w:val="en-GB"/>
        </w:rPr>
        <w:t xml:space="preserve">Codogno et al (2003) discovered with their Seemingly Unrelated Regression Analysis (SUR) of government bond spreads, that yield differential fluctuations are predominantly determined by international risk factors. Conversely, domestic fiscal fundamentals, i.e., a country’s fiscal position, were </w:t>
      </w:r>
      <w:r w:rsidR="00F466A8" w:rsidRPr="003C2E1A">
        <w:rPr>
          <w:rFonts w:ascii="Times New Roman" w:hAnsi="Times New Roman" w:cs="Times New Roman"/>
          <w:sz w:val="24"/>
          <w:lang w:val="en-GB"/>
        </w:rPr>
        <w:t xml:space="preserve">found to be </w:t>
      </w:r>
      <w:r w:rsidR="00986C79" w:rsidRPr="003C2E1A">
        <w:rPr>
          <w:rFonts w:ascii="Times New Roman" w:hAnsi="Times New Roman" w:cs="Times New Roman"/>
          <w:sz w:val="24"/>
          <w:lang w:val="en-GB"/>
        </w:rPr>
        <w:t xml:space="preserve">the main determinants of sovereign bond spreads for Spain and Italy. </w:t>
      </w:r>
      <w:r w:rsidR="00F466A8" w:rsidRPr="003C2E1A">
        <w:rPr>
          <w:rFonts w:ascii="Times New Roman" w:hAnsi="Times New Roman" w:cs="Times New Roman"/>
          <w:sz w:val="24"/>
          <w:lang w:val="en-GB"/>
        </w:rPr>
        <w:t>Thus, I expect to find different significant determinants of sovereign bond yields in countries adhering to the Mediterranean Region of Southern Europe compared to the Western European Region</w:t>
      </w:r>
      <w:r w:rsidR="0039676D" w:rsidRPr="003C2E1A">
        <w:rPr>
          <w:rFonts w:ascii="Times New Roman" w:hAnsi="Times New Roman" w:cs="Times New Roman"/>
          <w:sz w:val="24"/>
          <w:lang w:val="en-GB"/>
        </w:rPr>
        <w:t xml:space="preserve">. </w:t>
      </w:r>
    </w:p>
    <w:p w:rsidR="006F5EB8" w:rsidRPr="003C2E1A" w:rsidRDefault="0039676D" w:rsidP="006F5EB8">
      <w:pPr>
        <w:pStyle w:val="ListParagraph"/>
        <w:spacing w:after="0" w:line="360" w:lineRule="auto"/>
        <w:ind w:left="0"/>
        <w:rPr>
          <w:rFonts w:ascii="Times New Roman" w:hAnsi="Times New Roman" w:cs="Times New Roman"/>
          <w:sz w:val="24"/>
          <w:lang w:val="en-GB"/>
        </w:rPr>
      </w:pPr>
      <w:r w:rsidRPr="003C2E1A">
        <w:rPr>
          <w:rFonts w:ascii="Times New Roman" w:hAnsi="Times New Roman" w:cs="Times New Roman"/>
          <w:sz w:val="24"/>
          <w:lang w:val="en-GB"/>
        </w:rPr>
        <w:tab/>
        <w:t>Au contraire, studies that emphasize credit risk</w:t>
      </w:r>
      <w:r w:rsidRPr="003C2E1A">
        <w:rPr>
          <w:rStyle w:val="FootnoteReference"/>
          <w:rFonts w:ascii="Times New Roman" w:hAnsi="Times New Roman" w:cs="Times New Roman"/>
          <w:sz w:val="24"/>
          <w:lang w:val="en-GB"/>
        </w:rPr>
        <w:footnoteReference w:id="22"/>
      </w:r>
      <w:r w:rsidRPr="003C2E1A">
        <w:rPr>
          <w:rFonts w:ascii="Times New Roman" w:hAnsi="Times New Roman" w:cs="Times New Roman"/>
          <w:sz w:val="24"/>
          <w:lang w:val="en-GB"/>
        </w:rPr>
        <w:t xml:space="preserve">, have indicated the high relevance of liquidity risk for the explication of sovereign bond spreads </w:t>
      </w:r>
      <w:r w:rsidR="00DF2BAC" w:rsidRPr="003C2E1A">
        <w:rPr>
          <w:rFonts w:ascii="Times New Roman" w:hAnsi="Times New Roman" w:cs="Times New Roman"/>
          <w:sz w:val="24"/>
          <w:lang w:val="en-GB"/>
        </w:rPr>
        <w:t xml:space="preserve">of EA-members </w:t>
      </w:r>
      <w:r w:rsidRPr="003C2E1A">
        <w:rPr>
          <w:rFonts w:ascii="Times New Roman" w:hAnsi="Times New Roman" w:cs="Times New Roman"/>
          <w:sz w:val="24"/>
          <w:lang w:val="en-GB"/>
        </w:rPr>
        <w:t xml:space="preserve">during particular </w:t>
      </w:r>
      <w:r w:rsidR="00DF2BAC" w:rsidRPr="003C2E1A">
        <w:rPr>
          <w:rFonts w:ascii="Times New Roman" w:hAnsi="Times New Roman" w:cs="Times New Roman"/>
          <w:sz w:val="24"/>
          <w:lang w:val="en-GB"/>
        </w:rPr>
        <w:t xml:space="preserve">time </w:t>
      </w:r>
      <w:r w:rsidRPr="003C2E1A">
        <w:rPr>
          <w:rFonts w:ascii="Times New Roman" w:hAnsi="Times New Roman" w:cs="Times New Roman"/>
          <w:sz w:val="24"/>
          <w:lang w:val="en-GB"/>
        </w:rPr>
        <w:t>periods</w:t>
      </w:r>
      <w:r w:rsidR="00DF2BAC" w:rsidRPr="003C2E1A">
        <w:rPr>
          <w:rFonts w:ascii="Times New Roman" w:hAnsi="Times New Roman" w:cs="Times New Roman"/>
          <w:sz w:val="24"/>
          <w:lang w:val="en-GB"/>
        </w:rPr>
        <w:t xml:space="preserve">, e.g., </w:t>
      </w:r>
      <w:r w:rsidRPr="003C2E1A">
        <w:rPr>
          <w:rFonts w:ascii="Times New Roman" w:hAnsi="Times New Roman" w:cs="Times New Roman"/>
          <w:sz w:val="24"/>
          <w:lang w:val="en-GB"/>
        </w:rPr>
        <w:t xml:space="preserve">the introduction of the Euro and </w:t>
      </w:r>
      <w:r w:rsidR="00DF2BAC" w:rsidRPr="003C2E1A">
        <w:rPr>
          <w:rFonts w:ascii="Times New Roman" w:hAnsi="Times New Roman" w:cs="Times New Roman"/>
          <w:sz w:val="24"/>
          <w:lang w:val="en-GB"/>
        </w:rPr>
        <w:t xml:space="preserve">upheaval in financial markets. Interestingly, they also indicated that sovereign bond yield spreads saw larger increases </w:t>
      </w:r>
      <w:r w:rsidR="00C369DE" w:rsidRPr="003C2E1A">
        <w:rPr>
          <w:rFonts w:ascii="Times New Roman" w:hAnsi="Times New Roman" w:cs="Times New Roman"/>
          <w:sz w:val="24"/>
          <w:lang w:val="en-GB"/>
        </w:rPr>
        <w:t xml:space="preserve">during the Credit Crunch </w:t>
      </w:r>
      <w:r w:rsidR="00DF2BAC" w:rsidRPr="003C2E1A">
        <w:rPr>
          <w:rFonts w:ascii="Times New Roman" w:hAnsi="Times New Roman" w:cs="Times New Roman"/>
          <w:sz w:val="24"/>
          <w:lang w:val="en-GB"/>
        </w:rPr>
        <w:t xml:space="preserve">if the country in question had high deficits and debt ratios prior </w:t>
      </w:r>
      <w:r w:rsidR="00C369DE" w:rsidRPr="003C2E1A">
        <w:rPr>
          <w:rFonts w:ascii="Times New Roman" w:hAnsi="Times New Roman" w:cs="Times New Roman"/>
          <w:sz w:val="24"/>
          <w:lang w:val="en-GB"/>
        </w:rPr>
        <w:t xml:space="preserve">to the financial crisis. Conversely, the size of the proposed national bank rescue packages did not contribute to the widening of sovereign bond spreads. Thus, the Financial Crisis may have instigated a flight-to-quality as investors began to discriminate </w:t>
      </w:r>
      <w:r w:rsidR="00CB5162" w:rsidRPr="003C2E1A">
        <w:rPr>
          <w:rFonts w:ascii="Times New Roman" w:hAnsi="Times New Roman" w:cs="Times New Roman"/>
          <w:sz w:val="24"/>
          <w:lang w:val="en-GB"/>
        </w:rPr>
        <w:t xml:space="preserve">between </w:t>
      </w:r>
      <w:r w:rsidR="006A1D81" w:rsidRPr="003C2E1A">
        <w:rPr>
          <w:rFonts w:ascii="Times New Roman" w:hAnsi="Times New Roman" w:cs="Times New Roman"/>
          <w:sz w:val="24"/>
          <w:lang w:val="en-GB"/>
        </w:rPr>
        <w:t xml:space="preserve">sovereign borrowers based on their creditworthiness. Nevertheless, it can be expected that the announcement of a bank bailout will affect the investors’ acuity with respect to a country’s credit risk. </w:t>
      </w:r>
    </w:p>
    <w:p w:rsidR="006F5EB8" w:rsidRPr="003C2E1A" w:rsidRDefault="006F5EB8" w:rsidP="006F5EB8">
      <w:pPr>
        <w:pStyle w:val="ListParagraph"/>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lang w:val="en-GB"/>
        </w:rPr>
        <w:tab/>
      </w:r>
      <w:r w:rsidR="006A1D81" w:rsidRPr="003C2E1A">
        <w:rPr>
          <w:rFonts w:ascii="Times New Roman" w:hAnsi="Times New Roman" w:cs="Times New Roman"/>
          <w:sz w:val="24"/>
          <w:lang w:val="en-GB"/>
        </w:rPr>
        <w:t xml:space="preserve">Similarly, Gilchrist et al. (2009), has purported that </w:t>
      </w:r>
      <w:r w:rsidRPr="003C2E1A">
        <w:rPr>
          <w:rFonts w:ascii="Times New Roman" w:hAnsi="Times New Roman" w:cs="Times New Roman"/>
          <w:sz w:val="24"/>
          <w:lang w:val="en-GB"/>
        </w:rPr>
        <w:t xml:space="preserve">the credit spreads on senior unsecured corporate bonds has greater predictive power with respect to future economic activity than default-risk proxies, e.g., t-bill spreads, high-yield credit spreads etcetera. Similarly, shocks to corporate bond spreads determine large swings in real interest rates for up to a four-year horizon. This is consistent with the idea that an unexpected tightening of the credit markets may cause a long-term crippling effect on the economy. This occurrence can be explicated by the superior information content inherent in credit market spreads and thus better signals that function as a portent of future bond yield movements.  </w:t>
      </w:r>
      <w:r w:rsidRPr="003C2E1A">
        <w:rPr>
          <w:rFonts w:ascii="Times New Roman" w:hAnsi="Times New Roman" w:cs="Times New Roman"/>
          <w:sz w:val="24"/>
          <w:szCs w:val="24"/>
          <w:lang w:val="en-GB"/>
        </w:rPr>
        <w:t xml:space="preserve">Along similar lines, </w:t>
      </w:r>
      <w:r w:rsidR="002A2D29" w:rsidRPr="003C2E1A">
        <w:rPr>
          <w:rFonts w:ascii="Times New Roman" w:hAnsi="Times New Roman" w:cs="Times New Roman"/>
          <w:sz w:val="24"/>
          <w:szCs w:val="24"/>
          <w:lang w:val="en-GB"/>
        </w:rPr>
        <w:t>Correa &amp; Sapriza (2014)</w:t>
      </w:r>
      <w:r w:rsidRPr="003C2E1A">
        <w:rPr>
          <w:rFonts w:ascii="Times New Roman" w:hAnsi="Times New Roman" w:cs="Times New Roman"/>
          <w:sz w:val="24"/>
          <w:szCs w:val="24"/>
          <w:lang w:val="en-GB"/>
        </w:rPr>
        <w:t xml:space="preserve"> found that</w:t>
      </w:r>
      <w:r w:rsidR="002A2D29" w:rsidRPr="003C2E1A">
        <w:rPr>
          <w:rFonts w:ascii="Times New Roman" w:hAnsi="Times New Roman" w:cs="Times New Roman"/>
          <w:sz w:val="24"/>
          <w:szCs w:val="24"/>
          <w:lang w:val="en-GB"/>
        </w:rPr>
        <w:t xml:space="preserve"> the interconnectedness of sovereigns and the banking sector inherently destabilizes the banking system by amplifying exogenous shocks and facilitating contagion. The so-called sovereign-bank negative feedback loop affects sovereign </w:t>
      </w:r>
      <w:r w:rsidR="002A2D29" w:rsidRPr="003C2E1A">
        <w:rPr>
          <w:rFonts w:ascii="Times New Roman" w:hAnsi="Times New Roman" w:cs="Times New Roman"/>
          <w:sz w:val="24"/>
          <w:szCs w:val="24"/>
          <w:lang w:val="en-GB"/>
        </w:rPr>
        <w:lastRenderedPageBreak/>
        <w:t>bond yields, as sovereign bailouts raise concerns regarding fiscal sustainability (Laeven and Valencia, 2010). The extent to which financial costs are transferred to taxpayers strongly depends on the resolution regime that is adopted, i.e., recapitalization, asset relief programs or liquidity guaran</w:t>
      </w:r>
      <w:r w:rsidR="00FB2999">
        <w:rPr>
          <w:rFonts w:ascii="Times New Roman" w:hAnsi="Times New Roman" w:cs="Times New Roman"/>
          <w:sz w:val="24"/>
          <w:szCs w:val="24"/>
          <w:lang w:val="en-GB"/>
        </w:rPr>
        <w:t xml:space="preserve">tees. Nevertheless, as Acharya et al. </w:t>
      </w:r>
      <w:r w:rsidR="002A2D29" w:rsidRPr="003C2E1A">
        <w:rPr>
          <w:rFonts w:ascii="Times New Roman" w:hAnsi="Times New Roman" w:cs="Times New Roman"/>
          <w:sz w:val="24"/>
          <w:szCs w:val="24"/>
          <w:lang w:val="en-GB"/>
        </w:rPr>
        <w:t xml:space="preserve">(2013) pointed out, provision of ‘blanket guarantees’ on deposits by the Irish government in 2008 instantly led to plummeting credit default swap (CDS) premia for the banking sector whilst increasing the CDS premia on government bonds from 100 bps to 400 bps within 6 months. This constitutes a risk transfer from the banking system to the government. </w:t>
      </w:r>
      <w:r w:rsidR="00C30445" w:rsidRPr="003C2E1A">
        <w:rPr>
          <w:rFonts w:ascii="Times New Roman" w:hAnsi="Times New Roman" w:cs="Times New Roman"/>
          <w:sz w:val="24"/>
          <w:szCs w:val="24"/>
          <w:lang w:val="en-GB"/>
        </w:rPr>
        <w:t>Also</w:t>
      </w:r>
      <w:r w:rsidRPr="003C2E1A">
        <w:rPr>
          <w:rFonts w:ascii="Times New Roman" w:hAnsi="Times New Roman" w:cs="Times New Roman"/>
          <w:sz w:val="24"/>
          <w:szCs w:val="24"/>
          <w:lang w:val="en-GB"/>
        </w:rPr>
        <w:t xml:space="preserve">, Berenguer et al. (2013) discovered that bond turnover and duration are negatively correlated with </w:t>
      </w:r>
      <w:r w:rsidR="00C30445" w:rsidRPr="003C2E1A">
        <w:rPr>
          <w:rFonts w:ascii="Times New Roman" w:hAnsi="Times New Roman" w:cs="Times New Roman"/>
          <w:sz w:val="24"/>
          <w:szCs w:val="24"/>
          <w:lang w:val="en-GB"/>
        </w:rPr>
        <w:t xml:space="preserve">the </w:t>
      </w:r>
      <w:r w:rsidRPr="003C2E1A">
        <w:rPr>
          <w:rFonts w:ascii="Times New Roman" w:hAnsi="Times New Roman" w:cs="Times New Roman"/>
          <w:sz w:val="24"/>
          <w:szCs w:val="24"/>
          <w:lang w:val="en-GB"/>
        </w:rPr>
        <w:t xml:space="preserve">variance of errors, whilst the error mean is correlated with estimated variance. Thus, the neoclassical yield curve model that is utilized by most investors </w:t>
      </w:r>
      <w:r w:rsidR="00C30445" w:rsidRPr="003C2E1A">
        <w:rPr>
          <w:rFonts w:ascii="Times New Roman" w:hAnsi="Times New Roman" w:cs="Times New Roman"/>
          <w:sz w:val="24"/>
          <w:szCs w:val="24"/>
          <w:lang w:val="en-GB"/>
        </w:rPr>
        <w:t xml:space="preserve">during the investment decision-making process </w:t>
      </w:r>
      <w:r w:rsidRPr="003C2E1A">
        <w:rPr>
          <w:rFonts w:ascii="Times New Roman" w:hAnsi="Times New Roman" w:cs="Times New Roman"/>
          <w:sz w:val="24"/>
          <w:szCs w:val="24"/>
          <w:lang w:val="en-GB"/>
        </w:rPr>
        <w:t xml:space="preserve">may be inaccurate as it fails to account for liquidity-induced heteroscedasticity. </w:t>
      </w:r>
    </w:p>
    <w:p w:rsidR="006F5EB8" w:rsidRPr="003C2E1A" w:rsidRDefault="00974B27" w:rsidP="006F5EB8">
      <w:pPr>
        <w:pStyle w:val="ListParagraph"/>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ab/>
        <w:t xml:space="preserve">Furthermore, preservation of government debt sustainability </w:t>
      </w:r>
      <w:r w:rsidR="009C5430" w:rsidRPr="003C2E1A">
        <w:rPr>
          <w:rFonts w:ascii="Times New Roman" w:hAnsi="Times New Roman" w:cs="Times New Roman"/>
          <w:sz w:val="24"/>
          <w:szCs w:val="24"/>
          <w:lang w:val="en-GB"/>
        </w:rPr>
        <w:t>affects the optimal monetary and/or fiscal policy response to prevent a liquidity trap</w:t>
      </w:r>
      <w:r w:rsidR="005C6F20" w:rsidRPr="003C2E1A">
        <w:rPr>
          <w:rFonts w:ascii="Times New Roman" w:hAnsi="Times New Roman" w:cs="Times New Roman"/>
          <w:sz w:val="24"/>
          <w:szCs w:val="24"/>
          <w:lang w:val="en-GB"/>
        </w:rPr>
        <w:t>, e.g., Keynesian principle whereby an injection of cash into the private banking system (increase in money supply) by a central bank renders monetary policy ineffective</w:t>
      </w:r>
      <w:r w:rsidR="009C5430" w:rsidRPr="003C2E1A">
        <w:rPr>
          <w:rFonts w:ascii="Times New Roman" w:hAnsi="Times New Roman" w:cs="Times New Roman"/>
          <w:sz w:val="24"/>
          <w:szCs w:val="24"/>
          <w:lang w:val="en-GB"/>
        </w:rPr>
        <w:t>.</w:t>
      </w:r>
      <w:r w:rsidR="00FB2999">
        <w:rPr>
          <w:rFonts w:ascii="Times New Roman" w:hAnsi="Times New Roman" w:cs="Times New Roman"/>
          <w:sz w:val="24"/>
          <w:szCs w:val="24"/>
          <w:lang w:val="en-GB"/>
        </w:rPr>
        <w:t xml:space="preserve"> Burgert and Schmidt (2014)</w:t>
      </w:r>
      <w:r w:rsidR="0093490B" w:rsidRPr="003C2E1A">
        <w:rPr>
          <w:rFonts w:ascii="Times New Roman" w:hAnsi="Times New Roman" w:cs="Times New Roman"/>
          <w:sz w:val="24"/>
          <w:szCs w:val="24"/>
          <w:lang w:val="en-GB"/>
        </w:rPr>
        <w:t xml:space="preserve"> found that u</w:t>
      </w:r>
      <w:r w:rsidR="005C6F20" w:rsidRPr="003C2E1A">
        <w:rPr>
          <w:rFonts w:ascii="Times New Roman" w:hAnsi="Times New Roman" w:cs="Times New Roman"/>
          <w:sz w:val="24"/>
          <w:szCs w:val="24"/>
          <w:lang w:val="en-GB"/>
        </w:rPr>
        <w:t xml:space="preserve">nder optimal time-consistent policies, government spending </w:t>
      </w:r>
      <w:r w:rsidR="0093490B" w:rsidRPr="003C2E1A">
        <w:rPr>
          <w:rFonts w:ascii="Times New Roman" w:hAnsi="Times New Roman" w:cs="Times New Roman"/>
          <w:sz w:val="24"/>
          <w:szCs w:val="24"/>
          <w:lang w:val="en-GB"/>
        </w:rPr>
        <w:t xml:space="preserve">is negatively correlated with the amount of outstanding sovereign debt even if short-run nominal interest rates are zero-bound. Simultaneously, monetary policy ought to become more expansionary as the level of government debt rises. Nevertheless, the crux of the model is that real interest rates continue to decline as sovereign debt rises despite the zero-bound constraint of nominal interest rates, thus </w:t>
      </w:r>
      <w:r w:rsidR="00390DD1" w:rsidRPr="003C2E1A">
        <w:rPr>
          <w:rFonts w:ascii="Times New Roman" w:hAnsi="Times New Roman" w:cs="Times New Roman"/>
          <w:sz w:val="24"/>
          <w:szCs w:val="24"/>
          <w:lang w:val="en-GB"/>
        </w:rPr>
        <w:t xml:space="preserve">economic agents dealing with </w:t>
      </w:r>
      <w:r w:rsidR="0093490B" w:rsidRPr="003C2E1A">
        <w:rPr>
          <w:rFonts w:ascii="Times New Roman" w:hAnsi="Times New Roman" w:cs="Times New Roman"/>
          <w:sz w:val="24"/>
          <w:szCs w:val="24"/>
          <w:lang w:val="en-GB"/>
        </w:rPr>
        <w:t>liquidity traps typ</w:t>
      </w:r>
      <w:r w:rsidR="00390DD1" w:rsidRPr="003C2E1A">
        <w:rPr>
          <w:rFonts w:ascii="Times New Roman" w:hAnsi="Times New Roman" w:cs="Times New Roman"/>
          <w:sz w:val="24"/>
          <w:szCs w:val="24"/>
          <w:lang w:val="en-GB"/>
        </w:rPr>
        <w:t xml:space="preserve">ified by high debt burdens ought to forego fiscal stimulus packages and endeavour to guarantee more buoyant future nominal interest policies. </w:t>
      </w:r>
    </w:p>
    <w:p w:rsidR="002A2D29" w:rsidRPr="003C2E1A" w:rsidRDefault="002A2D29" w:rsidP="002A2D29">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ab/>
        <w:t xml:space="preserve">On the whole, determinants of sovereign bond yields strongly depend on the period analysed. Yet, Barbosa and Costa (2010) wrote a paper on EMU sovereign bonds and the impact of the financial crisis and purported that despite market upheaval, investor risk aversion and credit risk remain the main determinants of sovereign yields and yield spreads. Conversely, Gerlach et al (2010) found evidence for an emerging linkage between the banking sector and public government budgets. Sovereign debt, deficit ratios and other fiscal variables all show greater positive correlation with sovereign bond yields starting at the onset of the financial crisis. The importance of macroeconomic fundamentals during the sovereign debt crisis was echoed by Bernoth and Erdogan (2012), and Borgy et al (2011). Whilst Codogno et al (2003) and Manganelli and Wolswijk (2009) found some evidence to indicate </w:t>
      </w:r>
      <w:r w:rsidRPr="003C2E1A">
        <w:rPr>
          <w:rFonts w:ascii="Times New Roman" w:hAnsi="Times New Roman" w:cs="Times New Roman"/>
          <w:sz w:val="24"/>
          <w:szCs w:val="24"/>
          <w:lang w:val="en-GB"/>
        </w:rPr>
        <w:lastRenderedPageBreak/>
        <w:t xml:space="preserve">the explanatory power of global risk factors when determining sovereign bond yields, Barrios et al (2009) purported that global factors only played a small part as investors are more concerned with country-specific fundamentals. In general, fiscal fundamentals seem to come to the fore when global risk is at its peak. This is clearly indicative of a contagion factor impelled by altering market sentiment. </w:t>
      </w:r>
    </w:p>
    <w:p w:rsidR="002A2D29" w:rsidRPr="003C2E1A" w:rsidRDefault="002A2D29" w:rsidP="002A2D29">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ab/>
        <w:t xml:space="preserve">Another important finding was put forward by Schuknecht et al (2009). Bond markets often fail to include fiscal burden considerations as long as the governments in question adhere to a fiscal transfer agreement. Thus, the credibility of no bail-out clauses featured in international agreements become imperative for the pricing of inherent riskiness of a sovereign bond. For example, the Maastricht Treaty forbids any EU member from assuming the commitments or debt liabilities of another EU member state. The mere existence of a no bailout clause, ipse facto, is insufficient as evidenced by the founding of the European Financial Stability Facility (EFSF) in 2010 and the ECBs Asset-Backed Securities-, Covered Bond- and Expanded Asset Purchasing Programs. The EFSF was a temporary crisis resolution mechanism that operated as a special purpose vehicle financed and guaranteed by Eurozone members. During its lifetime it provided financial assistance to Portugal, Greece and Ireland. </w:t>
      </w:r>
    </w:p>
    <w:p w:rsidR="002A2D29" w:rsidRPr="003C2E1A" w:rsidRDefault="002A2D29" w:rsidP="002A2D29">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A permanent bailout fund called the European Stability Mechanism (ESM) has subsumed the responsibilities of the EFSF and has already provided assistance to Spain and Cyprus via bond issuance and other debt instruments. </w:t>
      </w:r>
    </w:p>
    <w:p w:rsidR="002A2D29" w:rsidRPr="003C2E1A" w:rsidRDefault="002A2D29" w:rsidP="002A2D29">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t>According to Poghosyan (2012), long-run real sovereign bond yields depend on potential output growth and level of outstanding sovereign debt.  The latter affects real government bond yields via a bifurcated mechanism. Firstly, during periods of rapid fiscal expansion, private investment may be crowded out resulting in higher marginal product of capital due to a reduced capital stock; thus driving up real interest rates.</w:t>
      </w:r>
      <w:r w:rsidRPr="003C2E1A">
        <w:rPr>
          <w:rStyle w:val="FootnoteReference"/>
          <w:rFonts w:ascii="Times New Roman" w:hAnsi="Times New Roman" w:cs="Times New Roman"/>
          <w:sz w:val="24"/>
        </w:rPr>
        <w:footnoteReference w:id="23"/>
      </w:r>
      <w:r w:rsidRPr="003C2E1A">
        <w:rPr>
          <w:rFonts w:ascii="Times New Roman" w:hAnsi="Times New Roman" w:cs="Times New Roman"/>
          <w:sz w:val="24"/>
          <w:lang w:val="en-GB"/>
        </w:rPr>
        <w:t xml:space="preserve"> Secondly, soaring government debt levels give rise to higher default risk premia that ipse facto amplify sovereign bond yields. Manasse et al (2003) argue that the default risk of a country alters with the government’s debt-to-income ratio. Both indicate a long-run positive correlation between real sovereign bond yields and government debt. </w:t>
      </w:r>
    </w:p>
    <w:p w:rsidR="002A2D29" w:rsidRPr="003C2E1A" w:rsidRDefault="002A2D29" w:rsidP="002A2D29">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r>
      <w:r w:rsidR="00FB2999">
        <w:rPr>
          <w:rFonts w:ascii="Times New Roman" w:hAnsi="Times New Roman" w:cs="Times New Roman"/>
          <w:sz w:val="24"/>
          <w:lang w:val="en-GB"/>
        </w:rPr>
        <w:t>Additionally</w:t>
      </w:r>
      <w:r w:rsidRPr="003C2E1A">
        <w:rPr>
          <w:rFonts w:ascii="Times New Roman" w:hAnsi="Times New Roman" w:cs="Times New Roman"/>
          <w:sz w:val="24"/>
          <w:lang w:val="en-GB"/>
        </w:rPr>
        <w:t xml:space="preserve">, Abad et al (2009) investigated the importance of systematic Eurozone risk and global risk for explicating the difference in sovereign bond yield spreads in the Eurozone and for those originating in non-EMU countries. They discovered that Eurozone countries were more impervious to global risk factors and were more closely connected with </w:t>
      </w:r>
      <w:r w:rsidRPr="003C2E1A">
        <w:rPr>
          <w:rFonts w:ascii="Times New Roman" w:hAnsi="Times New Roman" w:cs="Times New Roman"/>
          <w:sz w:val="24"/>
          <w:lang w:val="en-GB"/>
        </w:rPr>
        <w:lastRenderedPageBreak/>
        <w:t xml:space="preserve">Eurozone-specific risk factors. Non-EMU countries are less financially integrated and thus adhere more readily to country-specific fundamentals and global risk factors. </w:t>
      </w:r>
    </w:p>
    <w:p w:rsidR="00F84FBC" w:rsidRPr="003C2E1A" w:rsidRDefault="002A2D29" w:rsidP="00F84FBC">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t>Similarly, Faini (2006) studied 10 Eurozone countries between 1979 and 2002 (pre-crisis). At this particular point in time, long-term government bond yields were impervious to public debt in single-country regressions; though a 1% increase in the debt-to-GDP ratio for the entire region translated into a 3bps rise in long term government bond yields when one allows for cross-coun</w:t>
      </w:r>
      <w:r w:rsidR="00FB2999">
        <w:rPr>
          <w:rFonts w:ascii="Times New Roman" w:hAnsi="Times New Roman" w:cs="Times New Roman"/>
          <w:sz w:val="24"/>
          <w:lang w:val="en-GB"/>
        </w:rPr>
        <w:t>try effects. Meanwhile, Hauner and</w:t>
      </w:r>
      <w:r w:rsidRPr="003C2E1A">
        <w:rPr>
          <w:rFonts w:ascii="Times New Roman" w:hAnsi="Times New Roman" w:cs="Times New Roman"/>
          <w:sz w:val="24"/>
          <w:lang w:val="en-GB"/>
        </w:rPr>
        <w:t xml:space="preserve"> Kumar (2009) attempted to solve the enigma of low government bond yields and high (unsustainable) fiscal imbalances in G7 countries after the credit crunch. They found that foreign capital inflows counteracted the upward pressure on sovereign bond yields as the G7 countries were considered a ‘safe haven’. Nevertheless, this momentary ‘panacea’ will fade and a long-run upward correction of sovereign bond yields is inevitable. </w:t>
      </w:r>
    </w:p>
    <w:p w:rsidR="00F84FBC" w:rsidRPr="003C2E1A" w:rsidRDefault="00F84FBC" w:rsidP="00F84FBC">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t>Risk characteristics of nominal sovereign bonds are not time-consistent. If one utilizes a habit formation asset pricing framework, i.e., risk premia may vary in response to prevailing macroeconomic conditions, then sovereign bond yield movements may be amplified or curtailed beyond the levels indicated by standard Keynesian economic theory</w:t>
      </w:r>
      <w:r w:rsidRPr="003C2E1A">
        <w:rPr>
          <w:rStyle w:val="FootnoteReference"/>
          <w:rFonts w:ascii="Times New Roman" w:hAnsi="Times New Roman" w:cs="Times New Roman"/>
          <w:sz w:val="24"/>
          <w:lang w:val="en-GB"/>
        </w:rPr>
        <w:footnoteReference w:id="24"/>
      </w:r>
      <w:r w:rsidRPr="003C2E1A">
        <w:rPr>
          <w:rFonts w:ascii="Times New Roman" w:hAnsi="Times New Roman" w:cs="Times New Roman"/>
          <w:sz w:val="24"/>
          <w:lang w:val="en-GB"/>
        </w:rPr>
        <w:t xml:space="preserve">. For example, supply-side shocks tend to move inflation and output in opposite directions, thus rendering bond returns pro-cyclical. Monetary policy may counteract this effect leading to high nominal bond betas. Nevertheless, it may also reinforce low volatility of shocks and thus render nominal bond betas negative, as occurred in 2001 in the USA. The size and transience of monetary policy shocks appears to be pivotal for the sign and magnitude of bond betas. High volatility of persistent shocks strongly contributed to the negative bond betas in the early 2000s.  Concisely, the effect of changing fundamental factors can be amplified via time-variation in risk premia; the latter can be either countercyclical or pro-cyclical by nature. </w:t>
      </w:r>
    </w:p>
    <w:p w:rsidR="002A2D29" w:rsidRPr="003C2E1A" w:rsidRDefault="002A2D29" w:rsidP="002A2D29">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t xml:space="preserve">Concisely, most empirical studies on countries belonging to advanced economies find support for the theoretical relationship between sovereign debt, macroeconomic fundamentals and government bond yields. However, the underlying relationship seems prone to alteration over time. Sovereign bond yields seem to be more sensitive when fiscal imbalances become unsustainable and when there is an implicit bailout guarantee. During periods of financial distress, the long-run relationship between sovereign bond yields and macroeconomic/fiscal fundamentals can be temporarily weakened due to foreign capital inflows. Nevertheless, temporary deviations must eventually revert to their long-run equilibrium. The question </w:t>
      </w:r>
      <w:r w:rsidRPr="003C2E1A">
        <w:rPr>
          <w:rFonts w:ascii="Times New Roman" w:hAnsi="Times New Roman" w:cs="Times New Roman"/>
          <w:sz w:val="24"/>
          <w:lang w:val="en-GB"/>
        </w:rPr>
        <w:lastRenderedPageBreak/>
        <w:t xml:space="preserve">remains whether these corrections will be marked by overreaction or whether they revert in increments. </w:t>
      </w:r>
    </w:p>
    <w:p w:rsidR="002A2D29" w:rsidRPr="003C2E1A" w:rsidRDefault="002A2D29" w:rsidP="002A2D29">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ab/>
      </w:r>
    </w:p>
    <w:p w:rsidR="00DD1FDB" w:rsidRPr="003C2E1A" w:rsidRDefault="00DD1FDB" w:rsidP="00DD1FDB">
      <w:pPr>
        <w:pStyle w:val="ListParagraph"/>
        <w:numPr>
          <w:ilvl w:val="0"/>
          <w:numId w:val="13"/>
        </w:numPr>
        <w:spacing w:after="0" w:line="360" w:lineRule="auto"/>
        <w:ind w:left="0" w:firstLine="0"/>
        <w:jc w:val="both"/>
        <w:rPr>
          <w:rFonts w:ascii="Times New Roman" w:hAnsi="Times New Roman" w:cs="Times New Roman"/>
          <w:b/>
          <w:lang w:val="en-GB"/>
        </w:rPr>
      </w:pPr>
      <w:r w:rsidRPr="003C2E1A">
        <w:rPr>
          <w:rFonts w:ascii="Times New Roman" w:hAnsi="Times New Roman" w:cs="Times New Roman"/>
          <w:b/>
          <w:sz w:val="24"/>
          <w:lang w:val="en-GB"/>
        </w:rPr>
        <w:t>Data</w:t>
      </w:r>
    </w:p>
    <w:p w:rsidR="00DD1FDB" w:rsidRPr="003C2E1A" w:rsidRDefault="00DD1FDB" w:rsidP="00DD1FDB">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In this section I shall elucidate </w:t>
      </w:r>
      <w:r w:rsidR="00FA4E73">
        <w:rPr>
          <w:rFonts w:ascii="Times New Roman" w:hAnsi="Times New Roman" w:cs="Times New Roman"/>
          <w:sz w:val="24"/>
          <w:szCs w:val="24"/>
          <w:lang w:val="en-GB"/>
        </w:rPr>
        <w:t xml:space="preserve">the data sources of each variable utilized and the descriptive statistics. Furthermore, </w:t>
      </w:r>
      <w:r w:rsidRPr="003C2E1A">
        <w:rPr>
          <w:rFonts w:ascii="Times New Roman" w:hAnsi="Times New Roman" w:cs="Times New Roman"/>
          <w:sz w:val="24"/>
          <w:szCs w:val="24"/>
          <w:lang w:val="en-GB"/>
        </w:rPr>
        <w:t>the dependent variable, e.g., sovereign bond yield, as well as the independent variables under consideration and the reason for their inclusion in the aforementioned econometric models</w:t>
      </w:r>
      <w:r w:rsidR="00FA4E73">
        <w:rPr>
          <w:rFonts w:ascii="Times New Roman" w:hAnsi="Times New Roman" w:cs="Times New Roman"/>
          <w:sz w:val="24"/>
          <w:szCs w:val="24"/>
          <w:lang w:val="en-GB"/>
        </w:rPr>
        <w:t>, shall be explicated in the following section</w:t>
      </w:r>
      <w:r w:rsidRPr="003C2E1A">
        <w:rPr>
          <w:rFonts w:ascii="Times New Roman" w:hAnsi="Times New Roman" w:cs="Times New Roman"/>
          <w:sz w:val="24"/>
          <w:szCs w:val="24"/>
          <w:lang w:val="en-GB"/>
        </w:rPr>
        <w:t xml:space="preserve">. </w:t>
      </w:r>
    </w:p>
    <w:p w:rsidR="00DD1FDB" w:rsidRPr="00426807" w:rsidRDefault="00DD1FDB" w:rsidP="00DD1FDB">
      <w:pPr>
        <w:spacing w:after="0" w:line="240" w:lineRule="auto"/>
        <w:rPr>
          <w:rFonts w:ascii="Times New Roman" w:hAnsi="Times New Roman" w:cs="Times New Roman"/>
          <w:sz w:val="28"/>
          <w:lang w:val="en-GB"/>
        </w:rPr>
      </w:pPr>
    </w:p>
    <w:p w:rsidR="00FA4E73" w:rsidRPr="003C2E1A" w:rsidRDefault="0016365E" w:rsidP="00FA4E73">
      <w:pPr>
        <w:spacing w:after="0" w:line="360" w:lineRule="auto"/>
        <w:jc w:val="both"/>
        <w:rPr>
          <w:rFonts w:ascii="Times New Roman" w:hAnsi="Times New Roman" w:cs="Times New Roman"/>
          <w:b/>
          <w:sz w:val="24"/>
          <w:lang w:val="en-GB"/>
        </w:rPr>
      </w:pPr>
      <w:r>
        <w:rPr>
          <w:rFonts w:ascii="Times New Roman" w:hAnsi="Times New Roman" w:cs="Times New Roman"/>
          <w:b/>
          <w:lang w:val="en-GB"/>
        </w:rPr>
        <w:tab/>
      </w:r>
      <w:r w:rsidR="00FA4E73">
        <w:rPr>
          <w:rFonts w:ascii="Times New Roman" w:hAnsi="Times New Roman" w:cs="Times New Roman"/>
          <w:b/>
          <w:lang w:val="en-GB"/>
        </w:rPr>
        <w:t>4</w:t>
      </w:r>
      <w:r w:rsidR="00FA4E73" w:rsidRPr="003C2E1A">
        <w:rPr>
          <w:rFonts w:ascii="Times New Roman" w:hAnsi="Times New Roman" w:cs="Times New Roman"/>
          <w:b/>
          <w:lang w:val="en-GB"/>
        </w:rPr>
        <w:t>.1</w:t>
      </w:r>
      <w:r w:rsidR="00FA4E73" w:rsidRPr="003C2E1A">
        <w:rPr>
          <w:rFonts w:ascii="Times New Roman" w:hAnsi="Times New Roman" w:cs="Times New Roman"/>
          <w:b/>
          <w:sz w:val="20"/>
          <w:lang w:val="en-GB"/>
        </w:rPr>
        <w:tab/>
      </w:r>
      <w:r w:rsidR="00FA4E73" w:rsidRPr="003C2E1A">
        <w:rPr>
          <w:rFonts w:ascii="Times New Roman" w:hAnsi="Times New Roman" w:cs="Times New Roman"/>
          <w:b/>
          <w:sz w:val="24"/>
          <w:lang w:val="en-GB"/>
        </w:rPr>
        <w:t>Data Sources</w:t>
      </w:r>
    </w:p>
    <w:p w:rsidR="00FA4E73" w:rsidRDefault="00FA4E73" w:rsidP="00FA4E73">
      <w:pPr>
        <w:spacing w:after="0" w:line="360" w:lineRule="auto"/>
        <w:jc w:val="both"/>
        <w:rPr>
          <w:rFonts w:ascii="Times New Roman" w:hAnsi="Times New Roman" w:cs="Times New Roman"/>
          <w:sz w:val="24"/>
          <w:lang w:val="en-GB"/>
        </w:rPr>
      </w:pPr>
      <w:r w:rsidRPr="003C2E1A">
        <w:rPr>
          <w:rFonts w:ascii="Times New Roman" w:hAnsi="Times New Roman" w:cs="Times New Roman"/>
          <w:sz w:val="24"/>
          <w:lang w:val="en-GB"/>
        </w:rPr>
        <w:t>The research in this thesis</w:t>
      </w:r>
      <w:r>
        <w:rPr>
          <w:rFonts w:ascii="Times New Roman" w:hAnsi="Times New Roman" w:cs="Times New Roman"/>
          <w:sz w:val="24"/>
          <w:lang w:val="en-GB"/>
        </w:rPr>
        <w:t xml:space="preserve"> is concerned with</w:t>
      </w:r>
      <w:r w:rsidRPr="003C2E1A">
        <w:rPr>
          <w:rFonts w:ascii="Times New Roman" w:hAnsi="Times New Roman" w:cs="Times New Roman"/>
          <w:sz w:val="24"/>
          <w:lang w:val="en-GB"/>
        </w:rPr>
        <w:t xml:space="preserve"> empirical analysis. Data utilized was procured via Datastream (Thomson Reuters), </w:t>
      </w:r>
      <w:r>
        <w:rPr>
          <w:rFonts w:ascii="Times New Roman" w:hAnsi="Times New Roman" w:cs="Times New Roman"/>
          <w:sz w:val="24"/>
          <w:lang w:val="en-GB"/>
        </w:rPr>
        <w:t xml:space="preserve">Bloomberg, </w:t>
      </w:r>
      <w:r w:rsidRPr="003C2E1A">
        <w:rPr>
          <w:rFonts w:ascii="Times New Roman" w:hAnsi="Times New Roman" w:cs="Times New Roman"/>
          <w:sz w:val="24"/>
          <w:lang w:val="en-GB"/>
        </w:rPr>
        <w:t>OECD (Organisation for Economic Co-operation and Development) database, Federal Reserve Economic Data (FRED), World Bank DataBank, the Bank for International Settlements (BIS) database and Eurostat.</w:t>
      </w:r>
      <w:r>
        <w:rPr>
          <w:rFonts w:ascii="Times New Roman" w:hAnsi="Times New Roman" w:cs="Times New Roman"/>
          <w:sz w:val="24"/>
          <w:lang w:val="en-GB"/>
        </w:rPr>
        <w:t xml:space="preserve"> The exact data source per variable and further details are described in Table A</w:t>
      </w:r>
      <w:r w:rsidR="00B87EE2">
        <w:rPr>
          <w:rFonts w:ascii="Times New Roman" w:hAnsi="Times New Roman" w:cs="Times New Roman"/>
          <w:sz w:val="24"/>
          <w:lang w:val="en-GB"/>
        </w:rPr>
        <w:t>4</w:t>
      </w:r>
      <w:r>
        <w:rPr>
          <w:rFonts w:ascii="Times New Roman" w:hAnsi="Times New Roman" w:cs="Times New Roman"/>
          <w:sz w:val="24"/>
          <w:lang w:val="en-GB"/>
        </w:rPr>
        <w:t>.1</w:t>
      </w:r>
      <w:r w:rsidR="00DC4940">
        <w:rPr>
          <w:rFonts w:ascii="Times New Roman" w:hAnsi="Times New Roman" w:cs="Times New Roman"/>
          <w:sz w:val="24"/>
          <w:lang w:val="en-GB"/>
        </w:rPr>
        <w:t xml:space="preserve"> in the Appendix. </w:t>
      </w:r>
    </w:p>
    <w:p w:rsidR="00426807" w:rsidRDefault="00426807" w:rsidP="00426807">
      <w:pPr>
        <w:spacing w:after="0" w:line="360" w:lineRule="auto"/>
        <w:jc w:val="both"/>
        <w:rPr>
          <w:rFonts w:ascii="Times New Roman" w:hAnsi="Times New Roman" w:cs="Times New Roman"/>
          <w:sz w:val="24"/>
          <w:lang w:val="en-GB"/>
        </w:rPr>
      </w:pPr>
      <w:r>
        <w:rPr>
          <w:rFonts w:ascii="Times New Roman" w:hAnsi="Times New Roman" w:cs="Times New Roman"/>
          <w:sz w:val="24"/>
          <w:lang w:val="en-GB"/>
        </w:rPr>
        <w:tab/>
      </w:r>
      <w:r w:rsidRPr="003C2E1A">
        <w:rPr>
          <w:rFonts w:ascii="Times New Roman" w:hAnsi="Times New Roman" w:cs="Times New Roman"/>
          <w:sz w:val="24"/>
          <w:lang w:val="en-GB"/>
        </w:rPr>
        <w:t>The time period under consideration is from the 1</w:t>
      </w:r>
      <w:r w:rsidRPr="003C2E1A">
        <w:rPr>
          <w:rFonts w:ascii="Times New Roman" w:hAnsi="Times New Roman" w:cs="Times New Roman"/>
          <w:sz w:val="24"/>
          <w:vertAlign w:val="superscript"/>
          <w:lang w:val="en-GB"/>
        </w:rPr>
        <w:t xml:space="preserve">st </w:t>
      </w:r>
      <w:r w:rsidRPr="003C2E1A">
        <w:rPr>
          <w:rFonts w:ascii="Times New Roman" w:hAnsi="Times New Roman" w:cs="Times New Roman"/>
          <w:sz w:val="24"/>
          <w:lang w:val="en-GB"/>
        </w:rPr>
        <w:t>of January 2000 till the 31</w:t>
      </w:r>
      <w:r w:rsidRPr="003C2E1A">
        <w:rPr>
          <w:rFonts w:ascii="Times New Roman" w:hAnsi="Times New Roman" w:cs="Times New Roman"/>
          <w:sz w:val="24"/>
          <w:vertAlign w:val="superscript"/>
          <w:lang w:val="en-GB"/>
        </w:rPr>
        <w:t>st</w:t>
      </w:r>
      <w:r w:rsidRPr="003C2E1A">
        <w:rPr>
          <w:rFonts w:ascii="Times New Roman" w:hAnsi="Times New Roman" w:cs="Times New Roman"/>
          <w:sz w:val="24"/>
          <w:lang w:val="en-GB"/>
        </w:rPr>
        <w:t xml:space="preserve"> of December 2014. Seven Eurozone countries were selected, e.g., France, Germany, Italy, Spain, Belgium, Greece and the Netherlands.   </w:t>
      </w:r>
    </w:p>
    <w:p w:rsidR="00426807" w:rsidRPr="0057495C" w:rsidRDefault="00426807" w:rsidP="00426807">
      <w:pPr>
        <w:spacing w:after="0" w:line="360" w:lineRule="auto"/>
        <w:jc w:val="both"/>
        <w:rPr>
          <w:rFonts w:ascii="Times New Roman" w:hAnsi="Times New Roman" w:cs="Times New Roman"/>
          <w:sz w:val="24"/>
          <w:lang w:val="en-GB"/>
        </w:rPr>
      </w:pPr>
    </w:p>
    <w:p w:rsidR="00426807" w:rsidRPr="003C2E1A" w:rsidRDefault="0016365E" w:rsidP="00B87EE2">
      <w:pPr>
        <w:spacing w:after="120" w:line="360" w:lineRule="auto"/>
        <w:jc w:val="both"/>
        <w:rPr>
          <w:rFonts w:ascii="Times New Roman" w:hAnsi="Times New Roman" w:cs="Times New Roman"/>
          <w:b/>
          <w:sz w:val="24"/>
          <w:lang w:val="en-GB"/>
        </w:rPr>
      </w:pPr>
      <w:r>
        <w:rPr>
          <w:rFonts w:ascii="Times New Roman" w:hAnsi="Times New Roman" w:cs="Times New Roman"/>
          <w:b/>
          <w:lang w:val="en-GB"/>
        </w:rPr>
        <w:tab/>
      </w:r>
      <w:r w:rsidR="00426807">
        <w:rPr>
          <w:rFonts w:ascii="Times New Roman" w:hAnsi="Times New Roman" w:cs="Times New Roman"/>
          <w:b/>
          <w:lang w:val="en-GB"/>
        </w:rPr>
        <w:t>4</w:t>
      </w:r>
      <w:r w:rsidR="00426807" w:rsidRPr="003C2E1A">
        <w:rPr>
          <w:rFonts w:ascii="Times New Roman" w:hAnsi="Times New Roman" w:cs="Times New Roman"/>
          <w:b/>
          <w:lang w:val="en-GB"/>
        </w:rPr>
        <w:t>.2</w:t>
      </w:r>
      <w:r w:rsidR="00426807" w:rsidRPr="003C2E1A">
        <w:rPr>
          <w:rFonts w:ascii="Times New Roman" w:hAnsi="Times New Roman" w:cs="Times New Roman"/>
          <w:b/>
          <w:sz w:val="20"/>
          <w:lang w:val="en-GB"/>
        </w:rPr>
        <w:tab/>
      </w:r>
      <w:r w:rsidR="00426807" w:rsidRPr="003C2E1A">
        <w:rPr>
          <w:rFonts w:ascii="Times New Roman" w:hAnsi="Times New Roman" w:cs="Times New Roman"/>
          <w:b/>
          <w:sz w:val="24"/>
          <w:lang w:val="en-GB"/>
        </w:rPr>
        <w:t>Descriptive Statistics</w:t>
      </w:r>
    </w:p>
    <w:p w:rsidR="00426807" w:rsidRDefault="00426807" w:rsidP="00426807">
      <w:pPr>
        <w:spacing w:after="0" w:line="360" w:lineRule="auto"/>
        <w:jc w:val="both"/>
        <w:rPr>
          <w:rFonts w:ascii="Times New Roman" w:hAnsi="Times New Roman" w:cs="Times New Roman"/>
          <w:sz w:val="24"/>
          <w:lang w:val="en-GB"/>
        </w:rPr>
      </w:pPr>
      <w:r w:rsidRPr="003C2E1A">
        <w:rPr>
          <w:rFonts w:ascii="Times New Roman" w:hAnsi="Times New Roman" w:cs="Times New Roman"/>
          <w:sz w:val="24"/>
          <w:lang w:val="en-GB"/>
        </w:rPr>
        <w:t xml:space="preserve">For an overview of the descriptive statistics of each country, see </w:t>
      </w:r>
      <w:r>
        <w:rPr>
          <w:rFonts w:ascii="Times New Roman" w:hAnsi="Times New Roman" w:cs="Times New Roman"/>
          <w:sz w:val="24"/>
          <w:lang w:val="en-GB"/>
        </w:rPr>
        <w:t>Table A4</w:t>
      </w:r>
      <w:r w:rsidRPr="003C2E1A">
        <w:rPr>
          <w:rFonts w:ascii="Times New Roman" w:hAnsi="Times New Roman" w:cs="Times New Roman"/>
          <w:sz w:val="24"/>
          <w:lang w:val="en-GB"/>
        </w:rPr>
        <w:t>.</w:t>
      </w:r>
      <w:r w:rsidR="00271CBA">
        <w:rPr>
          <w:rFonts w:ascii="Times New Roman" w:hAnsi="Times New Roman" w:cs="Times New Roman"/>
          <w:sz w:val="24"/>
          <w:lang w:val="en-GB"/>
        </w:rPr>
        <w:t>2</w:t>
      </w:r>
      <w:r w:rsidRPr="003C2E1A">
        <w:rPr>
          <w:rFonts w:ascii="Times New Roman" w:hAnsi="Times New Roman" w:cs="Times New Roman"/>
          <w:sz w:val="24"/>
          <w:lang w:val="en-GB"/>
        </w:rPr>
        <w:t xml:space="preserve"> in the </w:t>
      </w:r>
      <w:r w:rsidR="00E645B3">
        <w:rPr>
          <w:rFonts w:ascii="Times New Roman" w:hAnsi="Times New Roman" w:cs="Times New Roman"/>
          <w:sz w:val="24"/>
          <w:lang w:val="en-GB"/>
        </w:rPr>
        <w:t>A</w:t>
      </w:r>
      <w:r w:rsidRPr="003C2E1A">
        <w:rPr>
          <w:rFonts w:ascii="Times New Roman" w:hAnsi="Times New Roman" w:cs="Times New Roman"/>
          <w:sz w:val="24"/>
          <w:lang w:val="en-GB"/>
        </w:rPr>
        <w:t xml:space="preserve">ppendix. </w:t>
      </w:r>
      <w:r>
        <w:rPr>
          <w:rFonts w:ascii="Times New Roman" w:hAnsi="Times New Roman" w:cs="Times New Roman"/>
          <w:sz w:val="24"/>
          <w:lang w:val="en-GB"/>
        </w:rPr>
        <w:t xml:space="preserve">Government balance ratios seem to have exceeded that of the current account balance ratios in terms of magnitude for all countries. Nevertheless, debt-to-GDP ratios soared for the Mediterranean countries; whereas the </w:t>
      </w:r>
      <w:r w:rsidR="0016365E">
        <w:rPr>
          <w:rFonts w:ascii="Times New Roman" w:hAnsi="Times New Roman" w:cs="Times New Roman"/>
          <w:sz w:val="24"/>
          <w:lang w:val="en-GB"/>
        </w:rPr>
        <w:t xml:space="preserve">Western European region’s government debt relative to GDP was significantly lower. Yet, despite their innate differences in terms of general level of debt-to-GDP, all countries saw a marked increase in the aforementioned ratio in the run-up to </w:t>
      </w:r>
      <w:r w:rsidR="00653468">
        <w:rPr>
          <w:rFonts w:ascii="Times New Roman" w:hAnsi="Times New Roman" w:cs="Times New Roman"/>
          <w:sz w:val="24"/>
          <w:lang w:val="en-GB"/>
        </w:rPr>
        <w:t xml:space="preserve">and during </w:t>
      </w:r>
      <w:r w:rsidR="0016365E">
        <w:rPr>
          <w:rFonts w:ascii="Times New Roman" w:hAnsi="Times New Roman" w:cs="Times New Roman"/>
          <w:sz w:val="24"/>
          <w:lang w:val="en-GB"/>
        </w:rPr>
        <w:t>the sovereign</w:t>
      </w:r>
      <w:r w:rsidR="00653468">
        <w:rPr>
          <w:rFonts w:ascii="Times New Roman" w:hAnsi="Times New Roman" w:cs="Times New Roman"/>
          <w:sz w:val="24"/>
          <w:lang w:val="en-GB"/>
        </w:rPr>
        <w:t xml:space="preserve"> debt crisis in particular. Most noticeable was that Greece has suffered significant unsustainable debt-to-GDP ratios for years, as it has remained above 100% of total Greek GDP between 2001 and the end of 2011. Currently it stands at approximately 177%, which is </w:t>
      </w:r>
      <w:r w:rsidR="008F2128">
        <w:rPr>
          <w:rFonts w:ascii="Times New Roman" w:hAnsi="Times New Roman" w:cs="Times New Roman"/>
          <w:sz w:val="24"/>
          <w:lang w:val="en-GB"/>
        </w:rPr>
        <w:t>close to its mean over the period 2000-2014.</w:t>
      </w:r>
    </w:p>
    <w:p w:rsidR="00E645B3" w:rsidRDefault="00E645B3" w:rsidP="00426807">
      <w:pPr>
        <w:spacing w:after="0" w:line="360" w:lineRule="auto"/>
        <w:jc w:val="both"/>
        <w:rPr>
          <w:rFonts w:ascii="Times New Roman" w:hAnsi="Times New Roman" w:cs="Times New Roman"/>
          <w:sz w:val="24"/>
          <w:lang w:val="en-GB"/>
        </w:rPr>
      </w:pPr>
    </w:p>
    <w:p w:rsidR="008F2128" w:rsidRPr="003C2E1A" w:rsidRDefault="008F2128" w:rsidP="0057495C">
      <w:pPr>
        <w:spacing w:after="120" w:line="240" w:lineRule="auto"/>
        <w:jc w:val="both"/>
        <w:rPr>
          <w:rFonts w:ascii="Times New Roman" w:hAnsi="Times New Roman" w:cs="Times New Roman"/>
          <w:b/>
          <w:sz w:val="24"/>
          <w:lang w:val="en-GB"/>
        </w:rPr>
      </w:pPr>
      <w:r>
        <w:rPr>
          <w:rFonts w:ascii="Times New Roman" w:hAnsi="Times New Roman" w:cs="Times New Roman"/>
          <w:b/>
          <w:lang w:val="en-GB"/>
        </w:rPr>
        <w:tab/>
        <w:t>4</w:t>
      </w:r>
      <w:r w:rsidRPr="003C2E1A">
        <w:rPr>
          <w:rFonts w:ascii="Times New Roman" w:hAnsi="Times New Roman" w:cs="Times New Roman"/>
          <w:b/>
          <w:lang w:val="en-GB"/>
        </w:rPr>
        <w:t>.</w:t>
      </w:r>
      <w:r>
        <w:rPr>
          <w:rFonts w:ascii="Times New Roman" w:hAnsi="Times New Roman" w:cs="Times New Roman"/>
          <w:b/>
          <w:lang w:val="en-GB"/>
        </w:rPr>
        <w:t>3</w:t>
      </w:r>
      <w:r w:rsidRPr="003C2E1A">
        <w:rPr>
          <w:rFonts w:ascii="Times New Roman" w:hAnsi="Times New Roman" w:cs="Times New Roman"/>
          <w:b/>
          <w:sz w:val="20"/>
          <w:lang w:val="en-GB"/>
        </w:rPr>
        <w:tab/>
      </w:r>
      <w:r>
        <w:rPr>
          <w:rFonts w:ascii="Times New Roman" w:hAnsi="Times New Roman" w:cs="Times New Roman"/>
          <w:b/>
          <w:sz w:val="24"/>
          <w:lang w:val="en-GB"/>
        </w:rPr>
        <w:t>Variables under Consideration</w:t>
      </w:r>
    </w:p>
    <w:p w:rsidR="008F2128" w:rsidRDefault="008F2128" w:rsidP="00FA4E73">
      <w:pPr>
        <w:spacing w:after="0" w:line="360" w:lineRule="auto"/>
        <w:jc w:val="both"/>
        <w:rPr>
          <w:rFonts w:ascii="Times New Roman" w:hAnsi="Times New Roman" w:cs="Times New Roman"/>
          <w:sz w:val="24"/>
          <w:lang w:val="en-GB"/>
        </w:rPr>
      </w:pPr>
      <w:r>
        <w:rPr>
          <w:rFonts w:ascii="Times New Roman" w:hAnsi="Times New Roman" w:cs="Times New Roman"/>
          <w:sz w:val="24"/>
          <w:lang w:val="en-GB"/>
        </w:rPr>
        <w:t xml:space="preserve">In this subsection I shall first describe the dependent variable, e.g., sovereign bond yield. Then I shall focus on the independent variables that will be used during the analyses </w:t>
      </w:r>
      <w:r>
        <w:rPr>
          <w:rFonts w:ascii="Times New Roman" w:hAnsi="Times New Roman" w:cs="Times New Roman"/>
          <w:sz w:val="24"/>
          <w:lang w:val="en-GB"/>
        </w:rPr>
        <w:lastRenderedPageBreak/>
        <w:t xml:space="preserve">performed in this thesis. Last but not least, I turn to the risk proxies that will account for liquidity risk, credit risk and aggregate/market risk respectively. </w:t>
      </w:r>
    </w:p>
    <w:p w:rsidR="00FA4E73" w:rsidRPr="003C2E1A" w:rsidRDefault="00FA4E73" w:rsidP="00FA4E73">
      <w:pPr>
        <w:spacing w:after="0" w:line="360" w:lineRule="auto"/>
        <w:jc w:val="both"/>
        <w:rPr>
          <w:rFonts w:ascii="Times New Roman" w:hAnsi="Times New Roman" w:cs="Times New Roman"/>
          <w:b/>
          <w:lang w:val="en-GB"/>
        </w:rPr>
      </w:pPr>
    </w:p>
    <w:p w:rsidR="00DD1FDB" w:rsidRPr="003C2E1A" w:rsidRDefault="00DD1FDB" w:rsidP="00DD1FDB">
      <w:pPr>
        <w:spacing w:after="0" w:line="240" w:lineRule="auto"/>
        <w:rPr>
          <w:rFonts w:ascii="Times New Roman" w:hAnsi="Times New Roman" w:cs="Times New Roman"/>
          <w:sz w:val="24"/>
          <w:lang w:val="en-GB"/>
        </w:rPr>
      </w:pPr>
      <w:r w:rsidRPr="003C2E1A">
        <w:rPr>
          <w:rFonts w:ascii="Times New Roman" w:hAnsi="Times New Roman" w:cs="Times New Roman"/>
          <w:sz w:val="24"/>
          <w:lang w:val="en-GB"/>
        </w:rPr>
        <w:t xml:space="preserve">Dependent Variable: </w:t>
      </w:r>
    </w:p>
    <w:p w:rsidR="00DD1FDB" w:rsidRPr="003C2E1A" w:rsidRDefault="00DD1FDB" w:rsidP="00DD1FDB">
      <w:pPr>
        <w:spacing w:after="0" w:line="240" w:lineRule="auto"/>
        <w:rPr>
          <w:rFonts w:ascii="Times New Roman" w:hAnsi="Times New Roman" w:cs="Times New Roman"/>
          <w:sz w:val="24"/>
          <w:lang w:val="en-GB"/>
        </w:rPr>
      </w:pPr>
    </w:p>
    <w:p w:rsidR="00DD1FDB" w:rsidRPr="003C2E1A" w:rsidRDefault="00DD1FDB" w:rsidP="00DD1FDB">
      <w:pPr>
        <w:rPr>
          <w:rFonts w:ascii="Times New Roman" w:hAnsi="Times New Roman" w:cs="Times New Roman"/>
          <w:i/>
          <w:sz w:val="24"/>
          <w:lang w:val="en-GB"/>
        </w:rPr>
      </w:pPr>
      <w:r w:rsidRPr="003C2E1A">
        <w:rPr>
          <w:rFonts w:ascii="Times New Roman" w:hAnsi="Times New Roman" w:cs="Times New Roman"/>
          <w:sz w:val="24"/>
          <w:lang w:val="en-GB"/>
        </w:rPr>
        <w:tab/>
      </w:r>
      <w:r w:rsidRPr="003C2E1A">
        <w:rPr>
          <w:rFonts w:ascii="Times New Roman" w:hAnsi="Times New Roman" w:cs="Times New Roman"/>
          <w:i/>
          <w:sz w:val="24"/>
          <w:lang w:val="en-GB"/>
        </w:rPr>
        <w:t>Sovereign Bond Yield:</w:t>
      </w:r>
    </w:p>
    <w:p w:rsidR="00EA7FB8" w:rsidRPr="003C2E1A" w:rsidRDefault="00DD1FDB" w:rsidP="00EA7FB8">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A sovereign bond</w:t>
      </w:r>
      <w:r w:rsidRPr="003C2E1A">
        <w:rPr>
          <w:rFonts w:ascii="Times New Roman" w:hAnsi="Times New Roman" w:cs="Times New Roman"/>
          <w:b/>
          <w:sz w:val="24"/>
          <w:szCs w:val="24"/>
          <w:lang w:val="en-GB"/>
        </w:rPr>
        <w:t xml:space="preserve"> </w:t>
      </w:r>
      <w:r w:rsidRPr="003C2E1A">
        <w:rPr>
          <w:rFonts w:ascii="Times New Roman" w:hAnsi="Times New Roman" w:cs="Times New Roman"/>
          <w:sz w:val="24"/>
          <w:szCs w:val="24"/>
          <w:lang w:val="en-GB"/>
        </w:rPr>
        <w:t xml:space="preserve">is a fixed-income security or an interest-bearing debt instrument that is issued by the central government of a country. Interest payments, i.e., coupons, are paid out periodically and are guaranteed by the country of origination. Due to the latter, the degree of default risk is deemed lower than that of a municipal bond (issued by municipalities) and corporate bonds (issued by corporations). Similarly, the sovereign bond yield is the return an investor realizes on a government bond. Several types of bond yield exist, though the most common is the nominal yield. A bond’s nominal yield is equal to the annual interest payment divided by the par value of the bond. The current yield concerns the annual interest payments divided by the bond’s current market price. Real bond yields are simply inflation-adjusted. </w:t>
      </w:r>
    </w:p>
    <w:p w:rsidR="00EA7FB8" w:rsidRPr="003C2E1A" w:rsidRDefault="00EA7FB8" w:rsidP="00EA7FB8">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ab/>
        <w:t xml:space="preserve">In this respect, </w:t>
      </w:r>
      <w:r w:rsidR="004552E9">
        <w:rPr>
          <w:rFonts w:ascii="Times New Roman" w:hAnsi="Times New Roman" w:cs="Times New Roman"/>
          <w:sz w:val="24"/>
          <w:szCs w:val="24"/>
          <w:lang w:val="en-GB"/>
        </w:rPr>
        <w:t xml:space="preserve">the sovereign bond yield refers to the long-term interest rate of each respective country for sovereign bonds </w:t>
      </w:r>
      <w:r w:rsidRPr="003C2E1A">
        <w:rPr>
          <w:rFonts w:ascii="Times New Roman" w:hAnsi="Times New Roman" w:cs="Times New Roman"/>
          <w:sz w:val="24"/>
          <w:szCs w:val="24"/>
          <w:lang w:val="en-GB"/>
        </w:rPr>
        <w:t xml:space="preserve">with a 10-year maturity. In this case they originate in Germany, France, Italy, Spain, Belgium, the Netherlands and Greece. Capital repayment is guaranteed by the issuer and by en large by the ECB due to its aggressive bond-purchasing programs. Long term interest rates are oft indicators of corporate investment. Persistently low LR interest rates encourage capital investments, the latter of which is a major drive of future economic growth. </w:t>
      </w:r>
    </w:p>
    <w:p w:rsidR="00DD1FDB" w:rsidRPr="003C2E1A" w:rsidRDefault="00EA7FB8" w:rsidP="00EA7FB8">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ab/>
      </w:r>
      <w:r w:rsidR="00DD1FDB" w:rsidRPr="003C2E1A">
        <w:rPr>
          <w:rFonts w:ascii="Times New Roman" w:hAnsi="Times New Roman" w:cs="Times New Roman"/>
          <w:sz w:val="24"/>
          <w:szCs w:val="24"/>
          <w:lang w:val="en-GB"/>
        </w:rPr>
        <w:t>Even minor bond yield changes can have far-reaching consequences for governments as the cost of borrowing may alter drastically. According to Codogno et al (2003), sovereign yield differentials are viewed as reliable indicators of fiscal unsustainability as viewed by the bond market. Higher sovereign bond yields indicate greater debt service costs for the government involved. Even small increases in government bond yield may have severe implications for a government’s cost of borrowing due to implied amplification. Yield differentials equivalent to 10bps can increase government debt expenditure by more than one-tenth of a percent of GDP per annum</w:t>
      </w:r>
      <w:r w:rsidRPr="003C2E1A">
        <w:rPr>
          <w:rFonts w:ascii="Times New Roman" w:hAnsi="Times New Roman" w:cs="Times New Roman"/>
          <w:sz w:val="24"/>
          <w:szCs w:val="24"/>
          <w:lang w:val="en-GB"/>
        </w:rPr>
        <w:t xml:space="preserve">. </w:t>
      </w:r>
      <w:r w:rsidR="00DD1FDB" w:rsidRPr="003C2E1A">
        <w:rPr>
          <w:rFonts w:ascii="Times New Roman" w:hAnsi="Times New Roman" w:cs="Times New Roman"/>
          <w:sz w:val="24"/>
          <w:szCs w:val="24"/>
          <w:lang w:val="en-GB"/>
        </w:rPr>
        <w:t>For the purpose of this thesis, sovereign bond yields were collected for France, Germany, Italy, Spain</w:t>
      </w:r>
      <w:r w:rsidR="004F2C0E" w:rsidRPr="003C2E1A">
        <w:rPr>
          <w:rFonts w:ascii="Times New Roman" w:hAnsi="Times New Roman" w:cs="Times New Roman"/>
          <w:sz w:val="24"/>
          <w:szCs w:val="24"/>
          <w:lang w:val="en-GB"/>
        </w:rPr>
        <w:t>, Netherlands, Belgium</w:t>
      </w:r>
      <w:r w:rsidR="00DD1FDB" w:rsidRPr="003C2E1A">
        <w:rPr>
          <w:rFonts w:ascii="Times New Roman" w:hAnsi="Times New Roman" w:cs="Times New Roman"/>
          <w:sz w:val="24"/>
          <w:szCs w:val="24"/>
          <w:lang w:val="en-GB"/>
        </w:rPr>
        <w:t xml:space="preserve"> and Gree</w:t>
      </w:r>
      <w:r w:rsidRPr="003C2E1A">
        <w:rPr>
          <w:rFonts w:ascii="Times New Roman" w:hAnsi="Times New Roman" w:cs="Times New Roman"/>
          <w:sz w:val="24"/>
          <w:szCs w:val="24"/>
          <w:lang w:val="en-GB"/>
        </w:rPr>
        <w:t>ce over the period of 01/01/2000</w:t>
      </w:r>
      <w:r w:rsidR="00DD1FDB" w:rsidRPr="003C2E1A">
        <w:rPr>
          <w:rFonts w:ascii="Times New Roman" w:hAnsi="Times New Roman" w:cs="Times New Roman"/>
          <w:sz w:val="24"/>
          <w:szCs w:val="24"/>
          <w:lang w:val="en-GB"/>
        </w:rPr>
        <w:t>-31/12/2014.</w:t>
      </w:r>
    </w:p>
    <w:p w:rsidR="00DD1FDB" w:rsidRDefault="00DD1FDB" w:rsidP="002B2C72">
      <w:pPr>
        <w:autoSpaceDE w:val="0"/>
        <w:autoSpaceDN w:val="0"/>
        <w:adjustRightInd w:val="0"/>
        <w:spacing w:after="0" w:line="360" w:lineRule="auto"/>
        <w:rPr>
          <w:rFonts w:ascii="Times New Roman" w:hAnsi="Times New Roman" w:cs="Times New Roman"/>
          <w:sz w:val="20"/>
          <w:szCs w:val="24"/>
          <w:lang w:val="en-GB"/>
        </w:rPr>
      </w:pPr>
    </w:p>
    <w:p w:rsidR="0057495C" w:rsidRPr="003C2E1A" w:rsidRDefault="0057495C" w:rsidP="002B2C72">
      <w:pPr>
        <w:autoSpaceDE w:val="0"/>
        <w:autoSpaceDN w:val="0"/>
        <w:adjustRightInd w:val="0"/>
        <w:spacing w:after="0" w:line="360" w:lineRule="auto"/>
        <w:rPr>
          <w:rFonts w:ascii="Times New Roman" w:hAnsi="Times New Roman" w:cs="Times New Roman"/>
          <w:sz w:val="20"/>
          <w:szCs w:val="24"/>
          <w:lang w:val="en-GB"/>
        </w:rPr>
      </w:pPr>
    </w:p>
    <w:p w:rsidR="00DD1FDB" w:rsidRPr="003C2E1A" w:rsidRDefault="00DD1FDB" w:rsidP="002B2C72">
      <w:pPr>
        <w:autoSpaceDE w:val="0"/>
        <w:autoSpaceDN w:val="0"/>
        <w:adjustRightInd w:val="0"/>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lastRenderedPageBreak/>
        <w:t>Independent Variables:</w:t>
      </w:r>
    </w:p>
    <w:p w:rsidR="00DD1FDB" w:rsidRPr="003C2E1A" w:rsidRDefault="00DD1FDB" w:rsidP="00DD1FDB">
      <w:pPr>
        <w:autoSpaceDE w:val="0"/>
        <w:autoSpaceDN w:val="0"/>
        <w:adjustRightInd w:val="0"/>
        <w:spacing w:after="0" w:line="240" w:lineRule="auto"/>
        <w:rPr>
          <w:rFonts w:ascii="Times New Roman" w:hAnsi="Times New Roman" w:cs="Times New Roman"/>
          <w:sz w:val="24"/>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sz w:val="24"/>
          <w:szCs w:val="24"/>
          <w:lang w:val="en-GB"/>
        </w:rPr>
        <w:tab/>
      </w:r>
      <w:r w:rsidRPr="003C2E1A">
        <w:rPr>
          <w:rFonts w:ascii="Times New Roman" w:hAnsi="Times New Roman" w:cs="Times New Roman"/>
          <w:i/>
          <w:sz w:val="24"/>
          <w:szCs w:val="24"/>
          <w:lang w:val="en-GB"/>
        </w:rPr>
        <w:t>Debt-to-GDP Ratio</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It is the ratio of a country’s national outstanding debt compared to its GDP, indicative of the country’s ability to fulfil its current and future external debt service obligations without recourse to debt refinancing needs and without sacrificing economic growth. Thus the debt-to-GDP ratio is oft viewed as a debt sustainability or financial leverage parameter</w:t>
      </w:r>
      <w:r w:rsidR="00881F57" w:rsidRPr="003C2E1A">
        <w:rPr>
          <w:rStyle w:val="FootnoteReference"/>
          <w:rFonts w:ascii="Times New Roman" w:hAnsi="Times New Roman" w:cs="Times New Roman"/>
          <w:sz w:val="24"/>
          <w:szCs w:val="24"/>
          <w:lang w:val="en-GB"/>
        </w:rPr>
        <w:footnoteReference w:id="25"/>
      </w:r>
      <w:r w:rsidRPr="003C2E1A">
        <w:rPr>
          <w:rFonts w:ascii="Times New Roman" w:hAnsi="Times New Roman" w:cs="Times New Roman"/>
          <w:sz w:val="24"/>
          <w:szCs w:val="24"/>
          <w:lang w:val="en-GB"/>
        </w:rPr>
        <w:t xml:space="preserve">. If the ratio rises too much, then the country may find it difficult to pay off its external debts and creditors will demand high risk premiums due to excessive default risk. Debt-to-GDP ratio has also been cited as one of the Convergence Criteria under the Maastricht Treaty, i.e., debt-to-GDP ratio &lt; 60%. </w:t>
      </w:r>
    </w:p>
    <w:p w:rsidR="002B2C72" w:rsidRPr="003C2E1A" w:rsidRDefault="002B2C72" w:rsidP="00DD1FDB">
      <w:pPr>
        <w:pStyle w:val="ListParagraph"/>
        <w:autoSpaceDE w:val="0"/>
        <w:autoSpaceDN w:val="0"/>
        <w:adjustRightInd w:val="0"/>
        <w:spacing w:after="0" w:line="360" w:lineRule="auto"/>
        <w:ind w:left="709"/>
        <w:rPr>
          <w:rFonts w:ascii="Times New Roman" w:hAnsi="Times New Roman" w:cs="Times New Roman"/>
          <w:sz w:val="24"/>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Real GDP</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Real Gross Domestic Product is an inflation-adjusted indicator of the market valuation of final goods and services produced by a country during a specific time period. It is often utilized as an indicator of the standard of living within a nation. Nominal GDP within the Euro area is adjusted for inflation via the Harmonised Index of Consumer Prices (HICP), which is based on a selected basket of goods and compiled by Eurostat. In this case real GDP will be measured on a monthly basis. Both HICP and real GDP serve as a guiding tool for the ECBs formulation of its monetary policy.</w:t>
      </w: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sz w:val="24"/>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Real GDP Growth Rate</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Also referred to as the real economic growth rate, which measure</w:t>
      </w:r>
      <w:r w:rsidR="007E6A69">
        <w:rPr>
          <w:rFonts w:ascii="Times New Roman" w:hAnsi="Times New Roman" w:cs="Times New Roman"/>
          <w:sz w:val="24"/>
          <w:szCs w:val="24"/>
          <w:lang w:val="en-GB"/>
        </w:rPr>
        <w:t>s</w:t>
      </w:r>
      <w:r w:rsidRPr="003C2E1A">
        <w:rPr>
          <w:rFonts w:ascii="Times New Roman" w:hAnsi="Times New Roman" w:cs="Times New Roman"/>
          <w:sz w:val="24"/>
          <w:szCs w:val="24"/>
          <w:lang w:val="en-GB"/>
        </w:rPr>
        <w:t xml:space="preserve"> the rate of change of a nation’s GDP from one period to the next. According to consensus, 2.5-3% real GDP growth per annum is the most economically viable. It ensures healthy economic growth, a sustainable unemployment rate and only mild inflationary pressure. Real GDP growth rate is also used to indicate when an economic recession has occurred, i.e., two consecutive quarters of negative GDP growth. </w:t>
      </w: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sz w:val="24"/>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Real Effective Exchange Rate</w:t>
      </w:r>
    </w:p>
    <w:p w:rsidR="008B64A0" w:rsidRPr="003C2E1A" w:rsidRDefault="00DD1FDB" w:rsidP="00661997">
      <w:pPr>
        <w:pStyle w:val="ListParagraph"/>
        <w:autoSpaceDE w:val="0"/>
        <w:autoSpaceDN w:val="0"/>
        <w:adjustRightInd w:val="0"/>
        <w:spacing w:after="0" w:line="360" w:lineRule="auto"/>
        <w:ind w:left="0"/>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 xml:space="preserve">The REER is calculated monthly for each country under consideration as the inflation-adjusted geometric weighted-average of bilateral exchange rates with 34 OECD and 15 non-OECD countries. The base year of the index is 2005. REER indicates a country or region’s </w:t>
      </w:r>
      <w:r w:rsidRPr="003C2E1A">
        <w:rPr>
          <w:rFonts w:ascii="Times New Roman" w:eastAsiaTheme="minorEastAsia" w:hAnsi="Times New Roman" w:cs="Times New Roman"/>
          <w:sz w:val="24"/>
          <w:lang w:val="en-GB"/>
        </w:rPr>
        <w:lastRenderedPageBreak/>
        <w:t xml:space="preserve">external competitiveness in terms of exports and imports vis-à-vis its major trading partners. Intra-EA18 trade alongside trade with non-euro area EU member states makes up nearly 70% of total exports in the region; indicative of a regional trade integration that is </w:t>
      </w:r>
      <w:r w:rsidR="004F2C0E" w:rsidRPr="003C2E1A">
        <w:rPr>
          <w:rFonts w:ascii="Times New Roman" w:eastAsiaTheme="minorEastAsia" w:hAnsi="Times New Roman" w:cs="Times New Roman"/>
          <w:sz w:val="24"/>
          <w:lang w:val="en-GB"/>
        </w:rPr>
        <w:t>unrivalled</w:t>
      </w:r>
      <w:r w:rsidRPr="003C2E1A">
        <w:rPr>
          <w:rFonts w:ascii="Times New Roman" w:eastAsiaTheme="minorEastAsia" w:hAnsi="Times New Roman" w:cs="Times New Roman"/>
          <w:sz w:val="24"/>
          <w:lang w:val="en-GB"/>
        </w:rPr>
        <w:t xml:space="preserve"> by any of the major country blocks in the world. Trade of intra-EA and other EU member states vis-à-vis the outside world accounts for just over 10% of total world trade. </w:t>
      </w:r>
    </w:p>
    <w:p w:rsidR="008B64A0" w:rsidRPr="003C2E1A" w:rsidRDefault="008B64A0" w:rsidP="00DD1FDB">
      <w:pPr>
        <w:pStyle w:val="ListParagraph"/>
        <w:autoSpaceDE w:val="0"/>
        <w:autoSpaceDN w:val="0"/>
        <w:adjustRightInd w:val="0"/>
        <w:spacing w:after="0" w:line="360" w:lineRule="auto"/>
        <w:ind w:left="709"/>
        <w:rPr>
          <w:rFonts w:ascii="Times New Roman" w:eastAsiaTheme="minorEastAsia" w:hAnsi="Times New Roman" w:cs="Times New Roman"/>
          <w:sz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Government Budget Balance Ratio</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The government’s budget balance is equal to the government receipts minus its total government disbursements, also referred to as net lending. The ratio is equal to the government budget balance divided by GDP. If the ratio increases, we expect sovereign bond yield to be reduced due to the government budgetary balance surplus.  </w:t>
      </w:r>
    </w:p>
    <w:p w:rsidR="002B2C72" w:rsidRPr="003C2E1A" w:rsidRDefault="002B2C72" w:rsidP="00DD1FDB">
      <w:pPr>
        <w:pStyle w:val="ListParagraph"/>
        <w:autoSpaceDE w:val="0"/>
        <w:autoSpaceDN w:val="0"/>
        <w:adjustRightInd w:val="0"/>
        <w:spacing w:after="0" w:line="360" w:lineRule="auto"/>
        <w:ind w:left="709"/>
        <w:rPr>
          <w:rFonts w:ascii="Times New Roman" w:hAnsi="Times New Roman" w:cs="Times New Roman"/>
          <w:sz w:val="24"/>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Current Account Balance Ratio</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The CAB is equal to the trade balance, net income from abroad and net current transfers. If CAB &gt; 0, then the nation is a net lender and thus it accumulates foreign assets by the amou</w:t>
      </w:r>
      <w:r w:rsidR="004F2C0E" w:rsidRPr="003C2E1A">
        <w:rPr>
          <w:rFonts w:ascii="Times New Roman" w:hAnsi="Times New Roman" w:cs="Times New Roman"/>
          <w:sz w:val="24"/>
          <w:szCs w:val="24"/>
          <w:lang w:val="en-GB"/>
        </w:rPr>
        <w:t xml:space="preserve">nt of the surplus. Conversely, some </w:t>
      </w:r>
      <w:r w:rsidRPr="003C2E1A">
        <w:rPr>
          <w:rFonts w:ascii="Times New Roman" w:hAnsi="Times New Roman" w:cs="Times New Roman"/>
          <w:sz w:val="24"/>
          <w:szCs w:val="24"/>
          <w:lang w:val="en-GB"/>
        </w:rPr>
        <w:t>advanced economies</w:t>
      </w:r>
      <w:r w:rsidR="004F2C0E" w:rsidRPr="003C2E1A">
        <w:rPr>
          <w:rFonts w:ascii="Times New Roman" w:hAnsi="Times New Roman" w:cs="Times New Roman"/>
          <w:sz w:val="24"/>
          <w:szCs w:val="24"/>
          <w:lang w:val="en-GB"/>
        </w:rPr>
        <w:t>, e.g., the United Kingdom, Spain and Portugal,</w:t>
      </w:r>
      <w:r w:rsidR="00F640AA" w:rsidRPr="003C2E1A">
        <w:rPr>
          <w:rFonts w:ascii="Times New Roman" w:hAnsi="Times New Roman" w:cs="Times New Roman"/>
          <w:sz w:val="24"/>
          <w:szCs w:val="24"/>
          <w:lang w:val="en-GB"/>
        </w:rPr>
        <w:t xml:space="preserve"> until recently </w:t>
      </w:r>
      <w:r w:rsidRPr="003C2E1A">
        <w:rPr>
          <w:rFonts w:ascii="Times New Roman" w:hAnsi="Times New Roman" w:cs="Times New Roman"/>
          <w:sz w:val="24"/>
          <w:szCs w:val="24"/>
          <w:lang w:val="en-GB"/>
        </w:rPr>
        <w:t>suffer</w:t>
      </w:r>
      <w:r w:rsidR="00F640AA" w:rsidRPr="003C2E1A">
        <w:rPr>
          <w:rFonts w:ascii="Times New Roman" w:hAnsi="Times New Roman" w:cs="Times New Roman"/>
          <w:sz w:val="24"/>
          <w:szCs w:val="24"/>
          <w:lang w:val="en-GB"/>
        </w:rPr>
        <w:t>ed</w:t>
      </w:r>
      <w:r w:rsidRPr="003C2E1A">
        <w:rPr>
          <w:rFonts w:ascii="Times New Roman" w:hAnsi="Times New Roman" w:cs="Times New Roman"/>
          <w:sz w:val="24"/>
          <w:szCs w:val="24"/>
          <w:lang w:val="en-GB"/>
        </w:rPr>
        <w:t xml:space="preserve"> from chronic current account deficits (CAB &lt; 0) that may </w:t>
      </w:r>
      <w:r w:rsidR="00F640AA" w:rsidRPr="003C2E1A">
        <w:rPr>
          <w:rFonts w:ascii="Times New Roman" w:hAnsi="Times New Roman" w:cs="Times New Roman"/>
          <w:sz w:val="24"/>
          <w:szCs w:val="24"/>
          <w:lang w:val="en-GB"/>
        </w:rPr>
        <w:t xml:space="preserve">have </w:t>
      </w:r>
      <w:r w:rsidRPr="003C2E1A">
        <w:rPr>
          <w:rFonts w:ascii="Times New Roman" w:hAnsi="Times New Roman" w:cs="Times New Roman"/>
          <w:sz w:val="24"/>
          <w:szCs w:val="24"/>
          <w:lang w:val="en-GB"/>
        </w:rPr>
        <w:t>become pivotal for investors during periods of economic uncertainty.</w:t>
      </w:r>
      <w:r w:rsidR="00F11C52" w:rsidRPr="003C2E1A">
        <w:rPr>
          <w:rStyle w:val="FootnoteReference"/>
          <w:rFonts w:ascii="Times New Roman" w:hAnsi="Times New Roman" w:cs="Times New Roman"/>
          <w:sz w:val="24"/>
          <w:szCs w:val="24"/>
          <w:lang w:val="en-GB"/>
        </w:rPr>
        <w:footnoteReference w:id="26"/>
      </w:r>
      <w:r w:rsidRPr="003C2E1A">
        <w:rPr>
          <w:rFonts w:ascii="Times New Roman" w:hAnsi="Times New Roman" w:cs="Times New Roman"/>
          <w:sz w:val="24"/>
          <w:szCs w:val="24"/>
          <w:lang w:val="en-GB"/>
        </w:rPr>
        <w:t xml:space="preserve"> The CAB ratio is equal to the CAB divided by the nation’s GDP. As the CAB ratio improves, then we expect sovereign bond yields to fall due to reduced associated sovereign default risk. </w:t>
      </w:r>
    </w:p>
    <w:p w:rsidR="00DD1FDB" w:rsidRPr="003C2E1A" w:rsidRDefault="00F640AA" w:rsidP="00F640AA">
      <w:pPr>
        <w:pStyle w:val="ListParagraph"/>
        <w:autoSpaceDE w:val="0"/>
        <w:autoSpaceDN w:val="0"/>
        <w:adjustRightInd w:val="0"/>
        <w:spacing w:after="0" w:line="360" w:lineRule="auto"/>
        <w:ind w:left="0"/>
        <w:rPr>
          <w:rFonts w:ascii="Times New Roman" w:hAnsi="Times New Roman" w:cs="Times New Roman"/>
          <w:sz w:val="24"/>
          <w:lang w:val="en-GB"/>
        </w:rPr>
      </w:pPr>
      <w:r w:rsidRPr="003C2E1A">
        <w:rPr>
          <w:rFonts w:ascii="Times New Roman" w:hAnsi="Times New Roman" w:cs="Times New Roman"/>
          <w:sz w:val="24"/>
          <w:szCs w:val="24"/>
          <w:lang w:val="en-GB"/>
        </w:rPr>
        <w:tab/>
      </w:r>
      <w:r w:rsidR="00DD1FDB" w:rsidRPr="003C2E1A">
        <w:rPr>
          <w:rFonts w:ascii="Times New Roman" w:hAnsi="Times New Roman" w:cs="Times New Roman"/>
          <w:sz w:val="24"/>
          <w:szCs w:val="24"/>
          <w:lang w:val="en-GB"/>
        </w:rPr>
        <w:t xml:space="preserve">“Twin deficit debacles”, i.e., a nation has both a current account deficit and a government budget deficit, can curb a nation’s economic growth. Partly due to the elevated cost of borrowing for the government and partly due to fiscal and monetary automatic stabilizers incorporated in the financial system. Similarly, the aftermath of economic recessions and financial crises is oft typified by large-scale and prolonged </w:t>
      </w:r>
      <w:r w:rsidR="00DD1FDB" w:rsidRPr="003C2E1A">
        <w:rPr>
          <w:rFonts w:ascii="Times New Roman" w:hAnsi="Times New Roman" w:cs="Times New Roman"/>
          <w:sz w:val="24"/>
          <w:lang w:val="en-GB"/>
        </w:rPr>
        <w:t xml:space="preserve">current account adjustments. </w:t>
      </w: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sz w:val="20"/>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 xml:space="preserve">Inflation Rate </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A country’s inflation is measured via the Consumer Price Index (CPI) of each respective country under consideration. CPI tracks changes in general price level of a representative basket of consumer goods and services purchased by households. If inflation rises above the nominal interest rate, then real interest rates will be negative as can easily be gleaned from the Fisher Equation: </w:t>
      </w:r>
      <m:oMath>
        <m:d>
          <m:dPr>
            <m:ctrlPr>
              <w:rPr>
                <w:rFonts w:ascii="Cambria Math" w:hAnsi="Cambria Math" w:cs="Times New Roman"/>
                <w:i/>
                <w:sz w:val="20"/>
                <w:szCs w:val="24"/>
                <w:lang w:val="en-GB"/>
              </w:rPr>
            </m:ctrlPr>
          </m:dPr>
          <m:e>
            <m:r>
              <w:rPr>
                <w:rFonts w:ascii="Cambria Math" w:hAnsi="Cambria Math" w:cs="Times New Roman"/>
                <w:sz w:val="20"/>
                <w:szCs w:val="24"/>
                <w:lang w:val="en-GB"/>
              </w:rPr>
              <m:t>1+</m:t>
            </m:r>
            <m:sSub>
              <m:sSubPr>
                <m:ctrlPr>
                  <w:rPr>
                    <w:rFonts w:ascii="Cambria Math" w:hAnsi="Cambria Math" w:cs="Times New Roman"/>
                    <w:i/>
                    <w:sz w:val="20"/>
                    <w:szCs w:val="24"/>
                    <w:lang w:val="en-GB"/>
                  </w:rPr>
                </m:ctrlPr>
              </m:sSubPr>
              <m:e>
                <m:r>
                  <w:rPr>
                    <w:rFonts w:ascii="Cambria Math" w:hAnsi="Cambria Math" w:cs="Times New Roman"/>
                    <w:sz w:val="20"/>
                    <w:szCs w:val="24"/>
                    <w:lang w:val="en-GB"/>
                  </w:rPr>
                  <m:t>R</m:t>
                </m:r>
              </m:e>
              <m:sub>
                <m:r>
                  <w:rPr>
                    <w:rFonts w:ascii="Cambria Math" w:hAnsi="Cambria Math" w:cs="Times New Roman"/>
                    <w:sz w:val="20"/>
                    <w:szCs w:val="24"/>
                    <w:lang w:val="en-GB"/>
                  </w:rPr>
                  <m:t>nominal</m:t>
                </m:r>
              </m:sub>
            </m:sSub>
          </m:e>
        </m:d>
        <m:r>
          <w:rPr>
            <w:rFonts w:ascii="Cambria Math" w:hAnsi="Cambria Math" w:cs="Times New Roman"/>
            <w:sz w:val="20"/>
            <w:szCs w:val="24"/>
            <w:lang w:val="en-GB"/>
          </w:rPr>
          <m:t>=</m:t>
        </m:r>
        <m:d>
          <m:dPr>
            <m:ctrlPr>
              <w:rPr>
                <w:rFonts w:ascii="Cambria Math" w:hAnsi="Cambria Math" w:cs="Times New Roman"/>
                <w:i/>
                <w:sz w:val="20"/>
                <w:szCs w:val="24"/>
                <w:lang w:val="en-GB"/>
              </w:rPr>
            </m:ctrlPr>
          </m:dPr>
          <m:e>
            <m:r>
              <w:rPr>
                <w:rFonts w:ascii="Cambria Math" w:hAnsi="Cambria Math" w:cs="Times New Roman"/>
                <w:sz w:val="20"/>
                <w:szCs w:val="24"/>
                <w:lang w:val="en-GB"/>
              </w:rPr>
              <m:t>1+π</m:t>
            </m:r>
          </m:e>
        </m:d>
        <m:d>
          <m:dPr>
            <m:ctrlPr>
              <w:rPr>
                <w:rFonts w:ascii="Cambria Math" w:hAnsi="Cambria Math" w:cs="Times New Roman"/>
                <w:i/>
                <w:sz w:val="20"/>
                <w:szCs w:val="24"/>
                <w:lang w:val="en-GB"/>
              </w:rPr>
            </m:ctrlPr>
          </m:dPr>
          <m:e>
            <m:r>
              <w:rPr>
                <w:rFonts w:ascii="Cambria Math" w:hAnsi="Cambria Math" w:cs="Times New Roman"/>
                <w:sz w:val="20"/>
                <w:szCs w:val="24"/>
                <w:lang w:val="en-GB"/>
              </w:rPr>
              <m:t>1+</m:t>
            </m:r>
            <m:sSub>
              <m:sSubPr>
                <m:ctrlPr>
                  <w:rPr>
                    <w:rFonts w:ascii="Cambria Math" w:hAnsi="Cambria Math" w:cs="Times New Roman"/>
                    <w:i/>
                    <w:sz w:val="20"/>
                    <w:szCs w:val="24"/>
                    <w:lang w:val="en-GB"/>
                  </w:rPr>
                </m:ctrlPr>
              </m:sSubPr>
              <m:e>
                <m:r>
                  <w:rPr>
                    <w:rFonts w:ascii="Cambria Math" w:hAnsi="Cambria Math" w:cs="Times New Roman"/>
                    <w:sz w:val="20"/>
                    <w:szCs w:val="24"/>
                    <w:lang w:val="en-GB"/>
                  </w:rPr>
                  <m:t>R</m:t>
                </m:r>
              </m:e>
              <m:sub>
                <m:r>
                  <w:rPr>
                    <w:rFonts w:ascii="Cambria Math" w:hAnsi="Cambria Math" w:cs="Times New Roman"/>
                    <w:sz w:val="20"/>
                    <w:szCs w:val="24"/>
                    <w:lang w:val="en-GB"/>
                  </w:rPr>
                  <m:t>real</m:t>
                </m:r>
              </m:sub>
            </m:sSub>
          </m:e>
        </m:d>
      </m:oMath>
      <w:r w:rsidR="00F640AA" w:rsidRPr="003C2E1A">
        <w:rPr>
          <w:rFonts w:ascii="Times New Roman" w:eastAsiaTheme="minorEastAsia" w:hAnsi="Times New Roman" w:cs="Times New Roman"/>
          <w:sz w:val="20"/>
          <w:szCs w:val="24"/>
          <w:lang w:val="en-GB"/>
        </w:rPr>
        <w:t>.</w:t>
      </w:r>
    </w:p>
    <w:p w:rsidR="00DD1FDB" w:rsidRPr="003C2E1A" w:rsidRDefault="00F640AA"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lastRenderedPageBreak/>
        <w:tab/>
      </w:r>
      <w:r w:rsidR="00DD1FDB" w:rsidRPr="003C2E1A">
        <w:rPr>
          <w:rFonts w:ascii="Times New Roman" w:hAnsi="Times New Roman" w:cs="Times New Roman"/>
          <w:sz w:val="24"/>
          <w:szCs w:val="24"/>
          <w:lang w:val="en-GB"/>
        </w:rPr>
        <w:t xml:space="preserve">Inflation reduces the real burden of fixed-rate debt and principal repayments and for most advanced economies the target inflation rate is near the 2% mark. Conversely, prolonged periods of deflation may cripple an economy as consumers delay purchases due to lower price expectations in the near-future (note that more than 50% of any advanced economy is consumer-driven), bank lending drops sharply due to slashed interest rates and the economy may end up in a ‘liquidity trap’, e.g., occurs in an environment of low (in this case negative) interest rates where monetary policy is rendered ineffective in terms of its ability to stimulate consumer spending and investment. As inflation rises, bond investors anticipate a hike in interest rates (as interest rate rises, then bond price falls) and thus are dissuaded from holding vast positions in (sovereign) bonds. </w:t>
      </w:r>
    </w:p>
    <w:p w:rsidR="002B2C72" w:rsidRPr="003C2E1A" w:rsidRDefault="002B2C72"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p>
    <w:p w:rsidR="002B2C72" w:rsidRPr="003C2E1A" w:rsidRDefault="00DD1FDB" w:rsidP="002B2C72">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 xml:space="preserve">Expected Inflation </w:t>
      </w:r>
    </w:p>
    <w:p w:rsidR="00DD1FDB" w:rsidRPr="003C2E1A" w:rsidRDefault="00DD1FDB" w:rsidP="002B2C72">
      <w:pPr>
        <w:pStyle w:val="ListParagraph"/>
        <w:autoSpaceDE w:val="0"/>
        <w:autoSpaceDN w:val="0"/>
        <w:adjustRightInd w:val="0"/>
        <w:spacing w:after="0" w:line="360" w:lineRule="auto"/>
        <w:ind w:left="0"/>
        <w:rPr>
          <w:rFonts w:ascii="Times New Roman" w:hAnsi="Times New Roman" w:cs="Times New Roman"/>
          <w:i/>
          <w:sz w:val="24"/>
          <w:szCs w:val="24"/>
          <w:lang w:val="en-GB"/>
        </w:rPr>
      </w:pPr>
      <w:r w:rsidRPr="003C2E1A">
        <w:rPr>
          <w:rFonts w:ascii="Times New Roman" w:hAnsi="Times New Roman" w:cs="Times New Roman"/>
          <w:sz w:val="24"/>
          <w:szCs w:val="24"/>
          <w:lang w:val="en-GB"/>
        </w:rPr>
        <w:t xml:space="preserve">Expected Inflation is simply calculated by taking the current inflation rate and adjusting it via the Moving Average Method. In this case the moving average will be based on the 3 periods preceding the actual inflation rate, i.e., 3 months or one quarter of a year. The effect of a rise in expected inflation on sovereign bond yields will depend on the starting point of price levels, i.e., are we currently experiencing deflation, disinflation or inflation? </w:t>
      </w: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sz w:val="24"/>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Nominal Short-Run Interest Rate</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The nominal SR interest rate refers to the money market rate, in this case the 3-month EURIBOR (European Interbank Offered Rate). It is the rate at which interbank lending occurs between banks belonging to the ECB Lending and Deposit System, i.e., the Eurozone members, for any shortage or excess of liquidity. The SR interest rate is set exogenously by the ECB; currently it stands at -0.014%</w:t>
      </w:r>
      <w:r w:rsidRPr="003C2E1A">
        <w:rPr>
          <w:rStyle w:val="FootnoteReference"/>
          <w:rFonts w:ascii="Times New Roman" w:hAnsi="Times New Roman" w:cs="Times New Roman"/>
          <w:sz w:val="24"/>
          <w:szCs w:val="24"/>
          <w:lang w:val="en-GB"/>
        </w:rPr>
        <w:footnoteReference w:id="27"/>
      </w:r>
      <w:r w:rsidRPr="003C2E1A">
        <w:rPr>
          <w:rFonts w:ascii="Times New Roman" w:hAnsi="Times New Roman" w:cs="Times New Roman"/>
          <w:sz w:val="24"/>
          <w:szCs w:val="24"/>
          <w:lang w:val="en-GB"/>
        </w:rPr>
        <w:t>.</w:t>
      </w: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sz w:val="24"/>
          <w:szCs w:val="24"/>
          <w:lang w:val="en-GB"/>
        </w:rPr>
      </w:pP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Change in Government Debt Ratio</w:t>
      </w:r>
    </w:p>
    <w:p w:rsidR="00DD1FDB" w:rsidRPr="003C2E1A" w:rsidRDefault="00DD1FDB" w:rsidP="00F640AA">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Government debt refers to the entire stock of direct sovereign fixed-term contractual obligations outstanding at a particular date. These include domestic and foreign liabilities consisting of currency and money deposits, debt securities and loans. Concisely, it is the gross amount of government liabilities minus equity and financial derivatives currently in possession of a national government. The change in government debt ratio is equal to:</w:t>
      </w:r>
    </w:p>
    <w:p w:rsidR="00DD1FDB" w:rsidRPr="003C2E1A" w:rsidRDefault="00DD1FDB" w:rsidP="00DD1FDB">
      <w:pPr>
        <w:pStyle w:val="ListParagraph"/>
        <w:autoSpaceDE w:val="0"/>
        <w:autoSpaceDN w:val="0"/>
        <w:adjustRightInd w:val="0"/>
        <w:spacing w:after="0" w:line="360" w:lineRule="auto"/>
        <w:ind w:left="709"/>
        <w:rPr>
          <w:rFonts w:ascii="Times New Roman" w:hAnsi="Times New Roman" w:cs="Times New Roman"/>
          <w:sz w:val="8"/>
          <w:szCs w:val="24"/>
          <w:lang w:val="en-GB"/>
        </w:rPr>
      </w:pPr>
    </w:p>
    <w:p w:rsidR="00DD1FDB" w:rsidRPr="003C2E1A" w:rsidRDefault="00DD1FDB" w:rsidP="00DD1FDB">
      <w:pPr>
        <w:pStyle w:val="ListParagraph"/>
        <w:autoSpaceDE w:val="0"/>
        <w:autoSpaceDN w:val="0"/>
        <w:adjustRightInd w:val="0"/>
        <w:spacing w:after="0" w:line="360" w:lineRule="auto"/>
        <w:ind w:left="-142"/>
        <w:rPr>
          <w:rFonts w:ascii="Times New Roman" w:eastAsiaTheme="minorEastAsia" w:hAnsi="Times New Roman" w:cs="Times New Roman"/>
          <w:sz w:val="20"/>
          <w:szCs w:val="24"/>
          <w:lang w:val="en-GB"/>
        </w:rPr>
      </w:pPr>
      <m:oMathPara>
        <m:oMathParaPr>
          <m:jc m:val="center"/>
        </m:oMathParaPr>
        <m:oMath>
          <m:r>
            <w:rPr>
              <w:rFonts w:ascii="Cambria Math" w:eastAsiaTheme="minorEastAsia" w:hAnsi="Cambria Math" w:cs="Times New Roman"/>
              <w:sz w:val="20"/>
              <w:szCs w:val="24"/>
              <w:lang w:val="en-GB"/>
            </w:rPr>
            <m:t>∆GDR=</m:t>
          </m:r>
          <m:d>
            <m:dPr>
              <m:ctrlPr>
                <w:rPr>
                  <w:rFonts w:ascii="Cambria Math" w:hAnsi="Cambria Math" w:cs="Times New Roman"/>
                  <w:i/>
                  <w:sz w:val="20"/>
                  <w:szCs w:val="24"/>
                  <w:lang w:val="en-GB"/>
                </w:rPr>
              </m:ctrlPr>
            </m:dPr>
            <m:e>
              <m:f>
                <m:fPr>
                  <m:ctrlPr>
                    <w:rPr>
                      <w:rFonts w:ascii="Cambria Math" w:hAnsi="Cambria Math" w:cs="Times New Roman"/>
                      <w:i/>
                      <w:sz w:val="20"/>
                      <w:szCs w:val="24"/>
                      <w:lang w:val="en-GB"/>
                    </w:rPr>
                  </m:ctrlPr>
                </m:fPr>
                <m:num>
                  <m:sSub>
                    <m:sSubPr>
                      <m:ctrlPr>
                        <w:rPr>
                          <w:rFonts w:ascii="Cambria Math" w:hAnsi="Cambria Math" w:cs="Times New Roman"/>
                          <w:i/>
                          <w:sz w:val="20"/>
                          <w:szCs w:val="24"/>
                          <w:lang w:val="en-GB"/>
                        </w:rPr>
                      </m:ctrlPr>
                    </m:sSubPr>
                    <m:e>
                      <m:r>
                        <w:rPr>
                          <w:rFonts w:ascii="Cambria Math" w:hAnsi="Cambria Math" w:cs="Times New Roman"/>
                          <w:sz w:val="20"/>
                          <w:szCs w:val="24"/>
                          <w:lang w:val="en-GB"/>
                        </w:rPr>
                        <m:t>gross government debt</m:t>
                      </m:r>
                    </m:e>
                    <m:sub>
                      <m:r>
                        <w:rPr>
                          <w:rFonts w:ascii="Cambria Math" w:hAnsi="Cambria Math" w:cs="Times New Roman"/>
                          <w:sz w:val="20"/>
                          <w:szCs w:val="24"/>
                          <w:lang w:val="en-GB"/>
                        </w:rPr>
                        <m:t>t</m:t>
                      </m:r>
                    </m:sub>
                  </m:sSub>
                </m:num>
                <m:den>
                  <m:sSub>
                    <m:sSubPr>
                      <m:ctrlPr>
                        <w:rPr>
                          <w:rFonts w:ascii="Cambria Math" w:hAnsi="Cambria Math" w:cs="Times New Roman"/>
                          <w:i/>
                          <w:sz w:val="20"/>
                          <w:szCs w:val="24"/>
                          <w:lang w:val="en-GB"/>
                        </w:rPr>
                      </m:ctrlPr>
                    </m:sSubPr>
                    <m:e>
                      <m:r>
                        <w:rPr>
                          <w:rFonts w:ascii="Cambria Math" w:hAnsi="Cambria Math" w:cs="Times New Roman"/>
                          <w:sz w:val="20"/>
                          <w:szCs w:val="24"/>
                          <w:lang w:val="en-GB"/>
                        </w:rPr>
                        <m:t>total debt originating in a single nation</m:t>
                      </m:r>
                    </m:e>
                    <m:sub>
                      <m:r>
                        <w:rPr>
                          <w:rFonts w:ascii="Cambria Math" w:hAnsi="Cambria Math" w:cs="Times New Roman"/>
                          <w:sz w:val="20"/>
                          <w:szCs w:val="24"/>
                          <w:lang w:val="en-GB"/>
                        </w:rPr>
                        <m:t>t</m:t>
                      </m:r>
                    </m:sub>
                  </m:sSub>
                </m:den>
              </m:f>
            </m:e>
          </m:d>
          <m:r>
            <w:rPr>
              <w:rFonts w:ascii="Cambria Math" w:hAnsi="Cambria Math" w:cs="Times New Roman"/>
              <w:sz w:val="20"/>
              <w:szCs w:val="24"/>
              <w:lang w:val="en-GB"/>
            </w:rPr>
            <m:t>-</m:t>
          </m:r>
          <m:d>
            <m:dPr>
              <m:ctrlPr>
                <w:rPr>
                  <w:rFonts w:ascii="Cambria Math" w:hAnsi="Cambria Math" w:cs="Times New Roman"/>
                  <w:i/>
                  <w:sz w:val="20"/>
                  <w:szCs w:val="24"/>
                  <w:lang w:val="en-GB"/>
                </w:rPr>
              </m:ctrlPr>
            </m:dPr>
            <m:e>
              <m:f>
                <m:fPr>
                  <m:ctrlPr>
                    <w:rPr>
                      <w:rFonts w:ascii="Cambria Math" w:hAnsi="Cambria Math" w:cs="Times New Roman"/>
                      <w:i/>
                      <w:sz w:val="20"/>
                      <w:szCs w:val="24"/>
                      <w:lang w:val="en-GB"/>
                    </w:rPr>
                  </m:ctrlPr>
                </m:fPr>
                <m:num>
                  <m:sSub>
                    <m:sSubPr>
                      <m:ctrlPr>
                        <w:rPr>
                          <w:rFonts w:ascii="Cambria Math" w:hAnsi="Cambria Math" w:cs="Times New Roman"/>
                          <w:i/>
                          <w:sz w:val="20"/>
                          <w:szCs w:val="24"/>
                          <w:lang w:val="en-GB"/>
                        </w:rPr>
                      </m:ctrlPr>
                    </m:sSubPr>
                    <m:e>
                      <m:r>
                        <w:rPr>
                          <w:rFonts w:ascii="Cambria Math" w:hAnsi="Cambria Math" w:cs="Times New Roman"/>
                          <w:sz w:val="20"/>
                          <w:szCs w:val="24"/>
                          <w:lang w:val="en-GB"/>
                        </w:rPr>
                        <m:t>gross government debt</m:t>
                      </m:r>
                    </m:e>
                    <m:sub>
                      <m:r>
                        <w:rPr>
                          <w:rFonts w:ascii="Cambria Math" w:hAnsi="Cambria Math" w:cs="Times New Roman"/>
                          <w:sz w:val="20"/>
                          <w:szCs w:val="24"/>
                          <w:lang w:val="en-GB"/>
                        </w:rPr>
                        <m:t>t-1</m:t>
                      </m:r>
                    </m:sub>
                  </m:sSub>
                </m:num>
                <m:den>
                  <m:sSub>
                    <m:sSubPr>
                      <m:ctrlPr>
                        <w:rPr>
                          <w:rFonts w:ascii="Cambria Math" w:hAnsi="Cambria Math" w:cs="Times New Roman"/>
                          <w:i/>
                          <w:sz w:val="20"/>
                          <w:szCs w:val="24"/>
                          <w:lang w:val="en-GB"/>
                        </w:rPr>
                      </m:ctrlPr>
                    </m:sSubPr>
                    <m:e>
                      <m:r>
                        <w:rPr>
                          <w:rFonts w:ascii="Cambria Math" w:hAnsi="Cambria Math" w:cs="Times New Roman"/>
                          <w:sz w:val="20"/>
                          <w:szCs w:val="24"/>
                          <w:lang w:val="en-GB"/>
                        </w:rPr>
                        <m:t>total debt originating in a single nation</m:t>
                      </m:r>
                    </m:e>
                    <m:sub>
                      <m:r>
                        <w:rPr>
                          <w:rFonts w:ascii="Cambria Math" w:hAnsi="Cambria Math" w:cs="Times New Roman"/>
                          <w:sz w:val="20"/>
                          <w:szCs w:val="24"/>
                          <w:lang w:val="en-GB"/>
                        </w:rPr>
                        <m:t>t-1</m:t>
                      </m:r>
                    </m:sub>
                  </m:sSub>
                </m:den>
              </m:f>
            </m:e>
          </m:d>
        </m:oMath>
      </m:oMathPara>
    </w:p>
    <w:p w:rsidR="00DD1FDB" w:rsidRPr="003C2E1A" w:rsidRDefault="00DD1FDB" w:rsidP="00DD1FDB">
      <w:pPr>
        <w:pStyle w:val="ListParagraph"/>
        <w:autoSpaceDE w:val="0"/>
        <w:autoSpaceDN w:val="0"/>
        <w:adjustRightInd w:val="0"/>
        <w:spacing w:after="0" w:line="360" w:lineRule="auto"/>
        <w:ind w:left="709"/>
        <w:rPr>
          <w:rFonts w:ascii="Times New Roman" w:eastAsiaTheme="minorEastAsia" w:hAnsi="Times New Roman" w:cs="Times New Roman"/>
          <w:sz w:val="8"/>
          <w:szCs w:val="24"/>
          <w:lang w:val="en-GB"/>
        </w:rPr>
      </w:pPr>
    </w:p>
    <w:p w:rsidR="00F640AA" w:rsidRPr="003C2E1A" w:rsidRDefault="00DD1FDB" w:rsidP="00F640AA">
      <w:pPr>
        <w:pStyle w:val="ListParagraph"/>
        <w:autoSpaceDE w:val="0"/>
        <w:autoSpaceDN w:val="0"/>
        <w:adjustRightInd w:val="0"/>
        <w:spacing w:after="0" w:line="360" w:lineRule="auto"/>
        <w:ind w:left="0"/>
        <w:rPr>
          <w:rFonts w:ascii="Times New Roman" w:eastAsiaTheme="minorEastAsia" w:hAnsi="Times New Roman" w:cs="Times New Roman"/>
          <w:sz w:val="24"/>
          <w:szCs w:val="24"/>
          <w:lang w:val="en-GB"/>
        </w:rPr>
      </w:pPr>
      <w:r w:rsidRPr="003C2E1A">
        <w:rPr>
          <w:rFonts w:ascii="Times New Roman" w:eastAsiaTheme="minorEastAsia" w:hAnsi="Times New Roman" w:cs="Times New Roman"/>
          <w:sz w:val="24"/>
          <w:szCs w:val="24"/>
          <w:lang w:val="en-GB"/>
        </w:rPr>
        <w:t xml:space="preserve">As sovereign bonds become more prevalent in comparison to corporate bonds, then liquidity of sovereign bonds has risen and thus sovereign bond yields ought to be lower. </w:t>
      </w:r>
    </w:p>
    <w:p w:rsidR="00E645B3" w:rsidRPr="00E645B3" w:rsidRDefault="00E645B3" w:rsidP="007F77F6">
      <w:pPr>
        <w:pStyle w:val="ListParagraph"/>
        <w:autoSpaceDE w:val="0"/>
        <w:autoSpaceDN w:val="0"/>
        <w:adjustRightInd w:val="0"/>
        <w:spacing w:after="0" w:line="360" w:lineRule="auto"/>
        <w:ind w:left="0"/>
        <w:rPr>
          <w:rFonts w:ascii="Times New Roman" w:hAnsi="Times New Roman" w:cs="Times New Roman"/>
          <w:sz w:val="28"/>
          <w:szCs w:val="24"/>
          <w:lang w:val="en-GB"/>
        </w:rPr>
      </w:pPr>
    </w:p>
    <w:p w:rsidR="00DD1FDB" w:rsidRPr="003C2E1A" w:rsidRDefault="00E645B3" w:rsidP="007F77F6">
      <w:pPr>
        <w:pStyle w:val="ListParagraph"/>
        <w:autoSpaceDE w:val="0"/>
        <w:autoSpaceDN w:val="0"/>
        <w:adjustRightInd w:val="0"/>
        <w:spacing w:after="0" w:line="360" w:lineRule="auto"/>
        <w:ind w:left="0"/>
        <w:rPr>
          <w:rFonts w:ascii="Times New Roman" w:hAnsi="Times New Roman" w:cs="Times New Roman"/>
          <w:sz w:val="24"/>
          <w:szCs w:val="24"/>
          <w:lang w:val="en-GB"/>
        </w:rPr>
      </w:pPr>
      <w:r>
        <w:rPr>
          <w:rFonts w:ascii="Times New Roman" w:hAnsi="Times New Roman" w:cs="Times New Roman"/>
          <w:sz w:val="24"/>
          <w:szCs w:val="24"/>
          <w:lang w:val="en-GB"/>
        </w:rPr>
        <w:t>R</w:t>
      </w:r>
      <w:r w:rsidR="00DD1FDB" w:rsidRPr="003C2E1A">
        <w:rPr>
          <w:rFonts w:ascii="Times New Roman" w:hAnsi="Times New Roman" w:cs="Times New Roman"/>
          <w:sz w:val="24"/>
          <w:szCs w:val="24"/>
          <w:lang w:val="en-GB"/>
        </w:rPr>
        <w:t>isk Proxies</w:t>
      </w:r>
      <w:r w:rsidR="00F640AA" w:rsidRPr="003C2E1A">
        <w:rPr>
          <w:rFonts w:ascii="Times New Roman" w:hAnsi="Times New Roman" w:cs="Times New Roman"/>
          <w:sz w:val="24"/>
          <w:szCs w:val="24"/>
          <w:lang w:val="en-GB"/>
        </w:rPr>
        <w:t>:</w:t>
      </w:r>
    </w:p>
    <w:p w:rsidR="00855F3F" w:rsidRPr="003C2E1A" w:rsidRDefault="00855F3F" w:rsidP="007F77F6">
      <w:pPr>
        <w:pStyle w:val="ListParagraph"/>
        <w:autoSpaceDE w:val="0"/>
        <w:autoSpaceDN w:val="0"/>
        <w:adjustRightInd w:val="0"/>
        <w:spacing w:after="0" w:line="360" w:lineRule="auto"/>
        <w:ind w:left="0"/>
        <w:rPr>
          <w:rFonts w:ascii="Times New Roman" w:hAnsi="Times New Roman" w:cs="Times New Roman"/>
          <w:sz w:val="10"/>
          <w:szCs w:val="24"/>
          <w:lang w:val="en-GB"/>
        </w:rPr>
      </w:pPr>
    </w:p>
    <w:p w:rsidR="002B2C72" w:rsidRPr="003C2E1A" w:rsidRDefault="002B2C72" w:rsidP="007F77F6">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i/>
          <w:sz w:val="24"/>
          <w:szCs w:val="24"/>
          <w:lang w:val="en-GB"/>
        </w:rPr>
        <w:t>Market/Aggregate Risk</w:t>
      </w:r>
    </w:p>
    <w:p w:rsidR="002B2C72" w:rsidRDefault="002B2C72" w:rsidP="007F77F6">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Aggregate (Global) Risk is usually measured by looking at the spread between US Treasury bills and BBB-rated corporate bonds, whereby the former was considered to be equivalent to the risk-free interest rate. However, in October of 2013, Dagong Global Credit Rating downgraded US treasury bonds from A to A-. Simultaneously, Fitch warned it may slash US credit ratings due to continued strife over the federal debt ceiling. Egan-Jones has consistently downgraded the US Treasury bond ratings starting on July the 16th, 2011, when it slashed credit ratings from AAA to AA+. Subsequently, they did so a second time back in April 2012, from AA+ to AA citing concerns with respect to the rise in debt-to-GDP ratio and a lack of progress regarding its resolution. Thus I opted for the BBB</w:t>
      </w:r>
      <w:r w:rsidR="00196322">
        <w:rPr>
          <w:rFonts w:ascii="Times New Roman" w:hAnsi="Times New Roman" w:cs="Times New Roman"/>
          <w:sz w:val="24"/>
          <w:szCs w:val="24"/>
          <w:lang w:val="en-GB"/>
        </w:rPr>
        <w:t>-AAA</w:t>
      </w:r>
      <w:r w:rsidRPr="003C2E1A">
        <w:rPr>
          <w:rFonts w:ascii="Times New Roman" w:hAnsi="Times New Roman" w:cs="Times New Roman"/>
          <w:sz w:val="24"/>
          <w:szCs w:val="24"/>
          <w:lang w:val="en-GB"/>
        </w:rPr>
        <w:t xml:space="preserve"> spread on US corporate bonds as a proxy for market risk, which is a conventional method (e.g., Codogno et al (2003), Bernoth and Erdogan (2010)). During periods of economic distress, investors tend to be more risk-averse and thus the risk premium that must be paid to induce investors to opt for riskier BBB corporate bonds is wider vis-à-vis the comparatively safer AAA corporate bonds. </w:t>
      </w:r>
      <w:r w:rsidR="006209C6" w:rsidRPr="003C2E1A">
        <w:rPr>
          <w:rFonts w:ascii="Times New Roman" w:hAnsi="Times New Roman" w:cs="Times New Roman"/>
          <w:sz w:val="24"/>
          <w:szCs w:val="24"/>
          <w:lang w:val="en-GB"/>
        </w:rPr>
        <w:tab/>
      </w:r>
      <w:r w:rsidRPr="003C2E1A">
        <w:rPr>
          <w:rFonts w:ascii="Times New Roman" w:hAnsi="Times New Roman" w:cs="Times New Roman"/>
          <w:sz w:val="24"/>
          <w:szCs w:val="24"/>
          <w:lang w:val="en-GB"/>
        </w:rPr>
        <w:t xml:space="preserve">Another aggregate risk proxy is the VIX, i.e., a </w:t>
      </w:r>
      <w:r w:rsidR="00E328B2" w:rsidRPr="003C2E1A">
        <w:rPr>
          <w:rFonts w:ascii="Times New Roman" w:hAnsi="Times New Roman" w:cs="Times New Roman"/>
          <w:sz w:val="24"/>
          <w:szCs w:val="24"/>
          <w:lang w:val="en-GB"/>
        </w:rPr>
        <w:t xml:space="preserve">key </w:t>
      </w:r>
      <w:r w:rsidRPr="003C2E1A">
        <w:rPr>
          <w:rFonts w:ascii="Times New Roman" w:hAnsi="Times New Roman" w:cs="Times New Roman"/>
          <w:sz w:val="24"/>
          <w:szCs w:val="24"/>
          <w:lang w:val="en-GB"/>
        </w:rPr>
        <w:t xml:space="preserve">measure of implied </w:t>
      </w:r>
      <w:r w:rsidR="00E328B2" w:rsidRPr="003C2E1A">
        <w:rPr>
          <w:rFonts w:ascii="Times New Roman" w:hAnsi="Times New Roman" w:cs="Times New Roman"/>
          <w:sz w:val="24"/>
          <w:szCs w:val="24"/>
          <w:lang w:val="en-GB"/>
        </w:rPr>
        <w:t xml:space="preserve">near-term </w:t>
      </w:r>
      <w:r w:rsidRPr="003C2E1A">
        <w:rPr>
          <w:rFonts w:ascii="Times New Roman" w:hAnsi="Times New Roman" w:cs="Times New Roman"/>
          <w:sz w:val="24"/>
          <w:szCs w:val="24"/>
          <w:lang w:val="en-GB"/>
        </w:rPr>
        <w:t>volatility of a wide range of options based on the S&amp;P500 index. It mirrors the market’s prediction of short-term price volatility, thus it is also colloquialistically referred to as the ‘Investor Fear Gauge’. As option premiums rise, then ceteris paribus, the market expects future volatility of the underlying S&amp;P index to increase and this in turn entails higher implied volatility (i.e., the VIX rises).</w:t>
      </w:r>
      <w:r w:rsidR="00876FFC" w:rsidRPr="003C2E1A">
        <w:rPr>
          <w:rFonts w:ascii="Times New Roman" w:hAnsi="Times New Roman" w:cs="Times New Roman"/>
          <w:sz w:val="24"/>
          <w:szCs w:val="24"/>
          <w:lang w:val="en-GB"/>
        </w:rPr>
        <w:t xml:space="preserve"> I also included the European counterpart of the VIX, i.e., the </w:t>
      </w:r>
      <w:r w:rsidR="008D2659">
        <w:rPr>
          <w:rFonts w:ascii="Times New Roman" w:hAnsi="Times New Roman" w:cs="Times New Roman"/>
          <w:sz w:val="24"/>
          <w:szCs w:val="24"/>
          <w:lang w:val="en-GB"/>
        </w:rPr>
        <w:t>European Union Economic Policy Uncertainty Index (</w:t>
      </w:r>
      <w:r w:rsidR="00876FFC" w:rsidRPr="003C2E1A">
        <w:rPr>
          <w:rFonts w:ascii="Times New Roman" w:hAnsi="Times New Roman" w:cs="Times New Roman"/>
          <w:sz w:val="24"/>
          <w:szCs w:val="24"/>
          <w:lang w:val="en-GB"/>
        </w:rPr>
        <w:t>EUEPUI</w:t>
      </w:r>
      <w:r w:rsidR="008D2659">
        <w:rPr>
          <w:rFonts w:ascii="Times New Roman" w:hAnsi="Times New Roman" w:cs="Times New Roman"/>
          <w:sz w:val="24"/>
          <w:szCs w:val="24"/>
          <w:lang w:val="en-GB"/>
        </w:rPr>
        <w:t>)</w:t>
      </w:r>
      <w:r w:rsidR="00876FFC" w:rsidRPr="003C2E1A">
        <w:rPr>
          <w:rFonts w:ascii="Times New Roman" w:hAnsi="Times New Roman" w:cs="Times New Roman"/>
          <w:sz w:val="24"/>
          <w:szCs w:val="24"/>
          <w:lang w:val="en-GB"/>
        </w:rPr>
        <w:t xml:space="preserve">. </w:t>
      </w:r>
      <w:r w:rsidRPr="003C2E1A">
        <w:rPr>
          <w:rFonts w:ascii="Times New Roman" w:hAnsi="Times New Roman" w:cs="Times New Roman"/>
          <w:sz w:val="24"/>
          <w:szCs w:val="24"/>
          <w:lang w:val="en-GB"/>
        </w:rPr>
        <w:t xml:space="preserve">  </w:t>
      </w:r>
    </w:p>
    <w:p w:rsidR="00A25BF7" w:rsidRPr="003C2E1A" w:rsidRDefault="00A25BF7" w:rsidP="007F77F6">
      <w:pPr>
        <w:spacing w:after="0" w:line="360" w:lineRule="auto"/>
        <w:rPr>
          <w:rFonts w:ascii="Times New Roman" w:hAnsi="Times New Roman" w:cs="Times New Roman"/>
          <w:sz w:val="24"/>
          <w:szCs w:val="24"/>
          <w:lang w:val="en-GB"/>
        </w:rPr>
      </w:pPr>
    </w:p>
    <w:p w:rsidR="00F640AA" w:rsidRPr="003C2E1A" w:rsidRDefault="00F640AA" w:rsidP="007F77F6">
      <w:pPr>
        <w:pStyle w:val="ListParagraph"/>
        <w:autoSpaceDE w:val="0"/>
        <w:autoSpaceDN w:val="0"/>
        <w:adjustRightInd w:val="0"/>
        <w:spacing w:after="0" w:line="360" w:lineRule="auto"/>
        <w:ind w:left="709"/>
        <w:rPr>
          <w:rFonts w:ascii="Times New Roman" w:hAnsi="Times New Roman" w:cs="Times New Roman"/>
          <w:i/>
          <w:sz w:val="24"/>
          <w:szCs w:val="24"/>
          <w:lang w:val="en-GB"/>
        </w:rPr>
      </w:pPr>
      <w:r w:rsidRPr="003C2E1A">
        <w:rPr>
          <w:rFonts w:ascii="Times New Roman" w:hAnsi="Times New Roman" w:cs="Times New Roman"/>
          <w:sz w:val="24"/>
          <w:szCs w:val="24"/>
          <w:lang w:val="en-GB"/>
        </w:rPr>
        <w:tab/>
      </w:r>
      <w:r w:rsidR="00DD1FDB" w:rsidRPr="003C2E1A">
        <w:rPr>
          <w:rFonts w:ascii="Times New Roman" w:hAnsi="Times New Roman" w:cs="Times New Roman"/>
          <w:i/>
          <w:sz w:val="24"/>
          <w:szCs w:val="24"/>
          <w:lang w:val="en-GB"/>
        </w:rPr>
        <w:t>Liquidity Risk</w:t>
      </w:r>
    </w:p>
    <w:p w:rsidR="00600F25" w:rsidRPr="003C2E1A" w:rsidRDefault="00DD1FDB" w:rsidP="00600F25">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As liquidity refers to the ability to unwind or maintain a position without contracting excessive transaction costs or price deteriorations</w:t>
      </w:r>
      <w:r w:rsidR="00974E93" w:rsidRPr="003C2E1A">
        <w:rPr>
          <w:rFonts w:ascii="Times New Roman" w:hAnsi="Times New Roman" w:cs="Times New Roman"/>
          <w:sz w:val="24"/>
          <w:szCs w:val="24"/>
          <w:lang w:val="en-GB"/>
        </w:rPr>
        <w:t>, I shall utilize the TED-spread as a proxy for liquidity, i.e., the difference between T-bill rate and the European interbank rate of the same maturity</w:t>
      </w:r>
      <w:r w:rsidR="00196322">
        <w:rPr>
          <w:rFonts w:ascii="Times New Roman" w:hAnsi="Times New Roman" w:cs="Times New Roman"/>
          <w:sz w:val="24"/>
          <w:szCs w:val="24"/>
          <w:lang w:val="en-GB"/>
        </w:rPr>
        <w:t xml:space="preserve"> (3 months)</w:t>
      </w:r>
      <w:r w:rsidR="00974E93" w:rsidRPr="003C2E1A">
        <w:rPr>
          <w:rFonts w:ascii="Times New Roman" w:hAnsi="Times New Roman" w:cs="Times New Roman"/>
          <w:sz w:val="24"/>
          <w:szCs w:val="24"/>
          <w:lang w:val="en-GB"/>
        </w:rPr>
        <w:t>. Thus, as the TED-spread rises we expect liquidity to be reduced</w:t>
      </w:r>
      <w:r w:rsidR="00EA7FB8" w:rsidRPr="003C2E1A">
        <w:rPr>
          <w:rFonts w:ascii="Times New Roman" w:hAnsi="Times New Roman" w:cs="Times New Roman"/>
          <w:sz w:val="24"/>
          <w:szCs w:val="24"/>
          <w:lang w:val="en-GB"/>
        </w:rPr>
        <w:t xml:space="preserve"> as </w:t>
      </w:r>
      <w:r w:rsidR="00600F25" w:rsidRPr="003C2E1A">
        <w:rPr>
          <w:rFonts w:ascii="Times New Roman" w:hAnsi="Times New Roman" w:cs="Times New Roman"/>
          <w:sz w:val="24"/>
          <w:szCs w:val="24"/>
          <w:lang w:val="en-GB"/>
        </w:rPr>
        <w:t xml:space="preserve">counterparty risk increases. Simultaneously, interbank credit markets will shrink due to the </w:t>
      </w:r>
      <w:r w:rsidR="00600F25" w:rsidRPr="003C2E1A">
        <w:rPr>
          <w:rFonts w:ascii="Times New Roman" w:hAnsi="Times New Roman" w:cs="Times New Roman"/>
          <w:sz w:val="24"/>
          <w:szCs w:val="24"/>
          <w:lang w:val="en-GB"/>
        </w:rPr>
        <w:lastRenderedPageBreak/>
        <w:t xml:space="preserve">associated </w:t>
      </w:r>
      <w:r w:rsidR="00196322">
        <w:rPr>
          <w:rFonts w:ascii="Times New Roman" w:hAnsi="Times New Roman" w:cs="Times New Roman"/>
          <w:sz w:val="24"/>
          <w:szCs w:val="24"/>
          <w:lang w:val="en-GB"/>
        </w:rPr>
        <w:t xml:space="preserve">increased default risk. </w:t>
      </w:r>
      <w:r w:rsidR="00EC2DEC">
        <w:rPr>
          <w:rFonts w:ascii="Times New Roman" w:hAnsi="Times New Roman" w:cs="Times New Roman"/>
          <w:sz w:val="24"/>
          <w:szCs w:val="24"/>
          <w:lang w:val="en-GB"/>
        </w:rPr>
        <w:t>Another often utilized liquidity proxy is Moody’s seasoned Baa</w:t>
      </w:r>
      <w:r w:rsidR="004404BB">
        <w:rPr>
          <w:rFonts w:ascii="Times New Roman" w:hAnsi="Times New Roman" w:cs="Times New Roman"/>
          <w:sz w:val="24"/>
          <w:szCs w:val="24"/>
          <w:lang w:val="en-GB"/>
        </w:rPr>
        <w:t xml:space="preserve"> corporate bond yield vis-à-vis</w:t>
      </w:r>
      <w:r w:rsidR="00600F25" w:rsidRPr="003C2E1A">
        <w:rPr>
          <w:rFonts w:ascii="Times New Roman" w:hAnsi="Times New Roman" w:cs="Times New Roman"/>
          <w:sz w:val="24"/>
          <w:szCs w:val="24"/>
          <w:lang w:val="en-GB"/>
        </w:rPr>
        <w:t xml:space="preserve"> </w:t>
      </w:r>
      <w:r w:rsidR="004404BB">
        <w:rPr>
          <w:rFonts w:ascii="Times New Roman" w:hAnsi="Times New Roman" w:cs="Times New Roman"/>
          <w:sz w:val="24"/>
          <w:szCs w:val="24"/>
          <w:lang w:val="en-GB"/>
        </w:rPr>
        <w:t xml:space="preserve">the US Treasury bond yield with a maturity of 10 years. </w:t>
      </w:r>
    </w:p>
    <w:p w:rsidR="00A25BF7" w:rsidRPr="003C2E1A" w:rsidRDefault="00A25BF7" w:rsidP="00600F25">
      <w:pPr>
        <w:pStyle w:val="ListParagraph"/>
        <w:autoSpaceDE w:val="0"/>
        <w:autoSpaceDN w:val="0"/>
        <w:adjustRightInd w:val="0"/>
        <w:spacing w:after="0" w:line="360" w:lineRule="auto"/>
        <w:ind w:left="0"/>
        <w:rPr>
          <w:rFonts w:ascii="Times New Roman" w:hAnsi="Times New Roman" w:cs="Times New Roman"/>
          <w:sz w:val="24"/>
          <w:szCs w:val="24"/>
          <w:lang w:val="en-GB"/>
        </w:rPr>
      </w:pPr>
    </w:p>
    <w:p w:rsidR="00DD1FDB" w:rsidRPr="003C2E1A" w:rsidRDefault="00600F25" w:rsidP="00600F25">
      <w:pPr>
        <w:pStyle w:val="ListParagraph"/>
        <w:autoSpaceDE w:val="0"/>
        <w:autoSpaceDN w:val="0"/>
        <w:adjustRightInd w:val="0"/>
        <w:spacing w:after="0" w:line="360" w:lineRule="auto"/>
        <w:ind w:left="0"/>
        <w:rPr>
          <w:rFonts w:ascii="Times New Roman" w:hAnsi="Times New Roman" w:cs="Times New Roman"/>
          <w:i/>
          <w:sz w:val="24"/>
          <w:szCs w:val="24"/>
          <w:lang w:val="en-GB"/>
        </w:rPr>
      </w:pPr>
      <w:r w:rsidRPr="003C2E1A">
        <w:rPr>
          <w:rFonts w:ascii="Times New Roman" w:hAnsi="Times New Roman" w:cs="Times New Roman"/>
          <w:sz w:val="24"/>
          <w:szCs w:val="24"/>
          <w:lang w:val="en-GB"/>
        </w:rPr>
        <w:tab/>
      </w:r>
      <w:r w:rsidR="00DD1FDB" w:rsidRPr="003C2E1A">
        <w:rPr>
          <w:rFonts w:ascii="Times New Roman" w:hAnsi="Times New Roman" w:cs="Times New Roman"/>
          <w:i/>
          <w:sz w:val="24"/>
          <w:szCs w:val="24"/>
          <w:lang w:val="en-GB"/>
        </w:rPr>
        <w:t>Credit Risk</w:t>
      </w:r>
    </w:p>
    <w:p w:rsidR="00DD1FDB" w:rsidRPr="003C2E1A" w:rsidRDefault="00DD1FDB" w:rsidP="002B2C72">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3C2E1A">
        <w:rPr>
          <w:rFonts w:ascii="Times New Roman" w:hAnsi="Times New Roman" w:cs="Times New Roman"/>
          <w:sz w:val="24"/>
          <w:szCs w:val="24"/>
          <w:lang w:val="en-GB"/>
        </w:rPr>
        <w:t>As a proxy of credit risk the Credit Default Swap (CDS) spread will be utilized. A CDS is a credit derivative contract that transfers credit exposure/default risk of fixed-income securities to the seller of the CDS. Those who purchase the swap are obligated to make periodic payments to the seller until maturity of the contract, whilst the seller agrees to pay out the par value of the contract should the third party default on its payments. As CDS spreads narrow, then perceived risk of default is falling. If spreads widen, then perceived risk of default is on the rise. Data from the S&amp;P/ISDA Eurozone Developed Nation Sovereign CDS will be utilized for the purpose of my research. The index tracks the performance of developed sovereign nations in the Eurozone that feature in the S&amp;P/Citigroup International Treasury Bond Index via daily-priced 5-year CDS contracts on the underlying fixed-income securities. A market weighting method is employed so that individual weights approximate the weights of their corresponding bond index.</w:t>
      </w:r>
    </w:p>
    <w:p w:rsidR="00DD1FDB" w:rsidRPr="003C2E1A" w:rsidRDefault="00DD1FDB" w:rsidP="002A2D29">
      <w:pPr>
        <w:spacing w:after="0" w:line="360" w:lineRule="auto"/>
        <w:rPr>
          <w:rFonts w:ascii="Times New Roman" w:hAnsi="Times New Roman" w:cs="Times New Roman"/>
          <w:sz w:val="24"/>
          <w:lang w:val="en-GB"/>
        </w:rPr>
      </w:pPr>
    </w:p>
    <w:p w:rsidR="002B2C72" w:rsidRPr="003C2E1A" w:rsidRDefault="002B2C72" w:rsidP="00DF2541">
      <w:pPr>
        <w:pStyle w:val="ListParagraph"/>
        <w:numPr>
          <w:ilvl w:val="0"/>
          <w:numId w:val="13"/>
        </w:numPr>
        <w:spacing w:after="0" w:line="360" w:lineRule="auto"/>
        <w:ind w:left="0" w:firstLine="0"/>
        <w:jc w:val="both"/>
        <w:rPr>
          <w:rFonts w:ascii="Times New Roman" w:hAnsi="Times New Roman" w:cs="Times New Roman"/>
          <w:b/>
          <w:lang w:val="en-GB"/>
        </w:rPr>
      </w:pPr>
      <w:r w:rsidRPr="003C2E1A">
        <w:rPr>
          <w:rFonts w:ascii="Times New Roman" w:hAnsi="Times New Roman" w:cs="Times New Roman"/>
          <w:b/>
          <w:sz w:val="24"/>
          <w:lang w:val="en-GB"/>
        </w:rPr>
        <w:t>Methodology</w:t>
      </w:r>
    </w:p>
    <w:p w:rsidR="002B2C72" w:rsidRPr="003C2E1A" w:rsidRDefault="00DF2541" w:rsidP="00DF2541">
      <w:pPr>
        <w:spacing w:after="0" w:line="360" w:lineRule="auto"/>
        <w:rPr>
          <w:rFonts w:ascii="Times New Roman" w:hAnsi="Times New Roman" w:cs="Times New Roman"/>
          <w:sz w:val="24"/>
          <w:lang w:val="en-GB"/>
        </w:rPr>
      </w:pPr>
      <w:r w:rsidRPr="003C2E1A">
        <w:rPr>
          <w:rFonts w:ascii="Times New Roman" w:hAnsi="Times New Roman" w:cs="Times New Roman"/>
          <w:sz w:val="24"/>
          <w:lang w:val="en-GB"/>
        </w:rPr>
        <w:t xml:space="preserve">In this Section I shall elucidate the </w:t>
      </w:r>
      <w:r w:rsidR="00256718" w:rsidRPr="003C2E1A">
        <w:rPr>
          <w:rFonts w:ascii="Times New Roman" w:hAnsi="Times New Roman" w:cs="Times New Roman"/>
          <w:sz w:val="24"/>
          <w:lang w:val="en-GB"/>
        </w:rPr>
        <w:t>econometric and statistical models that will be utilized to answer the hypotheses of this thesis. The main models under consideration are the JMC and the VECM and its associated IRFs.</w:t>
      </w:r>
    </w:p>
    <w:p w:rsidR="00540855" w:rsidRDefault="00540855" w:rsidP="00DF2541">
      <w:pPr>
        <w:spacing w:after="0" w:line="360" w:lineRule="auto"/>
        <w:jc w:val="both"/>
        <w:rPr>
          <w:rFonts w:ascii="Times New Roman" w:hAnsi="Times New Roman" w:cs="Times New Roman"/>
          <w:sz w:val="24"/>
          <w:lang w:val="en-GB"/>
        </w:rPr>
      </w:pPr>
    </w:p>
    <w:p w:rsidR="00DF2541" w:rsidRPr="003C2E1A" w:rsidRDefault="006555B7" w:rsidP="00DF2541">
      <w:pPr>
        <w:spacing w:after="0" w:line="360" w:lineRule="auto"/>
        <w:jc w:val="both"/>
        <w:rPr>
          <w:rFonts w:ascii="Times New Roman" w:hAnsi="Times New Roman" w:cs="Times New Roman"/>
          <w:b/>
          <w:sz w:val="24"/>
          <w:lang w:val="en-GB"/>
        </w:rPr>
      </w:pPr>
      <w:r>
        <w:rPr>
          <w:rFonts w:ascii="Times New Roman" w:hAnsi="Times New Roman" w:cs="Times New Roman"/>
          <w:b/>
          <w:lang w:val="en-GB"/>
        </w:rPr>
        <w:tab/>
      </w:r>
      <w:r w:rsidR="00DF2541" w:rsidRPr="003C2E1A">
        <w:rPr>
          <w:rFonts w:ascii="Times New Roman" w:hAnsi="Times New Roman" w:cs="Times New Roman"/>
          <w:b/>
          <w:lang w:val="en-GB"/>
        </w:rPr>
        <w:t>5.</w:t>
      </w:r>
      <w:r w:rsidR="00FA4E73">
        <w:rPr>
          <w:rFonts w:ascii="Times New Roman" w:hAnsi="Times New Roman" w:cs="Times New Roman"/>
          <w:b/>
          <w:lang w:val="en-GB"/>
        </w:rPr>
        <w:t>1</w:t>
      </w:r>
      <w:r w:rsidR="00DF2541" w:rsidRPr="003C2E1A">
        <w:rPr>
          <w:rFonts w:ascii="Times New Roman" w:hAnsi="Times New Roman" w:cs="Times New Roman"/>
          <w:b/>
          <w:sz w:val="20"/>
          <w:lang w:val="en-GB"/>
        </w:rPr>
        <w:tab/>
      </w:r>
      <w:r w:rsidR="00DF2541" w:rsidRPr="003C2E1A">
        <w:rPr>
          <w:rFonts w:ascii="Times New Roman" w:hAnsi="Times New Roman" w:cs="Times New Roman"/>
          <w:b/>
          <w:sz w:val="24"/>
          <w:lang w:val="en-GB"/>
        </w:rPr>
        <w:t>Statistical/Econometric Models</w:t>
      </w:r>
    </w:p>
    <w:p w:rsidR="00DF2541" w:rsidRPr="003C2E1A" w:rsidRDefault="00AA13B3" w:rsidP="002A0922">
      <w:pPr>
        <w:spacing w:after="0" w:line="360" w:lineRule="auto"/>
        <w:jc w:val="both"/>
        <w:rPr>
          <w:rFonts w:ascii="Times New Roman" w:hAnsi="Times New Roman" w:cs="Times New Roman"/>
          <w:sz w:val="24"/>
          <w:lang w:val="en-GB"/>
        </w:rPr>
      </w:pPr>
      <w:r w:rsidRPr="003C2E1A">
        <w:rPr>
          <w:rFonts w:ascii="Times New Roman" w:hAnsi="Times New Roman" w:cs="Times New Roman"/>
          <w:sz w:val="24"/>
          <w:lang w:val="en-GB"/>
        </w:rPr>
        <w:t xml:space="preserve">The </w:t>
      </w:r>
      <w:r w:rsidR="00256718" w:rsidRPr="003C2E1A">
        <w:rPr>
          <w:rFonts w:ascii="Times New Roman" w:hAnsi="Times New Roman" w:cs="Times New Roman"/>
          <w:sz w:val="24"/>
          <w:lang w:val="en-GB"/>
        </w:rPr>
        <w:t>three</w:t>
      </w:r>
      <w:r w:rsidRPr="003C2E1A">
        <w:rPr>
          <w:rFonts w:ascii="Times New Roman" w:hAnsi="Times New Roman" w:cs="Times New Roman"/>
          <w:sz w:val="24"/>
          <w:lang w:val="en-GB"/>
        </w:rPr>
        <w:t xml:space="preserve"> main models (JMC</w:t>
      </w:r>
      <w:r w:rsidR="00256718" w:rsidRPr="003C2E1A">
        <w:rPr>
          <w:rFonts w:ascii="Times New Roman" w:hAnsi="Times New Roman" w:cs="Times New Roman"/>
          <w:sz w:val="24"/>
          <w:lang w:val="en-GB"/>
        </w:rPr>
        <w:t xml:space="preserve">, </w:t>
      </w:r>
      <w:r w:rsidRPr="003C2E1A">
        <w:rPr>
          <w:rFonts w:ascii="Times New Roman" w:hAnsi="Times New Roman" w:cs="Times New Roman"/>
          <w:sz w:val="24"/>
          <w:lang w:val="en-GB"/>
        </w:rPr>
        <w:t>VECM</w:t>
      </w:r>
      <w:r w:rsidR="00256718" w:rsidRPr="003C2E1A">
        <w:rPr>
          <w:rFonts w:ascii="Times New Roman" w:hAnsi="Times New Roman" w:cs="Times New Roman"/>
          <w:sz w:val="24"/>
          <w:lang w:val="en-GB"/>
        </w:rPr>
        <w:t xml:space="preserve"> and IRFs</w:t>
      </w:r>
      <w:r w:rsidRPr="003C2E1A">
        <w:rPr>
          <w:rFonts w:ascii="Times New Roman" w:hAnsi="Times New Roman" w:cs="Times New Roman"/>
          <w:sz w:val="24"/>
          <w:lang w:val="en-GB"/>
        </w:rPr>
        <w:t xml:space="preserve">) shall be described in detail below. Conversely, prior to the </w:t>
      </w:r>
      <w:r w:rsidR="00256718" w:rsidRPr="003C2E1A">
        <w:rPr>
          <w:rFonts w:ascii="Times New Roman" w:hAnsi="Times New Roman" w:cs="Times New Roman"/>
          <w:sz w:val="24"/>
          <w:lang w:val="en-GB"/>
        </w:rPr>
        <w:t xml:space="preserve">usage of these models, rigorous stability and robustness checks will be performed to ascertain whether </w:t>
      </w:r>
      <w:r w:rsidR="00BB0D1E" w:rsidRPr="003C2E1A">
        <w:rPr>
          <w:rFonts w:ascii="Times New Roman" w:hAnsi="Times New Roman" w:cs="Times New Roman"/>
          <w:sz w:val="24"/>
          <w:lang w:val="en-GB"/>
        </w:rPr>
        <w:t xml:space="preserve">the choice of models is allowed or even correct. </w:t>
      </w:r>
    </w:p>
    <w:p w:rsidR="00AA13B3" w:rsidRPr="003C2E1A" w:rsidRDefault="00AA13B3" w:rsidP="002A0922">
      <w:pPr>
        <w:spacing w:after="0" w:line="360" w:lineRule="auto"/>
        <w:jc w:val="both"/>
        <w:rPr>
          <w:rFonts w:ascii="Times New Roman" w:hAnsi="Times New Roman" w:cs="Times New Roman"/>
          <w:sz w:val="24"/>
          <w:lang w:val="en-GB"/>
        </w:rPr>
      </w:pPr>
    </w:p>
    <w:p w:rsidR="00C0347F" w:rsidRPr="003C2E1A" w:rsidRDefault="00DF2541" w:rsidP="00DF2541">
      <w:pPr>
        <w:pStyle w:val="ListParagraph"/>
        <w:spacing w:after="0" w:line="360" w:lineRule="auto"/>
        <w:ind w:left="0"/>
        <w:jc w:val="both"/>
        <w:rPr>
          <w:rFonts w:ascii="Times New Roman" w:hAnsi="Times New Roman" w:cs="Times New Roman"/>
          <w:i/>
          <w:sz w:val="24"/>
          <w:lang w:val="en-GB"/>
        </w:rPr>
      </w:pPr>
      <w:r w:rsidRPr="003C2E1A">
        <w:rPr>
          <w:rFonts w:ascii="Times New Roman" w:hAnsi="Times New Roman" w:cs="Times New Roman"/>
          <w:sz w:val="24"/>
          <w:lang w:val="en-GB"/>
        </w:rPr>
        <w:tab/>
      </w:r>
      <w:r w:rsidR="00023C80" w:rsidRPr="003C2E1A">
        <w:rPr>
          <w:rFonts w:ascii="Times New Roman" w:hAnsi="Times New Roman" w:cs="Times New Roman"/>
          <w:i/>
          <w:sz w:val="24"/>
          <w:lang w:val="en-GB"/>
        </w:rPr>
        <w:t>Johansen’s Multivariate Cointegration Analysis</w:t>
      </w:r>
      <w:r w:rsidR="00D44FF6" w:rsidRPr="003C2E1A">
        <w:rPr>
          <w:rFonts w:ascii="Times New Roman" w:hAnsi="Times New Roman" w:cs="Times New Roman"/>
          <w:i/>
          <w:sz w:val="24"/>
          <w:lang w:val="en-GB"/>
        </w:rPr>
        <w:t>, ADF test</w:t>
      </w:r>
      <w:r w:rsidR="00734B61" w:rsidRPr="003C2E1A">
        <w:rPr>
          <w:rFonts w:ascii="Times New Roman" w:hAnsi="Times New Roman" w:cs="Times New Roman"/>
          <w:i/>
          <w:sz w:val="24"/>
          <w:lang w:val="en-GB"/>
        </w:rPr>
        <w:t xml:space="preserve"> and Information </w:t>
      </w:r>
      <w:r w:rsidR="00D44FF6" w:rsidRPr="003C2E1A">
        <w:rPr>
          <w:rFonts w:ascii="Times New Roman" w:hAnsi="Times New Roman" w:cs="Times New Roman"/>
          <w:i/>
          <w:sz w:val="24"/>
          <w:lang w:val="en-GB"/>
        </w:rPr>
        <w:t>Criterion</w:t>
      </w:r>
    </w:p>
    <w:p w:rsidR="00754C55" w:rsidRPr="003C2E1A" w:rsidRDefault="000D34F4" w:rsidP="00023C80">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 xml:space="preserve">A normal regression model for non-stationary variables in time series analysis inevitably gives rise to spurious relations, </w:t>
      </w:r>
      <w:r w:rsidR="00A031FB" w:rsidRPr="003C2E1A">
        <w:rPr>
          <w:rFonts w:ascii="Times New Roman" w:hAnsi="Times New Roman" w:cs="Times New Roman"/>
          <w:sz w:val="24"/>
          <w:lang w:val="en-GB"/>
        </w:rPr>
        <w:t>e.g.,</w:t>
      </w:r>
      <w:r w:rsidRPr="003C2E1A">
        <w:rPr>
          <w:rFonts w:ascii="Times New Roman" w:hAnsi="Times New Roman" w:cs="Times New Roman"/>
          <w:sz w:val="24"/>
          <w:lang w:val="en-GB"/>
        </w:rPr>
        <w:t xml:space="preserve"> a confounding or ‘lurking’ variable gives the false impression that two or more variables are causally connected. Conversely, if the linear combination of dependent and independent variables elim</w:t>
      </w:r>
      <w:r w:rsidR="00754C55" w:rsidRPr="003C2E1A">
        <w:rPr>
          <w:rFonts w:ascii="Times New Roman" w:hAnsi="Times New Roman" w:cs="Times New Roman"/>
          <w:sz w:val="24"/>
          <w:lang w:val="en-GB"/>
        </w:rPr>
        <w:t>in</w:t>
      </w:r>
      <w:r w:rsidRPr="003C2E1A">
        <w:rPr>
          <w:rFonts w:ascii="Times New Roman" w:hAnsi="Times New Roman" w:cs="Times New Roman"/>
          <w:sz w:val="24"/>
          <w:lang w:val="en-GB"/>
        </w:rPr>
        <w:t>ates the stochastic trend</w:t>
      </w:r>
      <w:r w:rsidR="00754C55" w:rsidRPr="003C2E1A">
        <w:rPr>
          <w:rFonts w:ascii="Times New Roman" w:hAnsi="Times New Roman" w:cs="Times New Roman"/>
          <w:sz w:val="24"/>
          <w:lang w:val="en-GB"/>
        </w:rPr>
        <w:t xml:space="preserve">, then the resulting residuals are stationary. If this occurs then the variables are cointegrated and a </w:t>
      </w:r>
      <w:r w:rsidR="00754C55" w:rsidRPr="003C2E1A">
        <w:rPr>
          <w:rFonts w:ascii="Times New Roman" w:hAnsi="Times New Roman" w:cs="Times New Roman"/>
          <w:sz w:val="24"/>
          <w:lang w:val="en-GB"/>
        </w:rPr>
        <w:lastRenderedPageBreak/>
        <w:t xml:space="preserve">regression model will provide reliable estimates. Cointegration simply refers to the long-run equilibrium relationship between separate variables.   </w:t>
      </w:r>
    </w:p>
    <w:p w:rsidR="000B2721" w:rsidRPr="003C2E1A" w:rsidRDefault="00DF2541" w:rsidP="00023C5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ab/>
        <w:t xml:space="preserve">The JMC </w:t>
      </w:r>
      <w:r w:rsidR="00754C55" w:rsidRPr="003C2E1A">
        <w:rPr>
          <w:rFonts w:ascii="Times New Roman" w:hAnsi="Times New Roman" w:cs="Times New Roman"/>
          <w:sz w:val="24"/>
          <w:lang w:val="en-GB"/>
        </w:rPr>
        <w:t>allows one to test for cointegration by studying the number of independent linear combinations</w:t>
      </w:r>
      <w:r w:rsidR="00A941FB" w:rsidRPr="003C2E1A">
        <w:rPr>
          <w:rFonts w:ascii="Times New Roman" w:hAnsi="Times New Roman" w:cs="Times New Roman"/>
          <w:sz w:val="24"/>
          <w:lang w:val="en-GB"/>
        </w:rPr>
        <w:t xml:space="preserve"> (</w:t>
      </w:r>
      <w:r w:rsidR="00A941FB" w:rsidRPr="00EB52F0">
        <w:rPr>
          <w:rFonts w:ascii="Times New Roman" w:hAnsi="Times New Roman" w:cs="Times New Roman"/>
          <w:i/>
          <w:sz w:val="24"/>
          <w:lang w:val="en-GB"/>
        </w:rPr>
        <w:t>k</w:t>
      </w:r>
      <w:r w:rsidR="00A941FB" w:rsidRPr="003C2E1A">
        <w:rPr>
          <w:rFonts w:ascii="Times New Roman" w:hAnsi="Times New Roman" w:cs="Times New Roman"/>
          <w:sz w:val="24"/>
          <w:lang w:val="en-GB"/>
        </w:rPr>
        <w:t xml:space="preserve">) for </w:t>
      </w:r>
      <w:r w:rsidR="009807B5" w:rsidRPr="003C2E1A">
        <w:rPr>
          <w:rFonts w:ascii="Times New Roman" w:hAnsi="Times New Roman" w:cs="Times New Roman"/>
          <w:sz w:val="24"/>
          <w:lang w:val="en-GB"/>
        </w:rPr>
        <w:t xml:space="preserve">a </w:t>
      </w:r>
      <w:r w:rsidR="00A941FB" w:rsidRPr="003C2E1A">
        <w:rPr>
          <w:rFonts w:ascii="Times New Roman" w:hAnsi="Times New Roman" w:cs="Times New Roman"/>
          <w:sz w:val="24"/>
          <w:lang w:val="en-GB"/>
        </w:rPr>
        <w:t>set of variables that would yield a stationary process. Due to the high degree of financial integration one would expect to find many cointegrating vectors and thus one should turn to the JMC</w:t>
      </w:r>
      <w:r w:rsidR="00645016" w:rsidRPr="003C2E1A">
        <w:rPr>
          <w:rFonts w:ascii="Times New Roman" w:hAnsi="Times New Roman" w:cs="Times New Roman"/>
          <w:sz w:val="24"/>
          <w:lang w:val="en-GB"/>
        </w:rPr>
        <w:t xml:space="preserve"> as it allows for the complex structures and interaction</w:t>
      </w:r>
      <w:r w:rsidR="00B41AD4" w:rsidRPr="003C2E1A">
        <w:rPr>
          <w:rFonts w:ascii="Times New Roman" w:hAnsi="Times New Roman" w:cs="Times New Roman"/>
          <w:sz w:val="24"/>
          <w:lang w:val="en-GB"/>
        </w:rPr>
        <w:t>s</w:t>
      </w:r>
      <w:r w:rsidR="00645016" w:rsidRPr="003C2E1A">
        <w:rPr>
          <w:rFonts w:ascii="Times New Roman" w:hAnsi="Times New Roman" w:cs="Times New Roman"/>
          <w:sz w:val="24"/>
          <w:lang w:val="en-GB"/>
        </w:rPr>
        <w:t xml:space="preserve"> of causality that are typical of </w:t>
      </w:r>
      <w:r w:rsidR="00B41AD4" w:rsidRPr="003C2E1A">
        <w:rPr>
          <w:rFonts w:ascii="Times New Roman" w:hAnsi="Times New Roman" w:cs="Times New Roman"/>
          <w:sz w:val="24"/>
          <w:lang w:val="en-GB"/>
        </w:rPr>
        <w:t xml:space="preserve">any </w:t>
      </w:r>
      <w:r w:rsidR="00645016" w:rsidRPr="003C2E1A">
        <w:rPr>
          <w:rFonts w:ascii="Times New Roman" w:hAnsi="Times New Roman" w:cs="Times New Roman"/>
          <w:sz w:val="24"/>
          <w:lang w:val="en-GB"/>
        </w:rPr>
        <w:t>mature securities</w:t>
      </w:r>
      <w:r w:rsidR="00B41AD4" w:rsidRPr="003C2E1A">
        <w:rPr>
          <w:rFonts w:ascii="Times New Roman" w:hAnsi="Times New Roman" w:cs="Times New Roman"/>
          <w:sz w:val="24"/>
          <w:lang w:val="en-GB"/>
        </w:rPr>
        <w:t xml:space="preserve"> market</w:t>
      </w:r>
      <w:r w:rsidR="00645016" w:rsidRPr="003C2E1A">
        <w:rPr>
          <w:rFonts w:ascii="Times New Roman" w:hAnsi="Times New Roman" w:cs="Times New Roman"/>
          <w:sz w:val="24"/>
          <w:lang w:val="en-GB"/>
        </w:rPr>
        <w:t xml:space="preserve">, including the </w:t>
      </w:r>
      <w:r w:rsidR="00B41AD4" w:rsidRPr="003C2E1A">
        <w:rPr>
          <w:rFonts w:ascii="Times New Roman" w:hAnsi="Times New Roman" w:cs="Times New Roman"/>
          <w:sz w:val="24"/>
          <w:lang w:val="en-GB"/>
        </w:rPr>
        <w:t xml:space="preserve">Eurozone </w:t>
      </w:r>
      <w:r w:rsidR="00645016" w:rsidRPr="003C2E1A">
        <w:rPr>
          <w:rFonts w:ascii="Times New Roman" w:hAnsi="Times New Roman" w:cs="Times New Roman"/>
          <w:sz w:val="24"/>
          <w:lang w:val="en-GB"/>
        </w:rPr>
        <w:t>sovereign bond market.</w:t>
      </w:r>
      <w:r w:rsidR="00F74A34" w:rsidRPr="003C2E1A">
        <w:rPr>
          <w:rFonts w:ascii="Times New Roman" w:hAnsi="Times New Roman" w:cs="Times New Roman"/>
          <w:sz w:val="24"/>
          <w:lang w:val="en-GB"/>
        </w:rPr>
        <w:t xml:space="preserve"> </w:t>
      </w:r>
      <w:r w:rsidR="00702EDB" w:rsidRPr="003C2E1A">
        <w:rPr>
          <w:rFonts w:ascii="Times New Roman" w:hAnsi="Times New Roman" w:cs="Times New Roman"/>
          <w:sz w:val="24"/>
          <w:lang w:val="en-GB"/>
        </w:rPr>
        <w:t xml:space="preserve">Prior to usage of the JMC, the augmented Dicky-Fuller test must be run to ascertain whether variables contain a unit root. The null hypothesis indicates that there is a unit root ~ I(1), while the alternative hypothesis indicates that the variable is stationary and thus adheres to a random walk. Serial correlation is automatically corrected for by setting the lag order </w:t>
      </w:r>
      <w:r w:rsidR="00AA3512" w:rsidRPr="003C2E1A">
        <w:rPr>
          <w:rFonts w:ascii="Times New Roman" w:hAnsi="Times New Roman" w:cs="Times New Roman"/>
          <w:sz w:val="24"/>
          <w:lang w:val="en-GB"/>
        </w:rPr>
        <w:t>(</w:t>
      </w:r>
      <w:r w:rsidR="00AA3512" w:rsidRPr="00EB52F0">
        <w:rPr>
          <w:rFonts w:ascii="Times New Roman" w:hAnsi="Times New Roman" w:cs="Times New Roman"/>
          <w:i/>
          <w:sz w:val="24"/>
          <w:lang w:val="en-GB"/>
        </w:rPr>
        <w:t>m</w:t>
      </w:r>
      <w:r w:rsidR="00AA3512" w:rsidRPr="003C2E1A">
        <w:rPr>
          <w:rFonts w:ascii="Times New Roman" w:hAnsi="Times New Roman" w:cs="Times New Roman"/>
          <w:sz w:val="24"/>
          <w:lang w:val="en-GB"/>
        </w:rPr>
        <w:t xml:space="preserve">) </w:t>
      </w:r>
      <w:r w:rsidR="00702EDB" w:rsidRPr="003C2E1A">
        <w:rPr>
          <w:rFonts w:ascii="Times New Roman" w:hAnsi="Times New Roman" w:cs="Times New Roman"/>
          <w:sz w:val="24"/>
          <w:lang w:val="en-GB"/>
        </w:rPr>
        <w:t xml:space="preserve">of the autoregressive procedure equal to </w:t>
      </w:r>
      <w:r w:rsidR="00873675" w:rsidRPr="003C2E1A">
        <w:rPr>
          <w:rFonts w:ascii="Times New Roman" w:hAnsi="Times New Roman" w:cs="Times New Roman"/>
          <w:sz w:val="24"/>
          <w:lang w:val="en-GB"/>
        </w:rPr>
        <w:t xml:space="preserve">the correct value (presumably </w:t>
      </w:r>
      <w:r w:rsidR="00702EDB" w:rsidRPr="003C2E1A">
        <w:rPr>
          <w:rFonts w:ascii="Times New Roman" w:hAnsi="Times New Roman" w:cs="Times New Roman"/>
          <w:sz w:val="24"/>
          <w:lang w:val="en-GB"/>
        </w:rPr>
        <w:t xml:space="preserve">12 </w:t>
      </w:r>
      <w:r w:rsidR="00873675" w:rsidRPr="003C2E1A">
        <w:rPr>
          <w:rFonts w:ascii="Times New Roman" w:hAnsi="Times New Roman" w:cs="Times New Roman"/>
          <w:sz w:val="24"/>
          <w:lang w:val="en-GB"/>
        </w:rPr>
        <w:t>as we are dealing with monthly data)</w:t>
      </w:r>
      <w:r w:rsidR="00702EDB" w:rsidRPr="003C2E1A">
        <w:rPr>
          <w:rFonts w:ascii="Times New Roman" w:hAnsi="Times New Roman" w:cs="Times New Roman"/>
          <w:sz w:val="24"/>
          <w:lang w:val="en-GB"/>
        </w:rPr>
        <w:t>.</w:t>
      </w:r>
      <w:r w:rsidR="00873675" w:rsidRPr="003C2E1A">
        <w:rPr>
          <w:rFonts w:ascii="Times New Roman" w:hAnsi="Times New Roman" w:cs="Times New Roman"/>
          <w:sz w:val="24"/>
          <w:lang w:val="en-GB"/>
        </w:rPr>
        <w:t xml:space="preserve"> Nevertheless, to ascertain whether the selection of lag order equal to 12 is correct</w:t>
      </w:r>
      <w:r w:rsidR="003B73DF" w:rsidRPr="003C2E1A">
        <w:rPr>
          <w:rFonts w:ascii="Times New Roman" w:hAnsi="Times New Roman" w:cs="Times New Roman"/>
          <w:sz w:val="24"/>
          <w:lang w:val="en-GB"/>
        </w:rPr>
        <w:t>,</w:t>
      </w:r>
      <w:r w:rsidR="00873675" w:rsidRPr="003C2E1A">
        <w:rPr>
          <w:rFonts w:ascii="Times New Roman" w:hAnsi="Times New Roman" w:cs="Times New Roman"/>
          <w:sz w:val="24"/>
          <w:lang w:val="en-GB"/>
        </w:rPr>
        <w:t xml:space="preserve"> I shall utilize the Akaike’s Information Criterion. </w:t>
      </w:r>
      <w:r w:rsidR="00023C5B">
        <w:rPr>
          <w:rFonts w:ascii="Times New Roman" w:hAnsi="Times New Roman" w:cs="Times New Roman"/>
          <w:sz w:val="24"/>
          <w:lang w:val="en-GB"/>
        </w:rPr>
        <w:t>For further in-depth knowledge regarding the construct of Akaike’s Information Criterion, seen Appendix A5.1.</w:t>
      </w:r>
    </w:p>
    <w:p w:rsidR="003A4AB4" w:rsidRPr="003C2E1A" w:rsidRDefault="000B2721" w:rsidP="003A4AB4">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ab/>
      </w:r>
      <w:r w:rsidR="00702EDB" w:rsidRPr="003C2E1A">
        <w:rPr>
          <w:rFonts w:ascii="Times New Roman" w:hAnsi="Times New Roman" w:cs="Times New Roman"/>
          <w:sz w:val="24"/>
          <w:lang w:val="en-GB"/>
        </w:rPr>
        <w:t>The augmented DF test is run even though Johansen’s model does not require the a priori distinguishing of I(0) and I(1) variables. The reason for this is that if not all variables under Johansen’s model are pure unit-root I(1) variables, it may lead to irrelevant restriction of cointegrated vectors. If the group DF test refutes the alternative hypothesis we take the first difference and run the same test again to ascertain whether variables have now become I(0).</w:t>
      </w:r>
      <w:r w:rsidR="001250FB" w:rsidRPr="003C2E1A">
        <w:rPr>
          <w:rFonts w:ascii="Times New Roman" w:hAnsi="Times New Roman" w:cs="Times New Roman"/>
          <w:sz w:val="24"/>
          <w:lang w:val="en-GB"/>
        </w:rPr>
        <w:t xml:space="preserve"> The augmented DF test (for a group of variables) is preferred over a test run of DF tests for individual variables as the former ensures errors are uncorrelated</w:t>
      </w:r>
      <w:r w:rsidR="001250FB" w:rsidRPr="003C2E1A">
        <w:rPr>
          <w:rStyle w:val="FootnoteReference"/>
          <w:rFonts w:ascii="Times New Roman" w:hAnsi="Times New Roman" w:cs="Times New Roman"/>
          <w:sz w:val="24"/>
          <w:lang w:val="en-GB"/>
        </w:rPr>
        <w:footnoteReference w:id="28"/>
      </w:r>
      <w:r w:rsidR="001250FB" w:rsidRPr="003C2E1A">
        <w:rPr>
          <w:rFonts w:ascii="Times New Roman" w:hAnsi="Times New Roman" w:cs="Times New Roman"/>
          <w:sz w:val="24"/>
          <w:lang w:val="en-GB"/>
        </w:rPr>
        <w:t>.</w:t>
      </w:r>
      <w:r w:rsidR="00702EDB" w:rsidRPr="003C2E1A">
        <w:rPr>
          <w:rFonts w:ascii="Times New Roman" w:hAnsi="Times New Roman" w:cs="Times New Roman"/>
          <w:sz w:val="24"/>
          <w:lang w:val="en-GB"/>
        </w:rPr>
        <w:t xml:space="preserve"> If this is the case we can use these variables in the JMC. </w:t>
      </w:r>
    </w:p>
    <w:p w:rsidR="003A4AB4" w:rsidRPr="003C2E1A" w:rsidRDefault="003A4AB4" w:rsidP="00702ED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ab/>
        <w:t>To determine the cointegrating rank of a certain number (</w:t>
      </w:r>
      <w:r w:rsidRPr="005C2FF3">
        <w:rPr>
          <w:rFonts w:ascii="Times New Roman" w:hAnsi="Times New Roman" w:cs="Times New Roman"/>
          <w:i/>
          <w:sz w:val="24"/>
          <w:lang w:val="en-GB"/>
        </w:rPr>
        <w:t>n</w:t>
      </w:r>
      <w:r w:rsidRPr="003C2E1A">
        <w:rPr>
          <w:rFonts w:ascii="Times New Roman" w:hAnsi="Times New Roman" w:cs="Times New Roman"/>
          <w:sz w:val="24"/>
          <w:lang w:val="en-GB"/>
        </w:rPr>
        <w:t xml:space="preserve">) of I(1) variables in a dynamic system, we can ascertain there are up to n-1 cointegrating relationships between them. According to Stock and Watson (1993), each cointegrating relationship constitutes a common trend that is exhibited by some or all time series variables in the model. </w:t>
      </w:r>
      <w:r w:rsidR="008157EC" w:rsidRPr="003C2E1A">
        <w:rPr>
          <w:rFonts w:ascii="Times New Roman" w:hAnsi="Times New Roman" w:cs="Times New Roman"/>
          <w:sz w:val="24"/>
          <w:lang w:val="en-GB"/>
        </w:rPr>
        <w:t>To uncover the actual number of cointegrating relationships (</w:t>
      </w:r>
      <w:r w:rsidR="008157EC" w:rsidRPr="005C2FF3">
        <w:rPr>
          <w:rFonts w:ascii="Times New Roman" w:hAnsi="Times New Roman" w:cs="Times New Roman"/>
          <w:i/>
          <w:sz w:val="24"/>
          <w:lang w:val="en-GB"/>
        </w:rPr>
        <w:t>k</w:t>
      </w:r>
      <w:r w:rsidR="008157EC" w:rsidRPr="003C2E1A">
        <w:rPr>
          <w:rFonts w:ascii="Times New Roman" w:hAnsi="Times New Roman" w:cs="Times New Roman"/>
          <w:sz w:val="24"/>
          <w:lang w:val="en-GB"/>
        </w:rPr>
        <w:t xml:space="preserve">) within the model we utilize the JMC. </w:t>
      </w:r>
    </w:p>
    <w:p w:rsidR="00702EDB" w:rsidRPr="003C2E1A" w:rsidRDefault="00702EDB" w:rsidP="00702EDB">
      <w:pPr>
        <w:pStyle w:val="ListParagraph"/>
        <w:spacing w:after="0" w:line="360" w:lineRule="auto"/>
        <w:ind w:left="0"/>
        <w:jc w:val="both"/>
        <w:rPr>
          <w:rFonts w:ascii="Times New Roman" w:eastAsiaTheme="minorEastAsia" w:hAnsi="Times New Roman" w:cs="Times New Roman"/>
          <w:sz w:val="20"/>
          <w:lang w:val="en-GB"/>
        </w:rPr>
      </w:pPr>
      <w:r w:rsidRPr="003C2E1A">
        <w:rPr>
          <w:rFonts w:ascii="Times New Roman" w:hAnsi="Times New Roman" w:cs="Times New Roman"/>
          <w:sz w:val="24"/>
          <w:lang w:val="en-GB"/>
        </w:rPr>
        <w:tab/>
        <w:t xml:space="preserve">The JMC consists of two likelihood ratio test statistics; the trace test statistic and the maximum eigenvalue statistic. Under the trace test the null hypothesis states that there is no cointegration, the alternative hypothesis states that there is at least one cointegration relationship, </w:t>
      </w:r>
      <w:r w:rsidR="00A031FB" w:rsidRPr="003C2E1A">
        <w:rPr>
          <w:rFonts w:ascii="Times New Roman" w:hAnsi="Times New Roman" w:cs="Times New Roman"/>
          <w:sz w:val="24"/>
          <w:lang w:val="en-GB"/>
        </w:rPr>
        <w:t>i.e.,</w:t>
      </w:r>
      <w:r w:rsidRPr="003C2E1A">
        <w:rPr>
          <w:rFonts w:ascii="Times New Roman" w:hAnsi="Times New Roman" w:cs="Times New Roman"/>
          <w:sz w:val="24"/>
          <w:lang w:val="en-GB"/>
        </w:rPr>
        <w:t xml:space="preserve"> </w:t>
      </w:r>
      <m:oMath>
        <m:sSub>
          <m:sSubPr>
            <m:ctrlPr>
              <w:rPr>
                <w:rFonts w:ascii="Cambria Math" w:hAnsi="Cambria Math" w:cs="Times New Roman"/>
                <w:i/>
                <w:sz w:val="20"/>
                <w:lang w:val="en-GB"/>
              </w:rPr>
            </m:ctrlPr>
          </m:sSubPr>
          <m:e>
            <m:r>
              <w:rPr>
                <w:rFonts w:ascii="Cambria Math" w:hAnsi="Cambria Math" w:cs="Times New Roman"/>
                <w:sz w:val="20"/>
                <w:lang w:val="en-GB"/>
              </w:rPr>
              <m:t>H</m:t>
            </m:r>
          </m:e>
          <m:sub>
            <m:r>
              <w:rPr>
                <w:rFonts w:ascii="Cambria Math" w:hAnsi="Cambria Math" w:cs="Times New Roman"/>
                <w:sz w:val="20"/>
                <w:lang w:val="en-GB"/>
              </w:rPr>
              <m:t>0</m:t>
            </m:r>
          </m:sub>
        </m:sSub>
        <m:r>
          <w:rPr>
            <w:rFonts w:ascii="Cambria Math" w:hAnsi="Cambria Math" w:cs="Times New Roman"/>
            <w:sz w:val="20"/>
            <w:lang w:val="en-GB"/>
          </w:rPr>
          <m:t xml:space="preserve">:  K=0 </m:t>
        </m:r>
        <m:d>
          <m:dPr>
            <m:ctrlPr>
              <w:rPr>
                <w:rFonts w:ascii="Cambria Math" w:hAnsi="Cambria Math" w:cs="Times New Roman"/>
                <w:sz w:val="20"/>
                <w:lang w:val="en-GB"/>
              </w:rPr>
            </m:ctrlPr>
          </m:dPr>
          <m:e>
            <m:r>
              <m:rPr>
                <m:sty m:val="p"/>
              </m:rPr>
              <w:rPr>
                <w:rFonts w:ascii="Cambria Math" w:hAnsi="Cambria Math" w:cs="Times New Roman"/>
                <w:sz w:val="20"/>
                <w:lang w:val="en-GB"/>
              </w:rPr>
              <m:t>no cointegration</m:t>
            </m:r>
          </m:e>
        </m:d>
      </m:oMath>
    </w:p>
    <w:p w:rsidR="00702EDB" w:rsidRPr="003C2E1A" w:rsidRDefault="00702EDB" w:rsidP="00702EDB">
      <w:pPr>
        <w:pStyle w:val="ListParagraph"/>
        <w:spacing w:after="0" w:line="360" w:lineRule="auto"/>
        <w:ind w:left="0"/>
        <w:jc w:val="both"/>
        <w:rPr>
          <w:rFonts w:ascii="Times New Roman" w:eastAsiaTheme="minorEastAsia" w:hAnsi="Times New Roman" w:cs="Times New Roman"/>
          <w:sz w:val="20"/>
          <w:lang w:val="en-GB"/>
        </w:rPr>
      </w:pPr>
      <w:r w:rsidRPr="003C2E1A">
        <w:rPr>
          <w:rFonts w:ascii="Times New Roman" w:eastAsiaTheme="minorEastAsia" w:hAnsi="Times New Roman" w:cs="Times New Roman"/>
          <w:sz w:val="20"/>
          <w:lang w:val="en-GB"/>
        </w:rPr>
        <w:tab/>
      </w:r>
      <w:r w:rsidRPr="003C2E1A">
        <w:rPr>
          <w:rFonts w:ascii="Times New Roman" w:eastAsiaTheme="minorEastAsia" w:hAnsi="Times New Roman" w:cs="Times New Roman"/>
          <w:sz w:val="20"/>
          <w:lang w:val="en-GB"/>
        </w:rPr>
        <w:tab/>
        <w:t xml:space="preserve">   </w:t>
      </w:r>
      <m:oMath>
        <m:sSub>
          <m:sSubPr>
            <m:ctrlPr>
              <w:rPr>
                <w:rFonts w:ascii="Cambria Math" w:eastAsiaTheme="minorEastAsia" w:hAnsi="Cambria Math" w:cs="Times New Roman"/>
                <w:i/>
                <w:sz w:val="20"/>
                <w:lang w:val="en-GB"/>
              </w:rPr>
            </m:ctrlPr>
          </m:sSubPr>
          <m:e>
            <m:r>
              <w:rPr>
                <w:rFonts w:ascii="Cambria Math" w:eastAsiaTheme="minorEastAsia" w:hAnsi="Cambria Math" w:cs="Times New Roman"/>
                <w:sz w:val="20"/>
                <w:lang w:val="en-GB"/>
              </w:rPr>
              <m:t>H</m:t>
            </m:r>
          </m:e>
          <m:sub>
            <m:r>
              <w:rPr>
                <w:rFonts w:ascii="Cambria Math" w:eastAsiaTheme="minorEastAsia" w:hAnsi="Cambria Math" w:cs="Times New Roman"/>
                <w:sz w:val="20"/>
                <w:lang w:val="en-GB"/>
              </w:rPr>
              <m:t>a</m:t>
            </m:r>
          </m:sub>
        </m:sSub>
        <m:r>
          <w:rPr>
            <w:rFonts w:ascii="Cambria Math" w:eastAsiaTheme="minorEastAsia" w:hAnsi="Cambria Math" w:cs="Times New Roman"/>
            <w:sz w:val="20"/>
            <w:lang w:val="en-GB"/>
          </w:rPr>
          <m:t xml:space="preserve">:  K&gt;0 </m:t>
        </m:r>
        <m:d>
          <m:dPr>
            <m:ctrlPr>
              <w:rPr>
                <w:rFonts w:ascii="Cambria Math" w:eastAsiaTheme="minorEastAsia" w:hAnsi="Cambria Math" w:cs="Times New Roman"/>
                <w:sz w:val="20"/>
                <w:lang w:val="en-GB"/>
              </w:rPr>
            </m:ctrlPr>
          </m:dPr>
          <m:e>
            <m:r>
              <m:rPr>
                <m:sty m:val="p"/>
              </m:rPr>
              <w:rPr>
                <w:rFonts w:ascii="Cambria Math" w:eastAsiaTheme="minorEastAsia" w:hAnsi="Cambria Math" w:cs="Times New Roman"/>
                <w:sz w:val="20"/>
                <w:lang w:val="en-GB"/>
              </w:rPr>
              <m:t>at least one cointegrating relationship</m:t>
            </m:r>
          </m:e>
        </m:d>
      </m:oMath>
    </w:p>
    <w:p w:rsidR="00702EDB" w:rsidRPr="003C2E1A" w:rsidRDefault="00702EDB" w:rsidP="00702ED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lastRenderedPageBreak/>
        <w:t xml:space="preserve">K indicates the number of linear combinations that yield a stationary process. If p &lt; </w:t>
      </w:r>
      <w:r w:rsidRPr="003C2E1A">
        <w:rPr>
          <w:rFonts w:ascii="Times New Roman" w:hAnsi="Times New Roman" w:cs="Times New Roman"/>
          <w:sz w:val="28"/>
          <w:lang w:val="en-GB"/>
        </w:rPr>
        <w:t>α</w:t>
      </w:r>
      <w:r w:rsidRPr="003C2E1A">
        <w:rPr>
          <w:rFonts w:ascii="Times New Roman" w:hAnsi="Times New Roman" w:cs="Times New Roman"/>
          <w:sz w:val="24"/>
          <w:lang w:val="en-GB"/>
        </w:rPr>
        <w:t xml:space="preserve">, then we reject the null hypothesis and thus there is at least one cointegrating relationship between variables. Similarly, the Max Eigenvalue test also features the same null hypothesis of no cointegration, whilst the alternative hypothesis states that K=1.    </w:t>
      </w:r>
    </w:p>
    <w:p w:rsidR="00702EDB" w:rsidRPr="003C2E1A" w:rsidRDefault="00702EDB" w:rsidP="00702ED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 xml:space="preserve">                                        </w:t>
      </w:r>
      <m:oMath>
        <m:sSub>
          <m:sSubPr>
            <m:ctrlPr>
              <w:rPr>
                <w:rFonts w:ascii="Cambria Math" w:hAnsi="Cambria Math" w:cs="Times New Roman"/>
                <w:i/>
                <w:sz w:val="20"/>
                <w:lang w:val="en-GB"/>
              </w:rPr>
            </m:ctrlPr>
          </m:sSubPr>
          <m:e>
            <m:r>
              <w:rPr>
                <w:rFonts w:ascii="Cambria Math" w:hAnsi="Cambria Math" w:cs="Times New Roman"/>
                <w:sz w:val="20"/>
                <w:lang w:val="en-GB"/>
              </w:rPr>
              <m:t>H</m:t>
            </m:r>
          </m:e>
          <m:sub>
            <m:r>
              <w:rPr>
                <w:rFonts w:ascii="Cambria Math" w:hAnsi="Cambria Math" w:cs="Times New Roman"/>
                <w:sz w:val="20"/>
                <w:lang w:val="en-GB"/>
              </w:rPr>
              <m:t>0</m:t>
            </m:r>
          </m:sub>
        </m:sSub>
        <m:r>
          <w:rPr>
            <w:rFonts w:ascii="Cambria Math" w:hAnsi="Cambria Math" w:cs="Times New Roman"/>
            <w:sz w:val="20"/>
            <w:lang w:val="en-GB"/>
          </w:rPr>
          <m:t xml:space="preserve">:  K=0 </m:t>
        </m:r>
        <m:d>
          <m:dPr>
            <m:ctrlPr>
              <w:rPr>
                <w:rFonts w:ascii="Cambria Math" w:hAnsi="Cambria Math" w:cs="Times New Roman"/>
                <w:sz w:val="20"/>
                <w:lang w:val="en-GB"/>
              </w:rPr>
            </m:ctrlPr>
          </m:dPr>
          <m:e>
            <m:r>
              <m:rPr>
                <m:sty m:val="p"/>
              </m:rPr>
              <w:rPr>
                <w:rFonts w:ascii="Cambria Math" w:hAnsi="Cambria Math" w:cs="Times New Roman"/>
                <w:sz w:val="20"/>
                <w:lang w:val="en-GB"/>
              </w:rPr>
              <m:t>no cointegration</m:t>
            </m:r>
          </m:e>
        </m:d>
      </m:oMath>
    </w:p>
    <w:p w:rsidR="000767DE" w:rsidRPr="003C2E1A" w:rsidRDefault="00FD58CE" w:rsidP="000767DE">
      <w:pPr>
        <w:pStyle w:val="ListParagraph"/>
        <w:spacing w:after="0" w:line="360" w:lineRule="auto"/>
        <w:ind w:left="0"/>
        <w:jc w:val="center"/>
        <w:rPr>
          <w:rFonts w:ascii="Times New Roman" w:eastAsiaTheme="minorEastAsia" w:hAnsi="Times New Roman" w:cs="Times New Roman"/>
          <w:sz w:val="20"/>
          <w:lang w:val="en-GB"/>
        </w:rPr>
      </w:pPr>
      <m:oMathPara>
        <m:oMath>
          <m:sSub>
            <m:sSubPr>
              <m:ctrlPr>
                <w:rPr>
                  <w:rFonts w:ascii="Cambria Math" w:eastAsiaTheme="minorEastAsia" w:hAnsi="Cambria Math" w:cs="Times New Roman"/>
                  <w:i/>
                  <w:sz w:val="20"/>
                  <w:lang w:val="en-GB"/>
                </w:rPr>
              </m:ctrlPr>
            </m:sSubPr>
            <m:e>
              <m:r>
                <w:rPr>
                  <w:rFonts w:ascii="Cambria Math" w:eastAsiaTheme="minorEastAsia" w:hAnsi="Cambria Math" w:cs="Times New Roman"/>
                  <w:sz w:val="20"/>
                  <w:lang w:val="en-GB"/>
                </w:rPr>
                <m:t>H</m:t>
              </m:r>
            </m:e>
            <m:sub>
              <m:r>
                <w:rPr>
                  <w:rFonts w:ascii="Cambria Math" w:eastAsiaTheme="minorEastAsia" w:hAnsi="Cambria Math" w:cs="Times New Roman"/>
                  <w:sz w:val="20"/>
                  <w:lang w:val="en-GB"/>
                </w:rPr>
                <m:t>a</m:t>
              </m:r>
            </m:sub>
          </m:sSub>
          <m:r>
            <w:rPr>
              <w:rFonts w:ascii="Cambria Math" w:eastAsiaTheme="minorEastAsia" w:hAnsi="Cambria Math" w:cs="Times New Roman"/>
              <w:sz w:val="20"/>
              <w:lang w:val="en-GB"/>
            </w:rPr>
            <m:t xml:space="preserve">:  K=1 </m:t>
          </m:r>
          <m:d>
            <m:dPr>
              <m:ctrlPr>
                <w:rPr>
                  <w:rFonts w:ascii="Cambria Math" w:eastAsiaTheme="minorEastAsia" w:hAnsi="Cambria Math" w:cs="Times New Roman"/>
                  <w:sz w:val="20"/>
                  <w:lang w:val="en-GB"/>
                </w:rPr>
              </m:ctrlPr>
            </m:dPr>
            <m:e>
              <m:r>
                <m:rPr>
                  <m:sty m:val="p"/>
                </m:rPr>
                <w:rPr>
                  <w:rFonts w:ascii="Cambria Math" w:eastAsiaTheme="minorEastAsia" w:hAnsi="Cambria Math" w:cs="Times New Roman"/>
                  <w:sz w:val="20"/>
                  <w:lang w:val="en-GB"/>
                </w:rPr>
                <m:t>there is one cointegrating relationship</m:t>
              </m:r>
            </m:e>
          </m:d>
        </m:oMath>
      </m:oMathPara>
    </w:p>
    <w:p w:rsidR="000767DE" w:rsidRPr="003C2E1A" w:rsidRDefault="00640EA3" w:rsidP="000767DE">
      <w:pPr>
        <w:pStyle w:val="ListParagraph"/>
        <w:spacing w:after="0" w:line="360" w:lineRule="auto"/>
        <w:ind w:left="0"/>
        <w:rPr>
          <w:rFonts w:ascii="Times New Roman" w:hAnsi="Times New Roman" w:cs="Times New Roman"/>
          <w:sz w:val="24"/>
          <w:lang w:val="en-GB"/>
        </w:rPr>
      </w:pPr>
      <w:r w:rsidRPr="003C2E1A">
        <w:rPr>
          <w:rFonts w:ascii="Times New Roman" w:hAnsi="Times New Roman" w:cs="Times New Roman"/>
          <w:sz w:val="24"/>
          <w:lang w:val="en-GB"/>
        </w:rPr>
        <w:t>It is safe to assume that there will be more than 1 cointegrating relationship and thus one can safely disregard the Max Eigenvalue test.  For the sake of completeness however, it shall be included.</w:t>
      </w:r>
    </w:p>
    <w:p w:rsidR="00C34653" w:rsidRDefault="00640EA3" w:rsidP="000767DE">
      <w:pPr>
        <w:pStyle w:val="ListParagraph"/>
        <w:spacing w:after="0" w:line="360" w:lineRule="auto"/>
        <w:ind w:left="0"/>
        <w:rPr>
          <w:rFonts w:ascii="Times New Roman" w:hAnsi="Times New Roman" w:cs="Times New Roman"/>
          <w:sz w:val="24"/>
          <w:lang w:val="en-GB"/>
        </w:rPr>
      </w:pPr>
      <w:r w:rsidRPr="003C2E1A">
        <w:rPr>
          <w:rFonts w:ascii="Times New Roman" w:hAnsi="Times New Roman" w:cs="Times New Roman"/>
          <w:sz w:val="24"/>
          <w:lang w:val="en-GB"/>
        </w:rPr>
        <w:tab/>
      </w:r>
      <w:r w:rsidR="000767DE" w:rsidRPr="003C2E1A">
        <w:rPr>
          <w:rFonts w:ascii="Times New Roman" w:hAnsi="Times New Roman" w:cs="Times New Roman"/>
          <w:sz w:val="24"/>
          <w:lang w:val="en-GB"/>
        </w:rPr>
        <w:t xml:space="preserve">If we have determined whether </w:t>
      </w:r>
      <m:oMath>
        <m:r>
          <w:rPr>
            <w:rFonts w:ascii="Cambria Math" w:hAnsi="Cambria Math" w:cs="Times New Roman"/>
            <w:sz w:val="24"/>
            <w:lang w:val="en-GB"/>
          </w:rPr>
          <m:t>k=0</m:t>
        </m:r>
      </m:oMath>
      <w:r w:rsidR="000767DE" w:rsidRPr="003C2E1A">
        <w:rPr>
          <w:rFonts w:ascii="Times New Roman" w:eastAsiaTheme="minorEastAsia" w:hAnsi="Times New Roman" w:cs="Times New Roman"/>
          <w:sz w:val="24"/>
          <w:lang w:val="en-GB"/>
        </w:rPr>
        <w:t xml:space="preserve"> is rejected we proceed with a repetition of the same test with an altered null hypothesis where we test </w:t>
      </w:r>
      <m:oMath>
        <m:sSub>
          <m:sSubPr>
            <m:ctrlPr>
              <w:rPr>
                <w:rFonts w:ascii="Cambria Math" w:eastAsiaTheme="minorEastAsia" w:hAnsi="Cambria Math" w:cs="Times New Roman"/>
                <w:i/>
                <w:sz w:val="24"/>
                <w:lang w:val="en-GB"/>
              </w:rPr>
            </m:ctrlPr>
          </m:sSubPr>
          <m:e>
            <m:r>
              <w:rPr>
                <w:rFonts w:ascii="Cambria Math" w:eastAsiaTheme="minorEastAsia" w:hAnsi="Cambria Math" w:cs="Times New Roman"/>
                <w:sz w:val="24"/>
                <w:lang w:val="en-GB"/>
              </w:rPr>
              <m:t>H</m:t>
            </m:r>
          </m:e>
          <m:sub>
            <m:r>
              <w:rPr>
                <w:rFonts w:ascii="Cambria Math" w:eastAsiaTheme="minorEastAsia" w:hAnsi="Cambria Math" w:cs="Times New Roman"/>
                <w:sz w:val="24"/>
                <w:lang w:val="en-GB"/>
              </w:rPr>
              <m:t>0</m:t>
            </m:r>
          </m:sub>
        </m:sSub>
        <m:r>
          <w:rPr>
            <w:rFonts w:ascii="Cambria Math" w:eastAsiaTheme="minorEastAsia" w:hAnsi="Cambria Math" w:cs="Times New Roman"/>
            <w:sz w:val="24"/>
            <w:lang w:val="en-GB"/>
          </w:rPr>
          <m:t>:K≤1</m:t>
        </m:r>
      </m:oMath>
      <w:r w:rsidR="000767DE" w:rsidRPr="003C2E1A">
        <w:rPr>
          <w:rFonts w:ascii="Times New Roman" w:eastAsiaTheme="minorEastAsia" w:hAnsi="Times New Roman" w:cs="Times New Roman"/>
          <w:sz w:val="24"/>
          <w:lang w:val="en-GB"/>
        </w:rPr>
        <w:t xml:space="preserve"> versus</w:t>
      </w:r>
      <m:oMath>
        <m:r>
          <w:rPr>
            <w:rFonts w:ascii="Cambria Math" w:eastAsiaTheme="minorEastAsia" w:hAnsi="Cambria Math" w:cs="Times New Roman"/>
            <w:sz w:val="24"/>
            <w:lang w:val="en-GB"/>
          </w:rPr>
          <m:t xml:space="preserve"> </m:t>
        </m:r>
        <m:sSub>
          <m:sSubPr>
            <m:ctrlPr>
              <w:rPr>
                <w:rFonts w:ascii="Cambria Math" w:eastAsiaTheme="minorEastAsia" w:hAnsi="Cambria Math" w:cs="Times New Roman"/>
                <w:i/>
                <w:sz w:val="24"/>
                <w:lang w:val="en-GB"/>
              </w:rPr>
            </m:ctrlPr>
          </m:sSubPr>
          <m:e>
            <m:r>
              <w:rPr>
                <w:rFonts w:ascii="Cambria Math" w:eastAsiaTheme="minorEastAsia" w:hAnsi="Cambria Math" w:cs="Times New Roman"/>
                <w:sz w:val="24"/>
                <w:lang w:val="en-GB"/>
              </w:rPr>
              <m:t>H</m:t>
            </m:r>
          </m:e>
          <m:sub>
            <m:r>
              <w:rPr>
                <w:rFonts w:ascii="Cambria Math" w:eastAsiaTheme="minorEastAsia" w:hAnsi="Cambria Math" w:cs="Times New Roman"/>
                <w:sz w:val="24"/>
                <w:lang w:val="en-GB"/>
              </w:rPr>
              <m:t>a</m:t>
            </m:r>
          </m:sub>
        </m:sSub>
        <m:r>
          <w:rPr>
            <w:rFonts w:ascii="Cambria Math" w:eastAsiaTheme="minorEastAsia" w:hAnsi="Cambria Math" w:cs="Times New Roman"/>
            <w:sz w:val="24"/>
            <w:lang w:val="en-GB"/>
          </w:rPr>
          <m:t>:K≥2</m:t>
        </m:r>
      </m:oMath>
      <w:r w:rsidR="000767DE" w:rsidRPr="003C2E1A">
        <w:rPr>
          <w:rFonts w:ascii="Times New Roman" w:eastAsiaTheme="minorEastAsia" w:hAnsi="Times New Roman" w:cs="Times New Roman"/>
          <w:sz w:val="24"/>
          <w:lang w:val="en-GB"/>
        </w:rPr>
        <w:t>, etcetera, until we uncover K which is the smallest value at which we fail to reject the null hypothesis.</w:t>
      </w:r>
      <w:r w:rsidRPr="003C2E1A">
        <w:rPr>
          <w:rFonts w:ascii="Times New Roman" w:eastAsiaTheme="minorEastAsia" w:hAnsi="Times New Roman" w:cs="Times New Roman"/>
          <w:sz w:val="24"/>
          <w:lang w:val="en-GB"/>
        </w:rPr>
        <w:t xml:space="preserve"> </w:t>
      </w:r>
      <w:r w:rsidRPr="003C2E1A">
        <w:rPr>
          <w:rFonts w:ascii="Times New Roman" w:hAnsi="Times New Roman" w:cs="Times New Roman"/>
          <w:sz w:val="24"/>
          <w:lang w:val="en-GB"/>
        </w:rPr>
        <w:t xml:space="preserve">As we suspect that the relationship between the sovereign bond yield and its underlying macroeconomic fundamentals display at least a degree of cointegration, we shall </w:t>
      </w:r>
      <w:r w:rsidR="007E6A69">
        <w:rPr>
          <w:rFonts w:ascii="Times New Roman" w:hAnsi="Times New Roman" w:cs="Times New Roman"/>
          <w:sz w:val="24"/>
          <w:lang w:val="en-GB"/>
        </w:rPr>
        <w:t xml:space="preserve">favour the Vector Error Correction model over </w:t>
      </w:r>
      <w:r w:rsidRPr="003C2E1A">
        <w:rPr>
          <w:rFonts w:ascii="Times New Roman" w:hAnsi="Times New Roman" w:cs="Times New Roman"/>
          <w:sz w:val="24"/>
          <w:lang w:val="en-GB"/>
        </w:rPr>
        <w:t>the Vector Autoregressive model</w:t>
      </w:r>
      <w:r w:rsidR="007E6A69">
        <w:rPr>
          <w:rFonts w:ascii="Times New Roman" w:hAnsi="Times New Roman" w:cs="Times New Roman"/>
          <w:sz w:val="24"/>
          <w:lang w:val="en-GB"/>
        </w:rPr>
        <w:t xml:space="preserve">. Though, the latter must be observed </w:t>
      </w:r>
      <w:r w:rsidR="00C34653">
        <w:rPr>
          <w:rFonts w:ascii="Times New Roman" w:hAnsi="Times New Roman" w:cs="Times New Roman"/>
          <w:sz w:val="24"/>
          <w:lang w:val="en-GB"/>
        </w:rPr>
        <w:t xml:space="preserve">to highlight the suitability of the VECM. </w:t>
      </w:r>
    </w:p>
    <w:p w:rsidR="00116371" w:rsidRPr="003C2E1A" w:rsidRDefault="00C34653" w:rsidP="000767DE">
      <w:pPr>
        <w:pStyle w:val="ListParagraph"/>
        <w:spacing w:after="0" w:line="360" w:lineRule="auto"/>
        <w:ind w:left="0"/>
        <w:rPr>
          <w:rFonts w:ascii="Times New Roman" w:hAnsi="Times New Roman" w:cs="Times New Roman"/>
          <w:sz w:val="24"/>
          <w:lang w:val="en-GB"/>
        </w:rPr>
      </w:pPr>
      <w:r>
        <w:rPr>
          <w:rFonts w:ascii="Times New Roman" w:hAnsi="Times New Roman" w:cs="Times New Roman"/>
          <w:sz w:val="24"/>
          <w:lang w:val="en-GB"/>
        </w:rPr>
        <w:tab/>
        <w:t>Also</w:t>
      </w:r>
      <w:r w:rsidR="00116371" w:rsidRPr="003C2E1A">
        <w:rPr>
          <w:rFonts w:ascii="Times New Roman" w:hAnsi="Times New Roman" w:cs="Times New Roman"/>
          <w:sz w:val="24"/>
          <w:lang w:val="en-GB"/>
        </w:rPr>
        <w:t>, in the presence of cross-unit cointegration, the null hypothesis of a unit root is rejected too often.</w:t>
      </w:r>
      <w:r w:rsidR="00116371" w:rsidRPr="003C2E1A">
        <w:rPr>
          <w:rStyle w:val="FootnoteReference"/>
          <w:rFonts w:ascii="Times New Roman" w:hAnsi="Times New Roman" w:cs="Times New Roman"/>
          <w:sz w:val="24"/>
          <w:lang w:val="en-GB"/>
        </w:rPr>
        <w:footnoteReference w:id="29"/>
      </w:r>
      <w:r w:rsidR="00116371" w:rsidRPr="003C2E1A">
        <w:rPr>
          <w:rFonts w:ascii="Times New Roman" w:hAnsi="Times New Roman" w:cs="Times New Roman"/>
          <w:sz w:val="24"/>
          <w:lang w:val="en-GB"/>
        </w:rPr>
        <w:t xml:space="preserve"> </w:t>
      </w:r>
      <w:r w:rsidR="0071010E" w:rsidRPr="003C2E1A">
        <w:rPr>
          <w:rFonts w:ascii="Times New Roman" w:hAnsi="Times New Roman" w:cs="Times New Roman"/>
          <w:sz w:val="24"/>
          <w:lang w:val="en-GB"/>
        </w:rPr>
        <w:t xml:space="preserve">Thus beware with respect to interpretation of the unit root tests. </w:t>
      </w:r>
    </w:p>
    <w:p w:rsidR="00116371" w:rsidRPr="003C2E1A" w:rsidRDefault="00116371" w:rsidP="000767DE">
      <w:pPr>
        <w:pStyle w:val="ListParagraph"/>
        <w:spacing w:after="0" w:line="360" w:lineRule="auto"/>
        <w:ind w:left="0"/>
        <w:rPr>
          <w:rFonts w:ascii="Times New Roman" w:eastAsiaTheme="minorEastAsia" w:hAnsi="Times New Roman" w:cs="Times New Roman"/>
          <w:sz w:val="24"/>
          <w:lang w:val="en-GB"/>
        </w:rPr>
      </w:pPr>
    </w:p>
    <w:p w:rsidR="00621A50" w:rsidRPr="003C2E1A" w:rsidRDefault="00AA13B3" w:rsidP="00AA13B3">
      <w:pPr>
        <w:pStyle w:val="ListParagraph"/>
        <w:spacing w:after="0" w:line="360" w:lineRule="auto"/>
        <w:ind w:left="0"/>
        <w:jc w:val="both"/>
        <w:rPr>
          <w:rFonts w:ascii="Times New Roman" w:hAnsi="Times New Roman" w:cs="Times New Roman"/>
          <w:i/>
          <w:sz w:val="24"/>
          <w:lang w:val="en-GB"/>
        </w:rPr>
      </w:pPr>
      <w:r w:rsidRPr="003C2E1A">
        <w:rPr>
          <w:rFonts w:ascii="Times New Roman" w:hAnsi="Times New Roman" w:cs="Times New Roman"/>
          <w:sz w:val="24"/>
          <w:lang w:val="en-GB"/>
        </w:rPr>
        <w:tab/>
      </w:r>
      <w:r w:rsidRPr="003C2E1A">
        <w:rPr>
          <w:rFonts w:ascii="Times New Roman" w:hAnsi="Times New Roman" w:cs="Times New Roman"/>
          <w:i/>
          <w:sz w:val="24"/>
          <w:lang w:val="en-GB"/>
        </w:rPr>
        <w:t>Multivariate VAR/</w:t>
      </w:r>
      <w:r w:rsidR="00734B61" w:rsidRPr="003C2E1A">
        <w:rPr>
          <w:rFonts w:ascii="Times New Roman" w:hAnsi="Times New Roman" w:cs="Times New Roman"/>
          <w:i/>
          <w:sz w:val="24"/>
          <w:lang w:val="en-GB"/>
        </w:rPr>
        <w:t>VEC</w:t>
      </w:r>
      <w:r w:rsidR="00D562D3" w:rsidRPr="003C2E1A">
        <w:rPr>
          <w:rFonts w:ascii="Times New Roman" w:hAnsi="Times New Roman" w:cs="Times New Roman"/>
          <w:i/>
          <w:sz w:val="24"/>
          <w:lang w:val="en-GB"/>
        </w:rPr>
        <w:t xml:space="preserve"> Model</w:t>
      </w:r>
      <w:r w:rsidRPr="003C2E1A">
        <w:rPr>
          <w:rFonts w:ascii="Times New Roman" w:hAnsi="Times New Roman" w:cs="Times New Roman"/>
          <w:i/>
          <w:sz w:val="24"/>
          <w:lang w:val="en-GB"/>
        </w:rPr>
        <w:t>s and</w:t>
      </w:r>
      <w:r w:rsidR="00734B61" w:rsidRPr="003C2E1A">
        <w:rPr>
          <w:rFonts w:ascii="Times New Roman" w:hAnsi="Times New Roman" w:cs="Times New Roman"/>
          <w:i/>
          <w:sz w:val="24"/>
          <w:lang w:val="en-GB"/>
        </w:rPr>
        <w:t xml:space="preserve"> Granger Causality  </w:t>
      </w:r>
    </w:p>
    <w:p w:rsidR="00F309E2" w:rsidRPr="003C2E1A" w:rsidRDefault="00621A50" w:rsidP="00F309E2">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 xml:space="preserve">The VEC is a multivariate dynamic model that incorporates at least one long-run cointegrating relationship between its variables and operates from the assumption that any deviation from the dependent variable’s long-run pathway will have an impact on its short run dynamics; it shall estimate the speed at which sovereign bond yields will return to their equilibrium level after a change in one of the underlying variables. As it concerns a multivariate VEC, more than one error correction term will have to be inserted into the equation. </w:t>
      </w:r>
      <w:r w:rsidR="00F309E2" w:rsidRPr="003C2E1A">
        <w:rPr>
          <w:rFonts w:ascii="Times New Roman" w:hAnsi="Times New Roman" w:cs="Times New Roman"/>
          <w:sz w:val="24"/>
          <w:lang w:val="en-GB"/>
        </w:rPr>
        <w:t xml:space="preserve">Conversely, as the VEC is analogous to a VAR model of non-orthogonal variables with error corrections, </w:t>
      </w:r>
      <w:r w:rsidR="00AA13B3" w:rsidRPr="003C2E1A">
        <w:rPr>
          <w:rFonts w:ascii="Times New Roman" w:hAnsi="Times New Roman" w:cs="Times New Roman"/>
          <w:sz w:val="24"/>
          <w:lang w:val="en-GB"/>
        </w:rPr>
        <w:t>I</w:t>
      </w:r>
      <w:r w:rsidR="00F309E2" w:rsidRPr="003C2E1A">
        <w:rPr>
          <w:rFonts w:ascii="Times New Roman" w:hAnsi="Times New Roman" w:cs="Times New Roman"/>
          <w:sz w:val="24"/>
          <w:lang w:val="en-GB"/>
        </w:rPr>
        <w:t xml:space="preserve"> decided to elucidate the multivariate VAR(</w:t>
      </w:r>
      <w:r w:rsidR="00F309E2" w:rsidRPr="003166AD">
        <w:rPr>
          <w:rFonts w:ascii="Times New Roman" w:hAnsi="Times New Roman" w:cs="Times New Roman"/>
          <w:i/>
          <w:sz w:val="24"/>
          <w:lang w:val="en-GB"/>
        </w:rPr>
        <w:t>m</w:t>
      </w:r>
      <w:r w:rsidR="00F309E2" w:rsidRPr="003C2E1A">
        <w:rPr>
          <w:rFonts w:ascii="Times New Roman" w:hAnsi="Times New Roman" w:cs="Times New Roman"/>
          <w:sz w:val="24"/>
          <w:lang w:val="en-GB"/>
        </w:rPr>
        <w:t xml:space="preserve">) model first. </w:t>
      </w:r>
    </w:p>
    <w:p w:rsidR="00F309E2" w:rsidRPr="003C2E1A" w:rsidRDefault="00F309E2" w:rsidP="00F309E2">
      <w:pPr>
        <w:pStyle w:val="ListParagraph"/>
        <w:spacing w:after="0" w:line="360" w:lineRule="auto"/>
        <w:ind w:left="0"/>
        <w:jc w:val="both"/>
        <w:rPr>
          <w:rFonts w:ascii="Times New Roman" w:hAnsi="Times New Roman" w:cs="Times New Roman"/>
          <w:sz w:val="18"/>
          <w:lang w:val="en-GB"/>
        </w:rPr>
      </w:pPr>
      <w:r w:rsidRPr="003C2E1A">
        <w:rPr>
          <w:rFonts w:ascii="Times New Roman" w:hAnsi="Times New Roman" w:cs="Times New Roman"/>
          <w:sz w:val="24"/>
          <w:lang w:val="en-GB"/>
        </w:rPr>
        <w:tab/>
        <w:t>Under the multivariate VAR(</w:t>
      </w:r>
      <w:r w:rsidRPr="005C2FF3">
        <w:rPr>
          <w:rFonts w:ascii="Times New Roman" w:hAnsi="Times New Roman" w:cs="Times New Roman"/>
          <w:i/>
          <w:sz w:val="24"/>
          <w:lang w:val="en-GB"/>
        </w:rPr>
        <w:t>m</w:t>
      </w:r>
      <w:r w:rsidRPr="003C2E1A">
        <w:rPr>
          <w:rFonts w:ascii="Times New Roman" w:hAnsi="Times New Roman" w:cs="Times New Roman"/>
          <w:sz w:val="24"/>
          <w:lang w:val="en-GB"/>
        </w:rPr>
        <w:t xml:space="preserve">) model with </w:t>
      </w:r>
      <w:r w:rsidRPr="003C2E1A">
        <w:rPr>
          <w:rFonts w:ascii="Times New Roman" w:hAnsi="Times New Roman" w:cs="Times New Roman"/>
          <w:i/>
          <w:sz w:val="24"/>
          <w:lang w:val="en-GB"/>
        </w:rPr>
        <w:t>n</w:t>
      </w:r>
      <w:r w:rsidRPr="003C2E1A">
        <w:rPr>
          <w:rFonts w:ascii="Times New Roman" w:hAnsi="Times New Roman" w:cs="Times New Roman"/>
          <w:sz w:val="24"/>
          <w:lang w:val="en-GB"/>
        </w:rPr>
        <w:t xml:space="preserve"> endogenous variables, the following equation is utilized: </w:t>
      </w:r>
    </w:p>
    <w:p w:rsidR="00F309E2" w:rsidRPr="003C2E1A" w:rsidRDefault="00FD58CE" w:rsidP="00F309E2">
      <w:pPr>
        <w:pStyle w:val="ListParagraph"/>
        <w:spacing w:after="0" w:line="240" w:lineRule="auto"/>
        <w:ind w:left="0"/>
        <w:jc w:val="both"/>
        <w:rPr>
          <w:rFonts w:ascii="Times New Roman" w:eastAsiaTheme="minorEastAsia" w:hAnsi="Times New Roman" w:cs="Times New Roman"/>
          <w:b/>
          <w:i/>
          <w:sz w:val="24"/>
          <w:lang w:val="en-GB"/>
        </w:rPr>
      </w:pPr>
      <m:oMathPara>
        <m:oMath>
          <m:sSub>
            <m:sSubPr>
              <m:ctrlPr>
                <w:rPr>
                  <w:rFonts w:ascii="Cambria Math" w:hAnsi="Cambria Math" w:cs="Times New Roman"/>
                  <w:i/>
                  <w:sz w:val="24"/>
                  <w:lang w:val="en-GB"/>
                </w:rPr>
              </m:ctrlPr>
            </m:sSubPr>
            <m:e>
              <m:r>
                <m:rPr>
                  <m:sty m:val="bi"/>
                </m:rPr>
                <w:rPr>
                  <w:rFonts w:ascii="Cambria Math" w:hAnsi="Cambria Math" w:cs="Times New Roman"/>
                  <w:sz w:val="24"/>
                  <w:lang w:val="en-GB"/>
                </w:rPr>
                <m:t>y</m:t>
              </m:r>
            </m:e>
            <m:sub>
              <m:r>
                <w:rPr>
                  <w:rFonts w:ascii="Cambria Math" w:hAnsi="Cambria Math" w:cs="Times New Roman"/>
                  <w:sz w:val="24"/>
                  <w:lang w:val="en-GB"/>
                </w:rPr>
                <m:t>t</m:t>
              </m:r>
            </m:sub>
          </m:sSub>
          <m:r>
            <w:rPr>
              <w:rFonts w:ascii="Cambria Math" w:hAnsi="Cambria Math" w:cs="Times New Roman"/>
              <w:sz w:val="24"/>
              <w:lang w:val="en-GB"/>
            </w:rPr>
            <m:t>=</m:t>
          </m:r>
          <m:nary>
            <m:naryPr>
              <m:chr m:val="∑"/>
              <m:limLoc m:val="undOvr"/>
              <m:ctrlPr>
                <w:rPr>
                  <w:rFonts w:ascii="Cambria Math" w:hAnsi="Cambria Math" w:cs="Times New Roman"/>
                  <w:i/>
                  <w:sz w:val="24"/>
                  <w:lang w:val="en-GB"/>
                </w:rPr>
              </m:ctrlPr>
            </m:naryPr>
            <m:sub>
              <m:r>
                <w:rPr>
                  <w:rFonts w:ascii="Cambria Math" w:hAnsi="Cambria Math" w:cs="Times New Roman"/>
                  <w:sz w:val="24"/>
                  <w:lang w:val="en-GB"/>
                </w:rPr>
                <m:t>i=1</m:t>
              </m:r>
            </m:sub>
            <m:sup>
              <m:r>
                <w:rPr>
                  <w:rFonts w:ascii="Cambria Math" w:hAnsi="Cambria Math" w:cs="Times New Roman"/>
                  <w:sz w:val="24"/>
                  <w:lang w:val="en-GB"/>
                </w:rPr>
                <m:t>m</m:t>
              </m:r>
            </m:sup>
            <m:e>
              <m:r>
                <w:rPr>
                  <w:rFonts w:ascii="Cambria Math" w:hAnsi="Cambria Math" w:cs="Times New Roman"/>
                  <w:sz w:val="24"/>
                  <w:lang w:val="en-GB"/>
                </w:rPr>
                <m:t>(</m:t>
              </m:r>
              <m:sSub>
                <m:sSubPr>
                  <m:ctrlPr>
                    <w:rPr>
                      <w:rFonts w:ascii="Cambria Math" w:hAnsi="Cambria Math" w:cs="Times New Roman"/>
                      <w:i/>
                      <w:sz w:val="24"/>
                      <w:lang w:val="en-GB"/>
                    </w:rPr>
                  </m:ctrlPr>
                </m:sSubPr>
                <m:e>
                  <m:r>
                    <m:rPr>
                      <m:sty m:val="bi"/>
                    </m:rPr>
                    <w:rPr>
                      <w:rFonts w:ascii="Cambria Math" w:hAnsi="Cambria Math" w:cs="Times New Roman"/>
                      <w:sz w:val="24"/>
                      <w:lang w:val="en-GB"/>
                    </w:rPr>
                    <m:t>Φ</m:t>
                  </m:r>
                </m:e>
                <m:sub>
                  <m:r>
                    <w:rPr>
                      <w:rFonts w:ascii="Cambria Math" w:hAnsi="Cambria Math" w:cs="Times New Roman"/>
                      <w:sz w:val="24"/>
                      <w:lang w:val="en-GB"/>
                    </w:rPr>
                    <m:t>i</m:t>
                  </m:r>
                </m:sub>
              </m:sSub>
              <m:sSub>
                <m:sSubPr>
                  <m:ctrlPr>
                    <w:rPr>
                      <w:rFonts w:ascii="Cambria Math" w:hAnsi="Cambria Math" w:cs="Times New Roman"/>
                      <w:i/>
                      <w:sz w:val="24"/>
                      <w:lang w:val="en-GB"/>
                    </w:rPr>
                  </m:ctrlPr>
                </m:sSubPr>
                <m:e>
                  <m:r>
                    <m:rPr>
                      <m:sty m:val="bi"/>
                    </m:rPr>
                    <w:rPr>
                      <w:rFonts w:ascii="Cambria Math" w:hAnsi="Cambria Math" w:cs="Times New Roman"/>
                      <w:sz w:val="24"/>
                      <w:lang w:val="en-GB"/>
                    </w:rPr>
                    <m:t>y</m:t>
                  </m:r>
                </m:e>
                <m:sub>
                  <m:r>
                    <w:rPr>
                      <w:rFonts w:ascii="Cambria Math" w:hAnsi="Cambria Math" w:cs="Times New Roman"/>
                      <w:sz w:val="24"/>
                      <w:lang w:val="en-GB"/>
                    </w:rPr>
                    <m:t>t-i</m:t>
                  </m:r>
                </m:sub>
              </m:sSub>
              <m:r>
                <w:rPr>
                  <w:rFonts w:ascii="Cambria Math" w:hAnsi="Cambria Math" w:cs="Times New Roman"/>
                  <w:sz w:val="24"/>
                  <w:lang w:val="en-GB"/>
                </w:rPr>
                <m:t>)</m:t>
              </m:r>
            </m:e>
          </m:nary>
          <m:r>
            <w:rPr>
              <w:rFonts w:ascii="Cambria Math" w:hAnsi="Cambria Math" w:cs="Times New Roman"/>
              <w:sz w:val="24"/>
              <w:lang w:val="en-GB"/>
            </w:rPr>
            <m:t>+</m:t>
          </m:r>
          <m:sSub>
            <m:sSubPr>
              <m:ctrlPr>
                <w:rPr>
                  <w:rFonts w:ascii="Cambria Math" w:hAnsi="Cambria Math" w:cs="Times New Roman"/>
                  <w:b/>
                  <w:i/>
                  <w:sz w:val="24"/>
                  <w:lang w:val="en-GB"/>
                </w:rPr>
              </m:ctrlPr>
            </m:sSubPr>
            <m:e>
              <m:r>
                <m:rPr>
                  <m:sty m:val="bi"/>
                </m:rPr>
                <w:rPr>
                  <w:rFonts w:ascii="Cambria Math" w:hAnsi="Cambria Math" w:cs="Times New Roman"/>
                  <w:sz w:val="24"/>
                  <w:lang w:val="en-GB"/>
                </w:rPr>
                <m:t>υ</m:t>
              </m:r>
            </m:e>
            <m:sub>
              <m:r>
                <w:rPr>
                  <w:rFonts w:ascii="Cambria Math" w:hAnsi="Cambria Math" w:cs="Times New Roman"/>
                  <w:sz w:val="24"/>
                  <w:lang w:val="en-GB"/>
                </w:rPr>
                <m:t>t</m:t>
              </m:r>
            </m:sub>
          </m:sSub>
        </m:oMath>
      </m:oMathPara>
    </w:p>
    <w:p w:rsidR="00F702EC" w:rsidRPr="003C2E1A" w:rsidRDefault="00F309E2" w:rsidP="00F702EC">
      <w:pPr>
        <w:pStyle w:val="ListParagraph"/>
        <w:spacing w:after="0" w:line="360" w:lineRule="auto"/>
        <w:ind w:left="0"/>
        <w:jc w:val="both"/>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lastRenderedPageBreak/>
        <w:t xml:space="preserve">Let </w:t>
      </w:r>
      <m:oMath>
        <m:sSub>
          <m:sSubPr>
            <m:ctrlPr>
              <w:rPr>
                <w:rFonts w:ascii="Cambria Math" w:hAnsi="Cambria Math" w:cs="Times New Roman"/>
                <w:i/>
                <w:sz w:val="24"/>
                <w:lang w:val="en-GB"/>
              </w:rPr>
            </m:ctrlPr>
          </m:sSubPr>
          <m:e>
            <m:r>
              <m:rPr>
                <m:sty m:val="bi"/>
              </m:rPr>
              <w:rPr>
                <w:rFonts w:ascii="Cambria Math" w:hAnsi="Cambria Math" w:cs="Times New Roman"/>
                <w:sz w:val="24"/>
                <w:lang w:val="en-GB"/>
              </w:rPr>
              <m:t>y</m:t>
            </m:r>
          </m:e>
          <m:sub>
            <m:r>
              <w:rPr>
                <w:rFonts w:ascii="Cambria Math" w:hAnsi="Cambria Math" w:cs="Times New Roman"/>
                <w:sz w:val="24"/>
                <w:lang w:val="en-GB"/>
              </w:rPr>
              <m:t>t</m:t>
            </m:r>
          </m:sub>
        </m:sSub>
      </m:oMath>
      <w:r w:rsidRPr="003C2E1A">
        <w:rPr>
          <w:rFonts w:ascii="Times New Roman" w:eastAsiaTheme="minorEastAsia" w:hAnsi="Times New Roman" w:cs="Times New Roman"/>
          <w:sz w:val="24"/>
          <w:lang w:val="en-GB"/>
        </w:rPr>
        <w:t xml:space="preserve"> be the n-dimensional vector of endogenous variables, </w:t>
      </w:r>
      <m:oMath>
        <m:sSub>
          <m:sSubPr>
            <m:ctrlPr>
              <w:rPr>
                <w:rFonts w:ascii="Cambria Math" w:hAnsi="Cambria Math" w:cs="Times New Roman"/>
                <w:i/>
                <w:sz w:val="24"/>
                <w:lang w:val="en-GB"/>
              </w:rPr>
            </m:ctrlPr>
          </m:sSubPr>
          <m:e>
            <m:r>
              <m:rPr>
                <m:sty m:val="bi"/>
              </m:rPr>
              <w:rPr>
                <w:rFonts w:ascii="Cambria Math" w:hAnsi="Cambria Math" w:cs="Times New Roman"/>
                <w:sz w:val="24"/>
                <w:lang w:val="en-GB"/>
              </w:rPr>
              <m:t>Φ</m:t>
            </m:r>
          </m:e>
          <m:sub>
            <m:r>
              <w:rPr>
                <w:rFonts w:ascii="Cambria Math" w:hAnsi="Cambria Math" w:cs="Times New Roman"/>
                <w:sz w:val="24"/>
                <w:lang w:val="en-GB"/>
              </w:rPr>
              <m:t>i</m:t>
            </m:r>
          </m:sub>
        </m:sSub>
      </m:oMath>
      <w:r w:rsidRPr="003C2E1A">
        <w:rPr>
          <w:rFonts w:ascii="Times New Roman" w:eastAsiaTheme="minorEastAsia" w:hAnsi="Times New Roman" w:cs="Times New Roman"/>
          <w:sz w:val="24"/>
          <w:lang w:val="en-GB"/>
        </w:rPr>
        <w:t xml:space="preserve"> the coefficient matrices for i [1,...,m] and </w:t>
      </w:r>
      <m:oMath>
        <m:sSub>
          <m:sSubPr>
            <m:ctrlPr>
              <w:rPr>
                <w:rFonts w:ascii="Cambria Math" w:hAnsi="Cambria Math" w:cs="Times New Roman"/>
                <w:b/>
                <w:i/>
                <w:sz w:val="24"/>
                <w:lang w:val="en-GB"/>
              </w:rPr>
            </m:ctrlPr>
          </m:sSubPr>
          <m:e>
            <m:r>
              <m:rPr>
                <m:sty m:val="bi"/>
              </m:rPr>
              <w:rPr>
                <w:rFonts w:ascii="Cambria Math" w:hAnsi="Cambria Math" w:cs="Times New Roman"/>
                <w:sz w:val="24"/>
                <w:lang w:val="en-GB"/>
              </w:rPr>
              <m:t>υ</m:t>
            </m:r>
          </m:e>
          <m:sub>
            <m:r>
              <w:rPr>
                <w:rFonts w:ascii="Cambria Math" w:hAnsi="Cambria Math" w:cs="Times New Roman"/>
                <w:sz w:val="24"/>
                <w:lang w:val="en-GB"/>
              </w:rPr>
              <m:t>t</m:t>
            </m:r>
          </m:sub>
        </m:sSub>
      </m:oMath>
      <w:r w:rsidRPr="003C2E1A">
        <w:rPr>
          <w:rFonts w:ascii="Times New Roman" w:eastAsiaTheme="minorEastAsia" w:hAnsi="Times New Roman" w:cs="Times New Roman"/>
          <w:b/>
          <w:sz w:val="24"/>
          <w:lang w:val="en-GB"/>
        </w:rPr>
        <w:t xml:space="preserve"> </w:t>
      </w:r>
      <w:r w:rsidRPr="003C2E1A">
        <w:rPr>
          <w:rFonts w:ascii="Times New Roman" w:eastAsiaTheme="minorEastAsia" w:hAnsi="Times New Roman" w:cs="Times New Roman"/>
          <w:sz w:val="24"/>
          <w:lang w:val="en-GB"/>
        </w:rPr>
        <w:t>as the</w:t>
      </w:r>
      <w:r w:rsidRPr="003C2E1A">
        <w:rPr>
          <w:rFonts w:ascii="Times New Roman" w:eastAsiaTheme="minorEastAsia" w:hAnsi="Times New Roman" w:cs="Times New Roman"/>
          <w:b/>
          <w:sz w:val="24"/>
          <w:lang w:val="en-GB"/>
        </w:rPr>
        <w:t xml:space="preserve"> </w:t>
      </w:r>
      <w:r w:rsidRPr="003C2E1A">
        <w:rPr>
          <w:rFonts w:ascii="Times New Roman" w:eastAsiaTheme="minorEastAsia" w:hAnsi="Times New Roman" w:cs="Times New Roman"/>
          <w:sz w:val="24"/>
          <w:lang w:val="en-GB"/>
        </w:rPr>
        <w:t xml:space="preserve">error vector that is typified as ‘white noise’, </w:t>
      </w:r>
      <w:r w:rsidR="00A031FB" w:rsidRPr="003C2E1A">
        <w:rPr>
          <w:rFonts w:ascii="Times New Roman" w:eastAsiaTheme="minorEastAsia" w:hAnsi="Times New Roman" w:cs="Times New Roman"/>
          <w:sz w:val="24"/>
          <w:lang w:val="en-GB"/>
        </w:rPr>
        <w:t>e.g.,</w:t>
      </w:r>
      <w:r w:rsidRPr="003C2E1A">
        <w:rPr>
          <w:rFonts w:ascii="Times New Roman" w:eastAsiaTheme="minorEastAsia" w:hAnsi="Times New Roman" w:cs="Times New Roman"/>
          <w:sz w:val="24"/>
          <w:lang w:val="en-GB"/>
        </w:rPr>
        <w:t xml:space="preserve"> time invariant definite covariance matrix as </w:t>
      </w:r>
      <m:oMath>
        <m:sSub>
          <m:sSubPr>
            <m:ctrlPr>
              <w:rPr>
                <w:rFonts w:ascii="Cambria Math" w:hAnsi="Cambria Math" w:cs="Times New Roman"/>
                <w:b/>
                <w:i/>
                <w:sz w:val="24"/>
                <w:lang w:val="en-GB"/>
              </w:rPr>
            </m:ctrlPr>
          </m:sSubPr>
          <m:e>
            <m:r>
              <w:rPr>
                <w:rFonts w:ascii="Cambria Math" w:hAnsi="Cambria Math" w:cs="Times New Roman"/>
                <w:sz w:val="24"/>
                <w:lang w:val="en-GB"/>
              </w:rPr>
              <m:t>E</m:t>
            </m:r>
            <m:r>
              <m:rPr>
                <m:sty m:val="bi"/>
              </m:rPr>
              <w:rPr>
                <w:rFonts w:ascii="Cambria Math" w:hAnsi="Cambria Math" w:cs="Times New Roman"/>
                <w:sz w:val="24"/>
                <w:lang w:val="en-GB"/>
              </w:rPr>
              <m:t>(υ</m:t>
            </m:r>
          </m:e>
          <m:sub>
            <m:r>
              <w:rPr>
                <w:rFonts w:ascii="Cambria Math" w:hAnsi="Cambria Math" w:cs="Times New Roman"/>
                <w:sz w:val="24"/>
                <w:lang w:val="en-GB"/>
              </w:rPr>
              <m:t>t</m:t>
            </m:r>
          </m:sub>
        </m:sSub>
        <m:r>
          <m:rPr>
            <m:sty m:val="bi"/>
          </m:rPr>
          <w:rPr>
            <w:rFonts w:ascii="Cambria Math" w:eastAsiaTheme="minorEastAsia" w:hAnsi="Cambria Math" w:cs="Times New Roman"/>
            <w:sz w:val="24"/>
            <w:lang w:val="en-GB"/>
          </w:rPr>
          <m:t>)=</m:t>
        </m:r>
        <m:r>
          <w:rPr>
            <w:rFonts w:ascii="Cambria Math" w:eastAsiaTheme="minorEastAsia" w:hAnsi="Cambria Math" w:cs="Times New Roman"/>
            <w:sz w:val="24"/>
            <w:lang w:val="en-GB"/>
          </w:rPr>
          <m:t>0</m:t>
        </m:r>
      </m:oMath>
      <w:r w:rsidRPr="003C2E1A">
        <w:rPr>
          <w:rFonts w:ascii="Times New Roman" w:eastAsiaTheme="minorEastAsia" w:hAnsi="Times New Roman" w:cs="Times New Roman"/>
          <w:sz w:val="24"/>
          <w:lang w:val="en-GB"/>
        </w:rPr>
        <w:t xml:space="preserve"> and </w:t>
      </w:r>
      <m:oMath>
        <m:r>
          <w:rPr>
            <w:rFonts w:ascii="Cambria Math" w:eastAsiaTheme="minorEastAsia" w:hAnsi="Cambria Math" w:cs="Times New Roman"/>
            <w:sz w:val="24"/>
            <w:lang w:val="en-GB"/>
          </w:rPr>
          <m:t>E</m:t>
        </m:r>
        <m:d>
          <m:dPr>
            <m:ctrlPr>
              <w:rPr>
                <w:rFonts w:ascii="Cambria Math" w:eastAsiaTheme="minorEastAsia" w:hAnsi="Cambria Math" w:cs="Times New Roman"/>
                <w:i/>
                <w:sz w:val="24"/>
                <w:lang w:val="en-GB"/>
              </w:rPr>
            </m:ctrlPr>
          </m:dPr>
          <m:e>
            <m:sSub>
              <m:sSubPr>
                <m:ctrlPr>
                  <w:rPr>
                    <w:rFonts w:ascii="Cambria Math" w:hAnsi="Cambria Math" w:cs="Times New Roman"/>
                    <w:b/>
                    <w:i/>
                    <w:sz w:val="24"/>
                    <w:lang w:val="en-GB"/>
                  </w:rPr>
                </m:ctrlPr>
              </m:sSubPr>
              <m:e>
                <m:r>
                  <m:rPr>
                    <m:sty m:val="bi"/>
                  </m:rPr>
                  <w:rPr>
                    <w:rFonts w:ascii="Cambria Math" w:hAnsi="Cambria Math" w:cs="Times New Roman"/>
                    <w:sz w:val="24"/>
                    <w:lang w:val="en-GB"/>
                  </w:rPr>
                  <m:t>υ</m:t>
                </m:r>
              </m:e>
              <m:sub>
                <m:r>
                  <w:rPr>
                    <w:rFonts w:ascii="Cambria Math" w:hAnsi="Cambria Math" w:cs="Times New Roman"/>
                    <w:sz w:val="24"/>
                    <w:lang w:val="en-GB"/>
                  </w:rPr>
                  <m:t>t</m:t>
                </m:r>
              </m:sub>
            </m:sSub>
            <m:sSub>
              <m:sSubPr>
                <m:ctrlPr>
                  <w:rPr>
                    <w:rFonts w:ascii="Cambria Math" w:hAnsi="Cambria Math" w:cs="Times New Roman"/>
                    <w:b/>
                    <w:i/>
                    <w:sz w:val="24"/>
                    <w:lang w:val="en-GB"/>
                  </w:rPr>
                </m:ctrlPr>
              </m:sSubPr>
              <m:e>
                <m:sSup>
                  <m:sSupPr>
                    <m:ctrlPr>
                      <w:rPr>
                        <w:rFonts w:ascii="Cambria Math" w:hAnsi="Cambria Math" w:cs="Times New Roman"/>
                        <w:b/>
                        <w:i/>
                        <w:sz w:val="24"/>
                        <w:lang w:val="en-GB"/>
                      </w:rPr>
                    </m:ctrlPr>
                  </m:sSupPr>
                  <m:e>
                    <m:r>
                      <m:rPr>
                        <m:sty m:val="bi"/>
                      </m:rPr>
                      <w:rPr>
                        <w:rFonts w:ascii="Cambria Math" w:hAnsi="Cambria Math" w:cs="Times New Roman"/>
                        <w:sz w:val="24"/>
                        <w:lang w:val="en-GB"/>
                      </w:rPr>
                      <m:t>υ</m:t>
                    </m:r>
                  </m:e>
                  <m:sup>
                    <m:r>
                      <m:rPr>
                        <m:sty m:val="bi"/>
                      </m:rPr>
                      <w:rPr>
                        <w:rFonts w:ascii="Cambria Math" w:hAnsi="Cambria Math" w:cs="Times New Roman"/>
                        <w:sz w:val="24"/>
                        <w:lang w:val="en-GB"/>
                      </w:rPr>
                      <m:t>'</m:t>
                    </m:r>
                  </m:sup>
                </m:sSup>
              </m:e>
              <m:sub>
                <m:r>
                  <w:rPr>
                    <w:rFonts w:ascii="Cambria Math" w:hAnsi="Cambria Math" w:cs="Times New Roman"/>
                    <w:sz w:val="24"/>
                    <w:lang w:val="en-GB"/>
                  </w:rPr>
                  <m:t>t</m:t>
                </m:r>
              </m:sub>
            </m:sSub>
            <m:ctrlPr>
              <w:rPr>
                <w:rFonts w:ascii="Cambria Math" w:hAnsi="Cambria Math" w:cs="Times New Roman"/>
                <w:b/>
                <w:i/>
                <w:sz w:val="24"/>
                <w:lang w:val="en-GB"/>
              </w:rPr>
            </m:ctrlPr>
          </m:e>
        </m:d>
        <m:r>
          <m:rPr>
            <m:sty m:val="bi"/>
          </m:rPr>
          <w:rPr>
            <w:rFonts w:ascii="Cambria Math" w:hAnsi="Cambria Math" w:cs="Times New Roman"/>
            <w:sz w:val="24"/>
            <w:lang w:val="en-GB"/>
          </w:rPr>
          <m:t>=</m:t>
        </m:r>
        <m:nary>
          <m:naryPr>
            <m:chr m:val="∑"/>
            <m:limLoc m:val="undOvr"/>
            <m:subHide m:val="1"/>
            <m:supHide m:val="1"/>
            <m:ctrlPr>
              <w:rPr>
                <w:rFonts w:ascii="Cambria Math" w:hAnsi="Cambria Math" w:cs="Times New Roman"/>
                <w:i/>
                <w:sz w:val="24"/>
                <w:lang w:val="en-GB"/>
              </w:rPr>
            </m:ctrlPr>
          </m:naryPr>
          <m:sub/>
          <m:sup/>
          <m:e>
            <m:r>
              <m:rPr>
                <m:sty m:val="bi"/>
              </m:rPr>
              <w:rPr>
                <w:rFonts w:ascii="Cambria Math" w:hAnsi="Cambria Math" w:cs="Times New Roman"/>
                <w:sz w:val="24"/>
                <w:lang w:val="en-GB"/>
              </w:rPr>
              <m:t>υ</m:t>
            </m:r>
          </m:e>
        </m:nary>
      </m:oMath>
      <w:r w:rsidRPr="003C2E1A">
        <w:rPr>
          <w:rFonts w:ascii="Times New Roman" w:eastAsiaTheme="minorEastAsia" w:hAnsi="Times New Roman" w:cs="Times New Roman"/>
          <w:sz w:val="24"/>
          <w:lang w:val="en-GB"/>
        </w:rPr>
        <w:t xml:space="preserve">. </w:t>
      </w:r>
      <w:r>
        <w:rPr>
          <w:rFonts w:ascii="Cambria Math" w:hAnsi="Cambria Math" w:cs="Times New Roman"/>
          <w:sz w:val="24"/>
          <w:lang w:val="en-GB"/>
        </w:rPr>
        <w:br/>
      </w:r>
      <w:r w:rsidRPr="003C2E1A">
        <w:rPr>
          <w:rFonts w:ascii="Times New Roman" w:eastAsiaTheme="minorEastAsia" w:hAnsi="Times New Roman" w:cs="Times New Roman"/>
          <w:sz w:val="24"/>
          <w:lang w:val="en-GB"/>
        </w:rPr>
        <w:t>White noise essentially indicates the presence of serially uncorrelated variables where μ=0 and σ²=finite.</w:t>
      </w:r>
      <w:r w:rsidR="00F702EC" w:rsidRPr="003C2E1A">
        <w:rPr>
          <w:rFonts w:ascii="Times New Roman" w:eastAsiaTheme="minorEastAsia" w:hAnsi="Times New Roman" w:cs="Times New Roman"/>
          <w:sz w:val="24"/>
          <w:lang w:val="en-GB"/>
        </w:rPr>
        <w:t xml:space="preserve"> Conversely, the VEC incorporates error correction terms depending on its cointegration rank (</w:t>
      </w:r>
      <w:r w:rsidR="00F702EC" w:rsidRPr="005C2FF3">
        <w:rPr>
          <w:rFonts w:ascii="Times New Roman" w:eastAsiaTheme="minorEastAsia" w:hAnsi="Times New Roman" w:cs="Times New Roman"/>
          <w:i/>
          <w:sz w:val="24"/>
          <w:lang w:val="en-GB"/>
        </w:rPr>
        <w:t>k</w:t>
      </w:r>
      <w:r w:rsidR="00F702EC" w:rsidRPr="003C2E1A">
        <w:rPr>
          <w:rFonts w:ascii="Times New Roman" w:eastAsiaTheme="minorEastAsia" w:hAnsi="Times New Roman" w:cs="Times New Roman"/>
          <w:sz w:val="24"/>
          <w:lang w:val="en-GB"/>
        </w:rPr>
        <w:t xml:space="preserve">). The multivariate VEC(m) for cointegrating rank (k) can be written as follows: </w:t>
      </w:r>
    </w:p>
    <w:p w:rsidR="00F702EC" w:rsidRPr="003C2E1A" w:rsidRDefault="00FD58CE" w:rsidP="00F702EC">
      <w:pPr>
        <w:pStyle w:val="ListParagraph"/>
        <w:spacing w:after="0" w:line="240" w:lineRule="auto"/>
        <w:ind w:left="0"/>
        <w:jc w:val="both"/>
        <w:rPr>
          <w:rFonts w:ascii="Times New Roman" w:eastAsiaTheme="minorEastAsia" w:hAnsi="Times New Roman" w:cs="Times New Roman"/>
          <w:b/>
          <w:i/>
          <w:sz w:val="24"/>
          <w:szCs w:val="24"/>
          <w:lang w:val="en-GB"/>
        </w:rPr>
      </w:pPr>
      <m:oMathPara>
        <m:oMath>
          <m:sSub>
            <m:sSubPr>
              <m:ctrlPr>
                <w:rPr>
                  <w:rFonts w:ascii="Cambria Math" w:hAnsi="Cambria Math" w:cs="Times New Roman"/>
                  <w:i/>
                  <w:sz w:val="24"/>
                  <w:szCs w:val="24"/>
                  <w:lang w:val="en-GB"/>
                </w:rPr>
              </m:ctrlPr>
            </m:sSubPr>
            <m:e>
              <m:r>
                <m:rPr>
                  <m:sty m:val="bi"/>
                </m:rPr>
                <w:rPr>
                  <w:rFonts w:ascii="Cambria Math" w:hAnsi="Cambria Math" w:cs="Times New Roman"/>
                  <w:sz w:val="24"/>
                  <w:szCs w:val="24"/>
                  <w:lang w:val="en-GB"/>
                </w:rPr>
                <m:t>∆y</m:t>
              </m:r>
            </m:e>
            <m:sub>
              <m:r>
                <w:rPr>
                  <w:rFonts w:ascii="Cambria Math" w:hAnsi="Cambria Math" w:cs="Times New Roman"/>
                  <w:sz w:val="24"/>
                  <w:szCs w:val="24"/>
                  <w:lang w:val="en-GB"/>
                </w:rPr>
                <m:t>t</m:t>
              </m:r>
            </m:sub>
          </m:sSub>
          <m:r>
            <w:rPr>
              <w:rFonts w:ascii="Cambria Math" w:hAnsi="Cambria Math" w:cs="Times New Roman"/>
              <w:sz w:val="24"/>
              <w:szCs w:val="24"/>
              <w:lang w:val="en-GB"/>
            </w:rPr>
            <m:t>=</m:t>
          </m:r>
          <m:r>
            <m:rPr>
              <m:sty m:val="b"/>
            </m:rPr>
            <w:rPr>
              <w:rFonts w:ascii="Cambria Math" w:hAnsi="Cambria Math" w:cs="Times New Roman"/>
              <w:sz w:val="24"/>
              <w:szCs w:val="24"/>
              <w:lang w:val="en-GB"/>
            </w:rPr>
            <m:t>Π</m:t>
          </m:r>
          <m:sSub>
            <m:sSubPr>
              <m:ctrlPr>
                <w:rPr>
                  <w:rFonts w:ascii="Cambria Math" w:hAnsi="Cambria Math" w:cs="Times New Roman"/>
                  <w:i/>
                  <w:sz w:val="24"/>
                  <w:szCs w:val="24"/>
                  <w:lang w:val="en-GB"/>
                </w:rPr>
              </m:ctrlPr>
            </m:sSubPr>
            <m:e>
              <m:r>
                <m:rPr>
                  <m:sty m:val="bi"/>
                </m:rPr>
                <w:rPr>
                  <w:rFonts w:ascii="Cambria Math" w:hAnsi="Cambria Math" w:cs="Times New Roman"/>
                  <w:sz w:val="24"/>
                  <w:szCs w:val="24"/>
                  <w:lang w:val="en-GB"/>
                </w:rPr>
                <m:t>y</m:t>
              </m:r>
            </m:e>
            <m:sub>
              <m:r>
                <w:rPr>
                  <w:rFonts w:ascii="Cambria Math" w:hAnsi="Cambria Math" w:cs="Times New Roman"/>
                  <w:sz w:val="24"/>
                  <w:szCs w:val="24"/>
                  <w:lang w:val="en-GB"/>
                </w:rPr>
                <m:t>t-1</m:t>
              </m:r>
            </m:sub>
          </m:sSub>
          <m:r>
            <w:rPr>
              <w:rFonts w:ascii="Cambria Math" w:hAnsi="Cambria Math" w:cs="Times New Roman"/>
              <w:sz w:val="24"/>
              <w:szCs w:val="24"/>
              <w:lang w:val="en-GB"/>
            </w:rPr>
            <m:t>+</m:t>
          </m:r>
          <m:nary>
            <m:naryPr>
              <m:chr m:val="∑"/>
              <m:limLoc m:val="undOvr"/>
              <m:ctrlPr>
                <w:rPr>
                  <w:rFonts w:ascii="Cambria Math" w:hAnsi="Cambria Math" w:cs="Times New Roman"/>
                  <w:i/>
                  <w:sz w:val="24"/>
                  <w:szCs w:val="24"/>
                  <w:lang w:val="en-GB"/>
                </w:rPr>
              </m:ctrlPr>
            </m:naryPr>
            <m:sub>
              <m:r>
                <w:rPr>
                  <w:rFonts w:ascii="Cambria Math" w:hAnsi="Cambria Math" w:cs="Times New Roman"/>
                  <w:sz w:val="24"/>
                  <w:szCs w:val="24"/>
                  <w:lang w:val="en-GB"/>
                </w:rPr>
                <m:t>i=1</m:t>
              </m:r>
            </m:sub>
            <m:sup>
              <m:r>
                <w:rPr>
                  <w:rFonts w:ascii="Cambria Math" w:hAnsi="Cambria Math" w:cs="Times New Roman"/>
                  <w:sz w:val="24"/>
                  <w:szCs w:val="24"/>
                  <w:lang w:val="en-GB"/>
                </w:rPr>
                <m:t>m-1</m:t>
              </m:r>
            </m:sup>
            <m:e>
              <m:r>
                <w:rPr>
                  <w:rFonts w:ascii="Cambria Math" w:hAnsi="Cambria Math" w:cs="Times New Roman"/>
                  <w:sz w:val="24"/>
                  <w:szCs w:val="24"/>
                  <w:lang w:val="en-GB"/>
                </w:rPr>
                <m:t>(</m:t>
              </m:r>
              <m:sSubSup>
                <m:sSubSupPr>
                  <m:ctrlPr>
                    <w:rPr>
                      <w:rFonts w:ascii="Cambria Math" w:hAnsi="Cambria Math" w:cs="Times New Roman"/>
                      <w:i/>
                      <w:sz w:val="24"/>
                      <w:szCs w:val="24"/>
                      <w:lang w:val="en-GB"/>
                    </w:rPr>
                  </m:ctrlPr>
                </m:sSubSupPr>
                <m:e>
                  <m:r>
                    <m:rPr>
                      <m:sty m:val="b"/>
                    </m:rPr>
                    <w:rPr>
                      <w:rFonts w:ascii="Cambria Math" w:hAnsi="Cambria Math" w:cs="Times New Roman"/>
                      <w:sz w:val="24"/>
                      <w:szCs w:val="24"/>
                      <w:lang w:val="en-GB"/>
                    </w:rPr>
                    <m:t>Φ</m:t>
                  </m:r>
                </m:e>
                <m:sub>
                  <m:r>
                    <w:rPr>
                      <w:rFonts w:ascii="Cambria Math" w:hAnsi="Cambria Math" w:cs="Times New Roman"/>
                      <w:sz w:val="24"/>
                      <w:szCs w:val="24"/>
                      <w:lang w:val="en-GB"/>
                    </w:rPr>
                    <m:t>i</m:t>
                  </m:r>
                </m:sub>
                <m:sup>
                  <m:r>
                    <w:rPr>
                      <w:rFonts w:ascii="Cambria Math" w:hAnsi="Cambria Math" w:cs="Times New Roman"/>
                      <w:sz w:val="24"/>
                      <w:szCs w:val="24"/>
                      <w:lang w:val="en-GB"/>
                    </w:rPr>
                    <m:t>*</m:t>
                  </m:r>
                </m:sup>
              </m:sSubSup>
              <m:sSub>
                <m:sSubPr>
                  <m:ctrlPr>
                    <w:rPr>
                      <w:rFonts w:ascii="Cambria Math" w:hAnsi="Cambria Math" w:cs="Times New Roman"/>
                      <w:i/>
                      <w:sz w:val="24"/>
                      <w:szCs w:val="24"/>
                      <w:lang w:val="en-GB"/>
                    </w:rPr>
                  </m:ctrlPr>
                </m:sSubPr>
                <m:e>
                  <m:r>
                    <m:rPr>
                      <m:sty m:val="bi"/>
                    </m:rPr>
                    <w:rPr>
                      <w:rFonts w:ascii="Cambria Math" w:hAnsi="Cambria Math" w:cs="Times New Roman"/>
                      <w:sz w:val="24"/>
                      <w:szCs w:val="24"/>
                      <w:lang w:val="en-GB"/>
                    </w:rPr>
                    <m:t>∆y</m:t>
                  </m:r>
                </m:e>
                <m:sub>
                  <m:r>
                    <w:rPr>
                      <w:rFonts w:ascii="Cambria Math" w:hAnsi="Cambria Math" w:cs="Times New Roman"/>
                      <w:sz w:val="24"/>
                      <w:szCs w:val="24"/>
                      <w:lang w:val="en-GB"/>
                    </w:rPr>
                    <m:t>t-i</m:t>
                  </m:r>
                </m:sub>
              </m:sSub>
              <m:r>
                <w:rPr>
                  <w:rFonts w:ascii="Cambria Math" w:hAnsi="Cambria Math" w:cs="Times New Roman"/>
                  <w:sz w:val="24"/>
                  <w:szCs w:val="24"/>
                  <w:lang w:val="en-GB"/>
                </w:rPr>
                <m:t>)</m:t>
              </m:r>
            </m:e>
          </m:nary>
          <m:r>
            <w:rPr>
              <w:rFonts w:ascii="Cambria Math" w:hAnsi="Cambria Math" w:cs="Times New Roman"/>
              <w:sz w:val="24"/>
              <w:szCs w:val="24"/>
              <w:lang w:val="en-GB"/>
            </w:rPr>
            <m:t>+</m:t>
          </m:r>
          <m:sSub>
            <m:sSubPr>
              <m:ctrlPr>
                <w:rPr>
                  <w:rFonts w:ascii="Cambria Math" w:hAnsi="Cambria Math" w:cs="Times New Roman"/>
                  <w:b/>
                  <w:i/>
                  <w:sz w:val="24"/>
                  <w:szCs w:val="24"/>
                  <w:lang w:val="en-GB"/>
                </w:rPr>
              </m:ctrlPr>
            </m:sSubPr>
            <m:e>
              <m:r>
                <m:rPr>
                  <m:sty m:val="bi"/>
                </m:rPr>
                <w:rPr>
                  <w:rFonts w:ascii="Cambria Math" w:hAnsi="Cambria Math" w:cs="Times New Roman"/>
                  <w:sz w:val="24"/>
                  <w:szCs w:val="24"/>
                  <w:lang w:val="en-GB"/>
                </w:rPr>
                <m:t>υ</m:t>
              </m:r>
            </m:e>
            <m:sub>
              <m:r>
                <w:rPr>
                  <w:rFonts w:ascii="Cambria Math" w:hAnsi="Cambria Math" w:cs="Times New Roman"/>
                  <w:sz w:val="24"/>
                  <w:szCs w:val="24"/>
                  <w:lang w:val="en-GB"/>
                </w:rPr>
                <m:t>t</m:t>
              </m:r>
            </m:sub>
          </m:sSub>
        </m:oMath>
      </m:oMathPara>
    </w:p>
    <w:p w:rsidR="00362325" w:rsidRPr="003C2E1A" w:rsidRDefault="00362325" w:rsidP="00F702EC">
      <w:pPr>
        <w:pStyle w:val="ListParagraph"/>
        <w:spacing w:after="0" w:line="240" w:lineRule="auto"/>
        <w:ind w:left="0"/>
        <w:jc w:val="both"/>
        <w:rPr>
          <w:rFonts w:ascii="Times New Roman" w:eastAsiaTheme="minorEastAsia" w:hAnsi="Times New Roman" w:cs="Times New Roman"/>
          <w:b/>
          <w:i/>
          <w:sz w:val="12"/>
          <w:szCs w:val="24"/>
          <w:lang w:val="en-GB"/>
        </w:rPr>
      </w:pPr>
    </w:p>
    <w:p w:rsidR="008A3D69" w:rsidRPr="003C2E1A" w:rsidRDefault="00F702EC" w:rsidP="003410AA">
      <w:pPr>
        <w:pStyle w:val="ListParagraph"/>
        <w:spacing w:after="0" w:line="360" w:lineRule="auto"/>
        <w:ind w:left="0"/>
        <w:jc w:val="both"/>
        <w:rPr>
          <w:rFonts w:ascii="Times New Roman" w:eastAsiaTheme="minorEastAsia" w:hAnsi="Times New Roman" w:cs="Times New Roman"/>
          <w:sz w:val="24"/>
          <w:szCs w:val="24"/>
          <w:lang w:val="en-GB"/>
        </w:rPr>
      </w:pPr>
      <w:r w:rsidRPr="003C2E1A">
        <w:rPr>
          <w:rFonts w:ascii="Times New Roman" w:hAnsi="Times New Roman" w:cs="Times New Roman"/>
          <w:sz w:val="24"/>
          <w:lang w:val="en-GB"/>
        </w:rPr>
        <w:t xml:space="preserve">Here let </w:t>
      </w:r>
      <m:oMath>
        <m:sSub>
          <m:sSubPr>
            <m:ctrlPr>
              <w:rPr>
                <w:rFonts w:ascii="Cambria Math" w:hAnsi="Cambria Math" w:cs="Times New Roman"/>
                <w:i/>
                <w:sz w:val="24"/>
                <w:lang w:val="en-GB"/>
              </w:rPr>
            </m:ctrlPr>
          </m:sSubPr>
          <m:e>
            <m:r>
              <m:rPr>
                <m:sty m:val="bi"/>
              </m:rPr>
              <w:rPr>
                <w:rFonts w:ascii="Cambria Math" w:hAnsi="Cambria Math" w:cs="Times New Roman"/>
                <w:sz w:val="24"/>
                <w:lang w:val="en-GB"/>
              </w:rPr>
              <m:t>∆y</m:t>
            </m:r>
          </m:e>
          <m:sub>
            <m:r>
              <w:rPr>
                <w:rFonts w:ascii="Cambria Math" w:hAnsi="Cambria Math" w:cs="Times New Roman"/>
                <w:sz w:val="24"/>
                <w:lang w:val="en-GB"/>
              </w:rPr>
              <m:t>t</m:t>
            </m:r>
          </m:sub>
        </m:sSub>
      </m:oMath>
      <w:r w:rsidRPr="003C2E1A">
        <w:rPr>
          <w:rFonts w:ascii="Times New Roman" w:eastAsiaTheme="minorEastAsia" w:hAnsi="Times New Roman" w:cs="Times New Roman"/>
          <w:sz w:val="24"/>
          <w:lang w:val="en-GB"/>
        </w:rPr>
        <w:t xml:space="preserve"> be equal to</w:t>
      </w:r>
      <w:r w:rsidR="00B16815" w:rsidRPr="003C2E1A">
        <w:rPr>
          <w:rFonts w:ascii="Times New Roman" w:eastAsiaTheme="minorEastAsia" w:hAnsi="Times New Roman" w:cs="Times New Roman"/>
          <w:sz w:val="24"/>
          <w:lang w:val="en-GB"/>
        </w:rPr>
        <w:t xml:space="preserve"> </w:t>
      </w:r>
      <w:r w:rsidR="0091166D" w:rsidRPr="003C2E1A">
        <w:rPr>
          <w:rFonts w:ascii="Times New Roman" w:eastAsiaTheme="minorEastAsia" w:hAnsi="Times New Roman" w:cs="Times New Roman"/>
          <w:sz w:val="24"/>
          <w:lang w:val="en-GB"/>
        </w:rPr>
        <w:t>v</w:t>
      </w:r>
      <w:r w:rsidR="00B16815" w:rsidRPr="003C2E1A">
        <w:rPr>
          <w:rFonts w:ascii="Times New Roman" w:eastAsiaTheme="minorEastAsia" w:hAnsi="Times New Roman" w:cs="Times New Roman"/>
          <w:sz w:val="24"/>
          <w:lang w:val="en-GB"/>
        </w:rPr>
        <w:t>ector of first differences</w:t>
      </w:r>
      <w:r w:rsidR="0091166D" w:rsidRPr="003C2E1A">
        <w:rPr>
          <w:rFonts w:ascii="Times New Roman" w:eastAsiaTheme="minorEastAsia" w:hAnsi="Times New Roman" w:cs="Times New Roman"/>
          <w:sz w:val="24"/>
          <w:lang w:val="en-GB"/>
        </w:rPr>
        <w:t xml:space="preserve"> of variables</w:t>
      </w:r>
      <w:r w:rsidR="00B16815" w:rsidRPr="003C2E1A">
        <w:rPr>
          <w:rFonts w:ascii="Times New Roman" w:eastAsiaTheme="minorEastAsia" w:hAnsi="Times New Roman" w:cs="Times New Roman"/>
          <w:sz w:val="24"/>
          <w:lang w:val="en-GB"/>
        </w:rPr>
        <w:t xml:space="preserve">, </w:t>
      </w:r>
      <w:r w:rsidR="00A031FB" w:rsidRPr="003C2E1A">
        <w:rPr>
          <w:rFonts w:ascii="Times New Roman" w:eastAsiaTheme="minorEastAsia" w:hAnsi="Times New Roman" w:cs="Times New Roman"/>
          <w:sz w:val="24"/>
          <w:lang w:val="en-GB"/>
        </w:rPr>
        <w:t>i.e.,</w:t>
      </w:r>
      <w:r w:rsidR="00B16815" w:rsidRPr="003C2E1A">
        <w:rPr>
          <w:rFonts w:ascii="Times New Roman" w:eastAsiaTheme="minorEastAsia" w:hAnsi="Times New Roman" w:cs="Times New Roman"/>
          <w:sz w:val="24"/>
          <w:lang w:val="en-GB"/>
        </w:rPr>
        <w:t xml:space="preserve"> </w:t>
      </w:r>
      <m:oMath>
        <m:sSub>
          <m:sSubPr>
            <m:ctrlPr>
              <w:rPr>
                <w:rFonts w:ascii="Cambria Math" w:hAnsi="Cambria Math" w:cs="Times New Roman"/>
                <w:i/>
                <w:sz w:val="24"/>
                <w:lang w:val="en-GB"/>
              </w:rPr>
            </m:ctrlPr>
          </m:sSubPr>
          <m:e>
            <m:r>
              <m:rPr>
                <m:sty m:val="bi"/>
              </m:rPr>
              <w:rPr>
                <w:rFonts w:ascii="Cambria Math" w:hAnsi="Cambria Math" w:cs="Times New Roman"/>
                <w:sz w:val="24"/>
                <w:lang w:val="en-GB"/>
              </w:rPr>
              <m:t>∆y</m:t>
            </m:r>
          </m:e>
          <m:sub>
            <m:r>
              <w:rPr>
                <w:rFonts w:ascii="Cambria Math" w:hAnsi="Cambria Math" w:cs="Times New Roman"/>
                <w:sz w:val="24"/>
                <w:lang w:val="en-GB"/>
              </w:rPr>
              <m:t>t</m:t>
            </m:r>
          </m:sub>
        </m:sSub>
        <m:r>
          <w:rPr>
            <w:rFonts w:ascii="Cambria Math" w:hAnsi="Cambria Math" w:cs="Times New Roman"/>
            <w:sz w:val="24"/>
            <w:lang w:val="en-GB"/>
          </w:rPr>
          <m:t>=</m:t>
        </m:r>
        <m:sSub>
          <m:sSubPr>
            <m:ctrlPr>
              <w:rPr>
                <w:rFonts w:ascii="Cambria Math" w:hAnsi="Cambria Math" w:cs="Times New Roman"/>
                <w:i/>
                <w:sz w:val="24"/>
                <w:lang w:val="en-GB"/>
              </w:rPr>
            </m:ctrlPr>
          </m:sSubPr>
          <m:e>
            <m:r>
              <m:rPr>
                <m:sty m:val="bi"/>
              </m:rPr>
              <w:rPr>
                <w:rFonts w:ascii="Cambria Math" w:hAnsi="Cambria Math" w:cs="Times New Roman"/>
                <w:sz w:val="24"/>
                <w:lang w:val="en-GB"/>
              </w:rPr>
              <m:t>y</m:t>
            </m:r>
          </m:e>
          <m:sub>
            <m:r>
              <w:rPr>
                <w:rFonts w:ascii="Cambria Math" w:hAnsi="Cambria Math" w:cs="Times New Roman"/>
                <w:sz w:val="24"/>
                <w:lang w:val="en-GB"/>
              </w:rPr>
              <m:t>t</m:t>
            </m:r>
          </m:sub>
        </m:sSub>
        <m:r>
          <w:rPr>
            <w:rFonts w:ascii="Cambria Math" w:hAnsi="Cambria Math" w:cs="Times New Roman"/>
            <w:sz w:val="24"/>
            <w:lang w:val="en-GB"/>
          </w:rPr>
          <m:t>-</m:t>
        </m:r>
        <m:sSub>
          <m:sSubPr>
            <m:ctrlPr>
              <w:rPr>
                <w:rFonts w:ascii="Cambria Math" w:hAnsi="Cambria Math" w:cs="Times New Roman"/>
                <w:i/>
                <w:sz w:val="24"/>
                <w:lang w:val="en-GB"/>
              </w:rPr>
            </m:ctrlPr>
          </m:sSubPr>
          <m:e>
            <m:r>
              <m:rPr>
                <m:sty m:val="bi"/>
              </m:rPr>
              <w:rPr>
                <w:rFonts w:ascii="Cambria Math" w:hAnsi="Cambria Math" w:cs="Times New Roman"/>
                <w:sz w:val="24"/>
                <w:lang w:val="en-GB"/>
              </w:rPr>
              <m:t>y</m:t>
            </m:r>
          </m:e>
          <m:sub>
            <m:r>
              <w:rPr>
                <w:rFonts w:ascii="Cambria Math" w:hAnsi="Cambria Math" w:cs="Times New Roman"/>
                <w:sz w:val="24"/>
                <w:lang w:val="en-GB"/>
              </w:rPr>
              <m:t>t-1</m:t>
            </m:r>
          </m:sub>
        </m:sSub>
      </m:oMath>
      <w:r w:rsidR="00B16815" w:rsidRPr="003C2E1A">
        <w:rPr>
          <w:rFonts w:ascii="Times New Roman" w:eastAsiaTheme="minorEastAsia" w:hAnsi="Times New Roman" w:cs="Times New Roman"/>
          <w:sz w:val="24"/>
          <w:lang w:val="en-GB"/>
        </w:rPr>
        <w:t xml:space="preserve">. </w:t>
      </w:r>
      <w:r w:rsidR="00B86894" w:rsidRPr="003C2E1A">
        <w:rPr>
          <w:rFonts w:ascii="Times New Roman" w:eastAsiaTheme="minorEastAsia" w:hAnsi="Times New Roman" w:cs="Times New Roman"/>
          <w:sz w:val="24"/>
          <w:lang w:val="en-GB"/>
        </w:rPr>
        <w:t xml:space="preserve">The </w:t>
      </w:r>
      <w:r w:rsidR="00362325" w:rsidRPr="003C2E1A">
        <w:rPr>
          <w:rFonts w:ascii="Times New Roman" w:eastAsiaTheme="minorEastAsia" w:hAnsi="Times New Roman" w:cs="Times New Roman"/>
          <w:sz w:val="24"/>
          <w:lang w:val="en-GB"/>
        </w:rPr>
        <w:t xml:space="preserve">error-correction </w:t>
      </w:r>
      <w:r w:rsidR="00B86894" w:rsidRPr="003C2E1A">
        <w:rPr>
          <w:rFonts w:ascii="Times New Roman" w:eastAsiaTheme="minorEastAsia" w:hAnsi="Times New Roman" w:cs="Times New Roman"/>
          <w:sz w:val="24"/>
          <w:lang w:val="en-GB"/>
        </w:rPr>
        <w:t xml:space="preserve">matrix </w:t>
      </w:r>
      <m:oMath>
        <m:r>
          <m:rPr>
            <m:sty m:val="b"/>
          </m:rPr>
          <w:rPr>
            <w:rFonts w:ascii="Cambria Math" w:hAnsi="Cambria Math" w:cs="Times New Roman"/>
            <w:sz w:val="24"/>
            <w:szCs w:val="24"/>
            <w:lang w:val="en-GB"/>
          </w:rPr>
          <m:t>Π</m:t>
        </m:r>
        <m:r>
          <m:rPr>
            <m:sty m:val="bi"/>
          </m:rPr>
          <w:rPr>
            <w:rFonts w:ascii="Cambria Math" w:eastAsiaTheme="minorEastAsia" w:hAnsi="Cambria Math" w:cs="Times New Roman"/>
            <w:sz w:val="24"/>
            <w:szCs w:val="24"/>
            <w:lang w:val="en-GB"/>
          </w:rPr>
          <m:t>=</m:t>
        </m:r>
        <m:r>
          <m:rPr>
            <m:sty m:val="b"/>
          </m:rPr>
          <w:rPr>
            <w:rFonts w:ascii="Cambria Math" w:eastAsiaTheme="minorEastAsia" w:hAnsi="Cambria Math" w:cs="Times New Roman"/>
            <w:sz w:val="24"/>
            <w:szCs w:val="24"/>
            <w:lang w:val="en-GB"/>
          </w:rPr>
          <m:t>A</m:t>
        </m:r>
        <m:sSup>
          <m:sSupPr>
            <m:ctrlPr>
              <w:rPr>
                <w:rFonts w:ascii="Cambria Math" w:eastAsiaTheme="minorEastAsia" w:hAnsi="Cambria Math" w:cs="Times New Roman"/>
                <w:b/>
                <w:sz w:val="24"/>
                <w:szCs w:val="24"/>
                <w:lang w:val="en-GB"/>
              </w:rPr>
            </m:ctrlPr>
          </m:sSupPr>
          <m:e>
            <m:r>
              <m:rPr>
                <m:sty m:val="b"/>
              </m:rPr>
              <w:rPr>
                <w:rFonts w:ascii="Cambria Math" w:eastAsiaTheme="minorEastAsia" w:hAnsi="Cambria Math" w:cs="Times New Roman"/>
                <w:sz w:val="24"/>
                <w:szCs w:val="24"/>
                <w:lang w:val="en-GB"/>
              </w:rPr>
              <m:t>B</m:t>
            </m:r>
          </m:e>
          <m:sup>
            <m:r>
              <m:rPr>
                <m:sty m:val="b"/>
              </m:rPr>
              <w:rPr>
                <w:rFonts w:ascii="Cambria Math" w:eastAsiaTheme="minorEastAsia" w:hAnsi="Cambria Math" w:cs="Times New Roman"/>
                <w:sz w:val="24"/>
                <w:szCs w:val="24"/>
                <w:lang w:val="en-GB"/>
              </w:rPr>
              <m:t>'</m:t>
            </m:r>
          </m:sup>
        </m:sSup>
        <m:r>
          <m:rPr>
            <m:sty m:val="b"/>
          </m:rPr>
          <w:rPr>
            <w:rFonts w:ascii="Cambria Math" w:eastAsiaTheme="minorEastAsia" w:hAnsi="Cambria Math" w:cs="Times New Roman"/>
            <w:sz w:val="24"/>
            <w:szCs w:val="24"/>
            <w:lang w:val="en-GB"/>
          </w:rPr>
          <m:t>=A</m:t>
        </m:r>
        <m:sSup>
          <m:sSupPr>
            <m:ctrlPr>
              <w:rPr>
                <w:rFonts w:ascii="Cambria Math" w:eastAsiaTheme="minorEastAsia" w:hAnsi="Cambria Math" w:cs="Times New Roman"/>
                <w:b/>
                <w:sz w:val="24"/>
                <w:szCs w:val="24"/>
                <w:lang w:val="en-GB"/>
              </w:rPr>
            </m:ctrlPr>
          </m:sSupPr>
          <m:e>
            <m:r>
              <m:rPr>
                <m:sty m:val="b"/>
              </m:rPr>
              <w:rPr>
                <w:rFonts w:ascii="Cambria Math" w:eastAsiaTheme="minorEastAsia" w:hAnsi="Cambria Math" w:cs="Times New Roman"/>
                <w:sz w:val="24"/>
                <w:szCs w:val="24"/>
                <w:lang w:val="en-GB"/>
              </w:rPr>
              <m:t>B</m:t>
            </m:r>
          </m:e>
          <m:sup>
            <m:r>
              <m:rPr>
                <m:sty m:val="b"/>
              </m:rPr>
              <w:rPr>
                <w:rFonts w:ascii="Cambria Math" w:eastAsiaTheme="minorEastAsia" w:hAnsi="Cambria Math" w:cs="Times New Roman"/>
                <w:sz w:val="24"/>
                <w:szCs w:val="24"/>
                <w:lang w:val="en-GB"/>
              </w:rPr>
              <m:t>T</m:t>
            </m:r>
          </m:sup>
        </m:sSup>
      </m:oMath>
      <w:r w:rsidR="0091166D" w:rsidRPr="003C2E1A">
        <w:rPr>
          <w:rFonts w:ascii="Times New Roman" w:eastAsiaTheme="minorEastAsia" w:hAnsi="Times New Roman" w:cs="Times New Roman"/>
          <w:b/>
          <w:sz w:val="24"/>
          <w:szCs w:val="24"/>
          <w:lang w:val="en-GB"/>
        </w:rPr>
        <w:t xml:space="preserve"> </w:t>
      </w:r>
      <w:r w:rsidR="00B86894" w:rsidRPr="003C2E1A">
        <w:rPr>
          <w:rFonts w:ascii="Times New Roman" w:eastAsiaTheme="minorEastAsia" w:hAnsi="Times New Roman" w:cs="Times New Roman"/>
          <w:sz w:val="24"/>
          <w:szCs w:val="24"/>
          <w:lang w:val="en-GB"/>
        </w:rPr>
        <w:t xml:space="preserve">is thus equal to the matrix of </w:t>
      </w:r>
      <w:r w:rsidR="00B86894" w:rsidRPr="003C2E1A">
        <w:rPr>
          <w:rFonts w:ascii="Times New Roman" w:eastAsiaTheme="minorEastAsia" w:hAnsi="Times New Roman" w:cs="Times New Roman"/>
          <w:b/>
          <w:sz w:val="24"/>
          <w:szCs w:val="24"/>
          <w:lang w:val="en-GB"/>
        </w:rPr>
        <w:t xml:space="preserve">A </w:t>
      </w:r>
      <w:r w:rsidR="00B86894" w:rsidRPr="003C2E1A">
        <w:rPr>
          <w:rFonts w:ascii="Times New Roman" w:eastAsiaTheme="minorEastAsia" w:hAnsi="Times New Roman" w:cs="Times New Roman"/>
          <w:sz w:val="24"/>
          <w:szCs w:val="24"/>
          <w:lang w:val="en-GB"/>
        </w:rPr>
        <w:t xml:space="preserve">(loading matrix, </w:t>
      </w:r>
      <w:r w:rsidR="00A031FB" w:rsidRPr="003C2E1A">
        <w:rPr>
          <w:rFonts w:ascii="Times New Roman" w:eastAsiaTheme="minorEastAsia" w:hAnsi="Times New Roman" w:cs="Times New Roman"/>
          <w:sz w:val="24"/>
          <w:szCs w:val="24"/>
          <w:lang w:val="en-GB"/>
        </w:rPr>
        <w:t>e.g.,</w:t>
      </w:r>
      <w:r w:rsidR="00B86894" w:rsidRPr="003C2E1A">
        <w:rPr>
          <w:rFonts w:ascii="Times New Roman" w:eastAsiaTheme="minorEastAsia" w:hAnsi="Times New Roman" w:cs="Times New Roman"/>
          <w:sz w:val="24"/>
          <w:szCs w:val="24"/>
          <w:lang w:val="en-GB"/>
        </w:rPr>
        <w:t xml:space="preserve"> weighting factor) multiplied by the transpose of matrix </w:t>
      </w:r>
      <w:r w:rsidR="00B86894" w:rsidRPr="003C2E1A">
        <w:rPr>
          <w:rFonts w:ascii="Times New Roman" w:eastAsiaTheme="minorEastAsia" w:hAnsi="Times New Roman" w:cs="Times New Roman"/>
          <w:b/>
          <w:sz w:val="24"/>
          <w:szCs w:val="24"/>
          <w:lang w:val="en-GB"/>
        </w:rPr>
        <w:t xml:space="preserve">B </w:t>
      </w:r>
      <w:r w:rsidR="00B86894" w:rsidRPr="003C2E1A">
        <w:rPr>
          <w:rFonts w:ascii="Times New Roman" w:eastAsiaTheme="minorEastAsia" w:hAnsi="Times New Roman" w:cs="Times New Roman"/>
          <w:sz w:val="24"/>
          <w:szCs w:val="24"/>
          <w:lang w:val="en-GB"/>
        </w:rPr>
        <w:t>(long-run coefficient matrix).</w:t>
      </w:r>
      <w:r w:rsidR="00A40583" w:rsidRPr="003C2E1A">
        <w:rPr>
          <w:rStyle w:val="FootnoteReference"/>
          <w:rFonts w:ascii="Times New Roman" w:eastAsiaTheme="minorEastAsia" w:hAnsi="Times New Roman" w:cs="Times New Roman"/>
          <w:sz w:val="24"/>
          <w:szCs w:val="24"/>
          <w:lang w:val="en-GB"/>
        </w:rPr>
        <w:footnoteReference w:id="30"/>
      </w:r>
      <w:r w:rsidR="00B86894" w:rsidRPr="003C2E1A">
        <w:rPr>
          <w:rFonts w:ascii="Times New Roman" w:eastAsiaTheme="minorEastAsia" w:hAnsi="Times New Roman" w:cs="Times New Roman"/>
          <w:sz w:val="24"/>
          <w:szCs w:val="24"/>
          <w:lang w:val="en-GB"/>
        </w:rPr>
        <w:t xml:space="preserve"> </w:t>
      </w:r>
      <w:r w:rsidR="002438F4" w:rsidRPr="003C2E1A">
        <w:rPr>
          <w:rFonts w:ascii="Times New Roman" w:eastAsiaTheme="minorEastAsia" w:hAnsi="Times New Roman" w:cs="Times New Roman"/>
          <w:sz w:val="24"/>
          <w:szCs w:val="24"/>
          <w:lang w:val="en-GB"/>
        </w:rPr>
        <w:t>Under the VEC(</w:t>
      </w:r>
      <w:r w:rsidR="002438F4" w:rsidRPr="005C2FF3">
        <w:rPr>
          <w:rFonts w:ascii="Times New Roman" w:eastAsiaTheme="minorEastAsia" w:hAnsi="Times New Roman" w:cs="Times New Roman"/>
          <w:i/>
          <w:sz w:val="24"/>
          <w:szCs w:val="24"/>
          <w:lang w:val="en-GB"/>
        </w:rPr>
        <w:t>m</w:t>
      </w:r>
      <w:r w:rsidR="002438F4" w:rsidRPr="003C2E1A">
        <w:rPr>
          <w:rFonts w:ascii="Times New Roman" w:eastAsiaTheme="minorEastAsia" w:hAnsi="Times New Roman" w:cs="Times New Roman"/>
          <w:sz w:val="24"/>
          <w:szCs w:val="24"/>
          <w:lang w:val="en-GB"/>
        </w:rPr>
        <w:t xml:space="preserve">) model, </w:t>
      </w:r>
      <m:oMath>
        <m:sSubSup>
          <m:sSubSupPr>
            <m:ctrlPr>
              <w:rPr>
                <w:rFonts w:ascii="Cambria Math" w:hAnsi="Cambria Math" w:cs="Times New Roman"/>
                <w:i/>
                <w:sz w:val="24"/>
                <w:szCs w:val="24"/>
                <w:lang w:val="en-GB"/>
              </w:rPr>
            </m:ctrlPr>
          </m:sSubSupPr>
          <m:e>
            <m:r>
              <m:rPr>
                <m:sty m:val="b"/>
              </m:rPr>
              <w:rPr>
                <w:rFonts w:ascii="Cambria Math" w:hAnsi="Cambria Math" w:cs="Times New Roman"/>
                <w:sz w:val="24"/>
                <w:szCs w:val="24"/>
                <w:lang w:val="en-GB"/>
              </w:rPr>
              <m:t>Φ</m:t>
            </m:r>
          </m:e>
          <m:sub>
            <m:r>
              <w:rPr>
                <w:rFonts w:ascii="Cambria Math" w:hAnsi="Cambria Math" w:cs="Times New Roman"/>
                <w:sz w:val="24"/>
                <w:szCs w:val="24"/>
                <w:lang w:val="en-GB"/>
              </w:rPr>
              <m:t>i</m:t>
            </m:r>
          </m:sub>
          <m:sup>
            <m:r>
              <w:rPr>
                <w:rFonts w:ascii="Cambria Math" w:hAnsi="Cambria Math" w:cs="Times New Roman"/>
                <w:sz w:val="24"/>
                <w:szCs w:val="24"/>
                <w:lang w:val="en-GB"/>
              </w:rPr>
              <m:t>*</m:t>
            </m:r>
          </m:sup>
        </m:sSubSup>
      </m:oMath>
      <w:r w:rsidR="000160D4" w:rsidRPr="003C2E1A">
        <w:rPr>
          <w:rFonts w:ascii="Times New Roman" w:eastAsiaTheme="minorEastAsia" w:hAnsi="Times New Roman" w:cs="Times New Roman"/>
          <w:sz w:val="24"/>
          <w:szCs w:val="24"/>
          <w:lang w:val="en-GB"/>
        </w:rPr>
        <w:t xml:space="preserve"> </w:t>
      </w:r>
      <w:r w:rsidR="002438F4" w:rsidRPr="003C2E1A">
        <w:rPr>
          <w:rFonts w:ascii="Times New Roman" w:eastAsiaTheme="minorEastAsia" w:hAnsi="Times New Roman" w:cs="Times New Roman"/>
          <w:sz w:val="24"/>
          <w:szCs w:val="24"/>
          <w:lang w:val="en-GB"/>
        </w:rPr>
        <w:t xml:space="preserve">has been transformed into the matrix of cumulative long-run </w:t>
      </w:r>
      <w:r w:rsidR="00761415" w:rsidRPr="003C2E1A">
        <w:rPr>
          <w:rFonts w:ascii="Times New Roman" w:eastAsiaTheme="minorEastAsia" w:hAnsi="Times New Roman" w:cs="Times New Roman"/>
          <w:sz w:val="24"/>
          <w:szCs w:val="24"/>
          <w:lang w:val="en-GB"/>
        </w:rPr>
        <w:t>momentum</w:t>
      </w:r>
      <w:r w:rsidR="00663B87" w:rsidRPr="003C2E1A">
        <w:rPr>
          <w:rFonts w:ascii="Times New Roman" w:eastAsiaTheme="minorEastAsia" w:hAnsi="Times New Roman" w:cs="Times New Roman"/>
          <w:sz w:val="24"/>
          <w:szCs w:val="24"/>
          <w:lang w:val="en-GB"/>
        </w:rPr>
        <w:t xml:space="preserve">. </w:t>
      </w:r>
      <w:r w:rsidR="000160D4" w:rsidRPr="003C2E1A">
        <w:rPr>
          <w:rFonts w:ascii="Times New Roman" w:eastAsiaTheme="minorEastAsia" w:hAnsi="Times New Roman" w:cs="Times New Roman"/>
          <w:sz w:val="24"/>
          <w:szCs w:val="24"/>
          <w:lang w:val="en-GB"/>
        </w:rPr>
        <w:t xml:space="preserve">Now the board is set for </w:t>
      </w:r>
      <w:r w:rsidR="003410AA" w:rsidRPr="003C2E1A">
        <w:rPr>
          <w:rFonts w:ascii="Times New Roman" w:eastAsiaTheme="minorEastAsia" w:hAnsi="Times New Roman" w:cs="Times New Roman"/>
          <w:sz w:val="24"/>
          <w:szCs w:val="24"/>
          <w:lang w:val="en-GB"/>
        </w:rPr>
        <w:t>the Granger Causal/Block Exogeneity Wald</w:t>
      </w:r>
      <w:r w:rsidR="00B65241" w:rsidRPr="003C2E1A">
        <w:rPr>
          <w:rFonts w:ascii="Times New Roman" w:eastAsiaTheme="minorEastAsia" w:hAnsi="Times New Roman" w:cs="Times New Roman"/>
          <w:sz w:val="24"/>
          <w:szCs w:val="24"/>
          <w:lang w:val="en-GB"/>
        </w:rPr>
        <w:t xml:space="preserve"> (GCBEW)</w:t>
      </w:r>
      <w:r w:rsidR="003410AA" w:rsidRPr="003C2E1A">
        <w:rPr>
          <w:rFonts w:ascii="Times New Roman" w:eastAsiaTheme="minorEastAsia" w:hAnsi="Times New Roman" w:cs="Times New Roman"/>
          <w:sz w:val="24"/>
          <w:szCs w:val="24"/>
          <w:lang w:val="en-GB"/>
        </w:rPr>
        <w:t xml:space="preserve"> test to attest the existence of Granger causality amongst</w:t>
      </w:r>
      <w:r w:rsidR="008E60FD" w:rsidRPr="003C2E1A">
        <w:rPr>
          <w:rFonts w:ascii="Times New Roman" w:eastAsiaTheme="minorEastAsia" w:hAnsi="Times New Roman" w:cs="Times New Roman"/>
          <w:sz w:val="24"/>
          <w:szCs w:val="24"/>
          <w:lang w:val="en-GB"/>
        </w:rPr>
        <w:t xml:space="preserve"> variables </w:t>
      </w:r>
      <w:r w:rsidR="003410AA" w:rsidRPr="003C2E1A">
        <w:rPr>
          <w:rFonts w:ascii="Times New Roman" w:eastAsiaTheme="minorEastAsia" w:hAnsi="Times New Roman" w:cs="Times New Roman"/>
          <w:sz w:val="24"/>
          <w:szCs w:val="24"/>
          <w:lang w:val="en-GB"/>
        </w:rPr>
        <w:t xml:space="preserve">and the associated direction of causality. </w:t>
      </w:r>
    </w:p>
    <w:p w:rsidR="00235A72" w:rsidRDefault="00235A72" w:rsidP="00235A72">
      <w:pPr>
        <w:pStyle w:val="ListParagraph"/>
        <w:spacing w:after="0" w:line="360" w:lineRule="auto"/>
        <w:ind w:left="0"/>
        <w:jc w:val="both"/>
        <w:rPr>
          <w:rFonts w:ascii="Times New Roman" w:eastAsiaTheme="minorEastAsia" w:hAnsi="Times New Roman" w:cs="Times New Roman"/>
          <w:sz w:val="24"/>
          <w:lang w:val="en-GB"/>
        </w:rPr>
      </w:pPr>
      <w:r w:rsidRPr="003C2E1A">
        <w:rPr>
          <w:rFonts w:ascii="Times New Roman" w:hAnsi="Times New Roman" w:cs="Times New Roman"/>
          <w:sz w:val="24"/>
          <w:lang w:val="en-GB"/>
        </w:rPr>
        <w:tab/>
        <w:t xml:space="preserve">Granger causality can be defined as the extent to which past values of variable X can help predict the current value of variable Y, given that one has already accounted for the effect that past values of Y may have on the current level, and vice versa. The multivariate Granger Causality test is also referred to as Block Exogeneity Wald test as it allows us to test joint significance of each lagged endogenous variable and to test the joint significance of all endogenous variables under consideration. The null hypothesis states that all lagged efficient of an endogenous variable are equal to zero, </w:t>
      </w:r>
      <w:r w:rsidR="00A031FB" w:rsidRPr="003C2E1A">
        <w:rPr>
          <w:rFonts w:ascii="Times New Roman" w:hAnsi="Times New Roman" w:cs="Times New Roman"/>
          <w:sz w:val="24"/>
          <w:lang w:val="en-GB"/>
        </w:rPr>
        <w:t>i.e.</w:t>
      </w:r>
      <w:r w:rsidR="00EB52F0" w:rsidRPr="003C2E1A">
        <w:rPr>
          <w:rFonts w:ascii="Times New Roman" w:hAnsi="Times New Roman" w:cs="Times New Roman"/>
          <w:sz w:val="24"/>
          <w:lang w:val="en-GB"/>
        </w:rPr>
        <w:t>,</w:t>
      </w:r>
      <m:oMath>
        <m:r>
          <w:rPr>
            <w:rFonts w:ascii="Cambria Math" w:hAnsi="Cambria Math" w:cs="Times New Roman"/>
            <w:sz w:val="24"/>
            <w:lang w:val="en-GB"/>
          </w:rPr>
          <m:t xml:space="preserve"> </m:t>
        </m:r>
        <m:sSub>
          <m:sSubPr>
            <m:ctrlPr>
              <w:rPr>
                <w:rFonts w:ascii="Cambria Math" w:hAnsi="Cambria Math" w:cs="Times New Roman"/>
                <w:i/>
                <w:lang w:val="en-GB"/>
              </w:rPr>
            </m:ctrlPr>
          </m:sSubPr>
          <m:e>
            <m:r>
              <w:rPr>
                <w:rFonts w:ascii="Cambria Math" w:hAnsi="Cambria Math" w:cs="Times New Roman"/>
                <w:lang w:val="en-GB"/>
              </w:rPr>
              <m:t>H</m:t>
            </m:r>
          </m:e>
          <m:sub>
            <m:r>
              <w:rPr>
                <w:rFonts w:ascii="Cambria Math" w:hAnsi="Cambria Math" w:cs="Times New Roman"/>
                <w:lang w:val="en-GB"/>
              </w:rPr>
              <m:t>0</m:t>
            </m:r>
          </m:sub>
        </m:sSub>
        <m:r>
          <w:rPr>
            <w:rFonts w:ascii="Cambria Math" w:hAnsi="Cambria Math" w:cs="Times New Roman"/>
            <w:lang w:val="en-GB"/>
          </w:rPr>
          <m:t xml:space="preserve">: </m:t>
        </m:r>
        <m:nary>
          <m:naryPr>
            <m:chr m:val="∑"/>
            <m:limLoc m:val="undOvr"/>
            <m:subHide m:val="1"/>
            <m:supHide m:val="1"/>
            <m:ctrlPr>
              <w:rPr>
                <w:rFonts w:ascii="Cambria Math" w:hAnsi="Cambria Math" w:cs="Times New Roman"/>
                <w:i/>
                <w:lang w:val="en-GB"/>
              </w:rPr>
            </m:ctrlPr>
          </m:naryPr>
          <m:sub/>
          <m:sup/>
          <m:e>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i</m:t>
                </m:r>
              </m:sub>
            </m:sSub>
          </m:e>
        </m:nary>
        <m:r>
          <w:rPr>
            <w:rFonts w:ascii="Cambria Math" w:hAnsi="Cambria Math" w:cs="Times New Roman"/>
            <w:lang w:val="en-GB"/>
          </w:rPr>
          <m:t xml:space="preserve">=0 </m:t>
        </m:r>
        <m:r>
          <m:rPr>
            <m:sty m:val="p"/>
          </m:rPr>
          <w:rPr>
            <w:rFonts w:ascii="Cambria Math" w:eastAsiaTheme="minorEastAsia" w:hAnsi="Cambria Math" w:cs="Times New Roman"/>
            <w:lang w:val="en-GB"/>
          </w:rPr>
          <m:t>(no Granger Causality)</m:t>
        </m:r>
      </m:oMath>
      <w:r w:rsidRPr="003C2E1A">
        <w:rPr>
          <w:rFonts w:ascii="Times New Roman" w:eastAsiaTheme="minorEastAsia" w:hAnsi="Times New Roman" w:cs="Times New Roman"/>
          <w:lang w:val="en-GB"/>
        </w:rPr>
        <w:t xml:space="preserve">. </w:t>
      </w:r>
      <w:r w:rsidRPr="003C2E1A">
        <w:rPr>
          <w:rFonts w:ascii="Times New Roman" w:eastAsiaTheme="minorEastAsia" w:hAnsi="Times New Roman" w:cs="Times New Roman"/>
          <w:sz w:val="24"/>
          <w:lang w:val="en-GB"/>
        </w:rPr>
        <w:t>There are four possible outcomes for each set of tested variables considered</w:t>
      </w:r>
      <w:r w:rsidR="00EA1BB0">
        <w:rPr>
          <w:rFonts w:ascii="Times New Roman" w:eastAsiaTheme="minorEastAsia" w:hAnsi="Times New Roman" w:cs="Times New Roman"/>
          <w:sz w:val="24"/>
          <w:lang w:val="en-GB"/>
        </w:rPr>
        <w:t>;</w:t>
      </w:r>
      <w:r w:rsidR="0071010E" w:rsidRPr="003C2E1A">
        <w:rPr>
          <w:rFonts w:ascii="Times New Roman" w:eastAsiaTheme="minorEastAsia" w:hAnsi="Times New Roman" w:cs="Times New Roman"/>
          <w:sz w:val="24"/>
          <w:lang w:val="en-GB"/>
        </w:rPr>
        <w:t xml:space="preserve"> </w:t>
      </w:r>
      <w:r w:rsidRPr="003C2E1A">
        <w:rPr>
          <w:rFonts w:ascii="Times New Roman" w:eastAsiaTheme="minorEastAsia" w:hAnsi="Times New Roman" w:cs="Times New Roman"/>
          <w:sz w:val="24"/>
          <w:lang w:val="en-GB"/>
        </w:rPr>
        <w:t>no granger causality, bidirectional (</w:t>
      </w:r>
      <w:r w:rsidR="00A031FB" w:rsidRPr="003C2E1A">
        <w:rPr>
          <w:rFonts w:ascii="Times New Roman" w:eastAsiaTheme="minorEastAsia" w:hAnsi="Times New Roman" w:cs="Times New Roman"/>
          <w:sz w:val="24"/>
          <w:lang w:val="en-GB"/>
        </w:rPr>
        <w:t>i.e.,</w:t>
      </w:r>
      <w:r w:rsidRPr="003C2E1A">
        <w:rPr>
          <w:rFonts w:ascii="Times New Roman" w:eastAsiaTheme="minorEastAsia" w:hAnsi="Times New Roman" w:cs="Times New Roman"/>
          <w:sz w:val="24"/>
          <w:lang w:val="en-GB"/>
        </w:rPr>
        <w:t xml:space="preserve"> “feedback”) or unidirectional granger causality for either </w:t>
      </w:r>
      <w:r w:rsidRPr="00EA1BB0">
        <w:rPr>
          <w:rFonts w:ascii="Times New Roman" w:eastAsiaTheme="minorEastAsia" w:hAnsi="Times New Roman" w:cs="Times New Roman"/>
          <w:i/>
          <w:sz w:val="24"/>
          <w:lang w:val="en-GB"/>
        </w:rPr>
        <w:t>x</w:t>
      </w:r>
      <w:r w:rsidRPr="003C2E1A">
        <w:rPr>
          <w:rFonts w:ascii="Times New Roman" w:eastAsiaTheme="minorEastAsia" w:hAnsi="Times New Roman" w:cs="Times New Roman"/>
          <w:sz w:val="24"/>
          <w:lang w:val="en-GB"/>
        </w:rPr>
        <w:t xml:space="preserve"> or </w:t>
      </w:r>
      <w:r w:rsidRPr="00EA1BB0">
        <w:rPr>
          <w:rFonts w:ascii="Times New Roman" w:eastAsiaTheme="minorEastAsia" w:hAnsi="Times New Roman" w:cs="Times New Roman"/>
          <w:i/>
          <w:sz w:val="24"/>
          <w:lang w:val="en-GB"/>
        </w:rPr>
        <w:t>y</w:t>
      </w:r>
      <w:r w:rsidRPr="003C2E1A">
        <w:rPr>
          <w:rFonts w:ascii="Times New Roman" w:eastAsiaTheme="minorEastAsia" w:hAnsi="Times New Roman" w:cs="Times New Roman"/>
          <w:sz w:val="24"/>
          <w:lang w:val="en-GB"/>
        </w:rPr>
        <w:t xml:space="preserve"> </w:t>
      </w:r>
      <w:r w:rsidR="00DE2BE5">
        <w:rPr>
          <w:rFonts w:ascii="Times New Roman" w:eastAsiaTheme="minorEastAsia" w:hAnsi="Times New Roman" w:cs="Times New Roman"/>
          <w:sz w:val="24"/>
          <w:lang w:val="en-GB"/>
        </w:rPr>
        <w:t>(</w:t>
      </w:r>
      <w:r w:rsidR="00DE2BE5" w:rsidRPr="00DE2BE5">
        <w:rPr>
          <w:rFonts w:ascii="Times New Roman" w:eastAsiaTheme="minorEastAsia" w:hAnsi="Times New Roman" w:cs="Times New Roman"/>
          <w:sz w:val="24"/>
          <w:lang w:val="en-GB"/>
        </w:rPr>
        <w:t>s</w:t>
      </w:r>
      <w:r w:rsidR="0071010E" w:rsidRPr="00DE2BE5">
        <w:rPr>
          <w:rFonts w:ascii="Times New Roman" w:eastAsiaTheme="minorEastAsia" w:hAnsi="Times New Roman" w:cs="Times New Roman"/>
          <w:sz w:val="24"/>
          <w:lang w:val="en-GB"/>
        </w:rPr>
        <w:t xml:space="preserve">ee </w:t>
      </w:r>
      <w:r w:rsidR="00DE2BE5" w:rsidRPr="00DE2BE5">
        <w:rPr>
          <w:rFonts w:ascii="Times New Roman" w:eastAsiaTheme="minorEastAsia" w:hAnsi="Times New Roman" w:cs="Times New Roman"/>
          <w:sz w:val="24"/>
          <w:lang w:val="en-GB"/>
        </w:rPr>
        <w:t>Table A6.</w:t>
      </w:r>
      <w:r w:rsidR="00E645B3">
        <w:rPr>
          <w:rFonts w:ascii="Times New Roman" w:eastAsiaTheme="minorEastAsia" w:hAnsi="Times New Roman" w:cs="Times New Roman"/>
          <w:sz w:val="24"/>
          <w:lang w:val="en-GB"/>
        </w:rPr>
        <w:t>1) in the Appendix</w:t>
      </w:r>
      <w:r w:rsidR="00DE2BE5" w:rsidRPr="00DE2BE5">
        <w:rPr>
          <w:rFonts w:ascii="Times New Roman" w:eastAsiaTheme="minorEastAsia" w:hAnsi="Times New Roman" w:cs="Times New Roman"/>
          <w:sz w:val="24"/>
          <w:lang w:val="en-GB"/>
        </w:rPr>
        <w:t>.</w:t>
      </w:r>
      <w:r w:rsidR="0071010E" w:rsidRPr="00DE2BE5">
        <w:rPr>
          <w:rFonts w:ascii="Times New Roman" w:eastAsiaTheme="minorEastAsia" w:hAnsi="Times New Roman" w:cs="Times New Roman"/>
          <w:sz w:val="24"/>
          <w:lang w:val="en-GB"/>
        </w:rPr>
        <w:t xml:space="preserve"> </w:t>
      </w:r>
    </w:p>
    <w:p w:rsidR="00EA1BB0" w:rsidRPr="003C2E1A" w:rsidRDefault="00EA1BB0" w:rsidP="00235A72">
      <w:pPr>
        <w:pStyle w:val="ListParagraph"/>
        <w:spacing w:after="0" w:line="360" w:lineRule="auto"/>
        <w:ind w:left="0"/>
        <w:jc w:val="both"/>
        <w:rPr>
          <w:rFonts w:ascii="Times New Roman" w:eastAsiaTheme="minorEastAsia" w:hAnsi="Times New Roman" w:cs="Times New Roman"/>
          <w:sz w:val="24"/>
          <w:lang w:val="en-GB"/>
        </w:rPr>
      </w:pPr>
    </w:p>
    <w:p w:rsidR="0071532E" w:rsidRPr="003C2E1A" w:rsidRDefault="00AA13B3" w:rsidP="00AA13B3">
      <w:pPr>
        <w:pStyle w:val="ListParagraph"/>
        <w:spacing w:after="0" w:line="360" w:lineRule="auto"/>
        <w:ind w:left="0"/>
        <w:jc w:val="both"/>
        <w:rPr>
          <w:rFonts w:ascii="Times New Roman" w:hAnsi="Times New Roman" w:cs="Times New Roman"/>
          <w:i/>
          <w:sz w:val="24"/>
          <w:lang w:val="en-GB"/>
        </w:rPr>
      </w:pPr>
      <w:r w:rsidRPr="003C2E1A">
        <w:rPr>
          <w:rFonts w:ascii="Times New Roman" w:hAnsi="Times New Roman" w:cs="Times New Roman"/>
          <w:sz w:val="24"/>
          <w:lang w:val="en-GB"/>
        </w:rPr>
        <w:tab/>
      </w:r>
      <w:r w:rsidR="00023C80" w:rsidRPr="003C2E1A">
        <w:rPr>
          <w:rFonts w:ascii="Times New Roman" w:hAnsi="Times New Roman" w:cs="Times New Roman"/>
          <w:i/>
          <w:sz w:val="24"/>
          <w:lang w:val="en-GB"/>
        </w:rPr>
        <w:t>Impulse Response Function</w:t>
      </w:r>
      <w:r w:rsidRPr="003C2E1A">
        <w:rPr>
          <w:rFonts w:ascii="Times New Roman" w:hAnsi="Times New Roman" w:cs="Times New Roman"/>
          <w:i/>
          <w:sz w:val="24"/>
          <w:lang w:val="en-GB"/>
        </w:rPr>
        <w:t>s</w:t>
      </w:r>
    </w:p>
    <w:p w:rsidR="0071532E" w:rsidRPr="003C2E1A" w:rsidRDefault="0071532E" w:rsidP="0071532E">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 xml:space="preserve">To analyze dynamic interactions amongst variables in a post-sample period we shall conduct Impulse Response Functions (IRF) techniques. IRFs are utilized by macro-econometricians to identify the marginal dynamic effects of an exogenous shock of a single variable on the dynamic pathway of adjustment of the other variables in the model over an extended period of </w:t>
      </w:r>
      <w:r w:rsidRPr="003C2E1A">
        <w:rPr>
          <w:rFonts w:ascii="Times New Roman" w:hAnsi="Times New Roman" w:cs="Times New Roman"/>
          <w:sz w:val="24"/>
          <w:lang w:val="en-GB"/>
        </w:rPr>
        <w:lastRenderedPageBreak/>
        <w:t>time. According to Engle and Granger (1987), IRF will often yield better results compared to more traditional models. In the IRF we use the one standard deviation shock (</w:t>
      </w:r>
      <w:r w:rsidRPr="00211FDC">
        <w:rPr>
          <w:rFonts w:ascii="Times New Roman" w:hAnsi="Times New Roman" w:cs="Times New Roman"/>
          <w:i/>
          <w:sz w:val="24"/>
          <w:lang w:val="en-GB"/>
        </w:rPr>
        <w:t>σ</w:t>
      </w:r>
      <w:r w:rsidRPr="003C2E1A">
        <w:rPr>
          <w:rFonts w:ascii="Times New Roman" w:hAnsi="Times New Roman" w:cs="Times New Roman"/>
          <w:sz w:val="24"/>
          <w:lang w:val="en-GB"/>
        </w:rPr>
        <w:t xml:space="preserve">) in order to overcome measurement issues inherent in a unitary shock. IRFs are equivalent to the </w:t>
      </w:r>
      <m:oMath>
        <m:r>
          <w:rPr>
            <w:rFonts w:ascii="Cambria Math" w:hAnsi="Cambria Math" w:cs="Times New Roman"/>
            <w:sz w:val="24"/>
            <w:lang w:val="en-GB"/>
          </w:rPr>
          <m:t>(n×n)</m:t>
        </m:r>
      </m:oMath>
      <w:r w:rsidRPr="003C2E1A">
        <w:rPr>
          <w:rFonts w:ascii="Times New Roman" w:eastAsiaTheme="minorEastAsia" w:hAnsi="Times New Roman" w:cs="Times New Roman"/>
          <w:sz w:val="24"/>
          <w:lang w:val="en-GB"/>
        </w:rPr>
        <w:t xml:space="preserve"> matrix of marginal effects of a one-standard deviation shock to one variable (</w:t>
      </w:r>
      <w:r w:rsidRPr="00211FDC">
        <w:rPr>
          <w:rFonts w:ascii="Times New Roman" w:eastAsiaTheme="minorEastAsia" w:hAnsi="Times New Roman" w:cs="Times New Roman"/>
          <w:i/>
          <w:sz w:val="24"/>
          <w:lang w:val="en-GB"/>
        </w:rPr>
        <w:t>q</w:t>
      </w:r>
      <w:r w:rsidRPr="003C2E1A">
        <w:rPr>
          <w:rFonts w:ascii="Times New Roman" w:eastAsiaTheme="minorEastAsia" w:hAnsi="Times New Roman" w:cs="Times New Roman"/>
          <w:sz w:val="24"/>
          <w:lang w:val="en-GB"/>
        </w:rPr>
        <w:t>) on itself or on another variable (</w:t>
      </w:r>
      <w:r w:rsidRPr="00211FDC">
        <w:rPr>
          <w:rFonts w:ascii="Times New Roman" w:eastAsiaTheme="minorEastAsia" w:hAnsi="Times New Roman" w:cs="Times New Roman"/>
          <w:i/>
          <w:sz w:val="24"/>
          <w:lang w:val="en-GB"/>
        </w:rPr>
        <w:t>r</w:t>
      </w:r>
      <w:r w:rsidRPr="003C2E1A">
        <w:rPr>
          <w:rFonts w:ascii="Times New Roman" w:eastAsiaTheme="minorEastAsia" w:hAnsi="Times New Roman" w:cs="Times New Roman"/>
          <w:sz w:val="24"/>
          <w:lang w:val="en-GB"/>
        </w:rPr>
        <w:t xml:space="preserve">):       </w:t>
      </w:r>
      <m:oMath>
        <m:f>
          <m:fPr>
            <m:ctrlPr>
              <w:rPr>
                <w:rFonts w:ascii="Cambria Math" w:eastAsiaTheme="minorEastAsia" w:hAnsi="Times New Roman" w:cs="Times New Roman"/>
                <w:i/>
                <w:sz w:val="28"/>
                <w:szCs w:val="28"/>
                <w:lang w:val="en-GB"/>
              </w:rPr>
            </m:ctrlPr>
          </m:fPr>
          <m:num>
            <m:r>
              <w:rPr>
                <w:rFonts w:ascii="Cambria Math" w:hAnsi="Cambria Math" w:cs="Times New Roman"/>
                <w:sz w:val="28"/>
                <w:szCs w:val="28"/>
              </w:rPr>
              <m:t>∂</m:t>
            </m:r>
            <m:sSubSup>
              <m:sSubSupPr>
                <m:ctrlPr>
                  <w:rPr>
                    <w:rFonts w:ascii="Cambria Math" w:hAnsi="Times New Roman" w:cs="Times New Roman"/>
                    <w:i/>
                    <w:sz w:val="28"/>
                    <w:szCs w:val="28"/>
                  </w:rPr>
                </m:ctrlPr>
              </m:sSubSupPr>
              <m:e>
                <m:r>
                  <w:rPr>
                    <w:rFonts w:ascii="Cambria Math" w:hAnsi="Cambria Math" w:cs="Times New Roman"/>
                    <w:sz w:val="28"/>
                    <w:szCs w:val="28"/>
                  </w:rPr>
                  <m:t>y</m:t>
                </m:r>
              </m:e>
              <m:sub>
                <m:r>
                  <w:rPr>
                    <w:rFonts w:ascii="Cambria Math" w:hAnsi="Cambria Math" w:cs="Times New Roman"/>
                    <w:sz w:val="28"/>
                    <w:szCs w:val="28"/>
                  </w:rPr>
                  <m:t>t</m:t>
                </m:r>
                <m:r>
                  <w:rPr>
                    <w:rFonts w:ascii="Cambria Math" w:hAnsi="Times New Roman" w:cs="Times New Roman"/>
                    <w:sz w:val="28"/>
                    <w:szCs w:val="28"/>
                    <w:lang w:val="en-GB"/>
                  </w:rPr>
                  <m:t>+</m:t>
                </m:r>
                <m:r>
                  <w:rPr>
                    <w:rFonts w:ascii="Cambria Math" w:hAnsi="Cambria Math" w:cs="Times New Roman"/>
                    <w:sz w:val="28"/>
                    <w:szCs w:val="28"/>
                  </w:rPr>
                  <m:t>s</m:t>
                </m:r>
              </m:sub>
              <m:sup>
                <m:r>
                  <w:rPr>
                    <w:rFonts w:ascii="Cambria Math" w:hAnsi="Cambria Math" w:cs="Times New Roman"/>
                    <w:sz w:val="28"/>
                    <w:szCs w:val="28"/>
                  </w:rPr>
                  <m:t>r</m:t>
                </m:r>
              </m:sup>
            </m:sSubSup>
          </m:num>
          <m:den>
            <m:r>
              <w:rPr>
                <w:rFonts w:ascii="Cambria Math" w:hAnsi="Cambria Math" w:cs="Times New Roman"/>
                <w:sz w:val="28"/>
                <w:szCs w:val="28"/>
              </w:rPr>
              <m:t>∂</m:t>
            </m:r>
            <m:sSubSup>
              <m:sSubSupPr>
                <m:ctrlPr>
                  <w:rPr>
                    <w:rFonts w:ascii="Cambria Math" w:hAnsi="Times New Roman" w:cs="Times New Roman"/>
                    <w:i/>
                    <w:sz w:val="28"/>
                    <w:szCs w:val="28"/>
                  </w:rPr>
                </m:ctrlPr>
              </m:sSubSupPr>
              <m:e>
                <m:r>
                  <w:rPr>
                    <w:rFonts w:ascii="Cambria Math" w:hAnsi="Cambria Math" w:cs="Times New Roman"/>
                    <w:sz w:val="28"/>
                    <w:szCs w:val="28"/>
                  </w:rPr>
                  <m:t>ε</m:t>
                </m:r>
              </m:e>
              <m:sub>
                <m:r>
                  <w:rPr>
                    <w:rFonts w:ascii="Cambria Math" w:hAnsi="Cambria Math" w:cs="Times New Roman"/>
                    <w:sz w:val="28"/>
                    <w:szCs w:val="28"/>
                  </w:rPr>
                  <m:t>t</m:t>
                </m:r>
              </m:sub>
              <m:sup>
                <m:r>
                  <w:rPr>
                    <w:rFonts w:ascii="Cambria Math" w:hAnsi="Cambria Math" w:cs="Times New Roman"/>
                    <w:sz w:val="28"/>
                    <w:szCs w:val="28"/>
                  </w:rPr>
                  <m:t>q</m:t>
                </m:r>
              </m:sup>
            </m:sSubSup>
          </m:den>
        </m:f>
      </m:oMath>
      <w:r w:rsidRPr="003C2E1A">
        <w:rPr>
          <w:rFonts w:ascii="Times New Roman" w:eastAsiaTheme="minorEastAsia" w:hAnsi="Times New Roman" w:cs="Times New Roman"/>
          <w:sz w:val="36"/>
          <w:lang w:val="en-GB"/>
        </w:rPr>
        <w:t xml:space="preserve">  </w:t>
      </w:r>
    </w:p>
    <w:p w:rsidR="0071532E" w:rsidRPr="003C2E1A" w:rsidRDefault="0071532E" w:rsidP="0071532E">
      <w:pPr>
        <w:pStyle w:val="ListParagraph"/>
        <w:spacing w:after="0" w:line="360" w:lineRule="auto"/>
        <w:ind w:left="0"/>
        <w:jc w:val="both"/>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Thus, as time (</w:t>
      </w:r>
      <w:r w:rsidRPr="00211FDC">
        <w:rPr>
          <w:rFonts w:ascii="Times New Roman" w:eastAsiaTheme="minorEastAsia" w:hAnsi="Times New Roman" w:cs="Times New Roman"/>
          <w:i/>
          <w:sz w:val="24"/>
          <w:lang w:val="en-GB"/>
        </w:rPr>
        <w:t>t</w:t>
      </w:r>
      <w:r w:rsidRPr="003C2E1A">
        <w:rPr>
          <w:rFonts w:ascii="Times New Roman" w:eastAsiaTheme="minorEastAsia" w:hAnsi="Times New Roman" w:cs="Times New Roman"/>
          <w:sz w:val="24"/>
          <w:lang w:val="en-GB"/>
        </w:rPr>
        <w:t xml:space="preserve">) increases by increments of </w:t>
      </w:r>
      <w:r w:rsidRPr="003C2E1A">
        <w:rPr>
          <w:rFonts w:ascii="Times New Roman" w:eastAsiaTheme="minorEastAsia" w:hAnsi="Times New Roman" w:cs="Times New Roman"/>
          <w:i/>
          <w:sz w:val="28"/>
          <w:lang w:val="en-GB"/>
        </w:rPr>
        <w:t>s</w:t>
      </w:r>
      <w:r w:rsidRPr="003C2E1A">
        <w:rPr>
          <w:rFonts w:ascii="Times New Roman" w:eastAsiaTheme="minorEastAsia" w:hAnsi="Times New Roman" w:cs="Times New Roman"/>
          <w:sz w:val="24"/>
          <w:lang w:val="en-GB"/>
        </w:rPr>
        <w:t xml:space="preserve">, then the IRF should converge to zero as long as the VEC function is stable. Also, singular shocks ought not to have a permanent effect under normal circumstances and thus will decay to zero as </w:t>
      </w:r>
      <w:r w:rsidRPr="003C2E1A">
        <w:rPr>
          <w:rFonts w:ascii="Times New Roman" w:eastAsiaTheme="minorEastAsia" w:hAnsi="Times New Roman" w:cs="Times New Roman"/>
          <w:i/>
          <w:sz w:val="24"/>
          <w:lang w:val="en-GB"/>
        </w:rPr>
        <w:t xml:space="preserve">s </w:t>
      </w:r>
      <w:r w:rsidRPr="003C2E1A">
        <w:rPr>
          <w:rFonts w:ascii="Times New Roman" w:eastAsiaTheme="minorEastAsia" w:hAnsi="Times New Roman" w:cs="Times New Roman"/>
          <w:sz w:val="24"/>
          <w:lang w:val="en-GB"/>
        </w:rPr>
        <w:t xml:space="preserve">progresses, </w:t>
      </w:r>
      <w:r w:rsidR="00A031FB" w:rsidRPr="003C2E1A">
        <w:rPr>
          <w:rFonts w:ascii="Times New Roman" w:eastAsiaTheme="minorEastAsia" w:hAnsi="Times New Roman" w:cs="Times New Roman"/>
          <w:sz w:val="24"/>
          <w:lang w:val="en-GB"/>
        </w:rPr>
        <w:t>i.e.,</w:t>
      </w:r>
      <w:r w:rsidRPr="003C2E1A">
        <w:rPr>
          <w:rFonts w:ascii="Times New Roman" w:eastAsiaTheme="minorEastAsia" w:hAnsi="Times New Roman" w:cs="Times New Roman"/>
          <w:sz w:val="24"/>
          <w:lang w:val="en-GB"/>
        </w:rPr>
        <w:t xml:space="preserve"> </w:t>
      </w:r>
      <m:oMath>
        <m:func>
          <m:funcPr>
            <m:ctrlPr>
              <w:rPr>
                <w:rFonts w:ascii="Cambria Math" w:eastAsiaTheme="minorEastAsia" w:hAnsi="Cambria Math" w:cs="Times New Roman"/>
                <w:i/>
                <w:lang w:val="en-GB"/>
              </w:rPr>
            </m:ctrlPr>
          </m:funcPr>
          <m:fName>
            <m:limLow>
              <m:limLowPr>
                <m:ctrlPr>
                  <w:rPr>
                    <w:rFonts w:ascii="Cambria Math" w:eastAsiaTheme="minorEastAsia" w:hAnsi="Cambria Math" w:cs="Times New Roman"/>
                    <w:i/>
                    <w:lang w:val="en-GB"/>
                  </w:rPr>
                </m:ctrlPr>
              </m:limLowPr>
              <m:e>
                <m:r>
                  <m:rPr>
                    <m:sty m:val="p"/>
                  </m:rPr>
                  <w:rPr>
                    <w:rFonts w:ascii="Cambria Math" w:hAnsi="Cambria Math" w:cs="Times New Roman"/>
                    <w:lang w:val="en-GB"/>
                  </w:rPr>
                  <m:t>lim</m:t>
                </m:r>
              </m:e>
              <m:lim>
                <m:r>
                  <w:rPr>
                    <w:rFonts w:ascii="Cambria Math" w:hAnsi="Cambria Math" w:cs="Times New Roman"/>
                  </w:rPr>
                  <m:t>s</m:t>
                </m:r>
                <m:r>
                  <w:rPr>
                    <w:rFonts w:ascii="Cambria Math" w:hAnsi="Cambria Math" w:cs="Times New Roman"/>
                    <w:lang w:val="en-GB"/>
                  </w:rPr>
                  <m:t>→∞</m:t>
                </m:r>
              </m:lim>
            </m:limLow>
          </m:fName>
          <m:e>
            <m:d>
              <m:dPr>
                <m:ctrlPr>
                  <w:rPr>
                    <w:rFonts w:ascii="Cambria Math" w:eastAsiaTheme="minorEastAsia" w:hAnsi="Cambria Math" w:cs="Times New Roman"/>
                    <w:i/>
                    <w:lang w:val="en-GB"/>
                  </w:rPr>
                </m:ctrlPr>
              </m:dPr>
              <m:e>
                <m:f>
                  <m:fPr>
                    <m:ctrlPr>
                      <w:rPr>
                        <w:rFonts w:ascii="Cambria Math" w:eastAsiaTheme="minorEastAsia" w:hAnsi="Cambria Math" w:cs="Times New Roman"/>
                        <w:i/>
                        <w:lang w:val="en-GB"/>
                      </w:rPr>
                    </m:ctrlPr>
                  </m:fPr>
                  <m:num>
                    <m:r>
                      <w:rPr>
                        <w:rFonts w:ascii="Cambria Math" w:hAnsi="Cambria Math" w:cs="Times New Roman"/>
                        <w:sz w:val="32"/>
                      </w:rPr>
                      <m:t>∂</m:t>
                    </m:r>
                    <m:sSubSup>
                      <m:sSubSupPr>
                        <m:ctrlPr>
                          <w:rPr>
                            <w:rFonts w:ascii="Cambria Math" w:hAnsi="Times New Roman" w:cs="Times New Roman"/>
                            <w:i/>
                            <w:sz w:val="32"/>
                          </w:rPr>
                        </m:ctrlPr>
                      </m:sSubSupPr>
                      <m:e>
                        <m:r>
                          <w:rPr>
                            <w:rFonts w:ascii="Cambria Math" w:hAnsi="Cambria Math" w:cs="Times New Roman"/>
                            <w:sz w:val="32"/>
                          </w:rPr>
                          <m:t>y</m:t>
                        </m:r>
                      </m:e>
                      <m:sub>
                        <m:r>
                          <w:rPr>
                            <w:rFonts w:ascii="Cambria Math" w:hAnsi="Cambria Math" w:cs="Times New Roman"/>
                            <w:sz w:val="32"/>
                          </w:rPr>
                          <m:t>t</m:t>
                        </m:r>
                        <m:r>
                          <w:rPr>
                            <w:rFonts w:ascii="Cambria Math" w:hAnsi="Times New Roman" w:cs="Times New Roman"/>
                            <w:sz w:val="32"/>
                            <w:lang w:val="en-GB"/>
                          </w:rPr>
                          <m:t>+</m:t>
                        </m:r>
                        <m:r>
                          <w:rPr>
                            <w:rFonts w:ascii="Cambria Math" w:hAnsi="Cambria Math" w:cs="Times New Roman"/>
                            <w:sz w:val="32"/>
                          </w:rPr>
                          <m:t>s</m:t>
                        </m:r>
                      </m:sub>
                      <m:sup>
                        <m:r>
                          <w:rPr>
                            <w:rFonts w:ascii="Cambria Math" w:hAnsi="Cambria Math" w:cs="Times New Roman"/>
                            <w:sz w:val="32"/>
                          </w:rPr>
                          <m:t>r</m:t>
                        </m:r>
                      </m:sup>
                    </m:sSubSup>
                  </m:num>
                  <m:den>
                    <m:r>
                      <w:rPr>
                        <w:rFonts w:ascii="Cambria Math" w:hAnsi="Cambria Math" w:cs="Times New Roman"/>
                        <w:sz w:val="32"/>
                      </w:rPr>
                      <m:t>∂</m:t>
                    </m:r>
                    <m:sSubSup>
                      <m:sSubSupPr>
                        <m:ctrlPr>
                          <w:rPr>
                            <w:rFonts w:ascii="Cambria Math" w:hAnsi="Times New Roman" w:cs="Times New Roman"/>
                            <w:i/>
                            <w:sz w:val="32"/>
                          </w:rPr>
                        </m:ctrlPr>
                      </m:sSubSupPr>
                      <m:e>
                        <m:r>
                          <w:rPr>
                            <w:rFonts w:ascii="Cambria Math" w:hAnsi="Cambria Math" w:cs="Times New Roman"/>
                            <w:sz w:val="32"/>
                          </w:rPr>
                          <m:t>ε</m:t>
                        </m:r>
                      </m:e>
                      <m:sub>
                        <m:r>
                          <w:rPr>
                            <w:rFonts w:ascii="Cambria Math" w:hAnsi="Cambria Math" w:cs="Times New Roman"/>
                            <w:sz w:val="32"/>
                          </w:rPr>
                          <m:t>t</m:t>
                        </m:r>
                      </m:sub>
                      <m:sup>
                        <m:r>
                          <w:rPr>
                            <w:rFonts w:ascii="Cambria Math" w:hAnsi="Cambria Math" w:cs="Times New Roman"/>
                            <w:sz w:val="32"/>
                          </w:rPr>
                          <m:t>q</m:t>
                        </m:r>
                      </m:sup>
                    </m:sSubSup>
                  </m:den>
                </m:f>
              </m:e>
            </m:d>
            <m:r>
              <w:rPr>
                <w:rFonts w:ascii="Cambria Math" w:eastAsiaTheme="minorEastAsia" w:hAnsi="Cambria Math" w:cs="Times New Roman"/>
                <w:lang w:val="en-GB"/>
              </w:rPr>
              <m:t>=0</m:t>
            </m:r>
          </m:e>
        </m:func>
      </m:oMath>
      <w:r w:rsidRPr="003C2E1A">
        <w:rPr>
          <w:rFonts w:ascii="Times New Roman" w:eastAsiaTheme="minorEastAsia" w:hAnsi="Times New Roman" w:cs="Times New Roman"/>
          <w:lang w:val="en-GB"/>
        </w:rPr>
        <w:t xml:space="preserve">. </w:t>
      </w:r>
      <w:r w:rsidR="00084595" w:rsidRPr="003C2E1A">
        <w:rPr>
          <w:rFonts w:ascii="Times New Roman" w:eastAsiaTheme="minorEastAsia" w:hAnsi="Times New Roman" w:cs="Times New Roman"/>
          <w:lang w:val="en-GB"/>
        </w:rPr>
        <w:tab/>
      </w:r>
      <w:r w:rsidRPr="003C2E1A">
        <w:rPr>
          <w:rFonts w:ascii="Times New Roman" w:eastAsiaTheme="minorEastAsia" w:hAnsi="Times New Roman" w:cs="Times New Roman"/>
          <w:sz w:val="24"/>
          <w:lang w:val="en-GB"/>
        </w:rPr>
        <w:t xml:space="preserve">Conversely, the sooner the IR to decays (approaches zero), the more transitory the effect of the shock is. The identification assumption, </w:t>
      </w:r>
      <w:r w:rsidR="00A031FB" w:rsidRPr="003C2E1A">
        <w:rPr>
          <w:rFonts w:ascii="Times New Roman" w:eastAsiaTheme="minorEastAsia" w:hAnsi="Times New Roman" w:cs="Times New Roman"/>
          <w:sz w:val="24"/>
          <w:lang w:val="en-GB"/>
        </w:rPr>
        <w:t>i.e.,</w:t>
      </w:r>
      <w:r w:rsidRPr="003C2E1A">
        <w:rPr>
          <w:rFonts w:ascii="Times New Roman" w:eastAsiaTheme="minorEastAsia" w:hAnsi="Times New Roman" w:cs="Times New Roman"/>
          <w:sz w:val="24"/>
          <w:lang w:val="en-GB"/>
        </w:rPr>
        <w:t xml:space="preserve"> ‘ordering’ of variables as determined by the VECM, ensures that shocks to variables that are ‘near-the-bottom’ will have no current-period effect on variables that enjoy a higher-order ranking. </w:t>
      </w:r>
      <w:r w:rsidR="00C04DD8" w:rsidRPr="003C2E1A">
        <w:rPr>
          <w:rFonts w:ascii="Times New Roman" w:eastAsiaTheme="minorEastAsia" w:hAnsi="Times New Roman" w:cs="Times New Roman"/>
          <w:sz w:val="24"/>
          <w:lang w:val="en-GB"/>
        </w:rPr>
        <w:t>Concisely, IRFs constitutes an advantageous method of determining the momentum of the shock at impact and its dissipation rate whilst allowing for interdependencies (</w:t>
      </w:r>
      <w:r w:rsidR="00A031FB" w:rsidRPr="003C2E1A">
        <w:rPr>
          <w:rFonts w:ascii="Times New Roman" w:eastAsiaTheme="minorEastAsia" w:hAnsi="Times New Roman" w:cs="Times New Roman"/>
          <w:sz w:val="24"/>
          <w:lang w:val="en-GB"/>
        </w:rPr>
        <w:t>e.g.,</w:t>
      </w:r>
      <w:r w:rsidR="00C04DD8" w:rsidRPr="003C2E1A">
        <w:rPr>
          <w:rFonts w:ascii="Times New Roman" w:eastAsiaTheme="minorEastAsia" w:hAnsi="Times New Roman" w:cs="Times New Roman"/>
          <w:sz w:val="24"/>
          <w:lang w:val="en-GB"/>
        </w:rPr>
        <w:t xml:space="preserve"> cointegration).</w:t>
      </w:r>
    </w:p>
    <w:p w:rsidR="00DD31AA" w:rsidRDefault="00C04DD8" w:rsidP="00DD31AA">
      <w:pPr>
        <w:pStyle w:val="ListParagraph"/>
        <w:spacing w:after="0" w:line="360" w:lineRule="auto"/>
        <w:ind w:left="0"/>
        <w:jc w:val="both"/>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ab/>
      </w:r>
      <w:r w:rsidR="00CB0F3A" w:rsidRPr="003C2E1A">
        <w:rPr>
          <w:rFonts w:ascii="Times New Roman" w:eastAsiaTheme="minorEastAsia" w:hAnsi="Times New Roman" w:cs="Times New Roman"/>
          <w:sz w:val="24"/>
          <w:lang w:val="en-GB"/>
        </w:rPr>
        <w:t xml:space="preserve">Note that we have to turn the VECM into a VAR-model and increase the lag with one in order to utilize the correct IRF with analytic asymptotic bands based on Cholesky dof-adjusted. </w:t>
      </w:r>
    </w:p>
    <w:p w:rsidR="005E53D6" w:rsidRPr="005E53D6" w:rsidRDefault="005E53D6" w:rsidP="00DD31AA">
      <w:pPr>
        <w:pStyle w:val="ListParagraph"/>
        <w:spacing w:after="0" w:line="360" w:lineRule="auto"/>
        <w:ind w:left="0"/>
        <w:jc w:val="both"/>
        <w:rPr>
          <w:rFonts w:ascii="Times New Roman" w:eastAsiaTheme="minorEastAsia" w:hAnsi="Times New Roman" w:cs="Times New Roman"/>
          <w:sz w:val="28"/>
          <w:lang w:val="en-GB"/>
        </w:rPr>
      </w:pPr>
    </w:p>
    <w:p w:rsidR="00E9619D" w:rsidRPr="003C2E1A" w:rsidRDefault="000515C0" w:rsidP="00E9619D">
      <w:pPr>
        <w:pStyle w:val="ListParagraph"/>
        <w:numPr>
          <w:ilvl w:val="0"/>
          <w:numId w:val="13"/>
        </w:numPr>
        <w:spacing w:after="0" w:line="360" w:lineRule="auto"/>
        <w:ind w:left="0" w:firstLine="0"/>
        <w:jc w:val="both"/>
        <w:rPr>
          <w:rFonts w:ascii="Times New Roman" w:hAnsi="Times New Roman" w:cs="Times New Roman"/>
          <w:b/>
          <w:lang w:val="en-GB"/>
        </w:rPr>
      </w:pPr>
      <w:r w:rsidRPr="003C2E1A">
        <w:rPr>
          <w:rFonts w:ascii="Times New Roman" w:hAnsi="Times New Roman" w:cs="Times New Roman"/>
          <w:b/>
          <w:sz w:val="24"/>
          <w:lang w:val="en-GB"/>
        </w:rPr>
        <w:t>Results</w:t>
      </w:r>
    </w:p>
    <w:p w:rsidR="005427D7" w:rsidRPr="003C2E1A" w:rsidRDefault="00DD31AA" w:rsidP="00937389">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In th</w:t>
      </w:r>
      <w:r w:rsidR="00211FDC">
        <w:rPr>
          <w:rFonts w:ascii="Times New Roman" w:hAnsi="Times New Roman" w:cs="Times New Roman"/>
          <w:sz w:val="24"/>
          <w:szCs w:val="24"/>
          <w:lang w:val="en-GB"/>
        </w:rPr>
        <w:t xml:space="preserve">is </w:t>
      </w:r>
      <w:r w:rsidRPr="003C2E1A">
        <w:rPr>
          <w:rFonts w:ascii="Times New Roman" w:hAnsi="Times New Roman" w:cs="Times New Roman"/>
          <w:sz w:val="24"/>
          <w:szCs w:val="24"/>
          <w:lang w:val="en-GB"/>
        </w:rPr>
        <w:t xml:space="preserve">section I shall elucidate the analysis </w:t>
      </w:r>
      <w:r w:rsidR="005A4586" w:rsidRPr="003C2E1A">
        <w:rPr>
          <w:rFonts w:ascii="Times New Roman" w:hAnsi="Times New Roman" w:cs="Times New Roman"/>
          <w:sz w:val="24"/>
          <w:szCs w:val="24"/>
          <w:lang w:val="en-GB"/>
        </w:rPr>
        <w:t>as follows;</w:t>
      </w:r>
      <w:r w:rsidRPr="003C2E1A">
        <w:rPr>
          <w:rFonts w:ascii="Times New Roman" w:hAnsi="Times New Roman" w:cs="Times New Roman"/>
          <w:sz w:val="24"/>
          <w:szCs w:val="24"/>
          <w:lang w:val="en-GB"/>
        </w:rPr>
        <w:t xml:space="preserve"> </w:t>
      </w:r>
      <w:r w:rsidR="005A4586" w:rsidRPr="003C2E1A">
        <w:rPr>
          <w:rFonts w:ascii="Times New Roman" w:hAnsi="Times New Roman" w:cs="Times New Roman"/>
          <w:sz w:val="24"/>
          <w:szCs w:val="24"/>
          <w:lang w:val="en-GB"/>
        </w:rPr>
        <w:t>f</w:t>
      </w:r>
      <w:r w:rsidRPr="003C2E1A">
        <w:rPr>
          <w:rFonts w:ascii="Times New Roman" w:hAnsi="Times New Roman" w:cs="Times New Roman"/>
          <w:sz w:val="24"/>
          <w:szCs w:val="24"/>
          <w:lang w:val="en-GB"/>
        </w:rPr>
        <w:t>irst I shall go over the ADF Unit Root test</w:t>
      </w:r>
      <w:r w:rsidR="005A4586" w:rsidRPr="003C2E1A">
        <w:rPr>
          <w:rFonts w:ascii="Times New Roman" w:hAnsi="Times New Roman" w:cs="Times New Roman"/>
          <w:sz w:val="24"/>
          <w:szCs w:val="24"/>
          <w:lang w:val="en-GB"/>
        </w:rPr>
        <w:t xml:space="preserve"> in Section 6.1 for all variables</w:t>
      </w:r>
      <w:r w:rsidRPr="003C2E1A">
        <w:rPr>
          <w:rFonts w:ascii="Times New Roman" w:hAnsi="Times New Roman" w:cs="Times New Roman"/>
          <w:sz w:val="24"/>
          <w:szCs w:val="24"/>
          <w:lang w:val="en-GB"/>
        </w:rPr>
        <w:t xml:space="preserve">, followed by the JMC </w:t>
      </w:r>
      <w:r w:rsidR="009A7C0A" w:rsidRPr="003C2E1A">
        <w:rPr>
          <w:rFonts w:ascii="Times New Roman" w:hAnsi="Times New Roman" w:cs="Times New Roman"/>
          <w:sz w:val="24"/>
          <w:szCs w:val="24"/>
          <w:lang w:val="en-GB"/>
        </w:rPr>
        <w:t xml:space="preserve">for each country in Section 6.2, provided that </w:t>
      </w:r>
      <w:r w:rsidRPr="003C2E1A">
        <w:rPr>
          <w:rFonts w:ascii="Times New Roman" w:hAnsi="Times New Roman" w:cs="Times New Roman"/>
          <w:sz w:val="24"/>
          <w:szCs w:val="24"/>
          <w:lang w:val="en-GB"/>
        </w:rPr>
        <w:t xml:space="preserve">the </w:t>
      </w:r>
      <w:r w:rsidR="009A7C0A" w:rsidRPr="003C2E1A">
        <w:rPr>
          <w:rFonts w:ascii="Times New Roman" w:hAnsi="Times New Roman" w:cs="Times New Roman"/>
          <w:sz w:val="24"/>
          <w:szCs w:val="24"/>
          <w:lang w:val="en-GB"/>
        </w:rPr>
        <w:t xml:space="preserve">unit root </w:t>
      </w:r>
      <w:r w:rsidRPr="003C2E1A">
        <w:rPr>
          <w:rFonts w:ascii="Times New Roman" w:hAnsi="Times New Roman" w:cs="Times New Roman"/>
          <w:sz w:val="24"/>
          <w:szCs w:val="24"/>
          <w:lang w:val="en-GB"/>
        </w:rPr>
        <w:t>test</w:t>
      </w:r>
      <w:r w:rsidR="009A7C0A" w:rsidRPr="003C2E1A">
        <w:rPr>
          <w:rFonts w:ascii="Times New Roman" w:hAnsi="Times New Roman" w:cs="Times New Roman"/>
          <w:sz w:val="24"/>
          <w:szCs w:val="24"/>
          <w:lang w:val="en-GB"/>
        </w:rPr>
        <w:t>s</w:t>
      </w:r>
      <w:r w:rsidRPr="003C2E1A">
        <w:rPr>
          <w:rFonts w:ascii="Times New Roman" w:hAnsi="Times New Roman" w:cs="Times New Roman"/>
          <w:sz w:val="24"/>
          <w:szCs w:val="24"/>
          <w:lang w:val="en-GB"/>
        </w:rPr>
        <w:t xml:space="preserve"> indicate </w:t>
      </w:r>
      <w:r w:rsidR="009A7C0A" w:rsidRPr="003C2E1A">
        <w:rPr>
          <w:rFonts w:ascii="Times New Roman" w:hAnsi="Times New Roman" w:cs="Times New Roman"/>
          <w:sz w:val="24"/>
          <w:szCs w:val="24"/>
          <w:lang w:val="en-GB"/>
        </w:rPr>
        <w:t>the</w:t>
      </w:r>
      <w:r w:rsidRPr="003C2E1A">
        <w:rPr>
          <w:rFonts w:ascii="Times New Roman" w:hAnsi="Times New Roman" w:cs="Times New Roman"/>
          <w:sz w:val="24"/>
          <w:szCs w:val="24"/>
          <w:lang w:val="en-GB"/>
        </w:rPr>
        <w:t xml:space="preserve"> appropriateness</w:t>
      </w:r>
      <w:r w:rsidR="009A7C0A" w:rsidRPr="003C2E1A">
        <w:rPr>
          <w:rFonts w:ascii="Times New Roman" w:hAnsi="Times New Roman" w:cs="Times New Roman"/>
          <w:sz w:val="24"/>
          <w:szCs w:val="24"/>
          <w:lang w:val="en-GB"/>
        </w:rPr>
        <w:t xml:space="preserve"> of using JMC</w:t>
      </w:r>
      <w:r w:rsidRPr="003C2E1A">
        <w:rPr>
          <w:rFonts w:ascii="Times New Roman" w:hAnsi="Times New Roman" w:cs="Times New Roman"/>
          <w:sz w:val="24"/>
          <w:szCs w:val="24"/>
          <w:lang w:val="en-GB"/>
        </w:rPr>
        <w:t>. Then we shall move on to the actual VECM</w:t>
      </w:r>
      <w:r w:rsidR="005A4586" w:rsidRPr="003C2E1A">
        <w:rPr>
          <w:rFonts w:ascii="Times New Roman" w:hAnsi="Times New Roman" w:cs="Times New Roman"/>
          <w:sz w:val="24"/>
          <w:szCs w:val="24"/>
          <w:lang w:val="en-GB"/>
        </w:rPr>
        <w:t xml:space="preserve"> (Section 6.3)</w:t>
      </w:r>
      <w:r w:rsidRPr="003C2E1A">
        <w:rPr>
          <w:rFonts w:ascii="Times New Roman" w:hAnsi="Times New Roman" w:cs="Times New Roman"/>
          <w:sz w:val="24"/>
          <w:szCs w:val="24"/>
          <w:lang w:val="en-GB"/>
        </w:rPr>
        <w:t xml:space="preserve"> that shall elucidate the long-run (equilibrium) values of each significant variable.</w:t>
      </w:r>
      <w:r w:rsidR="00B65241" w:rsidRPr="003C2E1A">
        <w:rPr>
          <w:rFonts w:ascii="Times New Roman" w:hAnsi="Times New Roman" w:cs="Times New Roman"/>
          <w:sz w:val="24"/>
          <w:szCs w:val="24"/>
          <w:lang w:val="en-GB"/>
        </w:rPr>
        <w:t xml:space="preserve"> Subsequently, a Granger Causality test </w:t>
      </w:r>
      <w:r w:rsidR="005A4586" w:rsidRPr="003C2E1A">
        <w:rPr>
          <w:rFonts w:ascii="Times New Roman" w:hAnsi="Times New Roman" w:cs="Times New Roman"/>
          <w:sz w:val="24"/>
          <w:szCs w:val="24"/>
          <w:lang w:val="en-GB"/>
        </w:rPr>
        <w:t xml:space="preserve">(Section 6.4) </w:t>
      </w:r>
      <w:r w:rsidR="00745796">
        <w:rPr>
          <w:rFonts w:ascii="Times New Roman" w:hAnsi="Times New Roman" w:cs="Times New Roman"/>
          <w:sz w:val="24"/>
          <w:szCs w:val="24"/>
          <w:lang w:val="en-GB"/>
        </w:rPr>
        <w:t>can be performed</w:t>
      </w:r>
      <w:r w:rsidR="00AA79B8" w:rsidRPr="003C2E1A">
        <w:rPr>
          <w:rFonts w:ascii="Times New Roman" w:hAnsi="Times New Roman" w:cs="Times New Roman"/>
          <w:sz w:val="24"/>
          <w:szCs w:val="24"/>
          <w:lang w:val="en-GB"/>
        </w:rPr>
        <w:t>, e.g., the GCBEW</w:t>
      </w:r>
      <w:r w:rsidR="00B65241" w:rsidRPr="003C2E1A">
        <w:rPr>
          <w:rFonts w:ascii="Times New Roman" w:hAnsi="Times New Roman" w:cs="Times New Roman"/>
          <w:sz w:val="24"/>
          <w:szCs w:val="24"/>
          <w:lang w:val="en-GB"/>
        </w:rPr>
        <w:t>.</w:t>
      </w:r>
      <w:r w:rsidR="001B7F13">
        <w:rPr>
          <w:rFonts w:ascii="Times New Roman" w:hAnsi="Times New Roman" w:cs="Times New Roman"/>
          <w:sz w:val="24"/>
          <w:szCs w:val="24"/>
          <w:lang w:val="en-GB"/>
        </w:rPr>
        <w:t xml:space="preserve"> Last but not least, a set of </w:t>
      </w:r>
      <w:r w:rsidR="005427D7" w:rsidRPr="003C2E1A">
        <w:rPr>
          <w:rFonts w:ascii="Times New Roman" w:hAnsi="Times New Roman" w:cs="Times New Roman"/>
          <w:sz w:val="24"/>
          <w:szCs w:val="24"/>
          <w:lang w:val="en-GB"/>
        </w:rPr>
        <w:t>IRF</w:t>
      </w:r>
      <w:r w:rsidR="001B7F13">
        <w:rPr>
          <w:rFonts w:ascii="Times New Roman" w:hAnsi="Times New Roman" w:cs="Times New Roman"/>
          <w:sz w:val="24"/>
          <w:szCs w:val="24"/>
          <w:lang w:val="en-GB"/>
        </w:rPr>
        <w:t>s</w:t>
      </w:r>
      <w:r w:rsidR="005427D7" w:rsidRPr="003C2E1A">
        <w:rPr>
          <w:rFonts w:ascii="Times New Roman" w:hAnsi="Times New Roman" w:cs="Times New Roman"/>
          <w:sz w:val="24"/>
          <w:szCs w:val="24"/>
          <w:lang w:val="en-GB"/>
        </w:rPr>
        <w:t xml:space="preserve"> shall be </w:t>
      </w:r>
      <w:r w:rsidR="00745796">
        <w:rPr>
          <w:rFonts w:ascii="Times New Roman" w:hAnsi="Times New Roman" w:cs="Times New Roman"/>
          <w:sz w:val="24"/>
          <w:szCs w:val="24"/>
          <w:lang w:val="en-GB"/>
        </w:rPr>
        <w:t>run</w:t>
      </w:r>
      <w:r w:rsidR="005427D7" w:rsidRPr="003C2E1A">
        <w:rPr>
          <w:rFonts w:ascii="Times New Roman" w:hAnsi="Times New Roman" w:cs="Times New Roman"/>
          <w:sz w:val="24"/>
          <w:szCs w:val="24"/>
          <w:lang w:val="en-GB"/>
        </w:rPr>
        <w:t xml:space="preserve"> </w:t>
      </w:r>
      <w:r w:rsidR="005A4586" w:rsidRPr="003C2E1A">
        <w:rPr>
          <w:rFonts w:ascii="Times New Roman" w:hAnsi="Times New Roman" w:cs="Times New Roman"/>
          <w:sz w:val="24"/>
          <w:szCs w:val="24"/>
          <w:lang w:val="en-GB"/>
        </w:rPr>
        <w:t xml:space="preserve">in Section 6.5 </w:t>
      </w:r>
      <w:r w:rsidR="005427D7" w:rsidRPr="003C2E1A">
        <w:rPr>
          <w:rFonts w:ascii="Times New Roman" w:hAnsi="Times New Roman" w:cs="Times New Roman"/>
          <w:sz w:val="24"/>
          <w:szCs w:val="24"/>
          <w:lang w:val="en-GB"/>
        </w:rPr>
        <w:t xml:space="preserve">to gauge the duration of a one-time </w:t>
      </w:r>
      <w:r w:rsidR="001B7F13">
        <w:rPr>
          <w:rFonts w:ascii="Times New Roman" w:hAnsi="Times New Roman" w:cs="Times New Roman"/>
          <w:sz w:val="24"/>
          <w:szCs w:val="24"/>
          <w:lang w:val="en-GB"/>
        </w:rPr>
        <w:t xml:space="preserve">exogenous </w:t>
      </w:r>
      <w:r w:rsidR="005427D7" w:rsidRPr="003C2E1A">
        <w:rPr>
          <w:rFonts w:ascii="Times New Roman" w:hAnsi="Times New Roman" w:cs="Times New Roman"/>
          <w:sz w:val="24"/>
          <w:szCs w:val="24"/>
          <w:lang w:val="en-GB"/>
        </w:rPr>
        <w:t xml:space="preserve">shock in each variable. </w:t>
      </w:r>
    </w:p>
    <w:p w:rsidR="005427D7" w:rsidRPr="003C2E1A" w:rsidRDefault="005427D7" w:rsidP="0057495C">
      <w:pPr>
        <w:spacing w:after="0" w:line="360" w:lineRule="auto"/>
        <w:rPr>
          <w:rFonts w:ascii="Times New Roman" w:hAnsi="Times New Roman" w:cs="Times New Roman"/>
          <w:sz w:val="24"/>
          <w:szCs w:val="24"/>
          <w:lang w:val="en-GB"/>
        </w:rPr>
      </w:pPr>
    </w:p>
    <w:p w:rsidR="005427D7" w:rsidRPr="003C2E1A" w:rsidRDefault="009D749E" w:rsidP="0057495C">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ab/>
      </w:r>
      <w:r w:rsidR="005427D7" w:rsidRPr="003C2E1A">
        <w:rPr>
          <w:rFonts w:ascii="Times New Roman" w:hAnsi="Times New Roman" w:cs="Times New Roman"/>
          <w:b/>
          <w:sz w:val="24"/>
          <w:szCs w:val="24"/>
          <w:lang w:val="en-GB"/>
        </w:rPr>
        <w:t>6.1</w:t>
      </w:r>
      <w:r w:rsidR="005427D7" w:rsidRPr="003C2E1A">
        <w:rPr>
          <w:rFonts w:ascii="Times New Roman" w:hAnsi="Times New Roman" w:cs="Times New Roman"/>
          <w:b/>
          <w:sz w:val="24"/>
          <w:szCs w:val="24"/>
          <w:lang w:val="en-GB"/>
        </w:rPr>
        <w:tab/>
      </w:r>
      <w:r w:rsidR="005A4586" w:rsidRPr="003C2E1A">
        <w:rPr>
          <w:rFonts w:ascii="Times New Roman" w:hAnsi="Times New Roman" w:cs="Times New Roman"/>
          <w:b/>
          <w:sz w:val="24"/>
          <w:szCs w:val="24"/>
          <w:lang w:val="en-GB"/>
        </w:rPr>
        <w:t>Group ADF Unit Root Tests</w:t>
      </w:r>
    </w:p>
    <w:p w:rsidR="008B64A0" w:rsidRPr="003C2E1A" w:rsidRDefault="003D7C57" w:rsidP="00F76F54">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A group ADF test was run for each separate country, the results of which are displayed in Table A6.</w:t>
      </w:r>
      <w:r w:rsidR="00E645B3">
        <w:rPr>
          <w:rFonts w:ascii="Times New Roman" w:hAnsi="Times New Roman" w:cs="Times New Roman"/>
          <w:sz w:val="24"/>
          <w:szCs w:val="24"/>
          <w:lang w:val="en-GB"/>
        </w:rPr>
        <w:t xml:space="preserve">2 </w:t>
      </w:r>
      <w:r w:rsidRPr="003C2E1A">
        <w:rPr>
          <w:rFonts w:ascii="Times New Roman" w:hAnsi="Times New Roman" w:cs="Times New Roman"/>
          <w:sz w:val="24"/>
          <w:szCs w:val="24"/>
          <w:lang w:val="en-GB"/>
        </w:rPr>
        <w:t xml:space="preserve">of the Appendix. All </w:t>
      </w:r>
      <w:r w:rsidR="005A4586" w:rsidRPr="003C2E1A">
        <w:rPr>
          <w:rFonts w:ascii="Times New Roman" w:hAnsi="Times New Roman" w:cs="Times New Roman"/>
          <w:sz w:val="24"/>
          <w:szCs w:val="24"/>
          <w:lang w:val="en-GB"/>
        </w:rPr>
        <w:t xml:space="preserve">ADF tests indicated that the variables were I(1) and thus </w:t>
      </w:r>
      <w:r w:rsidR="00694B2D" w:rsidRPr="003C2E1A">
        <w:rPr>
          <w:rFonts w:ascii="Times New Roman" w:hAnsi="Times New Roman" w:cs="Times New Roman"/>
          <w:sz w:val="24"/>
          <w:szCs w:val="24"/>
          <w:lang w:val="en-GB"/>
        </w:rPr>
        <w:t>non-</w:t>
      </w:r>
      <w:r w:rsidR="00D57F64" w:rsidRPr="003C2E1A">
        <w:rPr>
          <w:rFonts w:ascii="Times New Roman" w:hAnsi="Times New Roman" w:cs="Times New Roman"/>
          <w:sz w:val="24"/>
          <w:szCs w:val="24"/>
          <w:lang w:val="en-GB"/>
        </w:rPr>
        <w:t>stationary as</w:t>
      </w:r>
      <w:r w:rsidR="005A4586" w:rsidRPr="003C2E1A">
        <w:rPr>
          <w:rFonts w:ascii="Times New Roman" w:hAnsi="Times New Roman" w:cs="Times New Roman"/>
          <w:sz w:val="24"/>
          <w:szCs w:val="24"/>
          <w:lang w:val="en-GB"/>
        </w:rPr>
        <w:t xml:space="preserve"> Fisher’s Chi square did not reject the null hypothesis of the presence of a unit root in the levels specification, whilst it was rejected for each country when the 1</w:t>
      </w:r>
      <w:r w:rsidR="005A4586" w:rsidRPr="003C2E1A">
        <w:rPr>
          <w:rFonts w:ascii="Times New Roman" w:hAnsi="Times New Roman" w:cs="Times New Roman"/>
          <w:sz w:val="24"/>
          <w:szCs w:val="24"/>
          <w:vertAlign w:val="superscript"/>
          <w:lang w:val="en-GB"/>
        </w:rPr>
        <w:t>st</w:t>
      </w:r>
      <w:r w:rsidR="005A4586" w:rsidRPr="003C2E1A">
        <w:rPr>
          <w:rFonts w:ascii="Times New Roman" w:hAnsi="Times New Roman" w:cs="Times New Roman"/>
          <w:sz w:val="24"/>
          <w:szCs w:val="24"/>
          <w:lang w:val="en-GB"/>
        </w:rPr>
        <w:t xml:space="preserve"> </w:t>
      </w:r>
      <w:r w:rsidR="005A4586" w:rsidRPr="003C2E1A">
        <w:rPr>
          <w:rFonts w:ascii="Times New Roman" w:hAnsi="Times New Roman" w:cs="Times New Roman"/>
          <w:sz w:val="24"/>
          <w:szCs w:val="24"/>
          <w:lang w:val="en-GB"/>
        </w:rPr>
        <w:lastRenderedPageBreak/>
        <w:t>difference was taken</w:t>
      </w:r>
      <w:r w:rsidR="009D7138">
        <w:rPr>
          <w:rFonts w:ascii="Times New Roman" w:hAnsi="Times New Roman" w:cs="Times New Roman"/>
          <w:sz w:val="24"/>
          <w:szCs w:val="24"/>
          <w:lang w:val="en-GB"/>
        </w:rPr>
        <w:t xml:space="preserve">, thus rendering the latter </w:t>
      </w:r>
      <w:r w:rsidR="00694B2D" w:rsidRPr="003C2E1A">
        <w:rPr>
          <w:rFonts w:ascii="Times New Roman" w:hAnsi="Times New Roman" w:cs="Times New Roman"/>
          <w:sz w:val="24"/>
          <w:szCs w:val="24"/>
          <w:lang w:val="en-GB"/>
        </w:rPr>
        <w:t>variables as ~</w:t>
      </w:r>
      <w:r w:rsidR="005A4586" w:rsidRPr="003C2E1A">
        <w:rPr>
          <w:rFonts w:ascii="Times New Roman" w:hAnsi="Times New Roman" w:cs="Times New Roman"/>
          <w:sz w:val="24"/>
          <w:szCs w:val="24"/>
          <w:lang w:val="en-GB"/>
        </w:rPr>
        <w:t>I(0).</w:t>
      </w:r>
      <w:r w:rsidR="00694B2D" w:rsidRPr="003C2E1A">
        <w:rPr>
          <w:rFonts w:ascii="Times New Roman" w:hAnsi="Times New Roman" w:cs="Times New Roman"/>
          <w:sz w:val="24"/>
          <w:szCs w:val="24"/>
          <w:lang w:val="en-GB"/>
        </w:rPr>
        <w:t xml:space="preserve"> </w:t>
      </w:r>
      <w:r w:rsidR="00D57F64" w:rsidRPr="003C2E1A">
        <w:rPr>
          <w:rFonts w:ascii="Times New Roman" w:hAnsi="Times New Roman" w:cs="Times New Roman"/>
          <w:sz w:val="24"/>
          <w:szCs w:val="24"/>
          <w:lang w:val="en-GB"/>
        </w:rPr>
        <w:t>Thus, I conclude that a JMC would be</w:t>
      </w:r>
      <w:r w:rsidR="005A4586" w:rsidRPr="003C2E1A">
        <w:rPr>
          <w:rFonts w:ascii="Times New Roman" w:hAnsi="Times New Roman" w:cs="Times New Roman"/>
          <w:sz w:val="24"/>
          <w:szCs w:val="24"/>
          <w:lang w:val="en-GB"/>
        </w:rPr>
        <w:t xml:space="preserve"> </w:t>
      </w:r>
      <w:r w:rsidR="00D57F64" w:rsidRPr="003C2E1A">
        <w:rPr>
          <w:rFonts w:ascii="Times New Roman" w:hAnsi="Times New Roman" w:cs="Times New Roman"/>
          <w:sz w:val="24"/>
          <w:szCs w:val="24"/>
          <w:lang w:val="en-GB"/>
        </w:rPr>
        <w:t xml:space="preserve">appropriate if not essential. </w:t>
      </w:r>
      <w:r w:rsidR="009572F4" w:rsidRPr="003C2E1A">
        <w:rPr>
          <w:rFonts w:ascii="Times New Roman" w:hAnsi="Times New Roman" w:cs="Times New Roman"/>
          <w:sz w:val="24"/>
          <w:szCs w:val="24"/>
          <w:lang w:val="en-GB"/>
        </w:rPr>
        <w:t>Furthermore, this result is echoed by the Im, Pesharan &amp; Shin W-test statistic for unit roots, except for the Netherlands. Nevertheless, the abovementioned is a strong indication of non-stationarity in variables and</w:t>
      </w:r>
      <w:r w:rsidR="009D7138">
        <w:rPr>
          <w:rFonts w:ascii="Times New Roman" w:hAnsi="Times New Roman" w:cs="Times New Roman"/>
          <w:sz w:val="24"/>
          <w:szCs w:val="24"/>
          <w:lang w:val="en-GB"/>
        </w:rPr>
        <w:t xml:space="preserve"> thus supports the use of the JM</w:t>
      </w:r>
      <w:r w:rsidR="009572F4" w:rsidRPr="003C2E1A">
        <w:rPr>
          <w:rFonts w:ascii="Times New Roman" w:hAnsi="Times New Roman" w:cs="Times New Roman"/>
          <w:sz w:val="24"/>
          <w:szCs w:val="24"/>
          <w:lang w:val="en-GB"/>
        </w:rPr>
        <w:t>C.</w:t>
      </w:r>
    </w:p>
    <w:p w:rsidR="00E94E2C" w:rsidRPr="0057495C" w:rsidRDefault="00E94E2C" w:rsidP="00F76F54">
      <w:pPr>
        <w:spacing w:after="0" w:line="360" w:lineRule="auto"/>
        <w:rPr>
          <w:rFonts w:ascii="Times New Roman" w:hAnsi="Times New Roman" w:cs="Times New Roman"/>
          <w:sz w:val="24"/>
          <w:szCs w:val="24"/>
          <w:lang w:val="en-GB"/>
        </w:rPr>
      </w:pPr>
    </w:p>
    <w:p w:rsidR="00E94E2C" w:rsidRPr="003C2E1A" w:rsidRDefault="009D749E" w:rsidP="0057495C">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ab/>
      </w:r>
      <w:r w:rsidR="00E94E2C" w:rsidRPr="003C2E1A">
        <w:rPr>
          <w:rFonts w:ascii="Times New Roman" w:hAnsi="Times New Roman" w:cs="Times New Roman"/>
          <w:b/>
          <w:sz w:val="24"/>
          <w:szCs w:val="24"/>
          <w:lang w:val="en-GB"/>
        </w:rPr>
        <w:t>6.2</w:t>
      </w:r>
      <w:r w:rsidR="00E94E2C" w:rsidRPr="003C2E1A">
        <w:rPr>
          <w:rFonts w:ascii="Times New Roman" w:hAnsi="Times New Roman" w:cs="Times New Roman"/>
          <w:b/>
          <w:sz w:val="24"/>
          <w:szCs w:val="24"/>
          <w:lang w:val="en-GB"/>
        </w:rPr>
        <w:tab/>
        <w:t>Johansen’s Multivariate Cointegration Model</w:t>
      </w:r>
    </w:p>
    <w:p w:rsidR="00E94E2C" w:rsidRPr="003C2E1A" w:rsidRDefault="00AA7B2B" w:rsidP="00084595">
      <w:pPr>
        <w:spacing w:after="0" w:line="360" w:lineRule="auto"/>
        <w:rPr>
          <w:rFonts w:ascii="Times New Roman" w:hAnsi="Times New Roman" w:cs="Times New Roman"/>
          <w:i/>
          <w:sz w:val="24"/>
          <w:szCs w:val="24"/>
          <w:lang w:val="en-GB"/>
        </w:rPr>
      </w:pPr>
      <w:r w:rsidRPr="003C2E1A">
        <w:rPr>
          <w:rFonts w:ascii="Times New Roman" w:hAnsi="Times New Roman" w:cs="Times New Roman"/>
          <w:sz w:val="24"/>
          <w:szCs w:val="24"/>
          <w:lang w:val="en-GB"/>
        </w:rPr>
        <w:t>The results of the JMC test shall be explic</w:t>
      </w:r>
      <w:r w:rsidR="00A53E18" w:rsidRPr="003C2E1A">
        <w:rPr>
          <w:rFonts w:ascii="Times New Roman" w:hAnsi="Times New Roman" w:cs="Times New Roman"/>
          <w:sz w:val="24"/>
          <w:szCs w:val="24"/>
          <w:lang w:val="en-GB"/>
        </w:rPr>
        <w:t xml:space="preserve">ated </w:t>
      </w:r>
      <w:r w:rsidR="00896C30">
        <w:rPr>
          <w:rFonts w:ascii="Times New Roman" w:hAnsi="Times New Roman" w:cs="Times New Roman"/>
          <w:sz w:val="24"/>
          <w:szCs w:val="24"/>
          <w:lang w:val="en-GB"/>
        </w:rPr>
        <w:t>in the subsequent section</w:t>
      </w:r>
      <w:r w:rsidRPr="003C2E1A">
        <w:rPr>
          <w:rFonts w:ascii="Times New Roman" w:hAnsi="Times New Roman" w:cs="Times New Roman"/>
          <w:sz w:val="24"/>
          <w:szCs w:val="24"/>
          <w:lang w:val="en-GB"/>
        </w:rPr>
        <w:t xml:space="preserve">. </w:t>
      </w:r>
      <w:r w:rsidR="0005080C" w:rsidRPr="003C2E1A">
        <w:rPr>
          <w:rFonts w:ascii="Times New Roman" w:hAnsi="Times New Roman" w:cs="Times New Roman"/>
          <w:sz w:val="24"/>
          <w:szCs w:val="24"/>
          <w:lang w:val="en-GB"/>
        </w:rPr>
        <w:t>The summary of JMC results is displayed in Table A6.</w:t>
      </w:r>
      <w:r w:rsidR="0057495C">
        <w:rPr>
          <w:rFonts w:ascii="Times New Roman" w:hAnsi="Times New Roman" w:cs="Times New Roman"/>
          <w:sz w:val="24"/>
          <w:szCs w:val="24"/>
          <w:lang w:val="en-GB"/>
        </w:rPr>
        <w:t>3</w:t>
      </w:r>
      <w:r w:rsidR="0005080C" w:rsidRPr="003C2E1A">
        <w:rPr>
          <w:rFonts w:ascii="Times New Roman" w:hAnsi="Times New Roman" w:cs="Times New Roman"/>
          <w:sz w:val="24"/>
          <w:szCs w:val="24"/>
          <w:lang w:val="en-GB"/>
        </w:rPr>
        <w:t xml:space="preserve"> and can be found in the Appendix.</w:t>
      </w:r>
      <w:r w:rsidR="00400EBE" w:rsidRPr="003C2E1A">
        <w:rPr>
          <w:rFonts w:ascii="Times New Roman" w:hAnsi="Times New Roman" w:cs="Times New Roman"/>
          <w:sz w:val="24"/>
          <w:szCs w:val="24"/>
          <w:lang w:val="en-GB"/>
        </w:rPr>
        <w:t xml:space="preserve"> The optimal lag length for each model (per country) was estimated by utilizing the VAR Lag Order Selection Criteria option. Akaike’s and Hannan-Quinn’s information criterion were taken as the clearest indication of the optimal lag length. </w:t>
      </w:r>
      <w:r w:rsidR="00000317" w:rsidRPr="003C2E1A">
        <w:rPr>
          <w:rFonts w:ascii="Times New Roman" w:hAnsi="Times New Roman" w:cs="Times New Roman"/>
          <w:sz w:val="24"/>
          <w:szCs w:val="24"/>
          <w:lang w:val="en-GB"/>
        </w:rPr>
        <w:t>Also, each JM</w:t>
      </w:r>
      <w:r w:rsidR="009D7138">
        <w:rPr>
          <w:rFonts w:ascii="Times New Roman" w:hAnsi="Times New Roman" w:cs="Times New Roman"/>
          <w:sz w:val="24"/>
          <w:szCs w:val="24"/>
          <w:lang w:val="en-GB"/>
        </w:rPr>
        <w:t>C</w:t>
      </w:r>
      <w:r w:rsidR="00000317" w:rsidRPr="003C2E1A">
        <w:rPr>
          <w:rFonts w:ascii="Times New Roman" w:hAnsi="Times New Roman" w:cs="Times New Roman"/>
          <w:sz w:val="24"/>
          <w:szCs w:val="24"/>
          <w:lang w:val="en-GB"/>
        </w:rPr>
        <w:t xml:space="preserve"> was set to allow for a linear deterministic trend in data with an intercept. </w:t>
      </w:r>
      <w:r w:rsidR="00A71389" w:rsidRPr="003C2E1A">
        <w:rPr>
          <w:rFonts w:ascii="Times New Roman" w:hAnsi="Times New Roman" w:cs="Times New Roman"/>
          <w:sz w:val="24"/>
          <w:szCs w:val="24"/>
          <w:lang w:val="en-GB"/>
        </w:rPr>
        <w:t>If the Max-Eigenvalue and the Trace test indicate a different cointegrating rank</w:t>
      </w:r>
      <m:oMath>
        <m:r>
          <w:rPr>
            <w:rFonts w:ascii="Cambria Math" w:hAnsi="Cambria Math" w:cs="Times New Roman"/>
            <w:sz w:val="24"/>
            <w:szCs w:val="24"/>
            <w:lang w:val="en-GB"/>
          </w:rPr>
          <m:t xml:space="preserve"> k</m:t>
        </m:r>
      </m:oMath>
      <w:r w:rsidR="00A71389" w:rsidRPr="003C2E1A">
        <w:rPr>
          <w:rFonts w:ascii="Times New Roman" w:eastAsiaTheme="minorEastAsia" w:hAnsi="Times New Roman" w:cs="Times New Roman"/>
          <w:sz w:val="24"/>
          <w:szCs w:val="24"/>
          <w:lang w:val="en-GB"/>
        </w:rPr>
        <w:t>, then we opt for the cointegration rank indicated by the Trace test</w:t>
      </w:r>
      <w:r w:rsidR="00AC0E80" w:rsidRPr="003C2E1A">
        <w:rPr>
          <w:rFonts w:ascii="Times New Roman" w:eastAsiaTheme="minorEastAsia" w:hAnsi="Times New Roman" w:cs="Times New Roman"/>
          <w:sz w:val="24"/>
          <w:szCs w:val="24"/>
          <w:lang w:val="en-GB"/>
        </w:rPr>
        <w:t>, a common practice.</w:t>
      </w:r>
      <w:r w:rsidR="00AC0E80" w:rsidRPr="003C2E1A">
        <w:rPr>
          <w:rStyle w:val="FootnoteReference"/>
          <w:rFonts w:ascii="Times New Roman" w:eastAsiaTheme="minorEastAsia" w:hAnsi="Times New Roman" w:cs="Times New Roman"/>
          <w:sz w:val="24"/>
          <w:szCs w:val="24"/>
          <w:lang w:val="en-GB"/>
        </w:rPr>
        <w:footnoteReference w:id="31"/>
      </w:r>
      <w:r w:rsidR="00AC0E80" w:rsidRPr="003C2E1A">
        <w:rPr>
          <w:rFonts w:ascii="Times New Roman" w:eastAsiaTheme="minorEastAsia" w:hAnsi="Times New Roman" w:cs="Times New Roman"/>
          <w:sz w:val="24"/>
          <w:szCs w:val="24"/>
          <w:lang w:val="en-GB"/>
        </w:rPr>
        <w:t xml:space="preserve"> </w:t>
      </w:r>
      <w:r w:rsidR="009D7138">
        <w:rPr>
          <w:rFonts w:ascii="Times New Roman" w:eastAsiaTheme="minorEastAsia" w:hAnsi="Times New Roman" w:cs="Times New Roman"/>
          <w:sz w:val="24"/>
          <w:szCs w:val="24"/>
          <w:lang w:val="en-GB"/>
        </w:rPr>
        <w:t xml:space="preserve">The cointegration rank must be calculated via the Johansen procedure prior to the </w:t>
      </w:r>
      <w:r w:rsidR="009D749E">
        <w:rPr>
          <w:rFonts w:ascii="Times New Roman" w:eastAsiaTheme="minorEastAsia" w:hAnsi="Times New Roman" w:cs="Times New Roman"/>
          <w:sz w:val="24"/>
          <w:szCs w:val="24"/>
          <w:lang w:val="en-GB"/>
        </w:rPr>
        <w:t xml:space="preserve">utilization of a multivariate VECM. </w:t>
      </w:r>
    </w:p>
    <w:p w:rsidR="00896C30" w:rsidRDefault="00896C30" w:rsidP="0005080C">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b/>
      </w:r>
      <w:r w:rsidR="00400EBE" w:rsidRPr="003C2E1A">
        <w:rPr>
          <w:rFonts w:ascii="Times New Roman" w:hAnsi="Times New Roman" w:cs="Times New Roman"/>
          <w:sz w:val="24"/>
          <w:szCs w:val="24"/>
          <w:lang w:val="en-GB"/>
        </w:rPr>
        <w:t>The optimal lag length was 4 for Germany as indicated by the Optimal Lag Length test results</w:t>
      </w:r>
      <w:r w:rsidR="00000317" w:rsidRPr="003C2E1A">
        <w:rPr>
          <w:rFonts w:ascii="Times New Roman" w:hAnsi="Times New Roman" w:cs="Times New Roman"/>
          <w:sz w:val="24"/>
          <w:szCs w:val="24"/>
          <w:lang w:val="en-GB"/>
        </w:rPr>
        <w:t xml:space="preserve">. </w:t>
      </w:r>
      <w:r w:rsidR="00A53E18" w:rsidRPr="003C2E1A">
        <w:rPr>
          <w:rFonts w:ascii="Times New Roman" w:hAnsi="Times New Roman" w:cs="Times New Roman"/>
          <w:sz w:val="24"/>
          <w:szCs w:val="24"/>
          <w:lang w:val="en-GB"/>
        </w:rPr>
        <w:t>As indicated by Table A6.</w:t>
      </w:r>
      <w:r w:rsidR="0057495C">
        <w:rPr>
          <w:rFonts w:ascii="Times New Roman" w:hAnsi="Times New Roman" w:cs="Times New Roman"/>
          <w:sz w:val="24"/>
          <w:szCs w:val="24"/>
          <w:lang w:val="en-GB"/>
        </w:rPr>
        <w:t>3</w:t>
      </w:r>
      <w:r w:rsidR="00A53E18" w:rsidRPr="003C2E1A">
        <w:rPr>
          <w:rFonts w:ascii="Times New Roman" w:hAnsi="Times New Roman" w:cs="Times New Roman"/>
          <w:sz w:val="24"/>
          <w:szCs w:val="24"/>
          <w:lang w:val="en-GB"/>
        </w:rPr>
        <w:t xml:space="preserve">, </w:t>
      </w:r>
      <w:r w:rsidR="004C5B9F" w:rsidRPr="003C2E1A">
        <w:rPr>
          <w:rFonts w:ascii="Times New Roman" w:hAnsi="Times New Roman" w:cs="Times New Roman"/>
          <w:sz w:val="24"/>
          <w:szCs w:val="24"/>
          <w:lang w:val="en-GB"/>
        </w:rPr>
        <w:t xml:space="preserve">the Trace statistic finds evidence for </w:t>
      </w:r>
      <w:r w:rsidR="00104C66" w:rsidRPr="003C2E1A">
        <w:rPr>
          <w:rFonts w:ascii="Times New Roman" w:hAnsi="Times New Roman" w:cs="Times New Roman"/>
          <w:sz w:val="24"/>
          <w:szCs w:val="24"/>
          <w:lang w:val="en-GB"/>
        </w:rPr>
        <w:t>6</w:t>
      </w:r>
      <w:r w:rsidR="004C5B9F" w:rsidRPr="003C2E1A">
        <w:rPr>
          <w:rFonts w:ascii="Times New Roman" w:hAnsi="Times New Roman" w:cs="Times New Roman"/>
          <w:sz w:val="24"/>
          <w:szCs w:val="24"/>
          <w:lang w:val="en-GB"/>
        </w:rPr>
        <w:t xml:space="preserve"> cointegrating equations at 0.05 significance and </w:t>
      </w:r>
      <w:r w:rsidR="00104C66" w:rsidRPr="003C2E1A">
        <w:rPr>
          <w:rFonts w:ascii="Times New Roman" w:hAnsi="Times New Roman" w:cs="Times New Roman"/>
          <w:sz w:val="24"/>
          <w:szCs w:val="24"/>
          <w:lang w:val="en-GB"/>
        </w:rPr>
        <w:t>4</w:t>
      </w:r>
      <w:r w:rsidR="004C5B9F" w:rsidRPr="003C2E1A">
        <w:rPr>
          <w:rFonts w:ascii="Times New Roman" w:hAnsi="Times New Roman" w:cs="Times New Roman"/>
          <w:sz w:val="24"/>
          <w:szCs w:val="24"/>
          <w:lang w:val="en-GB"/>
        </w:rPr>
        <w:t xml:space="preserve"> cointegrating equations at the 0.01 significance level. Similarly, the Max-Eigen Statistic indicates the presence of 6 cointegrating equations at both the 0.05 and the 0.01 significance level. </w:t>
      </w:r>
    </w:p>
    <w:p w:rsidR="008440C1" w:rsidRDefault="002C7867" w:rsidP="008440C1">
      <w:pPr>
        <w:spacing w:after="0" w:line="360" w:lineRule="auto"/>
        <w:rPr>
          <w:rFonts w:ascii="Times New Roman" w:hAnsi="Times New Roman" w:cs="Times New Roman"/>
          <w:noProof/>
          <w:sz w:val="24"/>
          <w:szCs w:val="24"/>
          <w:lang w:val="en-GB" w:eastAsia="en-GB"/>
        </w:rPr>
      </w:pPr>
      <w:r>
        <w:rPr>
          <w:rFonts w:ascii="Times New Roman" w:hAnsi="Times New Roman" w:cs="Times New Roman"/>
          <w:sz w:val="24"/>
          <w:szCs w:val="24"/>
          <w:lang w:val="en-GB"/>
        </w:rPr>
        <w:tab/>
        <w:t xml:space="preserve">The optimal lag length </w:t>
      </w:r>
      <w:r w:rsidR="00745796">
        <w:rPr>
          <w:rFonts w:ascii="Times New Roman" w:hAnsi="Times New Roman" w:cs="Times New Roman"/>
          <w:sz w:val="24"/>
          <w:szCs w:val="24"/>
          <w:lang w:val="en-GB"/>
        </w:rPr>
        <w:t xml:space="preserve">for the Netherlands </w:t>
      </w:r>
      <w:r>
        <w:rPr>
          <w:rFonts w:ascii="Times New Roman" w:hAnsi="Times New Roman" w:cs="Times New Roman"/>
          <w:sz w:val="24"/>
          <w:szCs w:val="24"/>
          <w:lang w:val="en-GB"/>
        </w:rPr>
        <w:t xml:space="preserve">was 4. </w:t>
      </w:r>
      <w:r w:rsidR="00745796">
        <w:rPr>
          <w:rFonts w:ascii="Times New Roman" w:hAnsi="Times New Roman" w:cs="Times New Roman"/>
          <w:sz w:val="24"/>
          <w:szCs w:val="24"/>
          <w:lang w:val="en-GB"/>
        </w:rPr>
        <w:t>The J</w:t>
      </w:r>
      <w:r w:rsidRPr="003C2E1A">
        <w:rPr>
          <w:rFonts w:ascii="Times New Roman" w:hAnsi="Times New Roman" w:cs="Times New Roman"/>
          <w:sz w:val="24"/>
          <w:szCs w:val="24"/>
          <w:lang w:val="en-GB"/>
        </w:rPr>
        <w:t>M</w:t>
      </w:r>
      <w:r w:rsidR="00745796">
        <w:rPr>
          <w:rFonts w:ascii="Times New Roman" w:hAnsi="Times New Roman" w:cs="Times New Roman"/>
          <w:sz w:val="24"/>
          <w:szCs w:val="24"/>
          <w:lang w:val="en-GB"/>
        </w:rPr>
        <w:t>C</w:t>
      </w:r>
      <w:r w:rsidRPr="003C2E1A">
        <w:rPr>
          <w:rFonts w:ascii="Times New Roman" w:hAnsi="Times New Roman" w:cs="Times New Roman"/>
          <w:sz w:val="24"/>
          <w:szCs w:val="24"/>
          <w:lang w:val="en-GB"/>
        </w:rPr>
        <w:t xml:space="preserve"> indicates that the number of cointegrating relationships in the model is equal to 8 according to the Trace statistic and equal to 6 according to the Max-Eigen Statistic, both at the 0.05 significance level. Concisely, the Cointegrating rank for VECM was set at 8.</w:t>
      </w:r>
      <w:r w:rsidR="00745796">
        <w:rPr>
          <w:rFonts w:ascii="Times New Roman" w:hAnsi="Times New Roman" w:cs="Times New Roman"/>
          <w:sz w:val="24"/>
          <w:szCs w:val="24"/>
          <w:lang w:val="en-GB"/>
        </w:rPr>
        <w:t xml:space="preserve"> The largest lag length was set at 12 for the country of Belgium, whilst the shortest lag order was 1 for both Spain and Italy. </w:t>
      </w:r>
      <w:r w:rsidR="00745796" w:rsidRPr="003C2E1A">
        <w:rPr>
          <w:rFonts w:ascii="Times New Roman" w:hAnsi="Times New Roman" w:cs="Times New Roman"/>
          <w:sz w:val="24"/>
          <w:szCs w:val="24"/>
          <w:lang w:val="en-GB"/>
        </w:rPr>
        <w:t>Also,</w:t>
      </w:r>
      <w:r w:rsidR="00745796">
        <w:rPr>
          <w:rFonts w:ascii="Times New Roman" w:hAnsi="Times New Roman" w:cs="Times New Roman"/>
          <w:sz w:val="24"/>
          <w:szCs w:val="24"/>
          <w:lang w:val="en-GB"/>
        </w:rPr>
        <w:t xml:space="preserve"> </w:t>
      </w:r>
      <w:r w:rsidR="00745796" w:rsidRPr="003C2E1A">
        <w:rPr>
          <w:rFonts w:ascii="Times New Roman" w:hAnsi="Times New Roman" w:cs="Times New Roman"/>
          <w:sz w:val="24"/>
          <w:szCs w:val="24"/>
          <w:lang w:val="en-GB"/>
        </w:rPr>
        <w:t>the JMC uncovered 4 cointegrating equations for Spain’s sovereign bond yield under both test statistics, which both were significant at the 0.05 significance level. At the 0.01 significance level, only 3 cointegrating equations were detected. Concisely, the Cointegrating rank for VECM was set at 4</w:t>
      </w:r>
      <w:r w:rsidR="00745796">
        <w:rPr>
          <w:rFonts w:ascii="Times New Roman" w:hAnsi="Times New Roman" w:cs="Times New Roman"/>
          <w:sz w:val="24"/>
          <w:szCs w:val="24"/>
          <w:lang w:val="en-GB"/>
        </w:rPr>
        <w:t xml:space="preserve"> for Spain</w:t>
      </w:r>
      <w:r w:rsidR="00745796" w:rsidRPr="003C2E1A">
        <w:rPr>
          <w:rFonts w:ascii="Times New Roman" w:hAnsi="Times New Roman" w:cs="Times New Roman"/>
          <w:sz w:val="24"/>
          <w:szCs w:val="24"/>
          <w:lang w:val="en-GB"/>
        </w:rPr>
        <w:t>.</w:t>
      </w:r>
      <w:r w:rsidR="005E53D6" w:rsidRPr="005E53D6">
        <w:rPr>
          <w:rFonts w:ascii="Times New Roman" w:hAnsi="Times New Roman" w:cs="Times New Roman"/>
          <w:noProof/>
          <w:sz w:val="24"/>
          <w:szCs w:val="24"/>
          <w:lang w:val="en-GB" w:eastAsia="en-GB"/>
        </w:rPr>
        <w:t xml:space="preserve"> </w:t>
      </w:r>
    </w:p>
    <w:p w:rsidR="005E53D6" w:rsidRDefault="008440C1" w:rsidP="008440C1">
      <w:pPr>
        <w:spacing w:after="0" w:line="360" w:lineRule="auto"/>
        <w:rPr>
          <w:rFonts w:ascii="Times New Roman" w:hAnsi="Times New Roman" w:cs="Times New Roman"/>
          <w:sz w:val="24"/>
          <w:szCs w:val="24"/>
          <w:lang w:val="en-GB"/>
        </w:rPr>
      </w:pPr>
      <w:r>
        <w:rPr>
          <w:rFonts w:ascii="Times New Roman" w:hAnsi="Times New Roman" w:cs="Times New Roman"/>
          <w:noProof/>
          <w:sz w:val="24"/>
          <w:szCs w:val="24"/>
          <w:lang w:val="en-GB" w:eastAsia="en-GB"/>
        </w:rPr>
        <w:tab/>
      </w:r>
      <w:r w:rsidR="005E53D6" w:rsidRPr="005B4866">
        <w:rPr>
          <w:rFonts w:ascii="Times New Roman" w:hAnsi="Times New Roman" w:cs="Times New Roman"/>
          <w:sz w:val="24"/>
          <w:szCs w:val="24"/>
          <w:lang w:val="en-GB"/>
        </w:rPr>
        <w:t>Compendiously, rather than a VAR(</w:t>
      </w:r>
      <w:r w:rsidR="005E53D6" w:rsidRPr="005B4866">
        <w:rPr>
          <w:rFonts w:ascii="Times New Roman" w:hAnsi="Times New Roman" w:cs="Times New Roman"/>
          <w:i/>
          <w:sz w:val="24"/>
          <w:szCs w:val="24"/>
          <w:lang w:val="en-GB"/>
        </w:rPr>
        <w:t>n</w:t>
      </w:r>
      <w:r w:rsidR="005E53D6" w:rsidRPr="005B4866">
        <w:rPr>
          <w:rFonts w:ascii="Times New Roman" w:hAnsi="Times New Roman" w:cs="Times New Roman"/>
          <w:sz w:val="24"/>
          <w:szCs w:val="24"/>
          <w:lang w:val="en-GB"/>
        </w:rPr>
        <w:t xml:space="preserve">) model we must utilize a multivariate VECM in order to correct for the resulting disequilibrium of the cointegrating relationships via Error </w:t>
      </w:r>
      <w:r w:rsidR="005E53D6" w:rsidRPr="005B4866">
        <w:rPr>
          <w:rFonts w:ascii="Times New Roman" w:hAnsi="Times New Roman" w:cs="Times New Roman"/>
          <w:sz w:val="24"/>
          <w:szCs w:val="24"/>
          <w:lang w:val="en-GB"/>
        </w:rPr>
        <w:lastRenderedPageBreak/>
        <w:t xml:space="preserve">Correction Terms (ECT). Also, we shall adhere to the number of cointegrating equations indicated by the Trace test at the 0.05 significance level when operating multivariate VECMs in the next section.  </w:t>
      </w:r>
    </w:p>
    <w:p w:rsidR="0057495C" w:rsidRPr="005B4866" w:rsidRDefault="0057495C" w:rsidP="008440C1">
      <w:pPr>
        <w:spacing w:after="0" w:line="360" w:lineRule="auto"/>
        <w:rPr>
          <w:rFonts w:ascii="Times New Roman" w:hAnsi="Times New Roman" w:cs="Times New Roman"/>
          <w:sz w:val="24"/>
          <w:szCs w:val="24"/>
          <w:lang w:val="en-GB"/>
        </w:rPr>
      </w:pPr>
    </w:p>
    <w:p w:rsidR="00E94E2C" w:rsidRPr="00271ED8" w:rsidRDefault="001F0081" w:rsidP="00000317">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ab/>
      </w:r>
      <w:r w:rsidR="00000317" w:rsidRPr="00271ED8">
        <w:rPr>
          <w:rFonts w:ascii="Times New Roman" w:hAnsi="Times New Roman" w:cs="Times New Roman"/>
          <w:b/>
          <w:sz w:val="24"/>
          <w:szCs w:val="24"/>
          <w:lang w:val="en-GB"/>
        </w:rPr>
        <w:t>6.3</w:t>
      </w:r>
      <w:r w:rsidR="00000317" w:rsidRPr="00271ED8">
        <w:rPr>
          <w:rFonts w:ascii="Times New Roman" w:hAnsi="Times New Roman" w:cs="Times New Roman"/>
          <w:b/>
          <w:sz w:val="24"/>
          <w:szCs w:val="24"/>
          <w:lang w:val="en-GB"/>
        </w:rPr>
        <w:tab/>
        <w:t>Vector Error Correction Models</w:t>
      </w:r>
    </w:p>
    <w:p w:rsidR="00E94E2C" w:rsidRPr="00B85345" w:rsidRDefault="00EE2E70" w:rsidP="00000317">
      <w:pPr>
        <w:spacing w:after="0" w:line="360" w:lineRule="auto"/>
        <w:rPr>
          <w:rFonts w:ascii="Times New Roman" w:hAnsi="Times New Roman" w:cs="Times New Roman"/>
          <w:sz w:val="24"/>
          <w:szCs w:val="24"/>
          <w:lang w:val="en-GB"/>
        </w:rPr>
      </w:pPr>
      <w:r w:rsidRPr="00271ED8">
        <w:rPr>
          <w:rFonts w:ascii="Times New Roman" w:hAnsi="Times New Roman" w:cs="Times New Roman"/>
          <w:sz w:val="24"/>
          <w:szCs w:val="24"/>
          <w:lang w:val="en-GB"/>
        </w:rPr>
        <w:t>T</w:t>
      </w:r>
      <w:r w:rsidR="0035339F" w:rsidRPr="00271ED8">
        <w:rPr>
          <w:rFonts w:ascii="Times New Roman" w:hAnsi="Times New Roman" w:cs="Times New Roman"/>
          <w:sz w:val="24"/>
          <w:szCs w:val="24"/>
          <w:lang w:val="en-GB"/>
        </w:rPr>
        <w:t xml:space="preserve">he cointegration rank </w:t>
      </w:r>
      <w:r w:rsidR="009D749E" w:rsidRPr="00271ED8">
        <w:rPr>
          <w:rFonts w:ascii="Times New Roman" w:hAnsi="Times New Roman" w:cs="Times New Roman"/>
          <w:sz w:val="24"/>
          <w:szCs w:val="24"/>
          <w:lang w:val="en-GB"/>
        </w:rPr>
        <w:t xml:space="preserve">option </w:t>
      </w:r>
      <w:r w:rsidR="0035339F" w:rsidRPr="00271ED8">
        <w:rPr>
          <w:rFonts w:ascii="Times New Roman" w:hAnsi="Times New Roman" w:cs="Times New Roman"/>
          <w:sz w:val="24"/>
          <w:szCs w:val="24"/>
          <w:lang w:val="en-GB"/>
        </w:rPr>
        <w:t xml:space="preserve">was </w:t>
      </w:r>
      <w:r w:rsidRPr="00271ED8">
        <w:rPr>
          <w:rFonts w:ascii="Times New Roman" w:hAnsi="Times New Roman" w:cs="Times New Roman"/>
          <w:sz w:val="24"/>
          <w:szCs w:val="24"/>
          <w:lang w:val="en-GB"/>
        </w:rPr>
        <w:t xml:space="preserve">set </w:t>
      </w:r>
      <w:r w:rsidR="0035339F" w:rsidRPr="00271ED8">
        <w:rPr>
          <w:rFonts w:ascii="Times New Roman" w:hAnsi="Times New Roman" w:cs="Times New Roman"/>
          <w:sz w:val="24"/>
          <w:szCs w:val="24"/>
          <w:lang w:val="en-GB"/>
        </w:rPr>
        <w:t xml:space="preserve">equal to the number of </w:t>
      </w:r>
      <w:r w:rsidRPr="00271ED8">
        <w:rPr>
          <w:rFonts w:ascii="Times New Roman" w:hAnsi="Times New Roman" w:cs="Times New Roman"/>
          <w:sz w:val="24"/>
          <w:szCs w:val="24"/>
          <w:lang w:val="en-GB"/>
        </w:rPr>
        <w:t xml:space="preserve">cointegration relationships uncovered by the JMC for each country-specific multivariate VECM. </w:t>
      </w:r>
      <w:r w:rsidR="00B739C1" w:rsidRPr="00271ED8">
        <w:rPr>
          <w:rFonts w:ascii="Times New Roman" w:hAnsi="Times New Roman" w:cs="Times New Roman"/>
          <w:sz w:val="24"/>
          <w:szCs w:val="24"/>
          <w:lang w:val="en-GB"/>
        </w:rPr>
        <w:t xml:space="preserve">As we know that the sovereign bond yield of each country is the dependent variable we only </w:t>
      </w:r>
      <w:r w:rsidR="00B739C1" w:rsidRPr="00B85345">
        <w:rPr>
          <w:rFonts w:ascii="Times New Roman" w:hAnsi="Times New Roman" w:cs="Times New Roman"/>
          <w:sz w:val="24"/>
          <w:szCs w:val="24"/>
          <w:lang w:val="en-GB"/>
        </w:rPr>
        <w:t>have to look at the results of the CointEq1 for both the model and the Error Correction Terms. The results of the VECMs for each respective country can be found under Table A6.</w:t>
      </w:r>
      <w:r w:rsidR="0057495C">
        <w:rPr>
          <w:rFonts w:ascii="Times New Roman" w:hAnsi="Times New Roman" w:cs="Times New Roman"/>
          <w:sz w:val="24"/>
          <w:szCs w:val="24"/>
          <w:lang w:val="en-GB"/>
        </w:rPr>
        <w:t>4</w:t>
      </w:r>
      <w:r w:rsidR="00B739C1" w:rsidRPr="00B85345">
        <w:rPr>
          <w:rFonts w:ascii="Times New Roman" w:hAnsi="Times New Roman" w:cs="Times New Roman"/>
          <w:sz w:val="24"/>
          <w:szCs w:val="24"/>
          <w:lang w:val="en-GB"/>
        </w:rPr>
        <w:t xml:space="preserve"> in the Appendix. </w:t>
      </w:r>
      <w:r w:rsidR="008C4A85" w:rsidRPr="00B85345">
        <w:rPr>
          <w:rFonts w:ascii="Times New Roman" w:hAnsi="Times New Roman" w:cs="Times New Roman"/>
          <w:sz w:val="24"/>
          <w:szCs w:val="24"/>
          <w:lang w:val="en-GB"/>
        </w:rPr>
        <w:t>Below I quickly describe the penultimate LR equ</w:t>
      </w:r>
      <w:r w:rsidR="00AD45A0">
        <w:rPr>
          <w:rFonts w:ascii="Times New Roman" w:hAnsi="Times New Roman" w:cs="Times New Roman"/>
          <w:sz w:val="24"/>
          <w:szCs w:val="24"/>
          <w:lang w:val="en-GB"/>
        </w:rPr>
        <w:t>ilibria that govern</w:t>
      </w:r>
      <w:r w:rsidR="008C4A85" w:rsidRPr="00B85345">
        <w:rPr>
          <w:rFonts w:ascii="Times New Roman" w:hAnsi="Times New Roman" w:cs="Times New Roman"/>
          <w:sz w:val="24"/>
          <w:szCs w:val="24"/>
          <w:lang w:val="en-GB"/>
        </w:rPr>
        <w:t xml:space="preserve"> the sovereign bond yield in each country. </w:t>
      </w:r>
      <w:r w:rsidR="00835B3C" w:rsidRPr="00B85345">
        <w:rPr>
          <w:rFonts w:ascii="Times New Roman" w:hAnsi="Times New Roman" w:cs="Times New Roman"/>
          <w:sz w:val="24"/>
          <w:szCs w:val="24"/>
          <w:lang w:val="en-GB"/>
        </w:rPr>
        <w:t>The short-run dynamics are highlighted by the ECTs</w:t>
      </w:r>
      <w:r w:rsidR="00B326E9" w:rsidRPr="00B85345">
        <w:rPr>
          <w:rFonts w:ascii="Times New Roman" w:hAnsi="Times New Roman" w:cs="Times New Roman"/>
          <w:sz w:val="24"/>
          <w:szCs w:val="24"/>
          <w:lang w:val="en-GB"/>
        </w:rPr>
        <w:t>, as they indicate the direction of the adjustment effect as expounded by ECTs and the associated magnitude of the</w:t>
      </w:r>
      <w:r w:rsidR="00B85345" w:rsidRPr="00B85345">
        <w:rPr>
          <w:rFonts w:ascii="Times New Roman" w:hAnsi="Times New Roman" w:cs="Times New Roman"/>
          <w:sz w:val="24"/>
          <w:szCs w:val="24"/>
          <w:lang w:val="en-GB"/>
        </w:rPr>
        <w:t xml:space="preserve"> (partial) </w:t>
      </w:r>
      <w:r w:rsidR="00B326E9" w:rsidRPr="00B85345">
        <w:rPr>
          <w:rFonts w:ascii="Times New Roman" w:hAnsi="Times New Roman" w:cs="Times New Roman"/>
          <w:sz w:val="24"/>
          <w:szCs w:val="24"/>
          <w:lang w:val="en-GB"/>
        </w:rPr>
        <w:t xml:space="preserve">reversal of </w:t>
      </w:r>
      <w:r w:rsidR="00377113">
        <w:rPr>
          <w:rFonts w:ascii="Times New Roman" w:hAnsi="Times New Roman" w:cs="Times New Roman"/>
          <w:sz w:val="24"/>
          <w:szCs w:val="24"/>
          <w:lang w:val="en-GB"/>
        </w:rPr>
        <w:t>yield</w:t>
      </w:r>
      <w:r w:rsidR="00B326E9" w:rsidRPr="00B85345">
        <w:rPr>
          <w:rFonts w:ascii="Times New Roman" w:hAnsi="Times New Roman" w:cs="Times New Roman"/>
          <w:sz w:val="24"/>
          <w:szCs w:val="24"/>
          <w:lang w:val="en-GB"/>
        </w:rPr>
        <w:t xml:space="preserve"> deviation within one period, e.g., a month</w:t>
      </w:r>
      <w:r w:rsidR="00835B3C" w:rsidRPr="00B85345">
        <w:rPr>
          <w:rFonts w:ascii="Times New Roman" w:hAnsi="Times New Roman" w:cs="Times New Roman"/>
          <w:sz w:val="24"/>
          <w:szCs w:val="24"/>
          <w:lang w:val="en-GB"/>
        </w:rPr>
        <w:t xml:space="preserve">. </w:t>
      </w:r>
      <w:r w:rsidR="003B37CE">
        <w:rPr>
          <w:rFonts w:ascii="Times New Roman" w:hAnsi="Times New Roman" w:cs="Times New Roman"/>
          <w:sz w:val="24"/>
          <w:szCs w:val="24"/>
          <w:lang w:val="en-GB"/>
        </w:rPr>
        <w:t xml:space="preserve">Concisely, information obtained from these ECTs indicates the inherent speed of adjustment of the dynamic system towards its long-run equilibrium. </w:t>
      </w:r>
    </w:p>
    <w:p w:rsidR="008732C0" w:rsidRPr="00E40291" w:rsidRDefault="008732C0" w:rsidP="00000317">
      <w:pPr>
        <w:spacing w:after="0" w:line="360" w:lineRule="auto"/>
        <w:rPr>
          <w:rFonts w:ascii="Times New Roman" w:hAnsi="Times New Roman" w:cs="Times New Roman"/>
          <w:color w:val="00B0F0"/>
          <w:sz w:val="24"/>
          <w:szCs w:val="24"/>
          <w:lang w:val="en-GB"/>
        </w:rPr>
      </w:pPr>
    </w:p>
    <w:p w:rsidR="0035339F" w:rsidRPr="004A1786" w:rsidRDefault="00FB69BD" w:rsidP="00FB69BD">
      <w:pPr>
        <w:spacing w:after="0" w:line="360" w:lineRule="auto"/>
        <w:rPr>
          <w:rFonts w:ascii="Times New Roman" w:hAnsi="Times New Roman" w:cs="Times New Roman"/>
          <w:b/>
          <w:i/>
          <w:sz w:val="24"/>
          <w:szCs w:val="24"/>
          <w:lang w:val="en-GB"/>
        </w:rPr>
      </w:pPr>
      <w:r>
        <w:rPr>
          <w:rFonts w:ascii="Times New Roman" w:hAnsi="Times New Roman" w:cs="Times New Roman"/>
          <w:b/>
          <w:i/>
          <w:sz w:val="24"/>
          <w:szCs w:val="24"/>
          <w:lang w:val="en-GB"/>
        </w:rPr>
        <w:tab/>
      </w:r>
      <w:r w:rsidR="004A1786" w:rsidRPr="004A1786">
        <w:rPr>
          <w:rFonts w:ascii="Times New Roman" w:hAnsi="Times New Roman" w:cs="Times New Roman"/>
          <w:b/>
          <w:i/>
          <w:sz w:val="24"/>
          <w:szCs w:val="24"/>
          <w:lang w:val="en-GB"/>
        </w:rPr>
        <w:t>Long-Run Equilibria</w:t>
      </w:r>
    </w:p>
    <w:p w:rsidR="00B8075B" w:rsidRDefault="004A1786"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As can be seen in Table A6.</w:t>
      </w:r>
      <w:r w:rsidR="0057495C">
        <w:rPr>
          <w:rFonts w:ascii="Times New Roman" w:eastAsiaTheme="minorEastAsia" w:hAnsi="Times New Roman" w:cs="Times New Roman"/>
          <w:sz w:val="24"/>
          <w:szCs w:val="24"/>
          <w:lang w:val="en-GB"/>
        </w:rPr>
        <w:t>4</w:t>
      </w:r>
      <w:r w:rsidR="00B50774">
        <w:rPr>
          <w:rFonts w:ascii="Times New Roman" w:eastAsiaTheme="minorEastAsia" w:hAnsi="Times New Roman" w:cs="Times New Roman"/>
          <w:sz w:val="24"/>
          <w:szCs w:val="24"/>
          <w:lang w:val="en-GB"/>
        </w:rPr>
        <w:t xml:space="preserve">, the Change in Government Debt, </w:t>
      </w:r>
      <w:r>
        <w:rPr>
          <w:rFonts w:ascii="Times New Roman" w:eastAsiaTheme="minorEastAsia" w:hAnsi="Times New Roman" w:cs="Times New Roman"/>
          <w:sz w:val="24"/>
          <w:szCs w:val="24"/>
          <w:lang w:val="en-GB"/>
        </w:rPr>
        <w:t>BBB-AAA spread</w:t>
      </w:r>
      <w:r w:rsidR="00B50774">
        <w:rPr>
          <w:rFonts w:ascii="Times New Roman" w:eastAsiaTheme="minorEastAsia" w:hAnsi="Times New Roman" w:cs="Times New Roman"/>
          <w:sz w:val="24"/>
          <w:szCs w:val="24"/>
          <w:lang w:val="en-GB"/>
        </w:rPr>
        <w:t xml:space="preserve"> and the absolute value of government debt</w:t>
      </w:r>
      <w:r>
        <w:rPr>
          <w:rFonts w:ascii="Times New Roman" w:eastAsiaTheme="minorEastAsia" w:hAnsi="Times New Roman" w:cs="Times New Roman"/>
          <w:sz w:val="24"/>
          <w:szCs w:val="24"/>
          <w:lang w:val="en-GB"/>
        </w:rPr>
        <w:t xml:space="preserve"> are statistically independent from sovereign bond yields in the LR for all 7 countries. </w:t>
      </w:r>
      <w:r w:rsidR="00B50774">
        <w:rPr>
          <w:rFonts w:ascii="Times New Roman" w:eastAsiaTheme="minorEastAsia" w:hAnsi="Times New Roman" w:cs="Times New Roman"/>
          <w:sz w:val="24"/>
          <w:szCs w:val="24"/>
          <w:lang w:val="en-GB"/>
        </w:rPr>
        <w:t>Similarly, as expected</w:t>
      </w:r>
      <w:r w:rsidR="00353BA7">
        <w:rPr>
          <w:rFonts w:ascii="Times New Roman" w:eastAsiaTheme="minorEastAsia" w:hAnsi="Times New Roman" w:cs="Times New Roman"/>
          <w:sz w:val="24"/>
          <w:szCs w:val="24"/>
          <w:lang w:val="en-GB"/>
        </w:rPr>
        <w:t xml:space="preserve"> due to its innate nature</w:t>
      </w:r>
      <w:r w:rsidR="00B50774">
        <w:rPr>
          <w:rFonts w:ascii="Times New Roman" w:eastAsiaTheme="minorEastAsia" w:hAnsi="Times New Roman" w:cs="Times New Roman"/>
          <w:sz w:val="24"/>
          <w:szCs w:val="24"/>
          <w:lang w:val="en-GB"/>
        </w:rPr>
        <w:t xml:space="preserve">, the short-run interest rate has no statistically significant correlation with sovereign bond yields in the LR. </w:t>
      </w:r>
      <w:r w:rsidR="00353BA7">
        <w:rPr>
          <w:rFonts w:ascii="Times New Roman" w:eastAsiaTheme="minorEastAsia" w:hAnsi="Times New Roman" w:cs="Times New Roman"/>
          <w:sz w:val="24"/>
          <w:szCs w:val="24"/>
          <w:lang w:val="en-GB"/>
        </w:rPr>
        <w:t xml:space="preserve">Also, expected inflation and the government budget balance ratio remain uncorrelated with the long-run pathway of sovereign bond yield propagation. This is a surprising finding as one would expect </w:t>
      </w:r>
      <w:r w:rsidR="00EA7671">
        <w:rPr>
          <w:rFonts w:ascii="Times New Roman" w:eastAsiaTheme="minorEastAsia" w:hAnsi="Times New Roman" w:cs="Times New Roman"/>
          <w:sz w:val="24"/>
          <w:szCs w:val="24"/>
          <w:lang w:val="en-GB"/>
        </w:rPr>
        <w:t>that a stable government budget balance would reduce the sovereign default risk and thus</w:t>
      </w:r>
      <w:r w:rsidR="00ED5299">
        <w:rPr>
          <w:rFonts w:ascii="Times New Roman" w:eastAsiaTheme="minorEastAsia" w:hAnsi="Times New Roman" w:cs="Times New Roman"/>
          <w:sz w:val="24"/>
          <w:szCs w:val="24"/>
          <w:lang w:val="en-GB"/>
        </w:rPr>
        <w:t xml:space="preserve"> entails lower real sovereign bond yields in the LR. </w:t>
      </w:r>
      <w:r w:rsidR="00377113">
        <w:rPr>
          <w:rFonts w:ascii="Times New Roman" w:eastAsiaTheme="minorEastAsia" w:hAnsi="Times New Roman" w:cs="Times New Roman"/>
          <w:sz w:val="24"/>
          <w:szCs w:val="24"/>
          <w:lang w:val="en-GB"/>
        </w:rPr>
        <w:t xml:space="preserve">Similarly, as expected inflation is rising, then one ought to anticipate a hike in interest rates. Nevertheless, this may only be a foremost concern for </w:t>
      </w:r>
      <w:r w:rsidR="00375A8E">
        <w:rPr>
          <w:rFonts w:ascii="Times New Roman" w:eastAsiaTheme="minorEastAsia" w:hAnsi="Times New Roman" w:cs="Times New Roman"/>
          <w:sz w:val="24"/>
          <w:szCs w:val="24"/>
          <w:lang w:val="en-GB"/>
        </w:rPr>
        <w:t xml:space="preserve">sovereign bond </w:t>
      </w:r>
      <w:r w:rsidR="00377113">
        <w:rPr>
          <w:rFonts w:ascii="Times New Roman" w:eastAsiaTheme="minorEastAsia" w:hAnsi="Times New Roman" w:cs="Times New Roman"/>
          <w:sz w:val="24"/>
          <w:szCs w:val="24"/>
          <w:lang w:val="en-GB"/>
        </w:rPr>
        <w:t>investors in the medium term</w:t>
      </w:r>
      <w:r w:rsidR="00375A8E">
        <w:rPr>
          <w:rFonts w:ascii="Times New Roman" w:eastAsiaTheme="minorEastAsia" w:hAnsi="Times New Roman" w:cs="Times New Roman"/>
          <w:sz w:val="24"/>
          <w:szCs w:val="24"/>
          <w:lang w:val="en-GB"/>
        </w:rPr>
        <w:t xml:space="preserve"> and inflation risk is often hedged a priori</w:t>
      </w:r>
      <w:r w:rsidR="00E4335D">
        <w:rPr>
          <w:rFonts w:ascii="Times New Roman" w:eastAsiaTheme="minorEastAsia" w:hAnsi="Times New Roman" w:cs="Times New Roman"/>
          <w:sz w:val="24"/>
          <w:szCs w:val="24"/>
          <w:lang w:val="en-GB"/>
        </w:rPr>
        <w:t xml:space="preserve"> at any rate</w:t>
      </w:r>
      <w:r w:rsidR="00377113">
        <w:rPr>
          <w:rFonts w:ascii="Times New Roman" w:eastAsiaTheme="minorEastAsia" w:hAnsi="Times New Roman" w:cs="Times New Roman"/>
          <w:sz w:val="24"/>
          <w:szCs w:val="24"/>
          <w:lang w:val="en-GB"/>
        </w:rPr>
        <w:t>.</w:t>
      </w:r>
      <w:r w:rsidR="00957333">
        <w:rPr>
          <w:rFonts w:ascii="Times New Roman" w:eastAsiaTheme="minorEastAsia" w:hAnsi="Times New Roman" w:cs="Times New Roman"/>
          <w:sz w:val="24"/>
          <w:szCs w:val="24"/>
          <w:lang w:val="en-GB"/>
        </w:rPr>
        <w:t xml:space="preserve"> For the remainder of the LR equilibria, I shall only discuss the variables that are statistically significant. </w:t>
      </w:r>
    </w:p>
    <w:p w:rsidR="00583423" w:rsidRDefault="00B8075B" w:rsidP="0035339F">
      <w:pPr>
        <w:spacing w:after="0" w:line="360" w:lineRule="auto"/>
        <w:rPr>
          <w:rFonts w:ascii="Times New Roman" w:hAnsi="Times New Roman" w:cs="Times New Roman"/>
          <w:sz w:val="24"/>
          <w:szCs w:val="24"/>
          <w:lang w:val="en-GB"/>
        </w:rPr>
      </w:pPr>
      <w:r>
        <w:rPr>
          <w:rFonts w:ascii="Times New Roman" w:eastAsiaTheme="minorEastAsia" w:hAnsi="Times New Roman" w:cs="Times New Roman"/>
          <w:sz w:val="24"/>
          <w:szCs w:val="24"/>
          <w:lang w:val="en-GB"/>
        </w:rPr>
        <w:tab/>
        <w:t>First of all, Moody’s</w:t>
      </w:r>
      <w:r>
        <w:rPr>
          <w:rFonts w:ascii="Times New Roman" w:hAnsi="Times New Roman" w:cs="Times New Roman"/>
          <w:sz w:val="24"/>
          <w:szCs w:val="24"/>
          <w:lang w:val="en-GB"/>
        </w:rPr>
        <w:t xml:space="preserve"> seasoned Baa corporate bond vis-à-vis</w:t>
      </w:r>
      <w:r w:rsidRPr="003C2E1A">
        <w:rPr>
          <w:rFonts w:ascii="Times New Roman" w:hAnsi="Times New Roman" w:cs="Times New Roman"/>
          <w:sz w:val="24"/>
          <w:szCs w:val="24"/>
          <w:lang w:val="en-GB"/>
        </w:rPr>
        <w:t xml:space="preserve"> </w:t>
      </w:r>
      <w:r>
        <w:rPr>
          <w:rFonts w:ascii="Times New Roman" w:hAnsi="Times New Roman" w:cs="Times New Roman"/>
          <w:sz w:val="24"/>
          <w:szCs w:val="24"/>
          <w:lang w:val="en-GB"/>
        </w:rPr>
        <w:t>the US Treasury bond yield spread is statistically significant at the 5% level in the LR for Greece and Belgium</w:t>
      </w:r>
      <w:r w:rsidR="00316A31">
        <w:rPr>
          <w:rFonts w:ascii="Times New Roman" w:hAnsi="Times New Roman" w:cs="Times New Roman"/>
          <w:sz w:val="24"/>
          <w:szCs w:val="24"/>
          <w:lang w:val="en-GB"/>
        </w:rPr>
        <w:t>, where t</w:t>
      </w:r>
      <w:r>
        <w:rPr>
          <w:rFonts w:ascii="Times New Roman" w:hAnsi="Times New Roman" w:cs="Times New Roman"/>
          <w:sz w:val="24"/>
          <w:szCs w:val="24"/>
          <w:lang w:val="en-GB"/>
        </w:rPr>
        <w:t xml:space="preserve">he LR coefficients are </w:t>
      </w:r>
      <w:r w:rsidR="00316A31">
        <w:rPr>
          <w:rFonts w:ascii="Times New Roman" w:hAnsi="Times New Roman" w:cs="Times New Roman"/>
          <w:sz w:val="24"/>
          <w:szCs w:val="24"/>
          <w:lang w:val="en-GB"/>
        </w:rPr>
        <w:t xml:space="preserve">6.951 and 6.739 respectively. </w:t>
      </w:r>
      <w:r>
        <w:rPr>
          <w:rFonts w:ascii="Times New Roman" w:hAnsi="Times New Roman" w:cs="Times New Roman"/>
          <w:sz w:val="24"/>
          <w:szCs w:val="24"/>
          <w:lang w:val="en-GB"/>
        </w:rPr>
        <w:t xml:space="preserve">This indicates that as liquidity </w:t>
      </w:r>
      <w:r w:rsidR="00316A31">
        <w:rPr>
          <w:rFonts w:ascii="Times New Roman" w:hAnsi="Times New Roman" w:cs="Times New Roman"/>
          <w:sz w:val="24"/>
          <w:szCs w:val="24"/>
          <w:lang w:val="en-GB"/>
        </w:rPr>
        <w:t>risk increases</w:t>
      </w:r>
      <w:r w:rsidR="006F2D07">
        <w:rPr>
          <w:rFonts w:ascii="Times New Roman" w:hAnsi="Times New Roman" w:cs="Times New Roman"/>
          <w:sz w:val="24"/>
          <w:szCs w:val="24"/>
          <w:lang w:val="en-GB"/>
        </w:rPr>
        <w:t xml:space="preserve"> (Baa-10yRF increases by 1 percentage point (pcp) </w:t>
      </w:r>
      <w:r w:rsidR="004376E7">
        <w:rPr>
          <w:rFonts w:ascii="Times New Roman" w:hAnsi="Times New Roman" w:cs="Times New Roman"/>
          <w:sz w:val="24"/>
          <w:szCs w:val="24"/>
          <w:lang w:val="en-GB"/>
        </w:rPr>
        <w:t>a month)</w:t>
      </w:r>
      <w:r w:rsidR="00316A31">
        <w:rPr>
          <w:rFonts w:ascii="Times New Roman" w:hAnsi="Times New Roman" w:cs="Times New Roman"/>
          <w:sz w:val="24"/>
          <w:szCs w:val="24"/>
          <w:lang w:val="en-GB"/>
        </w:rPr>
        <w:t xml:space="preserve">, then the sovereign </w:t>
      </w:r>
      <w:r w:rsidR="00316A31">
        <w:rPr>
          <w:rFonts w:ascii="Times New Roman" w:hAnsi="Times New Roman" w:cs="Times New Roman"/>
          <w:sz w:val="24"/>
          <w:szCs w:val="24"/>
          <w:lang w:val="en-GB"/>
        </w:rPr>
        <w:lastRenderedPageBreak/>
        <w:t xml:space="preserve">bond yield </w:t>
      </w:r>
      <w:r w:rsidR="004376E7">
        <w:rPr>
          <w:rFonts w:ascii="Times New Roman" w:hAnsi="Times New Roman" w:cs="Times New Roman"/>
          <w:sz w:val="24"/>
          <w:szCs w:val="24"/>
          <w:lang w:val="en-GB"/>
        </w:rPr>
        <w:t>of Greece and Belgium will increase by 6.951</w:t>
      </w:r>
      <w:r w:rsidR="006F2D07">
        <w:rPr>
          <w:rFonts w:ascii="Times New Roman" w:hAnsi="Times New Roman" w:cs="Times New Roman"/>
          <w:sz w:val="24"/>
          <w:szCs w:val="24"/>
          <w:lang w:val="en-GB"/>
        </w:rPr>
        <w:t>pcp</w:t>
      </w:r>
      <w:r w:rsidR="008E49E1">
        <w:rPr>
          <w:rFonts w:ascii="Times New Roman" w:hAnsi="Times New Roman" w:cs="Times New Roman"/>
          <w:sz w:val="24"/>
          <w:szCs w:val="24"/>
          <w:lang w:val="en-GB"/>
        </w:rPr>
        <w:t xml:space="preserve"> </w:t>
      </w:r>
      <w:r w:rsidR="004376E7">
        <w:rPr>
          <w:rFonts w:ascii="Times New Roman" w:hAnsi="Times New Roman" w:cs="Times New Roman"/>
          <w:sz w:val="24"/>
          <w:szCs w:val="24"/>
          <w:lang w:val="en-GB"/>
        </w:rPr>
        <w:t>and 6.739</w:t>
      </w:r>
      <w:r w:rsidR="008E49E1">
        <w:rPr>
          <w:rFonts w:ascii="Times New Roman" w:hAnsi="Times New Roman" w:cs="Times New Roman"/>
          <w:sz w:val="24"/>
          <w:szCs w:val="24"/>
          <w:lang w:val="en-GB"/>
        </w:rPr>
        <w:t>pcp</w:t>
      </w:r>
      <w:r w:rsidR="004376E7">
        <w:rPr>
          <w:rFonts w:ascii="Times New Roman" w:hAnsi="Times New Roman" w:cs="Times New Roman"/>
          <w:sz w:val="24"/>
          <w:szCs w:val="24"/>
          <w:lang w:val="en-GB"/>
        </w:rPr>
        <w:t xml:space="preserve"> in the LR. The widening of the abovementioned spread may be indicative of destabilizing credit markets and deteriorating economic data, particularly in light of investors’ contagion fears over the European sovereign debt crisis since early 2012. </w:t>
      </w:r>
    </w:p>
    <w:p w:rsidR="00070CDF" w:rsidRDefault="00640BB2" w:rsidP="0035339F">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b/>
        <w:t>The CDS spread was a long-run indicator of sovereign bond yield in Greece only. Nevertheless, the magnitude of this coefficient was small</w:t>
      </w:r>
      <w:r w:rsidR="00F11A65">
        <w:rPr>
          <w:rFonts w:ascii="Times New Roman" w:hAnsi="Times New Roman" w:cs="Times New Roman"/>
          <w:sz w:val="24"/>
          <w:szCs w:val="24"/>
          <w:lang w:val="en-GB"/>
        </w:rPr>
        <w:t xml:space="preserve"> though significant. As the coefficient is negative (-0.03), Greece’s sovereign bond yield falls as the CDS spread widens. A strange occurrence, for if the CDS spread widens it implies a gre</w:t>
      </w:r>
      <w:r w:rsidR="00070CDF">
        <w:rPr>
          <w:rFonts w:ascii="Times New Roman" w:hAnsi="Times New Roman" w:cs="Times New Roman"/>
          <w:sz w:val="24"/>
          <w:szCs w:val="24"/>
          <w:lang w:val="en-GB"/>
        </w:rPr>
        <w:t>ater perceived risk of sovereign default, and yet Greece’s sovereign bond yield would fall by 0.03</w:t>
      </w:r>
      <w:r w:rsidR="008E49E1">
        <w:rPr>
          <w:rFonts w:ascii="Times New Roman" w:hAnsi="Times New Roman" w:cs="Times New Roman"/>
          <w:sz w:val="24"/>
          <w:szCs w:val="24"/>
          <w:lang w:val="en-GB"/>
        </w:rPr>
        <w:t>pcp</w:t>
      </w:r>
      <w:r w:rsidR="00070CDF">
        <w:rPr>
          <w:rFonts w:ascii="Times New Roman" w:hAnsi="Times New Roman" w:cs="Times New Roman"/>
          <w:sz w:val="24"/>
          <w:szCs w:val="24"/>
          <w:lang w:val="en-GB"/>
        </w:rPr>
        <w:t xml:space="preserve"> if CDS spread rose by 1</w:t>
      </w:r>
      <w:r w:rsidR="00F253B9">
        <w:rPr>
          <w:rFonts w:ascii="Times New Roman" w:hAnsi="Times New Roman" w:cs="Times New Roman"/>
          <w:sz w:val="24"/>
          <w:szCs w:val="24"/>
          <w:lang w:val="en-GB"/>
        </w:rPr>
        <w:t>pcp.</w:t>
      </w:r>
      <w:r w:rsidR="00070CDF">
        <w:rPr>
          <w:rFonts w:ascii="Times New Roman" w:hAnsi="Times New Roman" w:cs="Times New Roman"/>
          <w:sz w:val="24"/>
          <w:szCs w:val="24"/>
          <w:lang w:val="en-GB"/>
        </w:rPr>
        <w:t xml:space="preserve"> </w:t>
      </w:r>
    </w:p>
    <w:p w:rsidR="00070CDF" w:rsidRDefault="00070CDF" w:rsidP="0035339F">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b/>
        <w:t>As for the ‘investor fear’ gauges, e.g., the VIX and the EUEPUI, a 1</w:t>
      </w:r>
      <w:r w:rsidR="00F253B9">
        <w:rPr>
          <w:rFonts w:ascii="Times New Roman" w:hAnsi="Times New Roman" w:cs="Times New Roman"/>
          <w:sz w:val="24"/>
          <w:szCs w:val="24"/>
          <w:lang w:val="en-GB"/>
        </w:rPr>
        <w:t>pcp</w:t>
      </w:r>
      <w:r>
        <w:rPr>
          <w:rFonts w:ascii="Times New Roman" w:hAnsi="Times New Roman" w:cs="Times New Roman"/>
          <w:sz w:val="24"/>
          <w:szCs w:val="24"/>
          <w:lang w:val="en-GB"/>
        </w:rPr>
        <w:t xml:space="preserve"> increase in the VIX would lead to a rise of 0.294</w:t>
      </w:r>
      <w:r w:rsidR="008E49E1">
        <w:rPr>
          <w:rFonts w:ascii="Times New Roman" w:hAnsi="Times New Roman" w:cs="Times New Roman"/>
          <w:sz w:val="24"/>
          <w:szCs w:val="24"/>
          <w:lang w:val="en-GB"/>
        </w:rPr>
        <w:t>pcp</w:t>
      </w:r>
      <w:r>
        <w:rPr>
          <w:rFonts w:ascii="Times New Roman" w:hAnsi="Times New Roman" w:cs="Times New Roman"/>
          <w:sz w:val="24"/>
          <w:szCs w:val="24"/>
          <w:lang w:val="en-GB"/>
        </w:rPr>
        <w:t xml:space="preserve"> in the Dutch sovereign bond yield, whereas a 1</w:t>
      </w:r>
      <w:r w:rsidR="00F253B9">
        <w:rPr>
          <w:rFonts w:ascii="Times New Roman" w:hAnsi="Times New Roman" w:cs="Times New Roman"/>
          <w:sz w:val="24"/>
          <w:szCs w:val="24"/>
          <w:lang w:val="en-GB"/>
        </w:rPr>
        <w:t>pcp</w:t>
      </w:r>
      <w:r>
        <w:rPr>
          <w:rFonts w:ascii="Times New Roman" w:hAnsi="Times New Roman" w:cs="Times New Roman"/>
          <w:sz w:val="24"/>
          <w:szCs w:val="24"/>
          <w:lang w:val="en-GB"/>
        </w:rPr>
        <w:t xml:space="preserve"> increase in the EUEPUI would raise Spain’s sovereign yield by 0.007</w:t>
      </w:r>
      <w:r w:rsidR="008E49E1">
        <w:rPr>
          <w:rFonts w:ascii="Times New Roman" w:hAnsi="Times New Roman" w:cs="Times New Roman"/>
          <w:sz w:val="24"/>
          <w:szCs w:val="24"/>
          <w:lang w:val="en-GB"/>
        </w:rPr>
        <w:t>pcp</w:t>
      </w:r>
      <w:r>
        <w:rPr>
          <w:rFonts w:ascii="Times New Roman" w:hAnsi="Times New Roman" w:cs="Times New Roman"/>
          <w:sz w:val="24"/>
          <w:szCs w:val="24"/>
          <w:lang w:val="en-GB"/>
        </w:rPr>
        <w:t xml:space="preserve"> . </w:t>
      </w:r>
      <w:r w:rsidR="00B261D8">
        <w:rPr>
          <w:rFonts w:ascii="Times New Roman" w:hAnsi="Times New Roman" w:cs="Times New Roman"/>
          <w:sz w:val="24"/>
          <w:szCs w:val="24"/>
          <w:lang w:val="en-GB"/>
        </w:rPr>
        <w:t xml:space="preserve">Other countries were not susceptible to investor sentiment in the LR as modulated by the VIX and EUEPUI. Thus only the sovereign bond yields of the Netherlands and Spain were correlated with general market risk in the LR. </w:t>
      </w:r>
    </w:p>
    <w:p w:rsidR="00640BB2" w:rsidRDefault="00070CDF" w:rsidP="0035339F">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b/>
      </w:r>
      <w:r w:rsidR="00B261D8">
        <w:rPr>
          <w:rFonts w:ascii="Times New Roman" w:hAnsi="Times New Roman" w:cs="Times New Roman"/>
          <w:sz w:val="24"/>
          <w:szCs w:val="24"/>
          <w:lang w:val="en-GB"/>
        </w:rPr>
        <w:t>Current inflation had opposite effects on the sovereign bond yield of Germany and the Netherlands. For the former, a 1</w:t>
      </w:r>
      <w:r w:rsidR="00F253B9">
        <w:rPr>
          <w:rFonts w:ascii="Times New Roman" w:hAnsi="Times New Roman" w:cs="Times New Roman"/>
          <w:sz w:val="24"/>
          <w:szCs w:val="24"/>
          <w:lang w:val="en-GB"/>
        </w:rPr>
        <w:t>pcp</w:t>
      </w:r>
      <w:r w:rsidR="00B261D8">
        <w:rPr>
          <w:rFonts w:ascii="Times New Roman" w:hAnsi="Times New Roman" w:cs="Times New Roman"/>
          <w:sz w:val="24"/>
          <w:szCs w:val="24"/>
          <w:lang w:val="en-GB"/>
        </w:rPr>
        <w:t xml:space="preserve"> increase in inflation would ultimately result in 10.06</w:t>
      </w:r>
      <w:r w:rsidR="008E49E1">
        <w:rPr>
          <w:rFonts w:ascii="Times New Roman" w:hAnsi="Times New Roman" w:cs="Times New Roman"/>
          <w:sz w:val="24"/>
          <w:szCs w:val="24"/>
          <w:lang w:val="en-GB"/>
        </w:rPr>
        <w:t>pcp</w:t>
      </w:r>
      <w:r w:rsidR="00B261D8">
        <w:rPr>
          <w:rFonts w:ascii="Times New Roman" w:hAnsi="Times New Roman" w:cs="Times New Roman"/>
          <w:sz w:val="24"/>
          <w:szCs w:val="24"/>
          <w:lang w:val="en-GB"/>
        </w:rPr>
        <w:t xml:space="preserve"> fall in</w:t>
      </w:r>
      <w:r w:rsidR="00B16FBE">
        <w:rPr>
          <w:rFonts w:ascii="Times New Roman" w:hAnsi="Times New Roman" w:cs="Times New Roman"/>
          <w:sz w:val="24"/>
          <w:szCs w:val="24"/>
          <w:lang w:val="en-GB"/>
        </w:rPr>
        <w:t xml:space="preserve"> the LR</w:t>
      </w:r>
      <w:r w:rsidR="00B261D8">
        <w:rPr>
          <w:rFonts w:ascii="Times New Roman" w:hAnsi="Times New Roman" w:cs="Times New Roman"/>
          <w:sz w:val="24"/>
          <w:szCs w:val="24"/>
          <w:lang w:val="en-GB"/>
        </w:rPr>
        <w:t xml:space="preserve"> sovereign bond yield. </w:t>
      </w:r>
      <w:r w:rsidR="00B16FBE">
        <w:rPr>
          <w:rFonts w:ascii="Times New Roman" w:hAnsi="Times New Roman" w:cs="Times New Roman"/>
          <w:sz w:val="24"/>
          <w:szCs w:val="24"/>
          <w:lang w:val="en-GB"/>
        </w:rPr>
        <w:t>This is counterintuitive at face value as one expects high inflation must be compensated for via higher sovereign bond yields. Nevertheless, Germany has a long track-record of incredibly low inflation, i.e., annual inflation has been bel</w:t>
      </w:r>
      <w:r w:rsidR="00F253B9">
        <w:rPr>
          <w:rFonts w:ascii="Times New Roman" w:hAnsi="Times New Roman" w:cs="Times New Roman"/>
          <w:sz w:val="24"/>
          <w:szCs w:val="24"/>
          <w:lang w:val="en-GB"/>
        </w:rPr>
        <w:t xml:space="preserve">ow 4pcp </w:t>
      </w:r>
      <w:r w:rsidR="00293C3F">
        <w:rPr>
          <w:rFonts w:ascii="Times New Roman" w:hAnsi="Times New Roman" w:cs="Times New Roman"/>
          <w:sz w:val="24"/>
          <w:szCs w:val="24"/>
          <w:lang w:val="en-GB"/>
        </w:rPr>
        <w:t>since 1983 except for the period 1991-1993.</w:t>
      </w:r>
      <w:r w:rsidR="00B16FBE">
        <w:rPr>
          <w:rFonts w:ascii="Times New Roman" w:hAnsi="Times New Roman" w:cs="Times New Roman"/>
          <w:sz w:val="24"/>
          <w:szCs w:val="24"/>
          <w:lang w:val="en-GB"/>
        </w:rPr>
        <w:t xml:space="preserve"> </w:t>
      </w:r>
      <w:r w:rsidR="00293C3F">
        <w:rPr>
          <w:rFonts w:ascii="Times New Roman" w:hAnsi="Times New Roman" w:cs="Times New Roman"/>
          <w:sz w:val="24"/>
          <w:szCs w:val="24"/>
          <w:lang w:val="en-GB"/>
        </w:rPr>
        <w:t>Thus high current inflation may lead investors to suspect a strong reversal towards its low long-run average and thus sovereign bond yields are expected to fall in the LR as reversal towards the mean is in progress. As for the Netherlands, a 1</w:t>
      </w:r>
      <w:r w:rsidR="00F253B9">
        <w:rPr>
          <w:rFonts w:ascii="Times New Roman" w:hAnsi="Times New Roman" w:cs="Times New Roman"/>
          <w:sz w:val="24"/>
          <w:szCs w:val="24"/>
          <w:lang w:val="en-GB"/>
        </w:rPr>
        <w:t>pcp</w:t>
      </w:r>
      <w:r w:rsidR="00293C3F">
        <w:rPr>
          <w:rFonts w:ascii="Times New Roman" w:hAnsi="Times New Roman" w:cs="Times New Roman"/>
          <w:sz w:val="24"/>
          <w:szCs w:val="24"/>
          <w:lang w:val="en-GB"/>
        </w:rPr>
        <w:t xml:space="preserve"> increase in current inflation leads to a 0.875</w:t>
      </w:r>
      <w:r w:rsidR="008E49E1">
        <w:rPr>
          <w:rFonts w:ascii="Times New Roman" w:hAnsi="Times New Roman" w:cs="Times New Roman"/>
          <w:sz w:val="24"/>
          <w:szCs w:val="24"/>
          <w:lang w:val="en-GB"/>
        </w:rPr>
        <w:t>pcp</w:t>
      </w:r>
      <w:r w:rsidR="00293C3F">
        <w:rPr>
          <w:rFonts w:ascii="Times New Roman" w:hAnsi="Times New Roman" w:cs="Times New Roman"/>
          <w:sz w:val="24"/>
          <w:szCs w:val="24"/>
          <w:lang w:val="en-GB"/>
        </w:rPr>
        <w:t xml:space="preserve"> rise in sovereign bond yield. Thus compensation is less than the value eroded by inflation, largely because the Netherlands have also retained comparatively low and stable inflation rates over the past few decades. </w:t>
      </w:r>
    </w:p>
    <w:p w:rsidR="00293C3F" w:rsidRDefault="00293C3F" w:rsidP="0035339F">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b/>
      </w:r>
      <w:r w:rsidR="0009620F">
        <w:rPr>
          <w:rFonts w:ascii="Times New Roman" w:hAnsi="Times New Roman" w:cs="Times New Roman"/>
          <w:sz w:val="24"/>
          <w:szCs w:val="24"/>
          <w:lang w:val="en-GB"/>
        </w:rPr>
        <w:t>If CDS spread rises by 1</w:t>
      </w:r>
      <w:r w:rsidR="00F253B9">
        <w:rPr>
          <w:rFonts w:ascii="Times New Roman" w:hAnsi="Times New Roman" w:cs="Times New Roman"/>
          <w:sz w:val="24"/>
          <w:szCs w:val="24"/>
          <w:lang w:val="en-GB"/>
        </w:rPr>
        <w:t>pcp</w:t>
      </w:r>
      <w:r w:rsidR="0009620F">
        <w:rPr>
          <w:rFonts w:ascii="Times New Roman" w:hAnsi="Times New Roman" w:cs="Times New Roman"/>
          <w:sz w:val="24"/>
          <w:szCs w:val="24"/>
          <w:lang w:val="en-GB"/>
        </w:rPr>
        <w:t xml:space="preserve"> then Germany will enjoy a 17.84</w:t>
      </w:r>
      <w:r w:rsidR="008E49E1">
        <w:rPr>
          <w:rFonts w:ascii="Times New Roman" w:hAnsi="Times New Roman" w:cs="Times New Roman"/>
          <w:sz w:val="24"/>
          <w:szCs w:val="24"/>
          <w:lang w:val="en-GB"/>
        </w:rPr>
        <w:t>pcp</w:t>
      </w:r>
      <w:r w:rsidR="0009620F">
        <w:rPr>
          <w:rFonts w:ascii="Times New Roman" w:hAnsi="Times New Roman" w:cs="Times New Roman"/>
          <w:sz w:val="24"/>
          <w:szCs w:val="24"/>
          <w:lang w:val="en-GB"/>
        </w:rPr>
        <w:t xml:space="preserve"> fall in sovereign bond yields. This can be explained via the pivotal role of German 10Y Bunds as a ‘safe haven.’ Amidst fears over sluggish global growth</w:t>
      </w:r>
      <w:r w:rsidR="00457A5C">
        <w:rPr>
          <w:rFonts w:ascii="Times New Roman" w:hAnsi="Times New Roman" w:cs="Times New Roman"/>
          <w:sz w:val="24"/>
          <w:szCs w:val="24"/>
          <w:lang w:val="en-GB"/>
        </w:rPr>
        <w:t>, mounting credit default risk</w:t>
      </w:r>
      <w:r w:rsidR="0009620F">
        <w:rPr>
          <w:rFonts w:ascii="Times New Roman" w:hAnsi="Times New Roman" w:cs="Times New Roman"/>
          <w:sz w:val="24"/>
          <w:szCs w:val="24"/>
          <w:lang w:val="en-GB"/>
        </w:rPr>
        <w:t xml:space="preserve"> </w:t>
      </w:r>
      <w:r w:rsidR="00457A5C">
        <w:rPr>
          <w:rFonts w:ascii="Times New Roman" w:hAnsi="Times New Roman" w:cs="Times New Roman"/>
          <w:sz w:val="24"/>
          <w:szCs w:val="24"/>
          <w:lang w:val="en-GB"/>
        </w:rPr>
        <w:t xml:space="preserve">and the severe selloff in equities paired with spreading geopolitical uncertainty, a flight-to-safety has ballooned demand for assets that are safe (low volatility), liquid and are considered high quality (only marginal default risk); all three characteristics have been ascribed to German 10Y Bunds.  </w:t>
      </w:r>
    </w:p>
    <w:p w:rsidR="001127AA" w:rsidRDefault="00F253B9" w:rsidP="0035339F">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ab/>
        <w:t>As GDP growth rises by 1pcp</w:t>
      </w:r>
      <w:r w:rsidR="0045405A">
        <w:rPr>
          <w:rFonts w:ascii="Times New Roman" w:hAnsi="Times New Roman" w:cs="Times New Roman"/>
          <w:sz w:val="24"/>
          <w:szCs w:val="24"/>
          <w:lang w:val="en-GB"/>
        </w:rPr>
        <w:t xml:space="preserve"> in a quarter, then sovereign bond yields of Germany and France will rise by 17.72</w:t>
      </w:r>
      <w:r w:rsidR="008E49E1">
        <w:rPr>
          <w:rFonts w:ascii="Times New Roman" w:hAnsi="Times New Roman" w:cs="Times New Roman"/>
          <w:sz w:val="24"/>
          <w:szCs w:val="24"/>
          <w:lang w:val="en-GB"/>
        </w:rPr>
        <w:t>pcp</w:t>
      </w:r>
      <w:r w:rsidR="0045405A">
        <w:rPr>
          <w:rFonts w:ascii="Times New Roman" w:hAnsi="Times New Roman" w:cs="Times New Roman"/>
          <w:sz w:val="24"/>
          <w:szCs w:val="24"/>
          <w:lang w:val="en-GB"/>
        </w:rPr>
        <w:t xml:space="preserve"> and 7.85</w:t>
      </w:r>
      <w:r w:rsidR="008E49E1">
        <w:rPr>
          <w:rFonts w:ascii="Times New Roman" w:hAnsi="Times New Roman" w:cs="Times New Roman"/>
          <w:sz w:val="24"/>
          <w:szCs w:val="24"/>
          <w:lang w:val="en-GB"/>
        </w:rPr>
        <w:t>pcp</w:t>
      </w:r>
      <w:r w:rsidR="0045405A">
        <w:rPr>
          <w:rFonts w:ascii="Times New Roman" w:hAnsi="Times New Roman" w:cs="Times New Roman"/>
          <w:sz w:val="24"/>
          <w:szCs w:val="24"/>
          <w:lang w:val="en-GB"/>
        </w:rPr>
        <w:t xml:space="preserve"> respectively. Thus, as bonds are an alternative investment option to equity and private capital, they become less attractive during periods of excessive growth. </w:t>
      </w:r>
      <w:r w:rsidR="00C153F2">
        <w:rPr>
          <w:rFonts w:ascii="Times New Roman" w:hAnsi="Times New Roman" w:cs="Times New Roman"/>
          <w:sz w:val="24"/>
          <w:szCs w:val="24"/>
          <w:lang w:val="en-GB"/>
        </w:rPr>
        <w:t xml:space="preserve">During periods of strong economic growth, private sector saving tends to be reduced and investors opt for higher return investments. </w:t>
      </w:r>
      <w:r w:rsidR="0045405A">
        <w:rPr>
          <w:rFonts w:ascii="Times New Roman" w:hAnsi="Times New Roman" w:cs="Times New Roman"/>
          <w:sz w:val="24"/>
          <w:szCs w:val="24"/>
          <w:lang w:val="en-GB"/>
        </w:rPr>
        <w:t>As a result, sovereign bo</w:t>
      </w:r>
      <w:r w:rsidR="00C153F2">
        <w:rPr>
          <w:rFonts w:ascii="Times New Roman" w:hAnsi="Times New Roman" w:cs="Times New Roman"/>
          <w:sz w:val="24"/>
          <w:szCs w:val="24"/>
          <w:lang w:val="en-GB"/>
        </w:rPr>
        <w:t xml:space="preserve">nd demand falters, bond prices plummet and hence </w:t>
      </w:r>
      <w:r w:rsidR="007F7D25">
        <w:rPr>
          <w:rFonts w:ascii="Times New Roman" w:hAnsi="Times New Roman" w:cs="Times New Roman"/>
          <w:sz w:val="24"/>
          <w:szCs w:val="24"/>
          <w:lang w:val="en-GB"/>
        </w:rPr>
        <w:t xml:space="preserve">yields invariably climb higher. </w:t>
      </w:r>
    </w:p>
    <w:p w:rsidR="007F7D25" w:rsidRDefault="007F7D25" w:rsidP="0035339F">
      <w:pPr>
        <w:spacing w:after="0" w:line="360" w:lineRule="auto"/>
        <w:rPr>
          <w:rFonts w:ascii="Times New Roman" w:eastAsiaTheme="minorEastAsia" w:hAnsi="Times New Roman" w:cs="Times New Roman"/>
          <w:sz w:val="24"/>
          <w:szCs w:val="24"/>
          <w:lang w:val="en-GB"/>
        </w:rPr>
      </w:pPr>
      <w:r>
        <w:rPr>
          <w:rFonts w:ascii="Times New Roman" w:hAnsi="Times New Roman" w:cs="Times New Roman"/>
          <w:sz w:val="24"/>
          <w:szCs w:val="24"/>
          <w:lang w:val="en-GB"/>
        </w:rPr>
        <w:tab/>
        <w:t>Last but not least, as Debt-to-GDP ratio rises by 1</w:t>
      </w:r>
      <w:r w:rsidR="00F253B9">
        <w:rPr>
          <w:rFonts w:ascii="Times New Roman" w:hAnsi="Times New Roman" w:cs="Times New Roman"/>
          <w:sz w:val="24"/>
          <w:szCs w:val="24"/>
          <w:lang w:val="en-GB"/>
        </w:rPr>
        <w:t>pcp</w:t>
      </w:r>
      <w:r>
        <w:rPr>
          <w:rFonts w:ascii="Times New Roman" w:hAnsi="Times New Roman" w:cs="Times New Roman"/>
          <w:sz w:val="24"/>
          <w:szCs w:val="24"/>
          <w:lang w:val="en-GB"/>
        </w:rPr>
        <w:t>, then Germany sees a fall of 17.84</w:t>
      </w:r>
      <w:r w:rsidR="008E49E1">
        <w:rPr>
          <w:rFonts w:ascii="Times New Roman" w:hAnsi="Times New Roman" w:cs="Times New Roman"/>
          <w:sz w:val="24"/>
          <w:szCs w:val="24"/>
          <w:lang w:val="en-GB"/>
        </w:rPr>
        <w:t>pcp</w:t>
      </w:r>
      <w:r>
        <w:rPr>
          <w:rFonts w:ascii="Times New Roman" w:hAnsi="Times New Roman" w:cs="Times New Roman"/>
          <w:sz w:val="24"/>
          <w:szCs w:val="24"/>
          <w:lang w:val="en-GB"/>
        </w:rPr>
        <w:t xml:space="preserve"> in its LR bond yield. A result similar to that of Japan, where des</w:t>
      </w:r>
      <w:r w:rsidR="00F253B9">
        <w:rPr>
          <w:rFonts w:ascii="Times New Roman" w:hAnsi="Times New Roman" w:cs="Times New Roman"/>
          <w:sz w:val="24"/>
          <w:szCs w:val="24"/>
          <w:lang w:val="en-GB"/>
        </w:rPr>
        <w:t>pite a debt-to-GDP ratio of 230%</w:t>
      </w:r>
      <w:r>
        <w:rPr>
          <w:rFonts w:ascii="Times New Roman" w:hAnsi="Times New Roman" w:cs="Times New Roman"/>
          <w:sz w:val="24"/>
          <w:szCs w:val="24"/>
          <w:lang w:val="en-GB"/>
        </w:rPr>
        <w:t>, high level of savings in the private sector has continued to feed demand for Japanese government bonds</w:t>
      </w:r>
      <w:r w:rsidR="00075C47">
        <w:rPr>
          <w:rFonts w:ascii="Times New Roman" w:hAnsi="Times New Roman" w:cs="Times New Roman"/>
          <w:sz w:val="24"/>
          <w:szCs w:val="24"/>
          <w:lang w:val="en-GB"/>
        </w:rPr>
        <w:t xml:space="preserve"> (and thus implied lower bond yields)</w:t>
      </w:r>
      <w:r>
        <w:rPr>
          <w:rFonts w:ascii="Times New Roman" w:hAnsi="Times New Roman" w:cs="Times New Roman"/>
          <w:sz w:val="24"/>
          <w:szCs w:val="24"/>
          <w:lang w:val="en-GB"/>
        </w:rPr>
        <w:t xml:space="preserve">. </w:t>
      </w:r>
    </w:p>
    <w:p w:rsidR="00B8075B" w:rsidRDefault="00B8075B" w:rsidP="0035339F">
      <w:pPr>
        <w:spacing w:after="0" w:line="360" w:lineRule="auto"/>
        <w:rPr>
          <w:rFonts w:ascii="Times New Roman" w:eastAsiaTheme="minorEastAsia" w:hAnsi="Times New Roman" w:cs="Times New Roman"/>
          <w:sz w:val="24"/>
          <w:szCs w:val="24"/>
          <w:lang w:val="en-GB"/>
        </w:rPr>
      </w:pPr>
    </w:p>
    <w:p w:rsidR="00ED5299" w:rsidRPr="004A1786" w:rsidRDefault="00FB69BD" w:rsidP="00ED5299">
      <w:pPr>
        <w:spacing w:after="0" w:line="360" w:lineRule="auto"/>
        <w:rPr>
          <w:rFonts w:ascii="Times New Roman" w:hAnsi="Times New Roman" w:cs="Times New Roman"/>
          <w:b/>
          <w:i/>
          <w:sz w:val="24"/>
          <w:szCs w:val="24"/>
          <w:lang w:val="en-GB"/>
        </w:rPr>
      </w:pPr>
      <w:r>
        <w:rPr>
          <w:rFonts w:ascii="Times New Roman" w:hAnsi="Times New Roman" w:cs="Times New Roman"/>
          <w:b/>
          <w:i/>
          <w:sz w:val="24"/>
          <w:szCs w:val="24"/>
          <w:lang w:val="en-GB"/>
        </w:rPr>
        <w:tab/>
      </w:r>
      <w:r w:rsidR="00ED5299">
        <w:rPr>
          <w:rFonts w:ascii="Times New Roman" w:hAnsi="Times New Roman" w:cs="Times New Roman"/>
          <w:b/>
          <w:i/>
          <w:sz w:val="24"/>
          <w:szCs w:val="24"/>
          <w:lang w:val="en-GB"/>
        </w:rPr>
        <w:t>Short</w:t>
      </w:r>
      <w:r w:rsidR="00ED5299" w:rsidRPr="004A1786">
        <w:rPr>
          <w:rFonts w:ascii="Times New Roman" w:hAnsi="Times New Roman" w:cs="Times New Roman"/>
          <w:b/>
          <w:i/>
          <w:sz w:val="24"/>
          <w:szCs w:val="24"/>
          <w:lang w:val="en-GB"/>
        </w:rPr>
        <w:t xml:space="preserve">-Run </w:t>
      </w:r>
      <w:r w:rsidR="00ED5299">
        <w:rPr>
          <w:rFonts w:ascii="Times New Roman" w:hAnsi="Times New Roman" w:cs="Times New Roman"/>
          <w:b/>
          <w:i/>
          <w:sz w:val="24"/>
          <w:szCs w:val="24"/>
          <w:lang w:val="en-GB"/>
        </w:rPr>
        <w:t>Dynamics</w:t>
      </w:r>
    </w:p>
    <w:p w:rsidR="00957333" w:rsidRDefault="00957333"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 xml:space="preserve">I shall only discuss the variables that have negative coefficients and are statistically significant. If an ECT has a positive value, then the model results in chaos as </w:t>
      </w:r>
      <w:r w:rsidR="00877042">
        <w:rPr>
          <w:rFonts w:ascii="Times New Roman" w:eastAsiaTheme="minorEastAsia" w:hAnsi="Times New Roman" w:cs="Times New Roman"/>
          <w:sz w:val="24"/>
          <w:szCs w:val="24"/>
          <w:lang w:val="en-GB"/>
        </w:rPr>
        <w:t xml:space="preserve">there is continual divergence and thus the interpretation of said ECTs would be remiss. </w:t>
      </w:r>
    </w:p>
    <w:p w:rsidR="00E96D59" w:rsidRDefault="00E96D59"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For Germany, a deviation of the sovereign bond yield from its long-run equilibrium, the oppos</w:t>
      </w:r>
      <w:r w:rsidR="006F2D07">
        <w:rPr>
          <w:rFonts w:ascii="Times New Roman" w:eastAsiaTheme="minorEastAsia" w:hAnsi="Times New Roman" w:cs="Times New Roman"/>
          <w:sz w:val="24"/>
          <w:szCs w:val="24"/>
          <w:lang w:val="en-GB"/>
        </w:rPr>
        <w:t>ite adjustment occurs with 11.9pcp</w:t>
      </w:r>
      <w:r>
        <w:rPr>
          <w:rFonts w:ascii="Times New Roman" w:eastAsiaTheme="minorEastAsia" w:hAnsi="Times New Roman" w:cs="Times New Roman"/>
          <w:sz w:val="24"/>
          <w:szCs w:val="24"/>
          <w:lang w:val="en-GB"/>
        </w:rPr>
        <w:t xml:space="preserve"> per month in the SR. Thus any sovereign yield deviation from its LR level has been completely reversed, ceteris paribus, between 8 and 9 months time. Similarly, deviation due to economic policy uncertainty (EUEPUI) is eradicated by almost 25</w:t>
      </w:r>
      <w:r w:rsidR="006F2D07">
        <w:rPr>
          <w:rFonts w:ascii="Times New Roman" w:eastAsiaTheme="minorEastAsia" w:hAnsi="Times New Roman" w:cs="Times New Roman"/>
          <w:sz w:val="24"/>
          <w:szCs w:val="24"/>
          <w:lang w:val="en-GB"/>
        </w:rPr>
        <w:t>pcp</w:t>
      </w:r>
      <w:r>
        <w:rPr>
          <w:rFonts w:ascii="Times New Roman" w:eastAsiaTheme="minorEastAsia" w:hAnsi="Times New Roman" w:cs="Times New Roman"/>
          <w:sz w:val="24"/>
          <w:szCs w:val="24"/>
          <w:lang w:val="en-GB"/>
        </w:rPr>
        <w:t xml:space="preserve"> every month and thus the effect has been eroded away within 4 months. </w:t>
      </w:r>
    </w:p>
    <w:p w:rsidR="00E96D59" w:rsidRDefault="00E96D59"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 xml:space="preserve">Similarly, the Netherlands </w:t>
      </w:r>
      <w:r w:rsidR="00D66E14">
        <w:rPr>
          <w:rFonts w:ascii="Times New Roman" w:eastAsiaTheme="minorEastAsia" w:hAnsi="Times New Roman" w:cs="Times New Roman"/>
          <w:sz w:val="24"/>
          <w:szCs w:val="24"/>
          <w:lang w:val="en-GB"/>
        </w:rPr>
        <w:t>has a 10.2</w:t>
      </w:r>
      <w:r w:rsidR="006F2D07">
        <w:rPr>
          <w:rFonts w:ascii="Times New Roman" w:eastAsiaTheme="minorEastAsia" w:hAnsi="Times New Roman" w:cs="Times New Roman"/>
          <w:sz w:val="24"/>
          <w:szCs w:val="24"/>
          <w:lang w:val="en-GB"/>
        </w:rPr>
        <w:t>pcp</w:t>
      </w:r>
      <w:r w:rsidR="00D66E14">
        <w:rPr>
          <w:rFonts w:ascii="Times New Roman" w:eastAsiaTheme="minorEastAsia" w:hAnsi="Times New Roman" w:cs="Times New Roman"/>
          <w:sz w:val="24"/>
          <w:szCs w:val="24"/>
          <w:lang w:val="en-GB"/>
        </w:rPr>
        <w:t xml:space="preserve"> monthly correction for isolated deviations from LR sovereign bond yields, and departure from its LR level does not persist for more than a year. Similarly, the divergence of government budget balance ratio from its underlying fundamental level is almost instantaneously corrected for, i.e., in under a month. As the adjustment rate is above 100</w:t>
      </w:r>
      <w:r w:rsidR="006F2D07">
        <w:rPr>
          <w:rFonts w:ascii="Times New Roman" w:eastAsiaTheme="minorEastAsia" w:hAnsi="Times New Roman" w:cs="Times New Roman"/>
          <w:sz w:val="24"/>
          <w:szCs w:val="24"/>
          <w:lang w:val="en-GB"/>
        </w:rPr>
        <w:t>pcp</w:t>
      </w:r>
      <w:r w:rsidR="00D66E14">
        <w:rPr>
          <w:rFonts w:ascii="Times New Roman" w:eastAsiaTheme="minorEastAsia" w:hAnsi="Times New Roman" w:cs="Times New Roman"/>
          <w:sz w:val="24"/>
          <w:szCs w:val="24"/>
          <w:lang w:val="en-GB"/>
        </w:rPr>
        <w:t xml:space="preserve"> (i.e., 142.7</w:t>
      </w:r>
      <w:r w:rsidR="006F2D07">
        <w:rPr>
          <w:rFonts w:ascii="Times New Roman" w:eastAsiaTheme="minorEastAsia" w:hAnsi="Times New Roman" w:cs="Times New Roman"/>
          <w:sz w:val="24"/>
          <w:szCs w:val="24"/>
          <w:lang w:val="en-GB"/>
        </w:rPr>
        <w:t>pcp</w:t>
      </w:r>
      <w:r w:rsidR="00D66E14">
        <w:rPr>
          <w:rFonts w:ascii="Times New Roman" w:eastAsiaTheme="minorEastAsia" w:hAnsi="Times New Roman" w:cs="Times New Roman"/>
          <w:sz w:val="24"/>
          <w:szCs w:val="24"/>
          <w:lang w:val="en-GB"/>
        </w:rPr>
        <w:t xml:space="preserve">), it is clear that an overreaction in response to the disequilibrium state occurs and hence it oscillates around its LR value in the SR subsequent to a shock or disruption. </w:t>
      </w:r>
    </w:p>
    <w:p w:rsidR="00E96D59" w:rsidRDefault="00D66E14"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r>
      <w:r w:rsidR="003877BB">
        <w:rPr>
          <w:rFonts w:ascii="Times New Roman" w:eastAsiaTheme="minorEastAsia" w:hAnsi="Times New Roman" w:cs="Times New Roman"/>
          <w:sz w:val="24"/>
          <w:szCs w:val="24"/>
          <w:lang w:val="en-GB"/>
        </w:rPr>
        <w:t>Belgium and France did not have sound short-run dynamics (ECTs) that could be interpreted. Nevertheless, Spain adjusts more slowly in the SR to a departure from LR GDP growth (7.1</w:t>
      </w:r>
      <w:r w:rsidR="006F2D07">
        <w:rPr>
          <w:rFonts w:ascii="Times New Roman" w:eastAsiaTheme="minorEastAsia" w:hAnsi="Times New Roman" w:cs="Times New Roman"/>
          <w:sz w:val="24"/>
          <w:szCs w:val="24"/>
          <w:lang w:val="en-GB"/>
        </w:rPr>
        <w:t>pcp</w:t>
      </w:r>
      <w:r w:rsidR="003877BB">
        <w:rPr>
          <w:rFonts w:ascii="Times New Roman" w:eastAsiaTheme="minorEastAsia" w:hAnsi="Times New Roman" w:cs="Times New Roman"/>
          <w:sz w:val="24"/>
          <w:szCs w:val="24"/>
          <w:lang w:val="en-GB"/>
        </w:rPr>
        <w:t xml:space="preserve"> reduction of degree of deviation per month), than for Debt-to-GDP ratio (156.9</w:t>
      </w:r>
      <w:r w:rsidR="006F2D07">
        <w:rPr>
          <w:rFonts w:ascii="Times New Roman" w:eastAsiaTheme="minorEastAsia" w:hAnsi="Times New Roman" w:cs="Times New Roman"/>
          <w:sz w:val="24"/>
          <w:szCs w:val="24"/>
          <w:lang w:val="en-GB"/>
        </w:rPr>
        <w:t>pcp</w:t>
      </w:r>
      <w:r w:rsidR="003877BB">
        <w:rPr>
          <w:rFonts w:ascii="Times New Roman" w:eastAsiaTheme="minorEastAsia" w:hAnsi="Times New Roman" w:cs="Times New Roman"/>
          <w:sz w:val="24"/>
          <w:szCs w:val="24"/>
          <w:lang w:val="en-GB"/>
        </w:rPr>
        <w:t xml:space="preserve"> per quarter). </w:t>
      </w:r>
    </w:p>
    <w:p w:rsidR="00DD54C7" w:rsidRDefault="003877BB"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Similarly, Italy’s sovereign bond yield recovered slightly quicker than the others after an exogenous deviation, for its adjustment rate stands at 13.7</w:t>
      </w:r>
      <w:r w:rsidR="006F2D07">
        <w:rPr>
          <w:rFonts w:ascii="Times New Roman" w:eastAsiaTheme="minorEastAsia" w:hAnsi="Times New Roman" w:cs="Times New Roman"/>
          <w:sz w:val="24"/>
          <w:szCs w:val="24"/>
          <w:lang w:val="en-GB"/>
        </w:rPr>
        <w:t>pcp</w:t>
      </w:r>
      <w:r>
        <w:rPr>
          <w:rFonts w:ascii="Times New Roman" w:eastAsiaTheme="minorEastAsia" w:hAnsi="Times New Roman" w:cs="Times New Roman"/>
          <w:sz w:val="24"/>
          <w:szCs w:val="24"/>
          <w:lang w:val="en-GB"/>
        </w:rPr>
        <w:t xml:space="preserve"> per month. Also, </w:t>
      </w:r>
      <w:r w:rsidR="00DD54C7">
        <w:rPr>
          <w:rFonts w:ascii="Times New Roman" w:eastAsiaTheme="minorEastAsia" w:hAnsi="Times New Roman" w:cs="Times New Roman"/>
          <w:sz w:val="24"/>
          <w:szCs w:val="24"/>
          <w:lang w:val="en-GB"/>
        </w:rPr>
        <w:t xml:space="preserve">Italy and Greece were the only countries that exhibited short-run adjustment of the CAB ratio towards </w:t>
      </w:r>
      <w:r w:rsidR="00DD54C7">
        <w:rPr>
          <w:rFonts w:ascii="Times New Roman" w:eastAsiaTheme="minorEastAsia" w:hAnsi="Times New Roman" w:cs="Times New Roman"/>
          <w:sz w:val="24"/>
          <w:szCs w:val="24"/>
          <w:lang w:val="en-GB"/>
        </w:rPr>
        <w:lastRenderedPageBreak/>
        <w:t>its LR state; the adjustmen</w:t>
      </w:r>
      <w:r w:rsidR="006F2D07">
        <w:rPr>
          <w:rFonts w:ascii="Times New Roman" w:eastAsiaTheme="minorEastAsia" w:hAnsi="Times New Roman" w:cs="Times New Roman"/>
          <w:sz w:val="24"/>
          <w:szCs w:val="24"/>
          <w:lang w:val="en-GB"/>
        </w:rPr>
        <w:t>t rates were equivalent to 18.7pcp</w:t>
      </w:r>
      <w:r w:rsidR="00DD54C7">
        <w:rPr>
          <w:rFonts w:ascii="Times New Roman" w:eastAsiaTheme="minorEastAsia" w:hAnsi="Times New Roman" w:cs="Times New Roman"/>
          <w:sz w:val="24"/>
          <w:szCs w:val="24"/>
          <w:lang w:val="en-GB"/>
        </w:rPr>
        <w:t xml:space="preserve"> and 13.9</w:t>
      </w:r>
      <w:r w:rsidR="006F2D07">
        <w:rPr>
          <w:rFonts w:ascii="Times New Roman" w:eastAsiaTheme="minorEastAsia" w:hAnsi="Times New Roman" w:cs="Times New Roman"/>
          <w:sz w:val="24"/>
          <w:szCs w:val="24"/>
          <w:lang w:val="en-GB"/>
        </w:rPr>
        <w:t>pcp</w:t>
      </w:r>
      <w:r w:rsidR="00DD54C7">
        <w:rPr>
          <w:rFonts w:ascii="Times New Roman" w:eastAsiaTheme="minorEastAsia" w:hAnsi="Times New Roman" w:cs="Times New Roman"/>
          <w:sz w:val="24"/>
          <w:szCs w:val="24"/>
          <w:lang w:val="en-GB"/>
        </w:rPr>
        <w:t xml:space="preserve"> per quarter respectively. Thus the LR equilibrium pathway is regained after less than 8 consecutive quarters. In this respect, a deteriorating current account can function as a signal that a gap exists between savings and investment levels and thus will lead to higher sovereign bond yields. </w:t>
      </w:r>
    </w:p>
    <w:p w:rsidR="00E96D59" w:rsidRDefault="00DD54C7"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 xml:space="preserve">Last but not least, Greece also exhibits short-run adjustments due to deviations of the Debt-to-GDP ratio, where the speed of adjustment is equivalent to </w:t>
      </w:r>
      <w:r w:rsidR="009B0BEB">
        <w:rPr>
          <w:rFonts w:ascii="Times New Roman" w:eastAsiaTheme="minorEastAsia" w:hAnsi="Times New Roman" w:cs="Times New Roman"/>
          <w:sz w:val="24"/>
          <w:szCs w:val="24"/>
          <w:lang w:val="en-GB"/>
        </w:rPr>
        <w:t xml:space="preserve">less than a month and is hallmarked by inherent overreaction. </w:t>
      </w:r>
    </w:p>
    <w:p w:rsidR="00E96D59" w:rsidRPr="00ED5299" w:rsidRDefault="009B0BEB" w:rsidP="0035339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 xml:space="preserve">Concisely, each country has a different set of underlying variables and proxies to which the sovereign bond yield is susceptible in the short-run. The direction of causality can be gauged by turning towards the GDBEW in the next section. </w:t>
      </w:r>
    </w:p>
    <w:p w:rsidR="007D4EA1" w:rsidRDefault="007D4EA1" w:rsidP="007D4EA1">
      <w:pPr>
        <w:spacing w:after="0" w:line="360" w:lineRule="auto"/>
        <w:rPr>
          <w:rFonts w:ascii="Times New Roman" w:hAnsi="Times New Roman" w:cs="Times New Roman"/>
          <w:b/>
          <w:sz w:val="24"/>
          <w:szCs w:val="24"/>
          <w:lang w:val="en-GB"/>
        </w:rPr>
      </w:pPr>
    </w:p>
    <w:p w:rsidR="00AA79B8" w:rsidRPr="003C2E1A" w:rsidRDefault="00AC3357" w:rsidP="00AA79B8">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ab/>
      </w:r>
      <w:r w:rsidR="00AA79B8" w:rsidRPr="003C2E1A">
        <w:rPr>
          <w:rFonts w:ascii="Times New Roman" w:hAnsi="Times New Roman" w:cs="Times New Roman"/>
          <w:b/>
          <w:sz w:val="24"/>
          <w:szCs w:val="24"/>
          <w:lang w:val="en-GB"/>
        </w:rPr>
        <w:t>6.4</w:t>
      </w:r>
      <w:r w:rsidR="00AA79B8" w:rsidRPr="003C2E1A">
        <w:rPr>
          <w:rFonts w:ascii="Times New Roman" w:hAnsi="Times New Roman" w:cs="Times New Roman"/>
          <w:b/>
          <w:sz w:val="24"/>
          <w:szCs w:val="24"/>
          <w:lang w:val="en-GB"/>
        </w:rPr>
        <w:tab/>
        <w:t>Granger Causality/Block Exogeneity Wald Test</w:t>
      </w:r>
    </w:p>
    <w:p w:rsidR="005E3497" w:rsidRPr="00FF5516" w:rsidRDefault="005E3497" w:rsidP="005E3497">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In the following subsection 6.4</w:t>
      </w:r>
      <w:r w:rsidR="00E40291">
        <w:rPr>
          <w:rFonts w:ascii="Times New Roman" w:hAnsi="Times New Roman" w:cs="Times New Roman"/>
          <w:sz w:val="24"/>
          <w:szCs w:val="24"/>
          <w:lang w:val="en-GB"/>
        </w:rPr>
        <w:t>,</w:t>
      </w:r>
      <w:r w:rsidRPr="003C2E1A">
        <w:rPr>
          <w:rFonts w:ascii="Times New Roman" w:hAnsi="Times New Roman" w:cs="Times New Roman"/>
          <w:sz w:val="24"/>
          <w:szCs w:val="24"/>
          <w:lang w:val="en-GB"/>
        </w:rPr>
        <w:t xml:space="preserve"> I shall explicate the direction of Granger Causality between the variables conditioned by the VECM of each respective country. Significance is based on the </w:t>
      </w:r>
      <m:oMath>
        <m:r>
          <w:rPr>
            <w:rFonts w:ascii="Cambria Math" w:hAnsi="Cambria Math" w:cs="Times New Roman"/>
            <w:sz w:val="24"/>
            <w:szCs w:val="24"/>
            <w:lang w:val="en-GB"/>
          </w:rPr>
          <m:t xml:space="preserve">α </m:t>
        </m:r>
      </m:oMath>
      <w:r w:rsidRPr="003C2E1A">
        <w:rPr>
          <w:rFonts w:ascii="Times New Roman" w:hAnsi="Times New Roman" w:cs="Times New Roman"/>
          <w:sz w:val="24"/>
          <w:szCs w:val="24"/>
          <w:lang w:val="en-GB"/>
        </w:rPr>
        <w:t xml:space="preserve">equal to 0.05. </w:t>
      </w:r>
      <w:r w:rsidR="008F3FA6" w:rsidRPr="003C2E1A">
        <w:rPr>
          <w:rFonts w:ascii="Times New Roman" w:hAnsi="Times New Roman" w:cs="Times New Roman"/>
          <w:sz w:val="24"/>
          <w:szCs w:val="24"/>
          <w:lang w:val="en-GB"/>
        </w:rPr>
        <w:t xml:space="preserve">GCBEW also includes short-run effects of the dynamic interplay between each variable under consideration. </w:t>
      </w:r>
      <w:r w:rsidR="00E40291">
        <w:rPr>
          <w:rFonts w:ascii="Times New Roman" w:hAnsi="Times New Roman" w:cs="Times New Roman"/>
          <w:sz w:val="24"/>
          <w:szCs w:val="24"/>
          <w:lang w:val="en-GB"/>
        </w:rPr>
        <w:t>A compendium</w:t>
      </w:r>
      <w:r w:rsidRPr="003C2E1A">
        <w:rPr>
          <w:rFonts w:ascii="Times New Roman" w:hAnsi="Times New Roman" w:cs="Times New Roman"/>
          <w:sz w:val="24"/>
          <w:szCs w:val="24"/>
          <w:lang w:val="en-GB"/>
        </w:rPr>
        <w:t xml:space="preserve"> of GCBEW test results can be f</w:t>
      </w:r>
      <w:r w:rsidR="0055186C">
        <w:rPr>
          <w:rFonts w:ascii="Times New Roman" w:hAnsi="Times New Roman" w:cs="Times New Roman"/>
          <w:sz w:val="24"/>
          <w:szCs w:val="24"/>
          <w:lang w:val="en-GB"/>
        </w:rPr>
        <w:t>ound in the Appendix (Table A6.5</w:t>
      </w:r>
      <w:r w:rsidRPr="003C2E1A">
        <w:rPr>
          <w:rFonts w:ascii="Times New Roman" w:hAnsi="Times New Roman" w:cs="Times New Roman"/>
          <w:sz w:val="24"/>
          <w:szCs w:val="24"/>
          <w:lang w:val="en-GB"/>
        </w:rPr>
        <w:t>).</w:t>
      </w:r>
      <w:r w:rsidR="009A2524" w:rsidRPr="003C2E1A">
        <w:rPr>
          <w:rFonts w:ascii="Times New Roman" w:hAnsi="Times New Roman" w:cs="Times New Roman"/>
          <w:sz w:val="24"/>
          <w:szCs w:val="24"/>
          <w:lang w:val="en-GB"/>
        </w:rPr>
        <w:t xml:space="preserve"> </w:t>
      </w:r>
      <w:r w:rsidR="00132FCB">
        <w:rPr>
          <w:rFonts w:ascii="Times New Roman" w:hAnsi="Times New Roman" w:cs="Times New Roman"/>
          <w:sz w:val="24"/>
          <w:szCs w:val="24"/>
          <w:lang w:val="en-GB"/>
        </w:rPr>
        <w:t>If</w:t>
      </w:r>
      <w:r w:rsidR="00FF5516">
        <w:rPr>
          <w:rFonts w:ascii="Times New Roman" w:hAnsi="Times New Roman" w:cs="Times New Roman"/>
          <w:sz w:val="24"/>
          <w:szCs w:val="24"/>
          <w:lang w:val="en-GB"/>
        </w:rPr>
        <w:t xml:space="preserve"> variable </w:t>
      </w:r>
      <w:r w:rsidR="00FF5516">
        <w:rPr>
          <w:rFonts w:ascii="Times New Roman" w:hAnsi="Times New Roman" w:cs="Times New Roman"/>
          <w:i/>
          <w:sz w:val="24"/>
          <w:szCs w:val="24"/>
          <w:lang w:val="en-GB"/>
        </w:rPr>
        <w:t>x</w:t>
      </w:r>
      <w:r w:rsidR="00FF5516">
        <w:rPr>
          <w:rFonts w:ascii="Times New Roman" w:hAnsi="Times New Roman" w:cs="Times New Roman"/>
          <w:sz w:val="24"/>
          <w:szCs w:val="24"/>
          <w:lang w:val="en-GB"/>
        </w:rPr>
        <w:t xml:space="preserve"> Granger causes variable </w:t>
      </w:r>
      <w:r w:rsidR="00FF5516">
        <w:rPr>
          <w:rFonts w:ascii="Times New Roman" w:hAnsi="Times New Roman" w:cs="Times New Roman"/>
          <w:i/>
          <w:sz w:val="24"/>
          <w:szCs w:val="24"/>
          <w:lang w:val="en-GB"/>
        </w:rPr>
        <w:t>y</w:t>
      </w:r>
      <w:r w:rsidR="00FF5516">
        <w:rPr>
          <w:rFonts w:ascii="Times New Roman" w:hAnsi="Times New Roman" w:cs="Times New Roman"/>
          <w:sz w:val="24"/>
          <w:szCs w:val="24"/>
          <w:lang w:val="en-GB"/>
        </w:rPr>
        <w:t xml:space="preserve">, then the time series of variable </w:t>
      </w:r>
      <w:r w:rsidR="00FF5516">
        <w:rPr>
          <w:rFonts w:ascii="Times New Roman" w:hAnsi="Times New Roman" w:cs="Times New Roman"/>
          <w:i/>
          <w:sz w:val="24"/>
          <w:szCs w:val="24"/>
          <w:lang w:val="en-GB"/>
        </w:rPr>
        <w:t xml:space="preserve">x </w:t>
      </w:r>
      <w:r w:rsidR="00FF5516">
        <w:rPr>
          <w:rFonts w:ascii="Times New Roman" w:hAnsi="Times New Roman" w:cs="Times New Roman"/>
          <w:sz w:val="24"/>
          <w:szCs w:val="24"/>
          <w:lang w:val="en-GB"/>
        </w:rPr>
        <w:t xml:space="preserve">necessarily contains information that aids in the prediction of variable </w:t>
      </w:r>
      <w:r w:rsidR="00FF5516">
        <w:rPr>
          <w:rFonts w:ascii="Times New Roman" w:hAnsi="Times New Roman" w:cs="Times New Roman"/>
          <w:i/>
          <w:sz w:val="24"/>
          <w:szCs w:val="24"/>
          <w:lang w:val="en-GB"/>
        </w:rPr>
        <w:t xml:space="preserve">y. </w:t>
      </w:r>
      <w:r w:rsidR="00FF5516">
        <w:rPr>
          <w:rFonts w:ascii="Times New Roman" w:hAnsi="Times New Roman" w:cs="Times New Roman"/>
          <w:sz w:val="24"/>
          <w:szCs w:val="24"/>
          <w:lang w:val="en-GB"/>
        </w:rPr>
        <w:t xml:space="preserve">Thus, Granger causality is a statistical </w:t>
      </w:r>
      <w:r w:rsidR="00D24CC7">
        <w:rPr>
          <w:rFonts w:ascii="Times New Roman" w:hAnsi="Times New Roman" w:cs="Times New Roman"/>
          <w:sz w:val="24"/>
          <w:szCs w:val="24"/>
          <w:lang w:val="en-GB"/>
        </w:rPr>
        <w:t>concept based on the notion of predictive power of past values in determining the accuracy of forecasts</w:t>
      </w:r>
      <w:r w:rsidR="008F3FA6">
        <w:rPr>
          <w:rFonts w:ascii="Times New Roman" w:hAnsi="Times New Roman" w:cs="Times New Roman"/>
          <w:sz w:val="24"/>
          <w:szCs w:val="24"/>
          <w:lang w:val="en-GB"/>
        </w:rPr>
        <w:t xml:space="preserve"> and hence may be indicative of the (non-) existence of </w:t>
      </w:r>
      <w:r w:rsidR="00F9586E">
        <w:rPr>
          <w:rFonts w:ascii="Times New Roman" w:hAnsi="Times New Roman" w:cs="Times New Roman"/>
          <w:sz w:val="24"/>
          <w:szCs w:val="24"/>
          <w:lang w:val="en-GB"/>
        </w:rPr>
        <w:t>short</w:t>
      </w:r>
      <w:r w:rsidR="008F3FA6">
        <w:rPr>
          <w:rFonts w:ascii="Times New Roman" w:hAnsi="Times New Roman" w:cs="Times New Roman"/>
          <w:sz w:val="24"/>
          <w:szCs w:val="24"/>
          <w:lang w:val="en-GB"/>
        </w:rPr>
        <w:t xml:space="preserve">-run relationships between variables and the innate direction of its sphere of influence.  </w:t>
      </w:r>
      <w:r w:rsidR="00D24CC7">
        <w:rPr>
          <w:rFonts w:ascii="Times New Roman" w:hAnsi="Times New Roman" w:cs="Times New Roman"/>
          <w:sz w:val="24"/>
          <w:szCs w:val="24"/>
          <w:lang w:val="en-GB"/>
        </w:rPr>
        <w:t xml:space="preserve"> </w:t>
      </w:r>
    </w:p>
    <w:p w:rsidR="005E3497" w:rsidRDefault="005E3497" w:rsidP="005E3497">
      <w:pPr>
        <w:spacing w:after="0" w:line="360" w:lineRule="auto"/>
        <w:rPr>
          <w:rFonts w:ascii="Times New Roman" w:hAnsi="Times New Roman" w:cs="Times New Roman"/>
          <w:sz w:val="24"/>
          <w:szCs w:val="24"/>
          <w:lang w:val="en-GB"/>
        </w:rPr>
      </w:pPr>
    </w:p>
    <w:p w:rsidR="005E3497" w:rsidRPr="003C2E1A" w:rsidRDefault="005E3497" w:rsidP="005E3497">
      <w:pPr>
        <w:spacing w:after="0" w:line="360" w:lineRule="auto"/>
        <w:rPr>
          <w:rFonts w:ascii="Times New Roman" w:hAnsi="Times New Roman" w:cs="Times New Roman"/>
          <w:b/>
          <w:i/>
          <w:sz w:val="24"/>
          <w:szCs w:val="24"/>
          <w:lang w:val="en-GB"/>
        </w:rPr>
      </w:pPr>
      <w:r w:rsidRPr="003C2E1A">
        <w:rPr>
          <w:rFonts w:ascii="Times New Roman" w:hAnsi="Times New Roman" w:cs="Times New Roman"/>
          <w:b/>
          <w:i/>
          <w:sz w:val="24"/>
          <w:szCs w:val="24"/>
          <w:lang w:val="en-GB"/>
        </w:rPr>
        <w:t>Germany</w:t>
      </w:r>
    </w:p>
    <w:p w:rsidR="00C45946" w:rsidRDefault="00543A89" w:rsidP="005E3497">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As can be gleaned from Table A6.</w:t>
      </w:r>
      <w:r w:rsidR="00D63A99">
        <w:rPr>
          <w:rFonts w:ascii="Times New Roman" w:hAnsi="Times New Roman" w:cs="Times New Roman"/>
          <w:sz w:val="24"/>
          <w:szCs w:val="24"/>
          <w:lang w:val="en-GB"/>
        </w:rPr>
        <w:t>5</w:t>
      </w:r>
      <w:r>
        <w:rPr>
          <w:rFonts w:ascii="Times New Roman" w:hAnsi="Times New Roman" w:cs="Times New Roman"/>
          <w:sz w:val="24"/>
          <w:szCs w:val="24"/>
          <w:lang w:val="en-GB"/>
        </w:rPr>
        <w:t xml:space="preserve"> in the Appendix, Germany’s sovereign bond yield is statistically independent from all included variables, both separately and as a group. </w:t>
      </w:r>
      <w:r w:rsidR="00817ED3">
        <w:rPr>
          <w:rFonts w:ascii="Times New Roman" w:hAnsi="Times New Roman" w:cs="Times New Roman"/>
          <w:sz w:val="24"/>
          <w:szCs w:val="24"/>
          <w:lang w:val="en-GB"/>
        </w:rPr>
        <w:t xml:space="preserve">A possible explanation for this is that the Granger-causality function can only track linear signals/inter-variable relationships and thus fails to capture potential non-linear effects that certain fiscal fundamentals and risk factors may exhibit. </w:t>
      </w:r>
      <w:r w:rsidR="00705841">
        <w:rPr>
          <w:rFonts w:ascii="Times New Roman" w:hAnsi="Times New Roman" w:cs="Times New Roman"/>
          <w:sz w:val="24"/>
          <w:szCs w:val="24"/>
          <w:lang w:val="en-GB"/>
        </w:rPr>
        <w:t xml:space="preserve">A logical explanation as </w:t>
      </w:r>
      <w:r w:rsidR="00F86F15">
        <w:rPr>
          <w:rFonts w:ascii="Times New Roman" w:hAnsi="Times New Roman" w:cs="Times New Roman"/>
          <w:sz w:val="24"/>
          <w:szCs w:val="24"/>
          <w:lang w:val="en-GB"/>
        </w:rPr>
        <w:t xml:space="preserve">German Bunds have long served as the crux for financial integration as other Eurozone members attempted to converge on the German Bund yield. Due to the complex structures that are inherent in any mature securities market, I expect that causality interactions are non-linear by nature and thus could not be detected via the GCBEW method. </w:t>
      </w:r>
      <w:r w:rsidR="00817ED3">
        <w:rPr>
          <w:rFonts w:ascii="Times New Roman" w:hAnsi="Times New Roman" w:cs="Times New Roman"/>
          <w:sz w:val="24"/>
          <w:szCs w:val="24"/>
          <w:lang w:val="en-GB"/>
        </w:rPr>
        <w:t xml:space="preserve">Nevertheless, the JMC </w:t>
      </w:r>
      <w:r w:rsidR="00F86F15">
        <w:rPr>
          <w:rFonts w:ascii="Times New Roman" w:hAnsi="Times New Roman" w:cs="Times New Roman"/>
          <w:sz w:val="24"/>
          <w:szCs w:val="24"/>
          <w:lang w:val="en-GB"/>
        </w:rPr>
        <w:t xml:space="preserve">does </w:t>
      </w:r>
      <w:r w:rsidR="00F86F15">
        <w:rPr>
          <w:rFonts w:ascii="Times New Roman" w:hAnsi="Times New Roman" w:cs="Times New Roman"/>
          <w:sz w:val="24"/>
          <w:szCs w:val="24"/>
          <w:lang w:val="en-GB"/>
        </w:rPr>
        <w:lastRenderedPageBreak/>
        <w:t xml:space="preserve">allow for a more complex innate structure and </w:t>
      </w:r>
      <w:r w:rsidR="00817ED3">
        <w:rPr>
          <w:rFonts w:ascii="Times New Roman" w:hAnsi="Times New Roman" w:cs="Times New Roman"/>
          <w:sz w:val="24"/>
          <w:szCs w:val="24"/>
          <w:lang w:val="en-GB"/>
        </w:rPr>
        <w:t>indicated the existence o</w:t>
      </w:r>
      <w:r w:rsidR="00F86F15">
        <w:rPr>
          <w:rFonts w:ascii="Times New Roman" w:hAnsi="Times New Roman" w:cs="Times New Roman"/>
          <w:sz w:val="24"/>
          <w:szCs w:val="24"/>
          <w:lang w:val="en-GB"/>
        </w:rPr>
        <w:t xml:space="preserve">f 6 cointegrating relationships. Thus, the GCBEW and JMC test results for Germany are incongruous and hence inconclusive. </w:t>
      </w:r>
      <w:r w:rsidR="00AC3357">
        <w:rPr>
          <w:rFonts w:ascii="Times New Roman" w:hAnsi="Times New Roman" w:cs="Times New Roman"/>
          <w:sz w:val="24"/>
          <w:szCs w:val="24"/>
          <w:lang w:val="en-GB"/>
        </w:rPr>
        <w:t xml:space="preserve">I shall turn towards Impulse Response Functions in the next section in order to further assess the existence of </w:t>
      </w:r>
      <w:r w:rsidR="003C750F">
        <w:rPr>
          <w:rFonts w:ascii="Times New Roman" w:hAnsi="Times New Roman" w:cs="Times New Roman"/>
          <w:sz w:val="24"/>
          <w:szCs w:val="24"/>
          <w:lang w:val="en-GB"/>
        </w:rPr>
        <w:t>(</w:t>
      </w:r>
      <w:r w:rsidR="00AC3357">
        <w:rPr>
          <w:rFonts w:ascii="Times New Roman" w:hAnsi="Times New Roman" w:cs="Times New Roman"/>
          <w:sz w:val="24"/>
          <w:szCs w:val="24"/>
          <w:lang w:val="en-GB"/>
        </w:rPr>
        <w:t>long-run</w:t>
      </w:r>
      <w:r w:rsidR="003C750F">
        <w:rPr>
          <w:rFonts w:ascii="Times New Roman" w:hAnsi="Times New Roman" w:cs="Times New Roman"/>
          <w:sz w:val="24"/>
          <w:szCs w:val="24"/>
          <w:lang w:val="en-GB"/>
        </w:rPr>
        <w:t>)</w:t>
      </w:r>
      <w:r w:rsidR="00AC3357">
        <w:rPr>
          <w:rFonts w:ascii="Times New Roman" w:hAnsi="Times New Roman" w:cs="Times New Roman"/>
          <w:sz w:val="24"/>
          <w:szCs w:val="24"/>
          <w:lang w:val="en-GB"/>
        </w:rPr>
        <w:t xml:space="preserve"> causality. </w:t>
      </w:r>
    </w:p>
    <w:p w:rsidR="003E02EE" w:rsidRDefault="003E02EE" w:rsidP="005E3497">
      <w:pPr>
        <w:spacing w:after="0" w:line="360" w:lineRule="auto"/>
        <w:rPr>
          <w:rFonts w:ascii="Times New Roman" w:hAnsi="Times New Roman" w:cs="Times New Roman"/>
          <w:sz w:val="24"/>
          <w:szCs w:val="24"/>
          <w:lang w:val="en-GB"/>
        </w:rPr>
      </w:pPr>
    </w:p>
    <w:p w:rsidR="005E3497" w:rsidRPr="003C2E1A" w:rsidRDefault="005E3497" w:rsidP="005E3497">
      <w:pPr>
        <w:spacing w:after="0" w:line="360" w:lineRule="auto"/>
        <w:rPr>
          <w:rFonts w:ascii="Times New Roman" w:hAnsi="Times New Roman" w:cs="Times New Roman"/>
          <w:b/>
          <w:i/>
          <w:sz w:val="24"/>
          <w:szCs w:val="24"/>
          <w:lang w:val="en-GB"/>
        </w:rPr>
      </w:pPr>
      <w:r w:rsidRPr="003C2E1A">
        <w:rPr>
          <w:rFonts w:ascii="Times New Roman" w:hAnsi="Times New Roman" w:cs="Times New Roman"/>
          <w:b/>
          <w:i/>
          <w:sz w:val="24"/>
          <w:szCs w:val="24"/>
          <w:lang w:val="en-GB"/>
        </w:rPr>
        <w:t>Netherlands</w:t>
      </w:r>
    </w:p>
    <w:p w:rsidR="00862177" w:rsidRDefault="002502B0" w:rsidP="005E3497">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The sovereign bond yield was GC by the CDS spread, inflation and the REER. Nevertheless, the CDS spread was not GC by any of the other variables</w:t>
      </w:r>
      <w:r w:rsidR="003E02EE">
        <w:rPr>
          <w:rFonts w:ascii="Times New Roman" w:hAnsi="Times New Roman" w:cs="Times New Roman"/>
          <w:sz w:val="24"/>
          <w:szCs w:val="24"/>
          <w:lang w:val="en-GB"/>
        </w:rPr>
        <w:t xml:space="preserve"> and for inflation idem ditto</w:t>
      </w:r>
      <w:r w:rsidRPr="003C2E1A">
        <w:rPr>
          <w:rFonts w:ascii="Times New Roman" w:hAnsi="Times New Roman" w:cs="Times New Roman"/>
          <w:sz w:val="24"/>
          <w:szCs w:val="24"/>
          <w:lang w:val="en-GB"/>
        </w:rPr>
        <w:t xml:space="preserve">. </w:t>
      </w:r>
      <w:r w:rsidR="002F2A2F">
        <w:rPr>
          <w:rFonts w:ascii="Times New Roman" w:hAnsi="Times New Roman" w:cs="Times New Roman"/>
          <w:sz w:val="24"/>
          <w:szCs w:val="24"/>
          <w:lang w:val="en-GB"/>
        </w:rPr>
        <w:t xml:space="preserve">For the Netherlands, </w:t>
      </w:r>
      <w:r w:rsidR="00ED749C">
        <w:rPr>
          <w:rFonts w:ascii="Times New Roman" w:hAnsi="Times New Roman" w:cs="Times New Roman"/>
          <w:sz w:val="24"/>
          <w:szCs w:val="24"/>
          <w:lang w:val="en-GB"/>
        </w:rPr>
        <w:t xml:space="preserve">there were certain unidirectional causality relationships that indicated that past values of the sovereign bond yield were a clear indication of current GDP growth, Real GDP, Government Budget Balance Ratio and the VIX. This is logical as the sovereign bond yield is essentially the government’s cost of borrowing and feeds directly into future GDP and GDP growth by expanding the country’s economic productivity frontier via capital investments. </w:t>
      </w:r>
      <w:r w:rsidR="00EA3BA4">
        <w:rPr>
          <w:rFonts w:ascii="Times New Roman" w:hAnsi="Times New Roman" w:cs="Times New Roman"/>
          <w:sz w:val="24"/>
          <w:szCs w:val="24"/>
          <w:lang w:val="en-GB"/>
        </w:rPr>
        <w:t>A</w:t>
      </w:r>
      <w:r w:rsidR="00C7038A">
        <w:rPr>
          <w:rFonts w:ascii="Times New Roman" w:hAnsi="Times New Roman" w:cs="Times New Roman"/>
          <w:sz w:val="24"/>
          <w:szCs w:val="24"/>
          <w:lang w:val="en-GB"/>
        </w:rPr>
        <w:t xml:space="preserve">s </w:t>
      </w:r>
      <w:r w:rsidR="00862177">
        <w:rPr>
          <w:rFonts w:ascii="Times New Roman" w:hAnsi="Times New Roman" w:cs="Times New Roman"/>
          <w:sz w:val="24"/>
          <w:szCs w:val="24"/>
          <w:lang w:val="en-GB"/>
        </w:rPr>
        <w:t xml:space="preserve">the Netherlands </w:t>
      </w:r>
      <w:r w:rsidR="00C7038A">
        <w:rPr>
          <w:rFonts w:ascii="Times New Roman" w:hAnsi="Times New Roman" w:cs="Times New Roman"/>
          <w:sz w:val="24"/>
          <w:szCs w:val="24"/>
          <w:lang w:val="en-GB"/>
        </w:rPr>
        <w:t xml:space="preserve">rely heavily on international trade for economic prosperity, exchange rate movements have a marked impact on the associated risk of holding onto Dutch bonds. </w:t>
      </w:r>
      <w:r w:rsidR="00862177">
        <w:rPr>
          <w:rFonts w:ascii="Times New Roman" w:hAnsi="Times New Roman" w:cs="Times New Roman"/>
          <w:sz w:val="24"/>
          <w:szCs w:val="24"/>
          <w:lang w:val="en-GB"/>
        </w:rPr>
        <w:t>Thus, as uncertainty about future exchange rates increase</w:t>
      </w:r>
      <w:r w:rsidR="00C7038A">
        <w:rPr>
          <w:rFonts w:ascii="Times New Roman" w:hAnsi="Times New Roman" w:cs="Times New Roman"/>
          <w:sz w:val="24"/>
          <w:szCs w:val="24"/>
          <w:lang w:val="en-GB"/>
        </w:rPr>
        <w:t>s</w:t>
      </w:r>
      <w:r w:rsidR="00862177">
        <w:rPr>
          <w:rFonts w:ascii="Times New Roman" w:hAnsi="Times New Roman" w:cs="Times New Roman"/>
          <w:sz w:val="24"/>
          <w:szCs w:val="24"/>
          <w:lang w:val="en-GB"/>
        </w:rPr>
        <w:t xml:space="preserve">, foreign investors that could not hedge against significant exchange rate exposure require higher yield compensation for holding on to the Euro-denominated sovereign bonds. </w:t>
      </w:r>
      <w:r w:rsidR="00C7038A">
        <w:rPr>
          <w:rFonts w:ascii="Times New Roman" w:hAnsi="Times New Roman" w:cs="Times New Roman"/>
          <w:sz w:val="24"/>
          <w:szCs w:val="24"/>
          <w:lang w:val="en-GB"/>
        </w:rPr>
        <w:t xml:space="preserve">Furthermore, many factors that determine sovereign bond yields also directly influence the pathway of the REER. </w:t>
      </w:r>
    </w:p>
    <w:p w:rsidR="001F187F" w:rsidRDefault="001F187F" w:rsidP="005E3497">
      <w:pPr>
        <w:spacing w:after="0" w:line="360" w:lineRule="auto"/>
        <w:rPr>
          <w:rFonts w:ascii="Times New Roman" w:hAnsi="Times New Roman" w:cs="Times New Roman"/>
          <w:sz w:val="24"/>
          <w:szCs w:val="24"/>
          <w:lang w:val="en-GB"/>
        </w:rPr>
      </w:pPr>
    </w:p>
    <w:p w:rsidR="005E3497" w:rsidRPr="003C2E1A" w:rsidRDefault="005E3497" w:rsidP="005E3497">
      <w:pPr>
        <w:spacing w:after="0" w:line="360" w:lineRule="auto"/>
        <w:rPr>
          <w:rFonts w:ascii="Times New Roman" w:hAnsi="Times New Roman" w:cs="Times New Roman"/>
          <w:b/>
          <w:i/>
          <w:sz w:val="24"/>
          <w:szCs w:val="24"/>
          <w:lang w:val="en-GB"/>
        </w:rPr>
      </w:pPr>
      <w:r w:rsidRPr="003C2E1A">
        <w:rPr>
          <w:rFonts w:ascii="Times New Roman" w:hAnsi="Times New Roman" w:cs="Times New Roman"/>
          <w:b/>
          <w:i/>
          <w:sz w:val="24"/>
          <w:szCs w:val="24"/>
          <w:lang w:val="en-GB"/>
        </w:rPr>
        <w:t>Belgium</w:t>
      </w:r>
    </w:p>
    <w:p w:rsidR="005E3497" w:rsidRPr="003C2E1A" w:rsidRDefault="002502B0" w:rsidP="005E3497">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In Belgium the sovereign bond yield was GC by the short run interest rate and the BAA-10YRF spread. </w:t>
      </w:r>
      <w:r w:rsidR="003F7FA8" w:rsidRPr="003C2E1A">
        <w:rPr>
          <w:rFonts w:ascii="Times New Roman" w:hAnsi="Times New Roman" w:cs="Times New Roman"/>
          <w:sz w:val="24"/>
          <w:szCs w:val="24"/>
          <w:lang w:val="en-GB"/>
        </w:rPr>
        <w:t>Whilst the short run interest rate was exogenous, the BAA-10YRF spread was GC by the short-run interest rate, inflation, CDS spread and the REER.</w:t>
      </w:r>
      <w:r w:rsidR="003E71BA">
        <w:rPr>
          <w:rFonts w:ascii="Times New Roman" w:hAnsi="Times New Roman" w:cs="Times New Roman"/>
          <w:sz w:val="24"/>
          <w:szCs w:val="24"/>
          <w:lang w:val="en-GB"/>
        </w:rPr>
        <w:t xml:space="preserve"> </w:t>
      </w:r>
      <w:r w:rsidR="00A30A4B">
        <w:rPr>
          <w:rFonts w:ascii="Times New Roman" w:hAnsi="Times New Roman" w:cs="Times New Roman"/>
          <w:sz w:val="24"/>
          <w:szCs w:val="24"/>
          <w:lang w:val="en-GB"/>
        </w:rPr>
        <w:t xml:space="preserve">As Belgium is a relatively small country in economic terms, they are typified by </w:t>
      </w:r>
      <w:r w:rsidR="00DD017B">
        <w:rPr>
          <w:rFonts w:ascii="Times New Roman" w:hAnsi="Times New Roman" w:cs="Times New Roman"/>
          <w:sz w:val="24"/>
          <w:szCs w:val="24"/>
          <w:lang w:val="en-GB"/>
        </w:rPr>
        <w:t xml:space="preserve">an illiquid sovereign bond market and hence the sovereign yield is impacted by any change in the liquidity risk proxy, i.e., the Baa-10yRF spread. </w:t>
      </w:r>
      <w:r w:rsidR="00A30A4B">
        <w:rPr>
          <w:rFonts w:ascii="Times New Roman" w:hAnsi="Times New Roman" w:cs="Times New Roman"/>
          <w:sz w:val="24"/>
          <w:szCs w:val="24"/>
          <w:lang w:val="en-GB"/>
        </w:rPr>
        <w:t>On the whole, the independent variables as a group are GC with respect to the Belgian sovereign bond yield.</w:t>
      </w:r>
    </w:p>
    <w:p w:rsidR="005E3497" w:rsidRPr="003C2E1A" w:rsidRDefault="005E3497" w:rsidP="005E3497">
      <w:pPr>
        <w:spacing w:after="0" w:line="360" w:lineRule="auto"/>
        <w:rPr>
          <w:rFonts w:ascii="Times New Roman" w:hAnsi="Times New Roman" w:cs="Times New Roman"/>
          <w:b/>
          <w:i/>
          <w:sz w:val="20"/>
          <w:szCs w:val="24"/>
          <w:lang w:val="en-GB"/>
        </w:rPr>
      </w:pPr>
    </w:p>
    <w:p w:rsidR="005E3497" w:rsidRPr="003C2E1A" w:rsidRDefault="005E3497" w:rsidP="005E3497">
      <w:pPr>
        <w:spacing w:after="0" w:line="360" w:lineRule="auto"/>
        <w:rPr>
          <w:rFonts w:ascii="Times New Roman" w:hAnsi="Times New Roman" w:cs="Times New Roman"/>
          <w:b/>
          <w:i/>
          <w:sz w:val="24"/>
          <w:szCs w:val="24"/>
          <w:lang w:val="en-GB"/>
        </w:rPr>
      </w:pPr>
      <w:r w:rsidRPr="003C2E1A">
        <w:rPr>
          <w:rFonts w:ascii="Times New Roman" w:hAnsi="Times New Roman" w:cs="Times New Roman"/>
          <w:b/>
          <w:i/>
          <w:sz w:val="24"/>
          <w:szCs w:val="24"/>
          <w:lang w:val="en-GB"/>
        </w:rPr>
        <w:t>France</w:t>
      </w:r>
    </w:p>
    <w:p w:rsidR="00D848D4" w:rsidRDefault="0010170D" w:rsidP="005E3497">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Sovereign bond yield was not GC by any of the included variables. Nevertheless, the sovereign bond yield was strongly </w:t>
      </w:r>
      <w:r w:rsidR="00D848D4">
        <w:rPr>
          <w:rFonts w:ascii="Times New Roman" w:hAnsi="Times New Roman" w:cs="Times New Roman"/>
          <w:sz w:val="24"/>
          <w:szCs w:val="24"/>
          <w:lang w:val="en-GB"/>
        </w:rPr>
        <w:t xml:space="preserve">GC for the Debt-to-GDP ratio. </w:t>
      </w:r>
      <w:r w:rsidR="003E71BA">
        <w:rPr>
          <w:rFonts w:ascii="Times New Roman" w:hAnsi="Times New Roman" w:cs="Times New Roman"/>
          <w:sz w:val="24"/>
          <w:szCs w:val="24"/>
          <w:lang w:val="en-GB"/>
        </w:rPr>
        <w:t xml:space="preserve">An unusual result as normally the debt-GDP ratio is indicative of a country’s ability to make future repayments on its currently outstanding debt. The abovementioned mechanism then ought to affect the </w:t>
      </w:r>
      <w:r w:rsidR="003E71BA">
        <w:rPr>
          <w:rFonts w:ascii="Times New Roman" w:hAnsi="Times New Roman" w:cs="Times New Roman"/>
          <w:sz w:val="24"/>
          <w:szCs w:val="24"/>
          <w:lang w:val="en-GB"/>
        </w:rPr>
        <w:lastRenderedPageBreak/>
        <w:t xml:space="preserve">country’s borrowing cost. Nevertheless, the cost of borrowing may have had a marked effect on Debt and/or GDP if we view the sovereign bond and its associated yield as an investment opportunity that will come to fruition in the long-run. </w:t>
      </w:r>
      <w:r w:rsidR="00F30FF6">
        <w:rPr>
          <w:rFonts w:ascii="Times New Roman" w:hAnsi="Times New Roman" w:cs="Times New Roman"/>
          <w:sz w:val="24"/>
          <w:szCs w:val="24"/>
          <w:lang w:val="en-GB"/>
        </w:rPr>
        <w:t xml:space="preserve">Conversely, as a group the independent variables were not sufficiently GC with respect to the sovereign bond yield. </w:t>
      </w:r>
    </w:p>
    <w:p w:rsidR="00FA22DB" w:rsidRDefault="00FA22DB" w:rsidP="00FA22DB">
      <w:pPr>
        <w:spacing w:after="0" w:line="360" w:lineRule="auto"/>
        <w:rPr>
          <w:rFonts w:ascii="Times New Roman" w:hAnsi="Times New Roman" w:cs="Times New Roman"/>
          <w:b/>
          <w:i/>
          <w:sz w:val="24"/>
          <w:szCs w:val="24"/>
          <w:lang w:val="en-GB"/>
        </w:rPr>
      </w:pPr>
    </w:p>
    <w:p w:rsidR="00FA22DB" w:rsidRPr="003C2E1A" w:rsidRDefault="00FA22DB" w:rsidP="00FA22DB">
      <w:pPr>
        <w:spacing w:after="0" w:line="360" w:lineRule="auto"/>
        <w:rPr>
          <w:rFonts w:ascii="Times New Roman" w:hAnsi="Times New Roman" w:cs="Times New Roman"/>
          <w:b/>
          <w:i/>
          <w:sz w:val="24"/>
          <w:szCs w:val="24"/>
          <w:lang w:val="en-GB"/>
        </w:rPr>
      </w:pPr>
      <w:r w:rsidRPr="003C2E1A">
        <w:rPr>
          <w:rFonts w:ascii="Times New Roman" w:hAnsi="Times New Roman" w:cs="Times New Roman"/>
          <w:b/>
          <w:i/>
          <w:sz w:val="24"/>
          <w:szCs w:val="24"/>
          <w:lang w:val="en-GB"/>
        </w:rPr>
        <w:t>Italy</w:t>
      </w:r>
    </w:p>
    <w:p w:rsidR="00FA22DB" w:rsidRDefault="00FA22DB" w:rsidP="00FA22DB">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In Italy, the sovereign bond yield was GC by </w:t>
      </w:r>
      <w:r w:rsidR="00FB4E23">
        <w:rPr>
          <w:rFonts w:ascii="Times New Roman" w:hAnsi="Times New Roman" w:cs="Times New Roman"/>
          <w:sz w:val="24"/>
          <w:szCs w:val="24"/>
          <w:lang w:val="en-GB"/>
        </w:rPr>
        <w:t xml:space="preserve">short term interest rates and expected inflation. Current inflation tends to have a significant short-run effect on real long-term sovereign bond yields, whilst higher inflation expectations would imply a future rise in real interest rates. Evidence for Italy’s comparative sensitivity towards inflation expectations remains inconclusive. The fact that short-run interest rates have a significant effect on Italy’s sovereign bond yield </w:t>
      </w:r>
      <w:r w:rsidR="000C1602">
        <w:rPr>
          <w:rFonts w:ascii="Times New Roman" w:hAnsi="Times New Roman" w:cs="Times New Roman"/>
          <w:sz w:val="24"/>
          <w:szCs w:val="24"/>
          <w:lang w:val="en-GB"/>
        </w:rPr>
        <w:t>supports the theory expounded in Section 3 and Section 2.1.</w:t>
      </w:r>
    </w:p>
    <w:p w:rsidR="00FB4E23" w:rsidRDefault="00FB4E23" w:rsidP="00FA22DB">
      <w:pPr>
        <w:spacing w:after="0" w:line="360" w:lineRule="auto"/>
        <w:rPr>
          <w:rFonts w:ascii="Times New Roman" w:hAnsi="Times New Roman" w:cs="Times New Roman"/>
          <w:b/>
          <w:i/>
          <w:sz w:val="20"/>
          <w:szCs w:val="24"/>
          <w:lang w:val="en-GB"/>
        </w:rPr>
      </w:pPr>
    </w:p>
    <w:p w:rsidR="00FA22DB" w:rsidRPr="003C2E1A" w:rsidRDefault="00FA22DB" w:rsidP="00FA22DB">
      <w:pPr>
        <w:spacing w:after="0" w:line="360" w:lineRule="auto"/>
        <w:rPr>
          <w:rFonts w:ascii="Times New Roman" w:hAnsi="Times New Roman" w:cs="Times New Roman"/>
          <w:b/>
          <w:i/>
          <w:sz w:val="24"/>
          <w:szCs w:val="24"/>
          <w:lang w:val="en-GB"/>
        </w:rPr>
      </w:pPr>
      <w:r w:rsidRPr="003C2E1A">
        <w:rPr>
          <w:rFonts w:ascii="Times New Roman" w:hAnsi="Times New Roman" w:cs="Times New Roman"/>
          <w:b/>
          <w:i/>
          <w:sz w:val="24"/>
          <w:szCs w:val="24"/>
          <w:lang w:val="en-GB"/>
        </w:rPr>
        <w:t>Greece</w:t>
      </w:r>
    </w:p>
    <w:p w:rsidR="000C1602" w:rsidRDefault="003B01AF" w:rsidP="005E3497">
      <w:pPr>
        <w:spacing w:after="0" w:line="360" w:lineRule="auto"/>
        <w:rPr>
          <w:rFonts w:ascii="Times New Roman" w:hAnsi="Times New Roman" w:cs="Times New Roman"/>
          <w:sz w:val="24"/>
          <w:szCs w:val="24"/>
          <w:lang w:val="en-GB"/>
        </w:rPr>
      </w:pPr>
      <w:r w:rsidRPr="007F4A69">
        <w:rPr>
          <w:rFonts w:ascii="Times New Roman" w:hAnsi="Times New Roman" w:cs="Times New Roman"/>
          <w:sz w:val="24"/>
          <w:szCs w:val="24"/>
          <w:lang w:val="en-GB"/>
        </w:rPr>
        <w:t xml:space="preserve">Greece is the only country with a bi-directional GC relationship. </w:t>
      </w:r>
      <w:r w:rsidR="00F509AD" w:rsidRPr="007F4A69">
        <w:rPr>
          <w:rFonts w:ascii="Times New Roman" w:hAnsi="Times New Roman" w:cs="Times New Roman"/>
          <w:sz w:val="24"/>
          <w:szCs w:val="24"/>
          <w:lang w:val="en-GB"/>
        </w:rPr>
        <w:t xml:space="preserve">In this case, sovereign bond yields and debt-to-GDP ratio share a so-called ‘feedback loop’. </w:t>
      </w:r>
      <w:r w:rsidR="007F4A69" w:rsidRPr="007F4A69">
        <w:rPr>
          <w:rFonts w:ascii="Times New Roman" w:hAnsi="Times New Roman" w:cs="Times New Roman"/>
          <w:sz w:val="24"/>
          <w:szCs w:val="24"/>
          <w:lang w:val="en-GB"/>
        </w:rPr>
        <w:t>This indicates the co-dependence of sovereign bond yields and fiscal fundamentals, i.e., in this case the debt-to-GDP ratio. Similarly, Greece’s s</w:t>
      </w:r>
      <w:r w:rsidR="000C1602" w:rsidRPr="007F4A69">
        <w:rPr>
          <w:rFonts w:ascii="Times New Roman" w:hAnsi="Times New Roman" w:cs="Times New Roman"/>
          <w:sz w:val="24"/>
          <w:szCs w:val="24"/>
          <w:lang w:val="en-GB"/>
        </w:rPr>
        <w:t>overeign</w:t>
      </w:r>
      <w:r w:rsidR="000C1602">
        <w:rPr>
          <w:rFonts w:ascii="Times New Roman" w:hAnsi="Times New Roman" w:cs="Times New Roman"/>
          <w:sz w:val="24"/>
          <w:szCs w:val="24"/>
          <w:lang w:val="en-GB"/>
        </w:rPr>
        <w:t xml:space="preserve"> yield also unidirectionally GC EUEPUI, perhaps due to increased concerns with respect to Greece’s current fiscal dilemma and political instability. </w:t>
      </w:r>
      <w:r w:rsidR="00927578">
        <w:rPr>
          <w:rFonts w:ascii="Times New Roman" w:hAnsi="Times New Roman" w:cs="Times New Roman"/>
          <w:sz w:val="24"/>
          <w:szCs w:val="24"/>
          <w:lang w:val="en-GB"/>
        </w:rPr>
        <w:t xml:space="preserve">As a group, the independent variables can partly explicate Greece’s sovereign bond yield pathways. </w:t>
      </w:r>
    </w:p>
    <w:p w:rsidR="000C1602" w:rsidRDefault="000C1602" w:rsidP="005E3497">
      <w:pPr>
        <w:spacing w:after="0" w:line="360" w:lineRule="auto"/>
        <w:rPr>
          <w:rFonts w:ascii="Times New Roman" w:hAnsi="Times New Roman" w:cs="Times New Roman"/>
          <w:sz w:val="24"/>
          <w:szCs w:val="24"/>
          <w:lang w:val="en-GB"/>
        </w:rPr>
      </w:pPr>
    </w:p>
    <w:p w:rsidR="005E3497" w:rsidRPr="003C2E1A" w:rsidRDefault="005E3497" w:rsidP="005E3497">
      <w:pPr>
        <w:spacing w:after="0" w:line="360" w:lineRule="auto"/>
        <w:rPr>
          <w:rFonts w:ascii="Times New Roman" w:hAnsi="Times New Roman" w:cs="Times New Roman"/>
          <w:b/>
          <w:i/>
          <w:sz w:val="24"/>
          <w:szCs w:val="24"/>
          <w:lang w:val="en-GB"/>
        </w:rPr>
      </w:pPr>
      <w:r w:rsidRPr="003C2E1A">
        <w:rPr>
          <w:rFonts w:ascii="Times New Roman" w:hAnsi="Times New Roman" w:cs="Times New Roman"/>
          <w:b/>
          <w:i/>
          <w:sz w:val="24"/>
          <w:szCs w:val="24"/>
          <w:lang w:val="en-GB"/>
        </w:rPr>
        <w:t>Spain</w:t>
      </w:r>
    </w:p>
    <w:p w:rsidR="001B2EB0" w:rsidRPr="003C2E1A" w:rsidRDefault="0010170D" w:rsidP="005E3497">
      <w:pPr>
        <w:spacing w:after="0" w:line="360" w:lineRule="auto"/>
        <w:rPr>
          <w:rFonts w:ascii="Times New Roman" w:hAnsi="Times New Roman" w:cs="Times New Roman"/>
          <w:sz w:val="24"/>
          <w:szCs w:val="24"/>
          <w:lang w:val="en-GB"/>
        </w:rPr>
      </w:pPr>
      <w:r w:rsidRPr="003C2E1A">
        <w:rPr>
          <w:rFonts w:ascii="Times New Roman" w:hAnsi="Times New Roman" w:cs="Times New Roman"/>
          <w:sz w:val="24"/>
          <w:szCs w:val="24"/>
          <w:lang w:val="en-GB"/>
        </w:rPr>
        <w:t xml:space="preserve">For Spain, the sovereign bond yield was </w:t>
      </w:r>
      <w:r w:rsidR="00FA22DB">
        <w:rPr>
          <w:rFonts w:ascii="Times New Roman" w:hAnsi="Times New Roman" w:cs="Times New Roman"/>
          <w:sz w:val="24"/>
          <w:szCs w:val="24"/>
          <w:lang w:val="en-GB"/>
        </w:rPr>
        <w:t xml:space="preserve">not </w:t>
      </w:r>
      <w:r w:rsidRPr="003C2E1A">
        <w:rPr>
          <w:rFonts w:ascii="Times New Roman" w:hAnsi="Times New Roman" w:cs="Times New Roman"/>
          <w:sz w:val="24"/>
          <w:szCs w:val="24"/>
          <w:lang w:val="en-GB"/>
        </w:rPr>
        <w:t xml:space="preserve">GC by </w:t>
      </w:r>
      <w:r w:rsidR="00FA22DB">
        <w:rPr>
          <w:rFonts w:ascii="Times New Roman" w:hAnsi="Times New Roman" w:cs="Times New Roman"/>
          <w:sz w:val="24"/>
          <w:szCs w:val="24"/>
          <w:lang w:val="en-GB"/>
        </w:rPr>
        <w:t xml:space="preserve">any of the included independent variables. </w:t>
      </w:r>
      <w:r w:rsidR="000C1602">
        <w:rPr>
          <w:rFonts w:ascii="Times New Roman" w:hAnsi="Times New Roman" w:cs="Times New Roman"/>
          <w:sz w:val="24"/>
          <w:szCs w:val="24"/>
          <w:lang w:val="en-GB"/>
        </w:rPr>
        <w:t xml:space="preserve">In fact, only Debt-to-GDP ratio was GC by the sovereign bond yield; presumably for similar reasons as explicated above. Nevertheless, the grouped independent variables did have predictive power with respect to the sovereign bond yield. </w:t>
      </w:r>
    </w:p>
    <w:p w:rsidR="00F509AD" w:rsidRPr="00BF1C45" w:rsidRDefault="00F509AD" w:rsidP="00025DF5">
      <w:pPr>
        <w:spacing w:after="0" w:line="360" w:lineRule="auto"/>
        <w:rPr>
          <w:rFonts w:ascii="Times New Roman" w:hAnsi="Times New Roman" w:cs="Times New Roman"/>
          <w:b/>
          <w:sz w:val="28"/>
          <w:szCs w:val="24"/>
          <w:lang w:val="en-GB"/>
        </w:rPr>
      </w:pPr>
    </w:p>
    <w:p w:rsidR="00025DF5" w:rsidRDefault="00025DF5" w:rsidP="00025DF5">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6.5</w:t>
      </w:r>
      <w:r>
        <w:rPr>
          <w:rFonts w:ascii="Times New Roman" w:hAnsi="Times New Roman" w:cs="Times New Roman"/>
          <w:b/>
          <w:sz w:val="24"/>
          <w:szCs w:val="24"/>
          <w:lang w:val="en-GB"/>
        </w:rPr>
        <w:tab/>
      </w:r>
      <w:r w:rsidR="00124EF9">
        <w:rPr>
          <w:rFonts w:ascii="Times New Roman" w:hAnsi="Times New Roman" w:cs="Times New Roman"/>
          <w:b/>
          <w:sz w:val="24"/>
          <w:szCs w:val="24"/>
          <w:lang w:val="en-GB"/>
        </w:rPr>
        <w:t>VEC Impulse Response Functions</w:t>
      </w:r>
    </w:p>
    <w:p w:rsidR="003D7C57" w:rsidRDefault="00AB039F" w:rsidP="00AB039F">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this subsection I shall look at the effect of an exogenous shock in one of the independent variables and the magnitude, sign and time duration of its effect on sovereign bond yields. </w:t>
      </w:r>
      <w:r w:rsidR="00C27B10">
        <w:rPr>
          <w:rFonts w:ascii="Times New Roman" w:hAnsi="Times New Roman" w:cs="Times New Roman"/>
          <w:sz w:val="24"/>
          <w:szCs w:val="24"/>
          <w:lang w:val="en-GB"/>
        </w:rPr>
        <w:t xml:space="preserve">As Granger-causality often leads to inconclusive evidence, we may wish to gauge the dynamic interactions between variables with a method that allows for </w:t>
      </w:r>
      <w:r w:rsidR="00934FF6">
        <w:rPr>
          <w:rFonts w:ascii="Times New Roman" w:hAnsi="Times New Roman" w:cs="Times New Roman"/>
          <w:sz w:val="24"/>
          <w:szCs w:val="24"/>
          <w:lang w:val="en-GB"/>
        </w:rPr>
        <w:t xml:space="preserve">a higher dimensional system. In this thesis it takes into account how a one standard deviation ‘impulse’, i.e., an unexpected </w:t>
      </w:r>
      <w:r w:rsidR="00934FF6">
        <w:rPr>
          <w:rFonts w:ascii="Times New Roman" w:hAnsi="Times New Roman" w:cs="Times New Roman"/>
          <w:sz w:val="24"/>
          <w:szCs w:val="24"/>
          <w:lang w:val="en-GB"/>
        </w:rPr>
        <w:lastRenderedPageBreak/>
        <w:t xml:space="preserve">shock, of the independent variables will affect the sovereign bond yield. If an impulse leads to a response in another variable, then we have ascertained that there is a causal relationship between them. Impulse Response Functions are often referred to as multiplier analysis. </w:t>
      </w:r>
      <w:r w:rsidR="00210B1A">
        <w:rPr>
          <w:rFonts w:ascii="Times New Roman" w:hAnsi="Times New Roman" w:cs="Times New Roman"/>
          <w:sz w:val="24"/>
          <w:szCs w:val="24"/>
          <w:lang w:val="en-GB"/>
        </w:rPr>
        <w:t>The Impulse variables included in the combined IRF graphs that can be found in the Appendix (</w:t>
      </w:r>
      <w:r w:rsidR="008E49E1">
        <w:rPr>
          <w:rFonts w:ascii="Times New Roman" w:hAnsi="Times New Roman" w:cs="Times New Roman"/>
          <w:sz w:val="24"/>
          <w:szCs w:val="24"/>
          <w:lang w:val="en-GB"/>
        </w:rPr>
        <w:t>see Figure A6.1</w:t>
      </w:r>
      <w:r w:rsidR="00210B1A">
        <w:rPr>
          <w:rFonts w:ascii="Times New Roman" w:hAnsi="Times New Roman" w:cs="Times New Roman"/>
          <w:sz w:val="24"/>
          <w:szCs w:val="24"/>
          <w:lang w:val="en-GB"/>
        </w:rPr>
        <w:t xml:space="preserve">), were opted for based on the preliminary separate IRFs. Thus, only those that had a marked effect on sovereign bond yields were included in the combined graphs. </w:t>
      </w:r>
    </w:p>
    <w:p w:rsidR="00B85345" w:rsidRDefault="00B85345" w:rsidP="00854644">
      <w:pPr>
        <w:spacing w:after="0" w:line="240" w:lineRule="auto"/>
        <w:rPr>
          <w:rFonts w:ascii="Times New Roman" w:hAnsi="Times New Roman" w:cs="Times New Roman"/>
          <w:sz w:val="24"/>
          <w:szCs w:val="24"/>
          <w:lang w:val="en-GB"/>
        </w:rPr>
      </w:pPr>
    </w:p>
    <w:p w:rsidR="00661D2B" w:rsidRPr="003D2240" w:rsidRDefault="00661D2B" w:rsidP="004F5E10">
      <w:pPr>
        <w:spacing w:after="0" w:line="360" w:lineRule="auto"/>
        <w:rPr>
          <w:rFonts w:ascii="Times New Roman" w:hAnsi="Times New Roman" w:cs="Times New Roman"/>
          <w:b/>
          <w:i/>
          <w:sz w:val="24"/>
          <w:szCs w:val="24"/>
          <w:lang w:val="en-GB"/>
        </w:rPr>
      </w:pPr>
      <w:r w:rsidRPr="003D2240">
        <w:rPr>
          <w:rFonts w:ascii="Times New Roman" w:hAnsi="Times New Roman" w:cs="Times New Roman"/>
          <w:b/>
          <w:i/>
          <w:sz w:val="24"/>
          <w:szCs w:val="24"/>
          <w:lang w:val="en-GB"/>
        </w:rPr>
        <w:t>Germany</w:t>
      </w:r>
    </w:p>
    <w:p w:rsidR="00661D2B" w:rsidRPr="003D2240" w:rsidRDefault="004F5E10" w:rsidP="00425D22">
      <w:pPr>
        <w:spacing w:after="0" w:line="360" w:lineRule="auto"/>
        <w:rPr>
          <w:rFonts w:ascii="Times New Roman" w:hAnsi="Times New Roman" w:cs="Times New Roman"/>
          <w:sz w:val="24"/>
          <w:szCs w:val="24"/>
          <w:lang w:val="en-GB"/>
        </w:rPr>
      </w:pPr>
      <w:r w:rsidRPr="003D2240">
        <w:rPr>
          <w:rFonts w:ascii="Times New Roman" w:hAnsi="Times New Roman" w:cs="Times New Roman"/>
          <w:sz w:val="24"/>
          <w:szCs w:val="24"/>
          <w:lang w:val="en-GB"/>
        </w:rPr>
        <w:t xml:space="preserve">An exogenous shock in short run interest rates has the biggest positive impact on sovereign yields, whilst, GDP growth and CDS spread widening have an adverse impact on sovereign bond yields. Between 30 and 40 months after </w:t>
      </w:r>
      <w:r w:rsidR="00675B7D" w:rsidRPr="003D2240">
        <w:rPr>
          <w:rFonts w:ascii="Times New Roman" w:hAnsi="Times New Roman" w:cs="Times New Roman"/>
          <w:sz w:val="24"/>
          <w:szCs w:val="24"/>
          <w:lang w:val="en-GB"/>
        </w:rPr>
        <w:t xml:space="preserve">the unexpected shock, the process reverses and the signs change. </w:t>
      </w:r>
      <w:r w:rsidR="00425D22" w:rsidRPr="003D2240">
        <w:rPr>
          <w:rFonts w:ascii="Times New Roman" w:hAnsi="Times New Roman" w:cs="Times New Roman"/>
          <w:sz w:val="24"/>
          <w:szCs w:val="24"/>
          <w:lang w:val="en-GB"/>
        </w:rPr>
        <w:t xml:space="preserve">Conversely, the short-run deviations persist for an extended period of time. Ten years after the shock, these fundamental variables still hold sway over sovereign bond yields, though they seem to be converging towards zero (and thus stability) once more.  </w:t>
      </w:r>
    </w:p>
    <w:p w:rsidR="00E403BE" w:rsidRPr="00835B3C" w:rsidRDefault="00E403BE" w:rsidP="00E403BE">
      <w:pPr>
        <w:spacing w:after="0" w:line="240" w:lineRule="auto"/>
        <w:rPr>
          <w:rFonts w:ascii="Times New Roman" w:eastAsiaTheme="minorEastAsia" w:hAnsi="Times New Roman" w:cs="Times New Roman"/>
          <w:b/>
          <w:i/>
          <w:color w:val="00B0F0"/>
          <w:sz w:val="24"/>
          <w:szCs w:val="24"/>
          <w:lang w:val="en-GB"/>
        </w:rPr>
      </w:pPr>
    </w:p>
    <w:p w:rsidR="00E403BE" w:rsidRPr="00BB236E" w:rsidRDefault="00425D22" w:rsidP="00583AB2">
      <w:pPr>
        <w:spacing w:after="0" w:line="360" w:lineRule="auto"/>
        <w:rPr>
          <w:rFonts w:ascii="Times New Roman" w:eastAsiaTheme="minorEastAsia" w:hAnsi="Times New Roman" w:cs="Times New Roman"/>
          <w:b/>
          <w:i/>
          <w:sz w:val="24"/>
          <w:szCs w:val="24"/>
          <w:lang w:val="en-GB"/>
        </w:rPr>
      </w:pPr>
      <w:r w:rsidRPr="00BB236E">
        <w:rPr>
          <w:rFonts w:ascii="Times New Roman" w:eastAsiaTheme="minorEastAsia" w:hAnsi="Times New Roman" w:cs="Times New Roman"/>
          <w:b/>
          <w:i/>
          <w:sz w:val="24"/>
          <w:szCs w:val="24"/>
          <w:lang w:val="en-GB"/>
        </w:rPr>
        <w:t>Netherlands</w:t>
      </w:r>
    </w:p>
    <w:p w:rsidR="003D2240" w:rsidRPr="00BB236E" w:rsidRDefault="003D2240" w:rsidP="00583AB2">
      <w:pPr>
        <w:spacing w:after="0" w:line="360" w:lineRule="auto"/>
        <w:rPr>
          <w:rFonts w:ascii="Times New Roman" w:eastAsiaTheme="minorEastAsia" w:hAnsi="Times New Roman" w:cs="Times New Roman"/>
          <w:sz w:val="24"/>
          <w:szCs w:val="24"/>
          <w:lang w:val="en-GB"/>
        </w:rPr>
      </w:pPr>
      <w:r w:rsidRPr="00BB236E">
        <w:rPr>
          <w:rFonts w:ascii="Times New Roman" w:eastAsiaTheme="minorEastAsia" w:hAnsi="Times New Roman" w:cs="Times New Roman"/>
          <w:sz w:val="24"/>
          <w:szCs w:val="24"/>
          <w:lang w:val="en-GB"/>
        </w:rPr>
        <w:t>An exogenous shock of one standard deviation in Debt-to-GDP ratio, EUEPUI and SR interest rate instantly lead</w:t>
      </w:r>
      <w:r w:rsidR="00BB236E" w:rsidRPr="00BB236E">
        <w:rPr>
          <w:rFonts w:ascii="Times New Roman" w:eastAsiaTheme="minorEastAsia" w:hAnsi="Times New Roman" w:cs="Times New Roman"/>
          <w:sz w:val="24"/>
          <w:szCs w:val="24"/>
          <w:lang w:val="en-GB"/>
        </w:rPr>
        <w:t>s</w:t>
      </w:r>
      <w:r w:rsidRPr="00BB236E">
        <w:rPr>
          <w:rFonts w:ascii="Times New Roman" w:eastAsiaTheme="minorEastAsia" w:hAnsi="Times New Roman" w:cs="Times New Roman"/>
          <w:sz w:val="24"/>
          <w:szCs w:val="24"/>
          <w:lang w:val="en-GB"/>
        </w:rPr>
        <w:t xml:space="preserve"> to a fall in sovereign bond yield, with effects that endure for at least 36 months. </w:t>
      </w:r>
      <w:r w:rsidR="00BB236E" w:rsidRPr="00BB236E">
        <w:rPr>
          <w:rFonts w:ascii="Times New Roman" w:eastAsiaTheme="minorEastAsia" w:hAnsi="Times New Roman" w:cs="Times New Roman"/>
          <w:sz w:val="24"/>
          <w:szCs w:val="24"/>
          <w:lang w:val="en-GB"/>
        </w:rPr>
        <w:t xml:space="preserve">An increase in GDP growth and the government budget balance ratio lead to a persistently higher sovereign bond yield and ergo a new equilibrium level that persists for at least 50 months. In the SR a shock in CDS spread, Inflation and change in government debt ratio will lead to an increase in sovereign bond yield during the first 12 months. Conversely, this process is then reversed and overshoots its prior equilibrium level and settles at a new plateau or intermittent equilibrium level that is lower than the original equilibrium state. The plateau is reached around 20-25 months after the original exogenous shock. </w:t>
      </w:r>
    </w:p>
    <w:p w:rsidR="00E403BE" w:rsidRPr="007B3B7A" w:rsidRDefault="00E403BE" w:rsidP="00854644">
      <w:pPr>
        <w:spacing w:after="0" w:line="240" w:lineRule="auto"/>
        <w:rPr>
          <w:rFonts w:ascii="Times New Roman" w:eastAsiaTheme="minorEastAsia" w:hAnsi="Times New Roman" w:cs="Times New Roman"/>
          <w:b/>
          <w:sz w:val="24"/>
          <w:szCs w:val="24"/>
          <w:lang w:val="en-GB"/>
        </w:rPr>
      </w:pPr>
    </w:p>
    <w:p w:rsidR="00E403BE" w:rsidRPr="007B3B7A" w:rsidRDefault="00E403BE" w:rsidP="008020F8">
      <w:pPr>
        <w:spacing w:after="0" w:line="360" w:lineRule="auto"/>
        <w:rPr>
          <w:rFonts w:ascii="Times New Roman" w:eastAsiaTheme="minorEastAsia" w:hAnsi="Times New Roman" w:cs="Times New Roman"/>
          <w:b/>
          <w:i/>
          <w:sz w:val="24"/>
          <w:szCs w:val="24"/>
          <w:lang w:val="en-GB"/>
        </w:rPr>
      </w:pPr>
      <w:r w:rsidRPr="007B3B7A">
        <w:rPr>
          <w:rFonts w:ascii="Times New Roman" w:eastAsiaTheme="minorEastAsia" w:hAnsi="Times New Roman" w:cs="Times New Roman"/>
          <w:b/>
          <w:i/>
          <w:sz w:val="24"/>
          <w:szCs w:val="24"/>
          <w:lang w:val="en-GB"/>
        </w:rPr>
        <w:t>Belgium:</w:t>
      </w:r>
    </w:p>
    <w:p w:rsidR="00E403BE" w:rsidRPr="007B3B7A" w:rsidRDefault="00BB236E" w:rsidP="008020F8">
      <w:pPr>
        <w:spacing w:after="0" w:line="360" w:lineRule="auto"/>
        <w:rPr>
          <w:rFonts w:ascii="Times New Roman" w:eastAsiaTheme="minorEastAsia" w:hAnsi="Times New Roman" w:cs="Times New Roman"/>
          <w:sz w:val="24"/>
          <w:szCs w:val="24"/>
          <w:lang w:val="en-GB"/>
        </w:rPr>
      </w:pPr>
      <w:r w:rsidRPr="007B3B7A">
        <w:rPr>
          <w:rFonts w:ascii="Times New Roman" w:eastAsiaTheme="minorEastAsia" w:hAnsi="Times New Roman" w:cs="Times New Roman"/>
          <w:sz w:val="24"/>
          <w:szCs w:val="24"/>
          <w:lang w:val="en-GB"/>
        </w:rPr>
        <w:t xml:space="preserve">Dynamic shocks all </w:t>
      </w:r>
      <w:r w:rsidR="00813573" w:rsidRPr="007B3B7A">
        <w:rPr>
          <w:rFonts w:ascii="Times New Roman" w:eastAsiaTheme="minorEastAsia" w:hAnsi="Times New Roman" w:cs="Times New Roman"/>
          <w:sz w:val="24"/>
          <w:szCs w:val="24"/>
          <w:lang w:val="en-GB"/>
        </w:rPr>
        <w:t>exhibit oscillatory</w:t>
      </w:r>
      <w:r w:rsidRPr="007B3B7A">
        <w:rPr>
          <w:rFonts w:ascii="Times New Roman" w:eastAsiaTheme="minorEastAsia" w:hAnsi="Times New Roman" w:cs="Times New Roman"/>
          <w:sz w:val="24"/>
          <w:szCs w:val="24"/>
          <w:lang w:val="en-GB"/>
        </w:rPr>
        <w:t>, but increasingly divergent</w:t>
      </w:r>
      <w:r w:rsidR="00813573" w:rsidRPr="007B3B7A">
        <w:rPr>
          <w:rFonts w:ascii="Times New Roman" w:eastAsiaTheme="minorEastAsia" w:hAnsi="Times New Roman" w:cs="Times New Roman"/>
          <w:sz w:val="24"/>
          <w:szCs w:val="24"/>
          <w:lang w:val="en-GB"/>
        </w:rPr>
        <w:t xml:space="preserve"> behaviour</w:t>
      </w:r>
      <w:r w:rsidRPr="007B3B7A">
        <w:rPr>
          <w:rFonts w:ascii="Times New Roman" w:eastAsiaTheme="minorEastAsia" w:hAnsi="Times New Roman" w:cs="Times New Roman"/>
          <w:sz w:val="24"/>
          <w:szCs w:val="24"/>
          <w:lang w:val="en-GB"/>
        </w:rPr>
        <w:t xml:space="preserve"> in terms of the sovereign bond yield</w:t>
      </w:r>
      <w:r w:rsidR="007B3B7A" w:rsidRPr="007B3B7A">
        <w:rPr>
          <w:rFonts w:ascii="Times New Roman" w:eastAsiaTheme="minorEastAsia" w:hAnsi="Times New Roman" w:cs="Times New Roman"/>
          <w:sz w:val="24"/>
          <w:szCs w:val="24"/>
          <w:lang w:val="en-GB"/>
        </w:rPr>
        <w:t xml:space="preserve">. </w:t>
      </w:r>
      <w:r w:rsidR="00813573" w:rsidRPr="007B3B7A">
        <w:rPr>
          <w:rFonts w:ascii="Times New Roman" w:eastAsiaTheme="minorEastAsia" w:hAnsi="Times New Roman" w:cs="Times New Roman"/>
          <w:sz w:val="24"/>
          <w:szCs w:val="24"/>
          <w:lang w:val="en-GB"/>
        </w:rPr>
        <w:t xml:space="preserve"> </w:t>
      </w:r>
      <w:r w:rsidR="00917077" w:rsidRPr="007B3B7A">
        <w:rPr>
          <w:rFonts w:ascii="Times New Roman" w:eastAsiaTheme="minorEastAsia" w:hAnsi="Times New Roman" w:cs="Times New Roman"/>
          <w:sz w:val="24"/>
          <w:szCs w:val="24"/>
          <w:lang w:val="en-GB"/>
        </w:rPr>
        <w:t xml:space="preserve">Hence, none of the variables were of particular interest for explicating </w:t>
      </w:r>
      <w:r w:rsidR="007B3B7A" w:rsidRPr="007B3B7A">
        <w:rPr>
          <w:rFonts w:ascii="Times New Roman" w:eastAsiaTheme="minorEastAsia" w:hAnsi="Times New Roman" w:cs="Times New Roman"/>
          <w:sz w:val="24"/>
          <w:szCs w:val="24"/>
          <w:lang w:val="en-GB"/>
        </w:rPr>
        <w:t>underlying</w:t>
      </w:r>
      <w:r w:rsidR="00917077" w:rsidRPr="007B3B7A">
        <w:rPr>
          <w:rFonts w:ascii="Times New Roman" w:eastAsiaTheme="minorEastAsia" w:hAnsi="Times New Roman" w:cs="Times New Roman"/>
          <w:sz w:val="24"/>
          <w:szCs w:val="24"/>
          <w:lang w:val="en-GB"/>
        </w:rPr>
        <w:t xml:space="preserve"> dynamic relationships between sovereign bonds and country-specific fundamentals. </w:t>
      </w:r>
    </w:p>
    <w:p w:rsidR="00E403BE" w:rsidRPr="00C4366F" w:rsidRDefault="00E403BE" w:rsidP="008020F8">
      <w:pPr>
        <w:spacing w:after="0" w:line="360" w:lineRule="auto"/>
        <w:rPr>
          <w:rFonts w:ascii="Times New Roman" w:eastAsiaTheme="minorEastAsia" w:hAnsi="Times New Roman" w:cs="Times New Roman"/>
          <w:b/>
          <w:i/>
          <w:sz w:val="24"/>
          <w:szCs w:val="24"/>
          <w:lang w:val="en-GB"/>
        </w:rPr>
      </w:pPr>
    </w:p>
    <w:p w:rsidR="00E403BE" w:rsidRPr="00C4366F" w:rsidRDefault="00E403BE" w:rsidP="00C15D15">
      <w:pPr>
        <w:spacing w:after="0" w:line="360" w:lineRule="auto"/>
        <w:rPr>
          <w:rFonts w:ascii="Times New Roman" w:eastAsiaTheme="minorEastAsia" w:hAnsi="Times New Roman" w:cs="Times New Roman"/>
          <w:b/>
          <w:i/>
          <w:sz w:val="24"/>
          <w:szCs w:val="24"/>
          <w:lang w:val="en-GB"/>
        </w:rPr>
      </w:pPr>
      <w:r w:rsidRPr="00C4366F">
        <w:rPr>
          <w:rFonts w:ascii="Times New Roman" w:eastAsiaTheme="minorEastAsia" w:hAnsi="Times New Roman" w:cs="Times New Roman"/>
          <w:b/>
          <w:i/>
          <w:sz w:val="24"/>
          <w:szCs w:val="24"/>
          <w:lang w:val="en-GB"/>
        </w:rPr>
        <w:t>France:</w:t>
      </w:r>
    </w:p>
    <w:p w:rsidR="00E403BE" w:rsidRPr="00C4366F" w:rsidRDefault="007B3B7A" w:rsidP="00C15D15">
      <w:pPr>
        <w:spacing w:after="0" w:line="360" w:lineRule="auto"/>
        <w:rPr>
          <w:rFonts w:ascii="Times New Roman" w:eastAsiaTheme="minorEastAsia" w:hAnsi="Times New Roman" w:cs="Times New Roman"/>
          <w:sz w:val="24"/>
          <w:szCs w:val="24"/>
          <w:lang w:val="en-GB"/>
        </w:rPr>
      </w:pPr>
      <w:r w:rsidRPr="00C4366F">
        <w:rPr>
          <w:rFonts w:ascii="Times New Roman" w:eastAsiaTheme="minorEastAsia" w:hAnsi="Times New Roman" w:cs="Times New Roman"/>
          <w:sz w:val="24"/>
          <w:szCs w:val="24"/>
          <w:lang w:val="en-GB"/>
        </w:rPr>
        <w:t xml:space="preserve">A one-time shock in expected inflation leads to a spike in sovereign bond yield for the first 5-6 months before it converges on zero and the effect is slowly eroded away over time. </w:t>
      </w:r>
      <w:r w:rsidRPr="00C4366F">
        <w:rPr>
          <w:rFonts w:ascii="Times New Roman" w:eastAsiaTheme="minorEastAsia" w:hAnsi="Times New Roman" w:cs="Times New Roman"/>
          <w:sz w:val="24"/>
          <w:szCs w:val="24"/>
          <w:lang w:val="en-GB"/>
        </w:rPr>
        <w:lastRenderedPageBreak/>
        <w:t xml:space="preserve">Nevertheless, GDP growth, CDS spread and the REER in particular seem to increase sovereign bond yield to a higher equilibrium level that persists for more than 36 months. </w:t>
      </w:r>
      <w:r w:rsidR="00C4366F" w:rsidRPr="00C4366F">
        <w:rPr>
          <w:rFonts w:ascii="Times New Roman" w:eastAsiaTheme="minorEastAsia" w:hAnsi="Times New Roman" w:cs="Times New Roman"/>
          <w:sz w:val="24"/>
          <w:szCs w:val="24"/>
          <w:lang w:val="en-GB"/>
        </w:rPr>
        <w:t>An unexpected increase in g</w:t>
      </w:r>
      <w:r w:rsidRPr="00C4366F">
        <w:rPr>
          <w:rFonts w:ascii="Times New Roman" w:eastAsiaTheme="minorEastAsia" w:hAnsi="Times New Roman" w:cs="Times New Roman"/>
          <w:sz w:val="24"/>
          <w:szCs w:val="24"/>
          <w:lang w:val="en-GB"/>
        </w:rPr>
        <w:t xml:space="preserve">overnment debt, government budget balance ratio and </w:t>
      </w:r>
      <w:r w:rsidR="00C4366F" w:rsidRPr="00C4366F">
        <w:rPr>
          <w:rFonts w:ascii="Times New Roman" w:eastAsiaTheme="minorEastAsia" w:hAnsi="Times New Roman" w:cs="Times New Roman"/>
          <w:sz w:val="24"/>
          <w:szCs w:val="24"/>
          <w:lang w:val="en-GB"/>
        </w:rPr>
        <w:t xml:space="preserve">inflation equivalent to one standard deviation led to a persistently lower sovereign bond yield. </w:t>
      </w:r>
    </w:p>
    <w:p w:rsidR="00E403BE" w:rsidRPr="00C4366F" w:rsidRDefault="00E403BE" w:rsidP="00C15D15">
      <w:pPr>
        <w:spacing w:after="0" w:line="360" w:lineRule="auto"/>
        <w:rPr>
          <w:rFonts w:ascii="Times New Roman" w:eastAsiaTheme="minorEastAsia" w:hAnsi="Times New Roman" w:cs="Times New Roman"/>
          <w:color w:val="00B0F0"/>
          <w:sz w:val="24"/>
          <w:szCs w:val="24"/>
          <w:lang w:val="en-GB"/>
        </w:rPr>
      </w:pPr>
    </w:p>
    <w:p w:rsidR="00DD1D63" w:rsidRPr="00C4366F" w:rsidRDefault="00E403BE" w:rsidP="00C15D15">
      <w:pPr>
        <w:spacing w:after="0" w:line="360" w:lineRule="auto"/>
        <w:rPr>
          <w:rFonts w:ascii="Times New Roman" w:eastAsiaTheme="minorEastAsia" w:hAnsi="Times New Roman" w:cs="Times New Roman"/>
          <w:b/>
          <w:i/>
          <w:sz w:val="24"/>
          <w:szCs w:val="24"/>
          <w:lang w:val="en-GB"/>
        </w:rPr>
      </w:pPr>
      <w:r w:rsidRPr="00C4366F">
        <w:rPr>
          <w:rFonts w:ascii="Times New Roman" w:eastAsiaTheme="minorEastAsia" w:hAnsi="Times New Roman" w:cs="Times New Roman"/>
          <w:b/>
          <w:i/>
          <w:sz w:val="24"/>
          <w:szCs w:val="24"/>
          <w:lang w:val="en-GB"/>
        </w:rPr>
        <w:t>Spain:</w:t>
      </w:r>
    </w:p>
    <w:p w:rsidR="00FC77EF" w:rsidRPr="00585170" w:rsidRDefault="001A4732" w:rsidP="0075584F">
      <w:pPr>
        <w:spacing w:after="0" w:line="360" w:lineRule="auto"/>
        <w:rPr>
          <w:rFonts w:ascii="Times New Roman" w:eastAsiaTheme="minorEastAsia" w:hAnsi="Times New Roman" w:cs="Times New Roman"/>
          <w:sz w:val="24"/>
          <w:szCs w:val="24"/>
          <w:lang w:val="en-GB"/>
        </w:rPr>
      </w:pPr>
      <w:r w:rsidRPr="00585170">
        <w:rPr>
          <w:rFonts w:ascii="Times New Roman" w:eastAsiaTheme="minorEastAsia" w:hAnsi="Times New Roman" w:cs="Times New Roman"/>
          <w:sz w:val="24"/>
          <w:szCs w:val="24"/>
          <w:lang w:val="en-GB"/>
        </w:rPr>
        <w:t xml:space="preserve">The CAB ratio likely exhibits the behaviour as displayed in </w:t>
      </w:r>
      <w:r w:rsidR="008E49E1">
        <w:rPr>
          <w:rFonts w:ascii="Times New Roman" w:eastAsiaTheme="minorEastAsia" w:hAnsi="Times New Roman" w:cs="Times New Roman"/>
          <w:sz w:val="24"/>
          <w:szCs w:val="24"/>
          <w:lang w:val="en-GB"/>
        </w:rPr>
        <w:t>Figure</w:t>
      </w:r>
      <w:r w:rsidRPr="00585170">
        <w:rPr>
          <w:rFonts w:ascii="Times New Roman" w:eastAsiaTheme="minorEastAsia" w:hAnsi="Times New Roman" w:cs="Times New Roman"/>
          <w:sz w:val="24"/>
          <w:szCs w:val="24"/>
          <w:lang w:val="en-GB"/>
        </w:rPr>
        <w:t xml:space="preserve"> A6.</w:t>
      </w:r>
      <w:r w:rsidR="008E49E1">
        <w:rPr>
          <w:rFonts w:ascii="Times New Roman" w:eastAsiaTheme="minorEastAsia" w:hAnsi="Times New Roman" w:cs="Times New Roman"/>
          <w:sz w:val="24"/>
          <w:szCs w:val="24"/>
          <w:lang w:val="en-GB"/>
        </w:rPr>
        <w:t>1</w:t>
      </w:r>
      <w:r w:rsidRPr="00585170">
        <w:rPr>
          <w:rFonts w:ascii="Times New Roman" w:eastAsiaTheme="minorEastAsia" w:hAnsi="Times New Roman" w:cs="Times New Roman"/>
          <w:sz w:val="24"/>
          <w:szCs w:val="24"/>
          <w:lang w:val="en-GB"/>
        </w:rPr>
        <w:t xml:space="preserve"> </w:t>
      </w:r>
      <w:r w:rsidR="00585170" w:rsidRPr="00585170">
        <w:rPr>
          <w:rFonts w:ascii="Times New Roman" w:eastAsiaTheme="minorEastAsia" w:hAnsi="Times New Roman" w:cs="Times New Roman"/>
          <w:sz w:val="24"/>
          <w:szCs w:val="24"/>
          <w:lang w:val="en-GB"/>
        </w:rPr>
        <w:t>due to a process similar to that of the</w:t>
      </w:r>
      <w:r w:rsidRPr="00585170">
        <w:rPr>
          <w:rFonts w:ascii="Times New Roman" w:eastAsiaTheme="minorEastAsia" w:hAnsi="Times New Roman" w:cs="Times New Roman"/>
          <w:sz w:val="24"/>
          <w:szCs w:val="24"/>
          <w:lang w:val="en-GB"/>
        </w:rPr>
        <w:t xml:space="preserve"> J-curve effect. </w:t>
      </w:r>
      <w:r w:rsidR="000417D0" w:rsidRPr="00585170">
        <w:rPr>
          <w:rFonts w:ascii="Times New Roman" w:eastAsiaTheme="minorEastAsia" w:hAnsi="Times New Roman" w:cs="Times New Roman"/>
          <w:sz w:val="24"/>
          <w:szCs w:val="24"/>
          <w:lang w:val="en-GB"/>
        </w:rPr>
        <w:t xml:space="preserve">As the CAB ratio increases, initially sovereign bond yields rise </w:t>
      </w:r>
      <w:r w:rsidR="00585170" w:rsidRPr="00585170">
        <w:rPr>
          <w:rFonts w:ascii="Times New Roman" w:eastAsiaTheme="minorEastAsia" w:hAnsi="Times New Roman" w:cs="Times New Roman"/>
          <w:sz w:val="24"/>
          <w:szCs w:val="24"/>
          <w:lang w:val="en-GB"/>
        </w:rPr>
        <w:t xml:space="preserve">as the widening gap between capital investment and private/public saving may be construed as additional risk. Conversely, </w:t>
      </w:r>
      <w:r w:rsidR="000417D0" w:rsidRPr="00585170">
        <w:rPr>
          <w:rFonts w:ascii="Times New Roman" w:eastAsiaTheme="minorEastAsia" w:hAnsi="Times New Roman" w:cs="Times New Roman"/>
          <w:sz w:val="24"/>
          <w:szCs w:val="24"/>
          <w:lang w:val="en-GB"/>
        </w:rPr>
        <w:t>after the transition phase, the sovereign bond yield starts to fall as the country accumulates foreign assets by the amount of the current account surplus</w:t>
      </w:r>
      <w:r w:rsidR="00585170" w:rsidRPr="00585170">
        <w:rPr>
          <w:rFonts w:ascii="Times New Roman" w:eastAsiaTheme="minorEastAsia" w:hAnsi="Times New Roman" w:cs="Times New Roman"/>
          <w:sz w:val="24"/>
          <w:szCs w:val="24"/>
          <w:lang w:val="en-GB"/>
        </w:rPr>
        <w:t>. T</w:t>
      </w:r>
      <w:r w:rsidR="000417D0" w:rsidRPr="00585170">
        <w:rPr>
          <w:rFonts w:ascii="Times New Roman" w:eastAsiaTheme="minorEastAsia" w:hAnsi="Times New Roman" w:cs="Times New Roman"/>
          <w:sz w:val="24"/>
          <w:szCs w:val="24"/>
          <w:lang w:val="en-GB"/>
        </w:rPr>
        <w:t>he associated reduction of associated sovereign default risk</w:t>
      </w:r>
      <w:r w:rsidR="00585170" w:rsidRPr="00585170">
        <w:rPr>
          <w:rFonts w:ascii="Times New Roman" w:eastAsiaTheme="minorEastAsia" w:hAnsi="Times New Roman" w:cs="Times New Roman"/>
          <w:sz w:val="24"/>
          <w:szCs w:val="24"/>
          <w:lang w:val="en-GB"/>
        </w:rPr>
        <w:t xml:space="preserve"> leads to a fall in sovereign bond yield</w:t>
      </w:r>
      <w:r w:rsidR="000417D0" w:rsidRPr="00585170">
        <w:rPr>
          <w:rFonts w:ascii="Times New Roman" w:eastAsiaTheme="minorEastAsia" w:hAnsi="Times New Roman" w:cs="Times New Roman"/>
          <w:sz w:val="24"/>
          <w:szCs w:val="24"/>
          <w:lang w:val="en-GB"/>
        </w:rPr>
        <w:t xml:space="preserve">. </w:t>
      </w:r>
      <w:r w:rsidR="00FC77EF" w:rsidRPr="00585170">
        <w:rPr>
          <w:rFonts w:ascii="Times New Roman" w:eastAsiaTheme="minorEastAsia" w:hAnsi="Times New Roman" w:cs="Times New Roman"/>
          <w:sz w:val="24"/>
          <w:szCs w:val="24"/>
          <w:lang w:val="en-GB"/>
        </w:rPr>
        <w:t>The impact of a shock in SR interest rates dissipates within 24 months</w:t>
      </w:r>
      <w:r w:rsidR="000417D0" w:rsidRPr="00585170">
        <w:rPr>
          <w:rFonts w:ascii="Times New Roman" w:eastAsiaTheme="minorEastAsia" w:hAnsi="Times New Roman" w:cs="Times New Roman"/>
          <w:sz w:val="24"/>
          <w:szCs w:val="24"/>
          <w:lang w:val="en-GB"/>
        </w:rPr>
        <w:t xml:space="preserve">. </w:t>
      </w:r>
    </w:p>
    <w:p w:rsidR="00E403BE" w:rsidRPr="00CE45EB" w:rsidRDefault="00E403BE" w:rsidP="0075584F">
      <w:pPr>
        <w:spacing w:after="0" w:line="360" w:lineRule="auto"/>
        <w:rPr>
          <w:rFonts w:ascii="Times New Roman" w:eastAsiaTheme="minorEastAsia" w:hAnsi="Times New Roman" w:cs="Times New Roman"/>
          <w:b/>
          <w:i/>
          <w:sz w:val="24"/>
          <w:szCs w:val="24"/>
          <w:lang w:val="en-GB"/>
        </w:rPr>
      </w:pPr>
    </w:p>
    <w:p w:rsidR="00E403BE" w:rsidRPr="00CE45EB" w:rsidRDefault="00E403BE" w:rsidP="0075584F">
      <w:pPr>
        <w:spacing w:after="0" w:line="360" w:lineRule="auto"/>
        <w:rPr>
          <w:rFonts w:ascii="Times New Roman" w:eastAsiaTheme="minorEastAsia" w:hAnsi="Times New Roman" w:cs="Times New Roman"/>
          <w:b/>
          <w:i/>
          <w:sz w:val="24"/>
          <w:szCs w:val="24"/>
          <w:lang w:val="en-GB"/>
        </w:rPr>
      </w:pPr>
      <w:r w:rsidRPr="00CE45EB">
        <w:rPr>
          <w:rFonts w:ascii="Times New Roman" w:eastAsiaTheme="minorEastAsia" w:hAnsi="Times New Roman" w:cs="Times New Roman"/>
          <w:b/>
          <w:i/>
          <w:sz w:val="24"/>
          <w:szCs w:val="24"/>
          <w:lang w:val="en-GB"/>
        </w:rPr>
        <w:t>Italy:</w:t>
      </w:r>
    </w:p>
    <w:p w:rsidR="00E403BE" w:rsidRPr="00CE45EB" w:rsidRDefault="00542BF2" w:rsidP="0075584F">
      <w:pPr>
        <w:spacing w:after="0" w:line="360" w:lineRule="auto"/>
        <w:rPr>
          <w:rFonts w:ascii="Times New Roman" w:eastAsiaTheme="minorEastAsia" w:hAnsi="Times New Roman" w:cs="Times New Roman"/>
          <w:sz w:val="24"/>
          <w:szCs w:val="24"/>
          <w:lang w:val="en-GB"/>
        </w:rPr>
      </w:pPr>
      <w:r w:rsidRPr="00CE45EB">
        <w:rPr>
          <w:rFonts w:ascii="Times New Roman" w:eastAsiaTheme="minorEastAsia" w:hAnsi="Times New Roman" w:cs="Times New Roman"/>
          <w:sz w:val="24"/>
          <w:szCs w:val="24"/>
          <w:lang w:val="en-GB"/>
        </w:rPr>
        <w:t xml:space="preserve">Dynamic shocks </w:t>
      </w:r>
      <w:r w:rsidR="001A1699" w:rsidRPr="00CE45EB">
        <w:rPr>
          <w:rFonts w:ascii="Times New Roman" w:eastAsiaTheme="minorEastAsia" w:hAnsi="Times New Roman" w:cs="Times New Roman"/>
          <w:sz w:val="24"/>
          <w:szCs w:val="24"/>
          <w:lang w:val="en-GB"/>
        </w:rPr>
        <w:t>do not</w:t>
      </w:r>
      <w:r w:rsidRPr="00CE45EB">
        <w:rPr>
          <w:rFonts w:ascii="Times New Roman" w:eastAsiaTheme="minorEastAsia" w:hAnsi="Times New Roman" w:cs="Times New Roman"/>
          <w:sz w:val="24"/>
          <w:szCs w:val="24"/>
          <w:lang w:val="en-GB"/>
        </w:rPr>
        <w:t xml:space="preserve"> die out and thus Italy’s sovereign bond market is dynamically </w:t>
      </w:r>
      <w:r w:rsidR="001A1699" w:rsidRPr="00CE45EB">
        <w:rPr>
          <w:rFonts w:ascii="Times New Roman" w:eastAsiaTheme="minorEastAsia" w:hAnsi="Times New Roman" w:cs="Times New Roman"/>
          <w:sz w:val="24"/>
          <w:szCs w:val="24"/>
          <w:lang w:val="en-GB"/>
        </w:rPr>
        <w:t>un</w:t>
      </w:r>
      <w:r w:rsidRPr="00CE45EB">
        <w:rPr>
          <w:rFonts w:ascii="Times New Roman" w:eastAsiaTheme="minorEastAsia" w:hAnsi="Times New Roman" w:cs="Times New Roman"/>
          <w:sz w:val="24"/>
          <w:szCs w:val="24"/>
          <w:lang w:val="en-GB"/>
        </w:rPr>
        <w:t>stable</w:t>
      </w:r>
      <w:r w:rsidR="001A1699" w:rsidRPr="00CE45EB">
        <w:rPr>
          <w:rFonts w:ascii="Times New Roman" w:eastAsiaTheme="minorEastAsia" w:hAnsi="Times New Roman" w:cs="Times New Roman"/>
          <w:sz w:val="24"/>
          <w:szCs w:val="24"/>
          <w:lang w:val="en-GB"/>
        </w:rPr>
        <w:t xml:space="preserve"> according to this model</w:t>
      </w:r>
      <w:r w:rsidRPr="00CE45EB">
        <w:rPr>
          <w:rFonts w:ascii="Times New Roman" w:eastAsiaTheme="minorEastAsia" w:hAnsi="Times New Roman" w:cs="Times New Roman"/>
          <w:sz w:val="24"/>
          <w:szCs w:val="24"/>
          <w:lang w:val="en-GB"/>
        </w:rPr>
        <w:t>. The largest positive impact on sovereign yields</w:t>
      </w:r>
      <w:r w:rsidR="000E40CA" w:rsidRPr="00CE45EB">
        <w:rPr>
          <w:rFonts w:ascii="Times New Roman" w:eastAsiaTheme="minorEastAsia" w:hAnsi="Times New Roman" w:cs="Times New Roman"/>
          <w:sz w:val="24"/>
          <w:szCs w:val="24"/>
          <w:lang w:val="en-GB"/>
        </w:rPr>
        <w:t xml:space="preserve"> comes from an unexpected change in </w:t>
      </w:r>
      <w:r w:rsidR="001A1699" w:rsidRPr="00CE45EB">
        <w:rPr>
          <w:rFonts w:ascii="Times New Roman" w:eastAsiaTheme="minorEastAsia" w:hAnsi="Times New Roman" w:cs="Times New Roman"/>
          <w:sz w:val="24"/>
          <w:szCs w:val="24"/>
          <w:lang w:val="en-GB"/>
        </w:rPr>
        <w:t>the CAB ratio, though this positive effect last for a period of 48-108 months after the initial shock, prior to and beyond this period the sovereign bond yield fell due to the exogenous</w:t>
      </w:r>
      <w:r w:rsidR="00CE45EB" w:rsidRPr="00CE45EB">
        <w:rPr>
          <w:rFonts w:ascii="Times New Roman" w:eastAsiaTheme="minorEastAsia" w:hAnsi="Times New Roman" w:cs="Times New Roman"/>
          <w:sz w:val="24"/>
          <w:szCs w:val="24"/>
          <w:lang w:val="en-GB"/>
        </w:rPr>
        <w:t xml:space="preserve"> shock in the CAB ratio. Nevertheless, as time progresses, the magnitude of oscillations falls slowly, though not fast enough to be realistic. </w:t>
      </w:r>
    </w:p>
    <w:p w:rsidR="00542BF2" w:rsidRPr="00835B3C" w:rsidRDefault="00542BF2" w:rsidP="0075584F">
      <w:pPr>
        <w:spacing w:after="0" w:line="360" w:lineRule="auto"/>
        <w:rPr>
          <w:rFonts w:ascii="Times New Roman" w:eastAsiaTheme="minorEastAsia" w:hAnsi="Times New Roman" w:cs="Times New Roman"/>
          <w:color w:val="00B0F0"/>
          <w:sz w:val="24"/>
          <w:szCs w:val="24"/>
          <w:lang w:val="en-GB"/>
        </w:rPr>
      </w:pPr>
    </w:p>
    <w:p w:rsidR="00E403BE" w:rsidRPr="001A1699" w:rsidRDefault="00E403BE" w:rsidP="0075584F">
      <w:pPr>
        <w:spacing w:after="0" w:line="360" w:lineRule="auto"/>
        <w:rPr>
          <w:rFonts w:ascii="Times New Roman" w:eastAsiaTheme="minorEastAsia" w:hAnsi="Times New Roman" w:cs="Times New Roman"/>
          <w:b/>
          <w:i/>
          <w:sz w:val="24"/>
          <w:szCs w:val="24"/>
          <w:lang w:val="en-GB"/>
        </w:rPr>
      </w:pPr>
      <w:r w:rsidRPr="001A1699">
        <w:rPr>
          <w:rFonts w:ascii="Times New Roman" w:eastAsiaTheme="minorEastAsia" w:hAnsi="Times New Roman" w:cs="Times New Roman"/>
          <w:b/>
          <w:i/>
          <w:sz w:val="24"/>
          <w:szCs w:val="24"/>
          <w:lang w:val="en-GB"/>
        </w:rPr>
        <w:t>Greece:</w:t>
      </w:r>
    </w:p>
    <w:p w:rsidR="00E403BE" w:rsidRDefault="005442A8" w:rsidP="0075584F">
      <w:pPr>
        <w:spacing w:after="0" w:line="360" w:lineRule="auto"/>
        <w:rPr>
          <w:rFonts w:ascii="Times New Roman" w:eastAsiaTheme="minorEastAsia" w:hAnsi="Times New Roman" w:cs="Times New Roman"/>
          <w:sz w:val="24"/>
          <w:szCs w:val="24"/>
          <w:lang w:val="en-GB"/>
        </w:rPr>
      </w:pPr>
      <w:r w:rsidRPr="001A1699">
        <w:rPr>
          <w:rFonts w:ascii="Times New Roman" w:eastAsiaTheme="minorEastAsia" w:hAnsi="Times New Roman" w:cs="Times New Roman"/>
          <w:sz w:val="24"/>
          <w:szCs w:val="24"/>
          <w:lang w:val="en-GB"/>
        </w:rPr>
        <w:t xml:space="preserve">No significant revelations are uncovered from Greece’s VEC-based IRF, other than that </w:t>
      </w:r>
      <w:r w:rsidR="00650459" w:rsidRPr="001A1699">
        <w:rPr>
          <w:rFonts w:ascii="Times New Roman" w:eastAsiaTheme="minorEastAsia" w:hAnsi="Times New Roman" w:cs="Times New Roman"/>
          <w:sz w:val="24"/>
          <w:szCs w:val="24"/>
          <w:lang w:val="en-GB"/>
        </w:rPr>
        <w:t xml:space="preserve">exogenous shocks in </w:t>
      </w:r>
      <w:r w:rsidRPr="001A1699">
        <w:rPr>
          <w:rFonts w:ascii="Times New Roman" w:eastAsiaTheme="minorEastAsia" w:hAnsi="Times New Roman" w:cs="Times New Roman"/>
          <w:sz w:val="24"/>
          <w:szCs w:val="24"/>
          <w:lang w:val="en-GB"/>
        </w:rPr>
        <w:t xml:space="preserve">several variables </w:t>
      </w:r>
      <w:r w:rsidR="00650459" w:rsidRPr="001A1699">
        <w:rPr>
          <w:rFonts w:ascii="Times New Roman" w:eastAsiaTheme="minorEastAsia" w:hAnsi="Times New Roman" w:cs="Times New Roman"/>
          <w:sz w:val="24"/>
          <w:szCs w:val="24"/>
          <w:lang w:val="en-GB"/>
        </w:rPr>
        <w:t xml:space="preserve">led to a permanent change in the sovereign yield’s equilibrium level. </w:t>
      </w:r>
      <w:r w:rsidR="00B601A0" w:rsidRPr="001A1699">
        <w:rPr>
          <w:rFonts w:ascii="Times New Roman" w:eastAsiaTheme="minorEastAsia" w:hAnsi="Times New Roman" w:cs="Times New Roman"/>
          <w:sz w:val="24"/>
          <w:szCs w:val="24"/>
          <w:lang w:val="en-GB"/>
        </w:rPr>
        <w:t xml:space="preserve"> </w:t>
      </w:r>
      <w:r w:rsidR="001A1699" w:rsidRPr="001A1699">
        <w:rPr>
          <w:rFonts w:ascii="Times New Roman" w:eastAsiaTheme="minorEastAsia" w:hAnsi="Times New Roman" w:cs="Times New Roman"/>
          <w:sz w:val="24"/>
          <w:szCs w:val="24"/>
          <w:lang w:val="en-GB"/>
        </w:rPr>
        <w:t xml:space="preserve">Increases in CDS spread and debt-to-GDP ratio invariably led to a lower sovereign bond yield within one month, a development which persists well past the 20 month marker. The shock to the other variables led to a permanent increase in sovereign bond yield of less than 0.25%; a level that was reached after only 3 months to 4 months. </w:t>
      </w:r>
    </w:p>
    <w:p w:rsidR="00CE45EB" w:rsidRDefault="00CE45EB" w:rsidP="00F5315F">
      <w:pPr>
        <w:spacing w:after="0" w:line="240" w:lineRule="auto"/>
        <w:rPr>
          <w:rFonts w:ascii="Times New Roman" w:eastAsiaTheme="minorEastAsia" w:hAnsi="Times New Roman" w:cs="Times New Roman"/>
          <w:sz w:val="24"/>
          <w:szCs w:val="24"/>
          <w:lang w:val="en-GB"/>
        </w:rPr>
      </w:pPr>
    </w:p>
    <w:p w:rsidR="00CE45EB" w:rsidRDefault="00CE45EB" w:rsidP="0075584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 xml:space="preserve">Compendiously, there is evidence to support that exogenous shocks in certain country-specific fundamentals can have a marked effect on sovereign bond yields that persists into the long-run. Nevertheless, due to inherent dynamic divergence of a number of independent variables, one must be cautious to conclude anything based on the IRFs.  </w:t>
      </w:r>
    </w:p>
    <w:p w:rsidR="00D14342" w:rsidRDefault="00D14342" w:rsidP="00D14342">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6.6</w:t>
      </w:r>
      <w:r>
        <w:rPr>
          <w:rFonts w:ascii="Times New Roman" w:hAnsi="Times New Roman" w:cs="Times New Roman"/>
          <w:b/>
          <w:sz w:val="24"/>
          <w:szCs w:val="24"/>
          <w:lang w:val="en-GB"/>
        </w:rPr>
        <w:tab/>
      </w:r>
      <w:r w:rsidR="005D2534">
        <w:rPr>
          <w:rFonts w:ascii="Times New Roman" w:hAnsi="Times New Roman" w:cs="Times New Roman"/>
          <w:b/>
          <w:sz w:val="24"/>
          <w:szCs w:val="24"/>
          <w:lang w:val="en-GB"/>
        </w:rPr>
        <w:t>Dynamic Ordinary Least Squares</w:t>
      </w:r>
    </w:p>
    <w:p w:rsidR="00D14342" w:rsidRDefault="005D2534" w:rsidP="0075584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In this section I shall elucidate the</w:t>
      </w:r>
      <w:r w:rsidR="005A71AA">
        <w:rPr>
          <w:rFonts w:ascii="Times New Roman" w:eastAsiaTheme="minorEastAsia" w:hAnsi="Times New Roman" w:cs="Times New Roman"/>
          <w:sz w:val="24"/>
          <w:szCs w:val="24"/>
          <w:lang w:val="en-GB"/>
        </w:rPr>
        <w:t xml:space="preserve"> models created by utilizing the Dynamic Ordinary Least Squares (DOLS) method. According to Saikkonen (1991), </w:t>
      </w:r>
      <w:r w:rsidR="00917ADF">
        <w:rPr>
          <w:rFonts w:ascii="Times New Roman" w:eastAsiaTheme="minorEastAsia" w:hAnsi="Times New Roman" w:cs="Times New Roman"/>
          <w:sz w:val="24"/>
          <w:szCs w:val="24"/>
          <w:lang w:val="en-GB"/>
        </w:rPr>
        <w:t xml:space="preserve">the DOLS augmented via inclusion of leads and lags of the first difference of I(1) independent variables, is tantamount to an asymptotic optimality model that accurately gauges cointegrating regressions and dynamic characteristics exhibited by the data. </w:t>
      </w:r>
      <w:r w:rsidR="00547FDA">
        <w:rPr>
          <w:rFonts w:ascii="Times New Roman" w:eastAsiaTheme="minorEastAsia" w:hAnsi="Times New Roman" w:cs="Times New Roman"/>
          <w:sz w:val="24"/>
          <w:szCs w:val="24"/>
          <w:lang w:val="en-GB"/>
        </w:rPr>
        <w:t xml:space="preserve">Thus based on the independent variables that were deemed statistically significant by the VECM and with the number of lags equivalent to that indicated by the JMC and with one lead, a dynamic model was generated. </w:t>
      </w:r>
      <w:r w:rsidR="00550994">
        <w:rPr>
          <w:rFonts w:ascii="Times New Roman" w:eastAsiaTheme="minorEastAsia" w:hAnsi="Times New Roman" w:cs="Times New Roman"/>
          <w:sz w:val="24"/>
          <w:szCs w:val="24"/>
          <w:lang w:val="en-GB"/>
        </w:rPr>
        <w:t xml:space="preserve">The compendium of the results can be found in Table A6.6 of the Appendix. For each country, only the model with the best fit and statistically significant variables was chosen. </w:t>
      </w:r>
    </w:p>
    <w:p w:rsidR="005D2534" w:rsidRDefault="00550994" w:rsidP="0075584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 xml:space="preserve">As one can see, each country has a plethora of different independent variables that, combined, explicated sovereign bond yields. Nevertheless, certain </w:t>
      </w:r>
      <w:r w:rsidR="00543E7F">
        <w:rPr>
          <w:rFonts w:ascii="Times New Roman" w:eastAsiaTheme="minorEastAsia" w:hAnsi="Times New Roman" w:cs="Times New Roman"/>
          <w:sz w:val="24"/>
          <w:szCs w:val="24"/>
          <w:lang w:val="en-GB"/>
        </w:rPr>
        <w:t xml:space="preserve">independent variables were a common sight, e.g., short-run interest rates were significant for all 7 countries involved. Surprisingly, the Debt-to-GDP ratio was only statistically significant for Germany, Greece and Spain. This may be explicated by focusing on the fact that Germany is a ‘safe haven’ and thus it would not do to allow for fiscal imbalances, whilst Greece and Spain have a history of periods marked by towering debt burdens. Similarly, the Baa-10yRF was of no consequence for Belgium, France and Germany. </w:t>
      </w:r>
    </w:p>
    <w:p w:rsidR="00543E7F" w:rsidRDefault="00543E7F" w:rsidP="0075584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 xml:space="preserve">Concisely, the adjusted </w:t>
      </w:r>
      <w:r w:rsidRPr="00BD2978">
        <w:rPr>
          <w:rFonts w:ascii="Times New Roman" w:eastAsiaTheme="minorEastAsia" w:hAnsi="Times New Roman" w:cs="Times New Roman"/>
          <w:i/>
          <w:sz w:val="24"/>
          <w:szCs w:val="24"/>
          <w:lang w:val="en-GB"/>
        </w:rPr>
        <w:t>R</w:t>
      </w:r>
      <w:r>
        <w:rPr>
          <w:rFonts w:ascii="Times New Roman" w:eastAsiaTheme="minorEastAsia" w:hAnsi="Times New Roman" w:cs="Times New Roman"/>
          <w:sz w:val="24"/>
          <w:szCs w:val="24"/>
          <w:lang w:val="en-GB"/>
        </w:rPr>
        <w:t>²</w:t>
      </w:r>
      <w:r w:rsidR="00BD2978">
        <w:rPr>
          <w:rFonts w:ascii="Times New Roman" w:eastAsiaTheme="minorEastAsia" w:hAnsi="Times New Roman" w:cs="Times New Roman"/>
          <w:sz w:val="24"/>
          <w:szCs w:val="24"/>
          <w:lang w:val="en-GB"/>
        </w:rPr>
        <w:t xml:space="preserve"> of the dynamic models were all above 0.85 and thus much of the variance in sovereign bond yield movements has been explained via the dynamic movements and interactions of the independent variables included. </w:t>
      </w:r>
    </w:p>
    <w:p w:rsidR="0057490E" w:rsidRDefault="00BD2978" w:rsidP="0075584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t xml:space="preserve">I can conclusively state, that while there is some common ground with respect to the driving forces of sovereign bond yields in each respective country, there are also significant and inescapable differences in terms of their impact (magnitude) on sovereign yield movements and their direction (sign). For example, </w:t>
      </w:r>
      <w:r w:rsidR="002818AC">
        <w:rPr>
          <w:rFonts w:ascii="Times New Roman" w:eastAsiaTheme="minorEastAsia" w:hAnsi="Times New Roman" w:cs="Times New Roman"/>
          <w:sz w:val="24"/>
          <w:szCs w:val="24"/>
          <w:lang w:val="en-GB"/>
        </w:rPr>
        <w:t xml:space="preserve">an increase in expected inflation would lead to a fall in sovereign bond yield for the Netherlands and Germany, whilst it would increase the sovereign bond yields of Italy and Greece. </w:t>
      </w:r>
    </w:p>
    <w:p w:rsidR="00D14342" w:rsidRDefault="0057490E" w:rsidP="0075584F">
      <w:pPr>
        <w:spacing w:after="0"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ab/>
      </w:r>
      <w:r w:rsidR="002818AC">
        <w:rPr>
          <w:rFonts w:ascii="Times New Roman" w:eastAsiaTheme="minorEastAsia" w:hAnsi="Times New Roman" w:cs="Times New Roman"/>
          <w:sz w:val="24"/>
          <w:szCs w:val="24"/>
          <w:lang w:val="en-GB"/>
        </w:rPr>
        <w:t xml:space="preserve">Thus, overall </w:t>
      </w:r>
      <w:r>
        <w:rPr>
          <w:rFonts w:ascii="Times New Roman" w:eastAsiaTheme="minorEastAsia" w:hAnsi="Times New Roman" w:cs="Times New Roman"/>
          <w:sz w:val="24"/>
          <w:szCs w:val="24"/>
          <w:lang w:val="en-GB"/>
        </w:rPr>
        <w:t xml:space="preserve">I can conclude that there is a level of asymmetry in sovereign bond yields’ responsiveness to underlying fundamental factors. Each country showed that country-specific characteristics dominate sovereign bond yield pathways during and after large-scale financial distress, e.g., the Credit Crunch and subsequent Sovereign Debt Crisis. </w:t>
      </w:r>
    </w:p>
    <w:p w:rsidR="00D14342" w:rsidRDefault="00D14342" w:rsidP="0075584F">
      <w:pPr>
        <w:spacing w:after="0" w:line="360" w:lineRule="auto"/>
        <w:rPr>
          <w:rFonts w:ascii="Times New Roman" w:eastAsiaTheme="minorEastAsia" w:hAnsi="Times New Roman" w:cs="Times New Roman"/>
          <w:sz w:val="24"/>
          <w:szCs w:val="24"/>
          <w:lang w:val="en-GB"/>
        </w:rPr>
      </w:pPr>
    </w:p>
    <w:p w:rsidR="00D14342" w:rsidRDefault="00D14342" w:rsidP="0075584F">
      <w:pPr>
        <w:spacing w:after="0" w:line="360" w:lineRule="auto"/>
        <w:rPr>
          <w:rFonts w:ascii="Times New Roman" w:eastAsiaTheme="minorEastAsia" w:hAnsi="Times New Roman" w:cs="Times New Roman"/>
          <w:sz w:val="24"/>
          <w:szCs w:val="24"/>
          <w:lang w:val="en-GB"/>
        </w:rPr>
      </w:pPr>
    </w:p>
    <w:p w:rsidR="00D14342" w:rsidRDefault="00D14342" w:rsidP="0075584F">
      <w:pPr>
        <w:spacing w:after="0" w:line="360" w:lineRule="auto"/>
        <w:rPr>
          <w:rFonts w:ascii="Times New Roman" w:eastAsiaTheme="minorEastAsia" w:hAnsi="Times New Roman" w:cs="Times New Roman"/>
          <w:sz w:val="24"/>
          <w:szCs w:val="24"/>
          <w:lang w:val="en-GB"/>
        </w:rPr>
      </w:pPr>
    </w:p>
    <w:p w:rsidR="000515C0" w:rsidRPr="006D6AF6" w:rsidRDefault="000515C0" w:rsidP="000515C0">
      <w:pPr>
        <w:pStyle w:val="ListParagraph"/>
        <w:numPr>
          <w:ilvl w:val="0"/>
          <w:numId w:val="13"/>
        </w:numPr>
        <w:spacing w:after="0" w:line="360" w:lineRule="auto"/>
        <w:ind w:left="0" w:firstLine="0"/>
        <w:jc w:val="both"/>
        <w:rPr>
          <w:rFonts w:ascii="Times New Roman" w:hAnsi="Times New Roman" w:cs="Times New Roman"/>
          <w:b/>
          <w:lang w:val="en-GB"/>
        </w:rPr>
      </w:pPr>
      <w:r w:rsidRPr="006D6AF6">
        <w:rPr>
          <w:rFonts w:ascii="Times New Roman" w:hAnsi="Times New Roman" w:cs="Times New Roman"/>
          <w:b/>
          <w:sz w:val="24"/>
          <w:lang w:val="en-GB"/>
        </w:rPr>
        <w:lastRenderedPageBreak/>
        <w:t>Conclusion</w:t>
      </w:r>
      <w:r w:rsidR="00CC2B12" w:rsidRPr="006D6AF6">
        <w:rPr>
          <w:rFonts w:ascii="Times New Roman" w:hAnsi="Times New Roman" w:cs="Times New Roman"/>
          <w:b/>
          <w:sz w:val="24"/>
          <w:lang w:val="en-GB"/>
        </w:rPr>
        <w:t xml:space="preserve"> </w:t>
      </w:r>
    </w:p>
    <w:p w:rsidR="009326BD" w:rsidRPr="006D6AF6" w:rsidRDefault="00B52BB7" w:rsidP="009326BD">
      <w:pPr>
        <w:spacing w:after="0" w:line="360" w:lineRule="auto"/>
        <w:jc w:val="both"/>
        <w:rPr>
          <w:rFonts w:ascii="Times New Roman" w:eastAsiaTheme="minorEastAsia" w:hAnsi="Times New Roman" w:cs="Times New Roman"/>
          <w:sz w:val="24"/>
          <w:lang w:val="en-GB"/>
        </w:rPr>
      </w:pPr>
      <w:r w:rsidRPr="006D6AF6">
        <w:rPr>
          <w:rFonts w:ascii="Times New Roman" w:hAnsi="Times New Roman" w:cs="Times New Roman"/>
          <w:sz w:val="24"/>
          <w:lang w:val="en-GB"/>
        </w:rPr>
        <w:t>The empirical evidence in this thesis indicates</w:t>
      </w:r>
      <w:r w:rsidR="00FD4DAF" w:rsidRPr="006D6AF6">
        <w:rPr>
          <w:rFonts w:ascii="Times New Roman" w:hAnsi="Times New Roman" w:cs="Times New Roman"/>
          <w:sz w:val="24"/>
          <w:lang w:val="en-GB"/>
        </w:rPr>
        <w:t xml:space="preserve"> that Hypothesis 1: </w:t>
      </w:r>
      <w:r w:rsidR="00FD4DAF" w:rsidRPr="006D6AF6">
        <w:rPr>
          <w:rFonts w:ascii="Times New Roman" w:eastAsiaTheme="minorEastAsia" w:hAnsi="Times New Roman" w:cs="Times New Roman"/>
          <w:sz w:val="24"/>
          <w:lang w:val="en-GB"/>
        </w:rPr>
        <w:t xml:space="preserve">There exists no asymmetry in the respective countries’ sovereign bond </w:t>
      </w:r>
      <w:r w:rsidR="00FD4DAF" w:rsidRPr="006D6AF6">
        <w:rPr>
          <w:rFonts w:ascii="Times New Roman" w:eastAsiaTheme="minorEastAsia" w:hAnsi="Times New Roman" w:cs="Times New Roman"/>
          <w:sz w:val="24"/>
          <w:lang w:val="en-GB"/>
        </w:rPr>
        <w:tab/>
        <w:t>yields responsiveness to changes in underlying fundamental factors; can be soundly rejected. The JMC, the VECM long run coefficient equation, Granger Causality/Block Exogeneity Wald and the VEC Impulse Response functions have all indicated that country-specific characteristics</w:t>
      </w:r>
      <w:r w:rsidR="00BE089E" w:rsidRPr="006D6AF6">
        <w:rPr>
          <w:rFonts w:ascii="Times New Roman" w:eastAsiaTheme="minorEastAsia" w:hAnsi="Times New Roman" w:cs="Times New Roman"/>
          <w:sz w:val="24"/>
          <w:lang w:val="en-GB"/>
        </w:rPr>
        <w:t xml:space="preserve"> seem to determine </w:t>
      </w:r>
      <w:r w:rsidR="000262D2" w:rsidRPr="006D6AF6">
        <w:rPr>
          <w:rFonts w:ascii="Times New Roman" w:eastAsiaTheme="minorEastAsia" w:hAnsi="Times New Roman" w:cs="Times New Roman"/>
          <w:sz w:val="24"/>
          <w:lang w:val="en-GB"/>
        </w:rPr>
        <w:t xml:space="preserve">the underlying dynamic relationship between variables that ultimately drives the dependent variable, in this case the sovereign bond yield. </w:t>
      </w:r>
      <w:r w:rsidR="007923BF" w:rsidRPr="006D6AF6">
        <w:rPr>
          <w:rFonts w:ascii="Times New Roman" w:eastAsiaTheme="minorEastAsia" w:hAnsi="Times New Roman" w:cs="Times New Roman"/>
          <w:sz w:val="24"/>
          <w:lang w:val="en-GB"/>
        </w:rPr>
        <w:t xml:space="preserve">Deviations from the long-run equilibrium of sovereign bond yields can persist for a period of more than 24 months and are driven by different fundamental characteristics for each country. Furthermore, the high level of cointegration between variables in the LR and dynamic interactions between independent variables in the short- and medium term give rise to erratic sovereign bond yield pathways and departure adjustments that are largely oscillatory by nature. </w:t>
      </w:r>
      <w:r w:rsidR="009326BD" w:rsidRPr="006D6AF6">
        <w:rPr>
          <w:rFonts w:ascii="Times New Roman" w:eastAsiaTheme="minorEastAsia" w:hAnsi="Times New Roman" w:cs="Times New Roman"/>
          <w:sz w:val="24"/>
          <w:lang w:val="en-GB"/>
        </w:rPr>
        <w:t>It seemed that as the financial crisis ensued, investors desperately began to reassess the downside of amassing too much risk and demanded high yields on bonds (a practice oft referred to as ‘topping-and-tailing’</w:t>
      </w:r>
      <w:r w:rsidR="00D63A99">
        <w:rPr>
          <w:rFonts w:ascii="Times New Roman" w:eastAsiaTheme="minorEastAsia" w:hAnsi="Times New Roman" w:cs="Times New Roman"/>
          <w:sz w:val="24"/>
          <w:lang w:val="en-GB"/>
        </w:rPr>
        <w:t>)</w:t>
      </w:r>
      <w:r w:rsidR="009326BD" w:rsidRPr="006D6AF6">
        <w:rPr>
          <w:rFonts w:ascii="Times New Roman" w:eastAsiaTheme="minorEastAsia" w:hAnsi="Times New Roman" w:cs="Times New Roman"/>
          <w:sz w:val="24"/>
          <w:lang w:val="en-GB"/>
        </w:rPr>
        <w:t xml:space="preserve">. </w:t>
      </w:r>
    </w:p>
    <w:p w:rsidR="009326BD" w:rsidRDefault="008B1A24" w:rsidP="000515C0">
      <w:pPr>
        <w:spacing w:after="0" w:line="360" w:lineRule="auto"/>
        <w:jc w:val="both"/>
        <w:rPr>
          <w:rFonts w:ascii="Times New Roman" w:eastAsiaTheme="minorEastAsia" w:hAnsi="Times New Roman" w:cs="Times New Roman"/>
          <w:sz w:val="24"/>
          <w:lang w:val="en-GB"/>
        </w:rPr>
      </w:pPr>
      <w:r w:rsidRPr="006D6AF6">
        <w:rPr>
          <w:rFonts w:ascii="Times New Roman" w:eastAsiaTheme="minorEastAsia" w:hAnsi="Times New Roman" w:cs="Times New Roman"/>
          <w:sz w:val="24"/>
          <w:lang w:val="en-GB"/>
        </w:rPr>
        <w:tab/>
        <w:t>Similarly, Hypothesis 2 is also rejected as time duration of deviations from long-run sovereign bond yield</w:t>
      </w:r>
      <w:r w:rsidR="0069571E" w:rsidRPr="006D6AF6">
        <w:rPr>
          <w:rFonts w:ascii="Times New Roman" w:eastAsiaTheme="minorEastAsia" w:hAnsi="Times New Roman" w:cs="Times New Roman"/>
          <w:sz w:val="24"/>
          <w:lang w:val="en-GB"/>
        </w:rPr>
        <w:t xml:space="preserve"> level</w:t>
      </w:r>
      <w:r w:rsidRPr="006D6AF6">
        <w:rPr>
          <w:rFonts w:ascii="Times New Roman" w:eastAsiaTheme="minorEastAsia" w:hAnsi="Times New Roman" w:cs="Times New Roman"/>
          <w:sz w:val="24"/>
          <w:lang w:val="en-GB"/>
        </w:rPr>
        <w:t xml:space="preserve">s </w:t>
      </w:r>
      <w:r w:rsidR="009326BD">
        <w:rPr>
          <w:rFonts w:ascii="Times New Roman" w:eastAsiaTheme="minorEastAsia" w:hAnsi="Times New Roman" w:cs="Times New Roman"/>
          <w:sz w:val="24"/>
          <w:lang w:val="en-GB"/>
        </w:rPr>
        <w:t xml:space="preserve">was extensive and significant. (Short-run) departures from the equilibrium levels persisted for extended periods of time and the ECTs indicated that the reversal of deviations could take at least a year in many cases. This will have </w:t>
      </w:r>
      <w:r w:rsidR="00E011F6" w:rsidRPr="006D6AF6">
        <w:rPr>
          <w:rFonts w:ascii="Times New Roman" w:eastAsiaTheme="minorEastAsia" w:hAnsi="Times New Roman" w:cs="Times New Roman"/>
          <w:sz w:val="24"/>
          <w:lang w:val="en-GB"/>
        </w:rPr>
        <w:t xml:space="preserve">far-reaching consequences </w:t>
      </w:r>
      <w:r w:rsidR="00897C13" w:rsidRPr="006D6AF6">
        <w:rPr>
          <w:rFonts w:ascii="Times New Roman" w:eastAsiaTheme="minorEastAsia" w:hAnsi="Times New Roman" w:cs="Times New Roman"/>
          <w:sz w:val="24"/>
          <w:lang w:val="en-GB"/>
        </w:rPr>
        <w:t>for the sovereign bond market as a whole</w:t>
      </w:r>
      <w:r w:rsidR="009326BD">
        <w:rPr>
          <w:rFonts w:ascii="Times New Roman" w:eastAsiaTheme="minorEastAsia" w:hAnsi="Times New Roman" w:cs="Times New Roman"/>
          <w:sz w:val="24"/>
          <w:lang w:val="en-GB"/>
        </w:rPr>
        <w:t>, for coordinated economic policies to target the EU sovereign debt crisis will be rendered ineffective or even harmful for a sub-set of different EU countries</w:t>
      </w:r>
      <w:r w:rsidR="00897C13" w:rsidRPr="006D6AF6">
        <w:rPr>
          <w:rFonts w:ascii="Times New Roman" w:eastAsiaTheme="minorEastAsia" w:hAnsi="Times New Roman" w:cs="Times New Roman"/>
          <w:sz w:val="24"/>
          <w:lang w:val="en-GB"/>
        </w:rPr>
        <w:t xml:space="preserve">. </w:t>
      </w:r>
    </w:p>
    <w:p w:rsidR="00FD4DAF" w:rsidRPr="006D6AF6" w:rsidRDefault="00A96470" w:rsidP="00D003EF">
      <w:pPr>
        <w:spacing w:after="0" w:line="360" w:lineRule="auto"/>
        <w:jc w:val="both"/>
        <w:rPr>
          <w:rFonts w:ascii="Times New Roman" w:eastAsiaTheme="minorEastAsia" w:hAnsi="Times New Roman" w:cs="Times New Roman"/>
          <w:sz w:val="24"/>
          <w:lang w:val="en-GB"/>
        </w:rPr>
      </w:pPr>
      <w:r w:rsidRPr="006D6AF6">
        <w:rPr>
          <w:rFonts w:ascii="Times New Roman" w:eastAsiaTheme="minorEastAsia" w:hAnsi="Times New Roman" w:cs="Times New Roman"/>
          <w:sz w:val="24"/>
          <w:lang w:val="en-GB"/>
        </w:rPr>
        <w:tab/>
      </w:r>
      <w:r w:rsidR="00D003EF" w:rsidRPr="006D6AF6">
        <w:rPr>
          <w:rFonts w:ascii="Times New Roman" w:eastAsiaTheme="minorEastAsia" w:hAnsi="Times New Roman" w:cs="Times New Roman"/>
          <w:sz w:val="24"/>
          <w:lang w:val="en-GB"/>
        </w:rPr>
        <w:t>T</w:t>
      </w:r>
      <w:r w:rsidR="00225FD5" w:rsidRPr="006D6AF6">
        <w:rPr>
          <w:rFonts w:ascii="Times New Roman" w:eastAsiaTheme="minorEastAsia" w:hAnsi="Times New Roman" w:cs="Times New Roman"/>
          <w:sz w:val="24"/>
          <w:lang w:val="en-GB"/>
        </w:rPr>
        <w:t>hus this thesis has shown that</w:t>
      </w:r>
      <w:r w:rsidR="00FD4DAF" w:rsidRPr="006D6AF6">
        <w:rPr>
          <w:rFonts w:ascii="Times New Roman" w:eastAsiaTheme="minorEastAsia" w:hAnsi="Times New Roman" w:cs="Times New Roman"/>
          <w:sz w:val="24"/>
          <w:lang w:val="en-GB"/>
        </w:rPr>
        <w:t xml:space="preserve"> sovereign bond yields </w:t>
      </w:r>
      <w:r w:rsidR="00225FD5" w:rsidRPr="006D6AF6">
        <w:rPr>
          <w:rFonts w:ascii="Times New Roman" w:eastAsiaTheme="minorEastAsia" w:hAnsi="Times New Roman" w:cs="Times New Roman"/>
          <w:sz w:val="24"/>
          <w:lang w:val="en-GB"/>
        </w:rPr>
        <w:t xml:space="preserve">did </w:t>
      </w:r>
      <w:r w:rsidR="00322CA1" w:rsidRPr="006D6AF6">
        <w:rPr>
          <w:rFonts w:ascii="Times New Roman" w:eastAsiaTheme="minorEastAsia" w:hAnsi="Times New Roman" w:cs="Times New Roman"/>
          <w:sz w:val="24"/>
          <w:lang w:val="en-GB"/>
        </w:rPr>
        <w:t xml:space="preserve">markedly </w:t>
      </w:r>
      <w:r w:rsidR="00FD4DAF" w:rsidRPr="006D6AF6">
        <w:rPr>
          <w:rFonts w:ascii="Times New Roman" w:eastAsiaTheme="minorEastAsia" w:hAnsi="Times New Roman" w:cs="Times New Roman"/>
          <w:sz w:val="24"/>
          <w:lang w:val="en-GB"/>
        </w:rPr>
        <w:t xml:space="preserve">deviate from their long-run level </w:t>
      </w:r>
      <w:r w:rsidR="00225FD5" w:rsidRPr="006D6AF6">
        <w:rPr>
          <w:rFonts w:ascii="Times New Roman" w:eastAsiaTheme="minorEastAsia" w:hAnsi="Times New Roman" w:cs="Times New Roman"/>
          <w:sz w:val="24"/>
          <w:lang w:val="en-GB"/>
        </w:rPr>
        <w:t>between 2000 and 2014</w:t>
      </w:r>
      <w:r w:rsidR="00AA005A" w:rsidRPr="006D6AF6">
        <w:rPr>
          <w:rFonts w:ascii="Times New Roman" w:eastAsiaTheme="minorEastAsia" w:hAnsi="Times New Roman" w:cs="Times New Roman"/>
          <w:sz w:val="24"/>
          <w:lang w:val="en-GB"/>
        </w:rPr>
        <w:t xml:space="preserve"> </w:t>
      </w:r>
      <w:r w:rsidR="00FD4DAF" w:rsidRPr="006D6AF6">
        <w:rPr>
          <w:rFonts w:ascii="Times New Roman" w:eastAsiaTheme="minorEastAsia" w:hAnsi="Times New Roman" w:cs="Times New Roman"/>
          <w:sz w:val="24"/>
          <w:lang w:val="en-GB"/>
        </w:rPr>
        <w:t>as indicated by unde</w:t>
      </w:r>
      <w:r w:rsidR="00225FD5" w:rsidRPr="006D6AF6">
        <w:rPr>
          <w:rFonts w:ascii="Times New Roman" w:eastAsiaTheme="minorEastAsia" w:hAnsi="Times New Roman" w:cs="Times New Roman"/>
          <w:sz w:val="24"/>
          <w:lang w:val="en-GB"/>
        </w:rPr>
        <w:t>rlying macroeconomic fundamental</w:t>
      </w:r>
      <w:r w:rsidR="00FD4DAF" w:rsidRPr="006D6AF6">
        <w:rPr>
          <w:rFonts w:ascii="Times New Roman" w:eastAsiaTheme="minorEastAsia" w:hAnsi="Times New Roman" w:cs="Times New Roman"/>
          <w:sz w:val="24"/>
          <w:lang w:val="en-GB"/>
        </w:rPr>
        <w:t>s</w:t>
      </w:r>
      <w:r w:rsidR="00322CA1" w:rsidRPr="006D6AF6">
        <w:rPr>
          <w:rFonts w:ascii="Times New Roman" w:eastAsiaTheme="minorEastAsia" w:hAnsi="Times New Roman" w:cs="Times New Roman"/>
          <w:sz w:val="24"/>
          <w:lang w:val="en-GB"/>
        </w:rPr>
        <w:t xml:space="preserve"> and sovereign bond yields were determined largely by country-specific factors</w:t>
      </w:r>
      <w:r w:rsidR="00225FD5" w:rsidRPr="006D6AF6">
        <w:rPr>
          <w:rFonts w:ascii="Times New Roman" w:eastAsiaTheme="minorEastAsia" w:hAnsi="Times New Roman" w:cs="Times New Roman"/>
          <w:sz w:val="24"/>
          <w:lang w:val="en-GB"/>
        </w:rPr>
        <w:t xml:space="preserve">. </w:t>
      </w:r>
      <w:r w:rsidR="00322CA1" w:rsidRPr="006D6AF6">
        <w:rPr>
          <w:rFonts w:ascii="Times New Roman" w:eastAsiaTheme="minorEastAsia" w:hAnsi="Times New Roman" w:cs="Times New Roman"/>
          <w:sz w:val="24"/>
          <w:lang w:val="en-GB"/>
        </w:rPr>
        <w:t xml:space="preserve">The ECBs aggressive bond buying policy and programmes will not incentivize </w:t>
      </w:r>
      <w:r w:rsidR="0069399D" w:rsidRPr="006D6AF6">
        <w:rPr>
          <w:rFonts w:ascii="Times New Roman" w:eastAsiaTheme="minorEastAsia" w:hAnsi="Times New Roman" w:cs="Times New Roman"/>
          <w:sz w:val="24"/>
          <w:lang w:val="en-GB"/>
        </w:rPr>
        <w:t xml:space="preserve">EU members </w:t>
      </w:r>
      <w:r w:rsidR="00D003EF" w:rsidRPr="006D6AF6">
        <w:rPr>
          <w:rFonts w:ascii="Times New Roman" w:eastAsiaTheme="minorEastAsia" w:hAnsi="Times New Roman" w:cs="Times New Roman"/>
          <w:sz w:val="24"/>
          <w:lang w:val="en-GB"/>
        </w:rPr>
        <w:t xml:space="preserve">to </w:t>
      </w:r>
      <w:r w:rsidR="00322CA1" w:rsidRPr="006D6AF6">
        <w:rPr>
          <w:rFonts w:ascii="Times New Roman" w:eastAsiaTheme="minorEastAsia" w:hAnsi="Times New Roman" w:cs="Times New Roman"/>
          <w:sz w:val="24"/>
          <w:lang w:val="en-GB"/>
        </w:rPr>
        <w:t xml:space="preserve">severely </w:t>
      </w:r>
      <w:r w:rsidR="00D003EF" w:rsidRPr="006D6AF6">
        <w:rPr>
          <w:rFonts w:ascii="Times New Roman" w:eastAsiaTheme="minorEastAsia" w:hAnsi="Times New Roman" w:cs="Times New Roman"/>
          <w:sz w:val="24"/>
          <w:lang w:val="en-GB"/>
        </w:rPr>
        <w:t xml:space="preserve">reduce their own public budget or </w:t>
      </w:r>
      <w:r w:rsidR="00322CA1" w:rsidRPr="006D6AF6">
        <w:rPr>
          <w:rFonts w:ascii="Times New Roman" w:eastAsiaTheme="minorEastAsia" w:hAnsi="Times New Roman" w:cs="Times New Roman"/>
          <w:sz w:val="24"/>
          <w:lang w:val="en-GB"/>
        </w:rPr>
        <w:t xml:space="preserve">revise long-standing, country-specific fiscal policies, thus hampering a move towards greater economic and fiscal integration. </w:t>
      </w:r>
    </w:p>
    <w:p w:rsidR="0069399D" w:rsidRPr="006D6AF6" w:rsidRDefault="00D003EF" w:rsidP="00322CA1">
      <w:pPr>
        <w:spacing w:after="0" w:line="360" w:lineRule="auto"/>
        <w:jc w:val="both"/>
        <w:rPr>
          <w:rFonts w:ascii="Times New Roman" w:eastAsiaTheme="minorEastAsia" w:hAnsi="Times New Roman" w:cs="Times New Roman"/>
          <w:sz w:val="24"/>
          <w:lang w:val="en-GB"/>
        </w:rPr>
      </w:pPr>
      <w:r w:rsidRPr="006D6AF6">
        <w:rPr>
          <w:rFonts w:ascii="Times New Roman" w:eastAsiaTheme="minorEastAsia" w:hAnsi="Times New Roman" w:cs="Times New Roman"/>
          <w:sz w:val="24"/>
          <w:lang w:val="en-GB"/>
        </w:rPr>
        <w:tab/>
      </w:r>
      <w:r w:rsidR="00F43798" w:rsidRPr="006D6AF6">
        <w:rPr>
          <w:rFonts w:ascii="Times New Roman" w:eastAsiaTheme="minorEastAsia" w:hAnsi="Times New Roman" w:cs="Times New Roman"/>
          <w:sz w:val="24"/>
          <w:lang w:val="en-GB"/>
        </w:rPr>
        <w:t xml:space="preserve"> </w:t>
      </w:r>
      <w:r w:rsidR="005221AD" w:rsidRPr="006D6AF6">
        <w:rPr>
          <w:rFonts w:ascii="Times New Roman" w:eastAsiaTheme="minorEastAsia" w:hAnsi="Times New Roman" w:cs="Times New Roman"/>
          <w:sz w:val="24"/>
          <w:lang w:val="en-GB"/>
        </w:rPr>
        <w:t xml:space="preserve">In contrast to previous literature, all variables seem to have a different magnitude and order depending on the country of </w:t>
      </w:r>
      <w:r w:rsidR="00990626">
        <w:rPr>
          <w:rFonts w:ascii="Times New Roman" w:eastAsiaTheme="minorEastAsia" w:hAnsi="Times New Roman" w:cs="Times New Roman"/>
          <w:sz w:val="24"/>
          <w:lang w:val="en-GB"/>
        </w:rPr>
        <w:t xml:space="preserve">origin of the bond in question as reinforced by the findings of the Dynamic OLS in Section 6.6. </w:t>
      </w:r>
    </w:p>
    <w:p w:rsidR="005221AD" w:rsidRPr="006D6AF6" w:rsidRDefault="005221AD" w:rsidP="00DC682B">
      <w:pPr>
        <w:autoSpaceDE w:val="0"/>
        <w:autoSpaceDN w:val="0"/>
        <w:adjustRightInd w:val="0"/>
        <w:spacing w:after="0" w:line="360" w:lineRule="auto"/>
        <w:rPr>
          <w:rFonts w:ascii="Times New Roman" w:eastAsiaTheme="minorEastAsia" w:hAnsi="Times New Roman" w:cs="Times New Roman"/>
          <w:sz w:val="24"/>
          <w:lang w:val="en-GB"/>
        </w:rPr>
      </w:pPr>
      <w:r w:rsidRPr="006D6AF6">
        <w:rPr>
          <w:rFonts w:ascii="Times New Roman" w:eastAsiaTheme="minorEastAsia" w:hAnsi="Times New Roman" w:cs="Times New Roman"/>
          <w:sz w:val="24"/>
          <w:lang w:val="en-GB"/>
        </w:rPr>
        <w:tab/>
        <w:t>In the future I should like to undertake further research pertaining to a longitudinal study with respect to</w:t>
      </w:r>
      <w:r w:rsidR="00990626">
        <w:rPr>
          <w:rFonts w:ascii="Times New Roman" w:eastAsiaTheme="minorEastAsia" w:hAnsi="Times New Roman" w:cs="Times New Roman"/>
          <w:sz w:val="24"/>
          <w:lang w:val="en-GB"/>
        </w:rPr>
        <w:t xml:space="preserve"> bonds in the corporate sector and include an extensive dummy variable analysis to isolate the effects of financial distress on sovereign bond yields. </w:t>
      </w:r>
    </w:p>
    <w:p w:rsidR="00230432" w:rsidRPr="009911E6" w:rsidRDefault="005221AD" w:rsidP="009911E6">
      <w:pPr>
        <w:spacing w:after="0" w:line="24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R</w:t>
      </w:r>
      <w:r w:rsidR="009911E6">
        <w:rPr>
          <w:rFonts w:ascii="Times New Roman" w:hAnsi="Times New Roman" w:cs="Times New Roman"/>
          <w:b/>
          <w:sz w:val="24"/>
          <w:szCs w:val="24"/>
          <w:lang w:val="en-GB"/>
        </w:rPr>
        <w:t>eferences:</w:t>
      </w:r>
    </w:p>
    <w:p w:rsidR="003907F7" w:rsidRPr="008431D5" w:rsidRDefault="003907F7" w:rsidP="00126512">
      <w:pPr>
        <w:spacing w:after="0" w:line="360" w:lineRule="auto"/>
        <w:jc w:val="center"/>
        <w:rPr>
          <w:rFonts w:ascii="Times New Roman" w:hAnsi="Times New Roman" w:cs="Times New Roman"/>
          <w:sz w:val="24"/>
          <w:szCs w:val="24"/>
          <w:lang w:val="en-GB"/>
        </w:rPr>
      </w:pPr>
    </w:p>
    <w:p w:rsidR="002745D0" w:rsidRPr="00255996" w:rsidRDefault="002745D0" w:rsidP="003A58A5">
      <w:pPr>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Abad, P. Chuliá, H. and Gómez-Puig, M. 2010. “EMU and European government bond market integration.” </w:t>
      </w:r>
      <w:r w:rsidRPr="00255996">
        <w:rPr>
          <w:rFonts w:ascii="Times New Roman" w:hAnsi="Times New Roman" w:cs="Times New Roman"/>
          <w:i/>
          <w:sz w:val="24"/>
          <w:szCs w:val="24"/>
          <w:lang w:val="en-GB"/>
        </w:rPr>
        <w:t>Journal of Banking and Finance</w:t>
      </w:r>
      <w:r w:rsidRPr="00255996">
        <w:rPr>
          <w:rFonts w:ascii="Times New Roman" w:hAnsi="Times New Roman" w:cs="Times New Roman"/>
          <w:sz w:val="24"/>
          <w:szCs w:val="24"/>
          <w:lang w:val="en-GB"/>
        </w:rPr>
        <w:t xml:space="preserve"> 34: 2851–2860.</w:t>
      </w:r>
    </w:p>
    <w:p w:rsidR="002745D0" w:rsidRPr="00255996" w:rsidRDefault="002745D0" w:rsidP="003A58A5">
      <w:pPr>
        <w:spacing w:after="0" w:line="240" w:lineRule="auto"/>
        <w:rPr>
          <w:rFonts w:ascii="Times New Roman" w:hAnsi="Times New Roman" w:cs="Times New Roman"/>
          <w:sz w:val="24"/>
          <w:szCs w:val="24"/>
          <w:lang w:val="en-GB"/>
        </w:rPr>
      </w:pPr>
    </w:p>
    <w:p w:rsidR="003A58A5" w:rsidRPr="00255996" w:rsidRDefault="003A58A5" w:rsidP="003A58A5">
      <w:pPr>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Abiad, A. Mody, A. Schadler, S. and Leigh, D. 2007. “Growth in the Central and Eastern European Countries of the European Union.” </w:t>
      </w:r>
      <w:r w:rsidRPr="00255996">
        <w:rPr>
          <w:rFonts w:ascii="Times New Roman" w:hAnsi="Times New Roman" w:cs="Times New Roman"/>
          <w:i/>
          <w:sz w:val="24"/>
          <w:szCs w:val="24"/>
          <w:lang w:val="en-GB"/>
        </w:rPr>
        <w:t xml:space="preserve">IMF Occasional Papers, 252. </w:t>
      </w:r>
      <w:r w:rsidRPr="00255996">
        <w:rPr>
          <w:rFonts w:ascii="Times New Roman" w:hAnsi="Times New Roman" w:cs="Times New Roman"/>
          <w:sz w:val="24"/>
          <w:szCs w:val="24"/>
          <w:lang w:val="en-GB"/>
        </w:rPr>
        <w:t xml:space="preserve">  </w:t>
      </w:r>
    </w:p>
    <w:p w:rsidR="003A7D65" w:rsidRPr="00255996" w:rsidRDefault="003A7D65" w:rsidP="003A58A5">
      <w:pPr>
        <w:spacing w:after="0" w:line="240" w:lineRule="auto"/>
        <w:rPr>
          <w:rFonts w:ascii="Times New Roman" w:hAnsi="Times New Roman" w:cs="Times New Roman"/>
          <w:sz w:val="24"/>
          <w:szCs w:val="24"/>
          <w:u w:val="single"/>
          <w:lang w:val="en-GB"/>
        </w:rPr>
      </w:pPr>
    </w:p>
    <w:p w:rsidR="003A7D65" w:rsidRPr="00255996" w:rsidRDefault="003A7D65" w:rsidP="003A7D65">
      <w:pPr>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Acharya, V. Drechsler, I. and Schnabl, P. 2013. “A Pyrrhic Victory? Bank Bailouts and Sovereign Credit Risk.” </w:t>
      </w:r>
      <w:r w:rsidRPr="00255996">
        <w:rPr>
          <w:rFonts w:ascii="Times New Roman" w:hAnsi="Times New Roman" w:cs="Times New Roman"/>
          <w:i/>
          <w:sz w:val="24"/>
          <w:szCs w:val="24"/>
          <w:lang w:val="en-GB"/>
        </w:rPr>
        <w:t>Journal of Finance</w:t>
      </w:r>
      <w:r w:rsidRPr="00255996">
        <w:rPr>
          <w:rFonts w:ascii="Times New Roman" w:hAnsi="Times New Roman" w:cs="Times New Roman"/>
          <w:sz w:val="24"/>
          <w:szCs w:val="24"/>
          <w:lang w:val="en-GB"/>
        </w:rPr>
        <w:t xml:space="preserve"> 69(9): 2689-2739.</w:t>
      </w:r>
    </w:p>
    <w:p w:rsidR="00230432" w:rsidRPr="00255996" w:rsidRDefault="00230432" w:rsidP="00130B6B">
      <w:pPr>
        <w:autoSpaceDE w:val="0"/>
        <w:autoSpaceDN w:val="0"/>
        <w:adjustRightInd w:val="0"/>
        <w:spacing w:after="0" w:line="240" w:lineRule="auto"/>
        <w:rPr>
          <w:rFonts w:ascii="Times New Roman" w:hAnsi="Times New Roman" w:cs="Times New Roman"/>
          <w:sz w:val="24"/>
          <w:szCs w:val="24"/>
          <w:lang w:val="en-GB"/>
        </w:rPr>
      </w:pPr>
    </w:p>
    <w:p w:rsidR="00AE1EB9" w:rsidRPr="00255996" w:rsidRDefault="00AE1EB9" w:rsidP="00130B6B">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Banerjee, A., Merugu, S., Dhillon, I.S. and Ghosh, J. 2005. “Clustering with Bregman Divergences.” </w:t>
      </w:r>
      <w:r w:rsidRPr="00255996">
        <w:rPr>
          <w:rFonts w:ascii="Times New Roman" w:hAnsi="Times New Roman" w:cs="Times New Roman"/>
          <w:i/>
          <w:sz w:val="24"/>
          <w:szCs w:val="24"/>
          <w:lang w:val="en-GB"/>
        </w:rPr>
        <w:t xml:space="preserve">Journal of Machine Learning Research </w:t>
      </w:r>
      <w:r w:rsidRPr="00255996">
        <w:rPr>
          <w:rFonts w:ascii="Times New Roman" w:hAnsi="Times New Roman" w:cs="Times New Roman"/>
          <w:sz w:val="24"/>
          <w:szCs w:val="24"/>
          <w:lang w:val="en-GB"/>
        </w:rPr>
        <w:t>6: 1705-1749.</w:t>
      </w:r>
    </w:p>
    <w:p w:rsidR="00AE1EB9" w:rsidRPr="00255996" w:rsidRDefault="00AE1EB9" w:rsidP="00130B6B">
      <w:pPr>
        <w:autoSpaceDE w:val="0"/>
        <w:autoSpaceDN w:val="0"/>
        <w:adjustRightInd w:val="0"/>
        <w:spacing w:after="0" w:line="240" w:lineRule="auto"/>
        <w:rPr>
          <w:rFonts w:ascii="Times New Roman" w:hAnsi="Times New Roman" w:cs="Times New Roman"/>
          <w:sz w:val="24"/>
          <w:szCs w:val="24"/>
          <w:lang w:val="en-GB"/>
        </w:rPr>
      </w:pPr>
    </w:p>
    <w:p w:rsidR="00171FD1" w:rsidRPr="00255996" w:rsidRDefault="00171FD1" w:rsidP="00130B6B">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Barbosa, L. and Costa, S. 2010. “Determinants of Sovereign Bond Yield Spreads in the Euro Area in the Context of the Economic and Financial Crisis.” </w:t>
      </w:r>
      <w:r w:rsidRPr="00255996">
        <w:rPr>
          <w:rFonts w:ascii="Times New Roman" w:hAnsi="Times New Roman" w:cs="Times New Roman"/>
          <w:i/>
          <w:sz w:val="24"/>
          <w:szCs w:val="24"/>
          <w:lang w:val="en-GB"/>
        </w:rPr>
        <w:t>Working Paper w201022.</w:t>
      </w:r>
      <w:r w:rsidRPr="00255996">
        <w:rPr>
          <w:rFonts w:ascii="Times New Roman" w:hAnsi="Times New Roman" w:cs="Times New Roman"/>
          <w:sz w:val="24"/>
          <w:szCs w:val="24"/>
          <w:lang w:val="en-GB"/>
        </w:rPr>
        <w:t xml:space="preserve"> Banco de Portugal. </w:t>
      </w:r>
    </w:p>
    <w:p w:rsidR="003A7D65" w:rsidRPr="00255996" w:rsidRDefault="003A7D65" w:rsidP="00130B6B">
      <w:pPr>
        <w:autoSpaceDE w:val="0"/>
        <w:autoSpaceDN w:val="0"/>
        <w:adjustRightInd w:val="0"/>
        <w:spacing w:after="0" w:line="240" w:lineRule="auto"/>
        <w:rPr>
          <w:rFonts w:ascii="Times New Roman" w:hAnsi="Times New Roman" w:cs="Times New Roman"/>
          <w:sz w:val="24"/>
          <w:szCs w:val="24"/>
          <w:lang w:val="en-GB"/>
        </w:rPr>
      </w:pPr>
    </w:p>
    <w:p w:rsidR="003A7D65" w:rsidRPr="00255996" w:rsidRDefault="003A7D65" w:rsidP="003A7D65">
      <w:pPr>
        <w:autoSpaceDE w:val="0"/>
        <w:autoSpaceDN w:val="0"/>
        <w:adjustRightInd w:val="0"/>
        <w:spacing w:after="0" w:line="240" w:lineRule="auto"/>
        <w:rPr>
          <w:rFonts w:ascii="Times New Roman" w:hAnsi="Times New Roman" w:cs="Times New Roman"/>
          <w:sz w:val="24"/>
          <w:szCs w:val="24"/>
          <w:lang w:val="en-GB"/>
        </w:rPr>
      </w:pPr>
      <w:r w:rsidRPr="0053009B">
        <w:rPr>
          <w:rFonts w:ascii="Times New Roman" w:hAnsi="Times New Roman" w:cs="Times New Roman"/>
          <w:sz w:val="24"/>
          <w:szCs w:val="24"/>
          <w:lang w:val="de-DE"/>
        </w:rPr>
        <w:t xml:space="preserve">Barrios, S. Iversen, P. Lewandowska, M. and Setzer, R. 2009. </w:t>
      </w:r>
      <w:r w:rsidRPr="00255996">
        <w:rPr>
          <w:rFonts w:ascii="Times New Roman" w:hAnsi="Times New Roman" w:cs="Times New Roman"/>
          <w:sz w:val="24"/>
          <w:szCs w:val="24"/>
          <w:lang w:val="en-GB"/>
        </w:rPr>
        <w:t xml:space="preserve">“Determinants of intra-euro area government bond spreads during the financial crisis.” </w:t>
      </w:r>
      <w:r w:rsidRPr="00255996">
        <w:rPr>
          <w:rFonts w:ascii="Times New Roman" w:hAnsi="Times New Roman" w:cs="Times New Roman"/>
          <w:i/>
          <w:sz w:val="24"/>
          <w:szCs w:val="24"/>
          <w:lang w:val="en-GB"/>
        </w:rPr>
        <w:t>European Economic Papers 388</w:t>
      </w:r>
      <w:r w:rsidRPr="00255996">
        <w:rPr>
          <w:rFonts w:ascii="Times New Roman" w:hAnsi="Times New Roman" w:cs="Times New Roman"/>
          <w:sz w:val="24"/>
          <w:szCs w:val="24"/>
          <w:lang w:val="en-GB"/>
        </w:rPr>
        <w:t xml:space="preserve">. European Commission: Directorate General Economic and Monetary Affairs. </w:t>
      </w:r>
    </w:p>
    <w:p w:rsidR="00972533" w:rsidRPr="00255996" w:rsidRDefault="00972533" w:rsidP="00972533">
      <w:pPr>
        <w:autoSpaceDE w:val="0"/>
        <w:autoSpaceDN w:val="0"/>
        <w:adjustRightInd w:val="0"/>
        <w:spacing w:after="0" w:line="240" w:lineRule="auto"/>
        <w:rPr>
          <w:rFonts w:ascii="Times New Roman" w:hAnsi="Times New Roman" w:cs="Times New Roman"/>
          <w:sz w:val="24"/>
          <w:szCs w:val="24"/>
          <w:lang w:val="en-GB"/>
        </w:rPr>
      </w:pPr>
    </w:p>
    <w:p w:rsidR="00972533" w:rsidRPr="00255996" w:rsidRDefault="00972533" w:rsidP="00972533">
      <w:pPr>
        <w:autoSpaceDE w:val="0"/>
        <w:autoSpaceDN w:val="0"/>
        <w:adjustRightInd w:val="0"/>
        <w:spacing w:after="0" w:line="240" w:lineRule="auto"/>
        <w:rPr>
          <w:rFonts w:ascii="Times New Roman" w:hAnsi="Times New Roman" w:cs="Times New Roman"/>
          <w:sz w:val="28"/>
          <w:szCs w:val="24"/>
          <w:lang w:val="en-GB"/>
        </w:rPr>
      </w:pPr>
      <w:r w:rsidRPr="00255996">
        <w:rPr>
          <w:rFonts w:ascii="Times New Roman" w:hAnsi="Times New Roman" w:cs="Times New Roman"/>
          <w:sz w:val="24"/>
          <w:lang w:val="en-GB"/>
        </w:rPr>
        <w:t xml:space="preserve">Beber, A. Brandt, M.W. and Kavajecz, K.A. 2009. “Flight to Quality or Flight to Liquidity? Evidence from the Euro-Area Bond Market.” </w:t>
      </w:r>
      <w:r w:rsidRPr="00255996">
        <w:rPr>
          <w:rFonts w:ascii="Times New Roman" w:hAnsi="Times New Roman" w:cs="Times New Roman"/>
          <w:i/>
          <w:sz w:val="24"/>
          <w:lang w:val="en-GB"/>
        </w:rPr>
        <w:t>Review of Financial Studies</w:t>
      </w:r>
      <w:r w:rsidRPr="00255996">
        <w:rPr>
          <w:rFonts w:ascii="Times New Roman" w:hAnsi="Times New Roman" w:cs="Times New Roman"/>
          <w:sz w:val="24"/>
          <w:lang w:val="en-GB"/>
        </w:rPr>
        <w:t xml:space="preserve"> 22(3): 925-957.</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lang w:val="en-GB"/>
        </w:rPr>
      </w:pP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r w:rsidRPr="00255996">
        <w:rPr>
          <w:rFonts w:ascii="Times New Roman" w:hAnsi="Times New Roman" w:cs="Times New Roman"/>
          <w:sz w:val="24"/>
          <w:szCs w:val="24"/>
          <w:lang w:val="en-GB"/>
        </w:rPr>
        <w:t xml:space="preserve">Berenguer, E., Gimeno, R. and Nave, J. 2013. “Term structure estimation, liquidity-induced heteroskedasticity and the price of liquidity risk.” </w:t>
      </w:r>
      <w:r w:rsidRPr="00255996">
        <w:rPr>
          <w:rFonts w:ascii="Times New Roman" w:hAnsi="Times New Roman" w:cs="Times New Roman"/>
          <w:i/>
          <w:sz w:val="24"/>
          <w:szCs w:val="24"/>
          <w:lang w:val="en-GB"/>
        </w:rPr>
        <w:t>Working Paper No.1308</w:t>
      </w:r>
      <w:r w:rsidRPr="00255996">
        <w:rPr>
          <w:rFonts w:ascii="Times New Roman" w:hAnsi="Times New Roman" w:cs="Times New Roman"/>
          <w:sz w:val="24"/>
          <w:szCs w:val="24"/>
          <w:lang w:val="en-GB"/>
        </w:rPr>
        <w:t>. Banco de España.</w:t>
      </w:r>
    </w:p>
    <w:p w:rsidR="00130B6B" w:rsidRPr="00255996" w:rsidRDefault="00130B6B" w:rsidP="00130B6B">
      <w:pPr>
        <w:spacing w:after="0" w:line="240" w:lineRule="auto"/>
        <w:rPr>
          <w:rFonts w:ascii="Times New Roman" w:hAnsi="Times New Roman" w:cs="Times New Roman"/>
          <w:b/>
          <w:sz w:val="24"/>
          <w:szCs w:val="24"/>
          <w:lang w:val="en-GB"/>
        </w:rPr>
      </w:pP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lang w:val="de-DE"/>
        </w:rPr>
      </w:pPr>
      <w:r w:rsidRPr="00255996">
        <w:rPr>
          <w:rFonts w:ascii="Times New Roman" w:hAnsi="Times New Roman" w:cs="Times New Roman"/>
          <w:sz w:val="24"/>
          <w:szCs w:val="24"/>
          <w:lang w:val="en-GB"/>
        </w:rPr>
        <w:t xml:space="preserve">Bernoth, K. and Erdogan, B. 2010. “Sovereign Bond Yield Spreads: A Time-Varying Coefficient Approach.” </w:t>
      </w:r>
      <w:r w:rsidRPr="00255996">
        <w:rPr>
          <w:rFonts w:ascii="Times New Roman" w:hAnsi="Times New Roman" w:cs="Times New Roman"/>
          <w:i/>
          <w:sz w:val="24"/>
          <w:szCs w:val="24"/>
          <w:lang w:val="de-DE"/>
        </w:rPr>
        <w:t>Discussion Paper No. 1078</w:t>
      </w:r>
      <w:r w:rsidRPr="00255996">
        <w:rPr>
          <w:rFonts w:ascii="Times New Roman" w:hAnsi="Times New Roman" w:cs="Times New Roman"/>
          <w:sz w:val="24"/>
          <w:szCs w:val="24"/>
          <w:lang w:val="de-DE"/>
        </w:rPr>
        <w:t>. Deutsches Institut für Wirtschaftsforschung Berlin.</w:t>
      </w:r>
    </w:p>
    <w:p w:rsidR="00540A03" w:rsidRPr="00255996" w:rsidRDefault="00540A03" w:rsidP="00130B6B">
      <w:pPr>
        <w:autoSpaceDE w:val="0"/>
        <w:autoSpaceDN w:val="0"/>
        <w:adjustRightInd w:val="0"/>
        <w:spacing w:after="0" w:line="240" w:lineRule="auto"/>
        <w:rPr>
          <w:rFonts w:ascii="Times New Roman" w:hAnsi="Times New Roman" w:cs="Times New Roman"/>
          <w:sz w:val="24"/>
          <w:szCs w:val="24"/>
          <w:lang w:val="de-DE"/>
        </w:rPr>
      </w:pPr>
    </w:p>
    <w:p w:rsidR="002157A8" w:rsidRPr="00255996" w:rsidRDefault="002157A8" w:rsidP="002157A8">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de-DE"/>
        </w:rPr>
        <w:t xml:space="preserve">Bernoth, K. von Hagen, J. and Schuknecht, L. 2012. </w:t>
      </w:r>
      <w:r w:rsidRPr="00255996">
        <w:rPr>
          <w:rFonts w:ascii="Times New Roman" w:hAnsi="Times New Roman" w:cs="Times New Roman"/>
          <w:sz w:val="24"/>
          <w:szCs w:val="24"/>
          <w:lang w:val="en-GB"/>
        </w:rPr>
        <w:t xml:space="preserve">“Sovereign risk premiums in the European government bond market.” </w:t>
      </w:r>
      <w:r w:rsidRPr="00255996">
        <w:rPr>
          <w:rFonts w:ascii="Times New Roman" w:hAnsi="Times New Roman" w:cs="Times New Roman"/>
          <w:i/>
          <w:sz w:val="24"/>
          <w:szCs w:val="24"/>
          <w:lang w:val="en-GB"/>
        </w:rPr>
        <w:t>Journal of International Money and Finance</w:t>
      </w:r>
      <w:r w:rsidRPr="00255996">
        <w:rPr>
          <w:rFonts w:ascii="Times New Roman" w:hAnsi="Times New Roman" w:cs="Times New Roman"/>
          <w:sz w:val="24"/>
          <w:szCs w:val="24"/>
          <w:lang w:val="en-GB"/>
        </w:rPr>
        <w:t xml:space="preserve"> 31(5): 975-995.</w:t>
      </w:r>
    </w:p>
    <w:p w:rsidR="00540A03" w:rsidRPr="00255996" w:rsidRDefault="00540A03" w:rsidP="002157A8">
      <w:pPr>
        <w:autoSpaceDE w:val="0"/>
        <w:autoSpaceDN w:val="0"/>
        <w:adjustRightInd w:val="0"/>
        <w:spacing w:after="0" w:line="240" w:lineRule="auto"/>
        <w:rPr>
          <w:rFonts w:ascii="Times New Roman" w:hAnsi="Times New Roman" w:cs="Times New Roman"/>
          <w:sz w:val="24"/>
          <w:szCs w:val="24"/>
          <w:lang w:val="en-GB"/>
        </w:rPr>
      </w:pPr>
    </w:p>
    <w:p w:rsidR="003A7D65" w:rsidRPr="00255996" w:rsidRDefault="003A7D65" w:rsidP="003A7D65">
      <w:pPr>
        <w:autoSpaceDE w:val="0"/>
        <w:autoSpaceDN w:val="0"/>
        <w:adjustRightInd w:val="0"/>
        <w:spacing w:after="0" w:line="240" w:lineRule="auto"/>
        <w:rPr>
          <w:rFonts w:ascii="Times New Roman" w:hAnsi="Times New Roman" w:cs="Times New Roman"/>
          <w:sz w:val="24"/>
          <w:szCs w:val="24"/>
          <w:lang w:val="en-GB"/>
        </w:rPr>
      </w:pPr>
      <w:r w:rsidRPr="00740A14">
        <w:rPr>
          <w:rFonts w:ascii="Times New Roman" w:hAnsi="Times New Roman" w:cs="Times New Roman"/>
          <w:sz w:val="24"/>
          <w:szCs w:val="24"/>
          <w:lang w:val="de-DE"/>
        </w:rPr>
        <w:t xml:space="preserve">Borgy, V. Laubach, T. Mésonnier, J.S. and Renne, J.P. 2011. </w:t>
      </w:r>
      <w:r w:rsidRPr="00255996">
        <w:rPr>
          <w:rFonts w:ascii="Times New Roman" w:hAnsi="Times New Roman" w:cs="Times New Roman"/>
          <w:sz w:val="24"/>
          <w:szCs w:val="24"/>
          <w:lang w:val="en-GB"/>
        </w:rPr>
        <w:t xml:space="preserve">“Fiscal Sustainability, Default Risk and Euro Area Sovereign Bond Spreads Markets.” </w:t>
      </w:r>
      <w:r w:rsidRPr="00255996">
        <w:rPr>
          <w:rFonts w:ascii="Times New Roman" w:hAnsi="Times New Roman" w:cs="Times New Roman"/>
          <w:i/>
          <w:sz w:val="24"/>
          <w:szCs w:val="24"/>
          <w:lang w:val="en-GB"/>
        </w:rPr>
        <w:t>Document de travail No.350</w:t>
      </w:r>
      <w:r w:rsidRPr="00255996">
        <w:rPr>
          <w:rFonts w:ascii="Times New Roman" w:hAnsi="Times New Roman" w:cs="Times New Roman"/>
          <w:sz w:val="24"/>
          <w:szCs w:val="24"/>
          <w:lang w:val="en-GB"/>
        </w:rPr>
        <w:t xml:space="preserve">. La Banque de France. </w:t>
      </w:r>
    </w:p>
    <w:p w:rsidR="00130B6B" w:rsidRPr="00255996" w:rsidRDefault="00130B6B" w:rsidP="00130B6B">
      <w:pPr>
        <w:autoSpaceDE w:val="0"/>
        <w:autoSpaceDN w:val="0"/>
        <w:adjustRightInd w:val="0"/>
        <w:spacing w:after="0" w:line="240" w:lineRule="auto"/>
        <w:rPr>
          <w:rFonts w:ascii="Times New Roman" w:eastAsia="Times New Roman" w:hAnsi="Times New Roman" w:cs="Times New Roman"/>
          <w:sz w:val="24"/>
          <w:szCs w:val="24"/>
          <w:lang w:val="en-GB" w:eastAsia="en-GB"/>
        </w:rPr>
      </w:pPr>
    </w:p>
    <w:p w:rsidR="00130B6B" w:rsidRPr="00255996" w:rsidRDefault="00130B6B" w:rsidP="00130B6B">
      <w:pPr>
        <w:autoSpaceDE w:val="0"/>
        <w:autoSpaceDN w:val="0"/>
        <w:adjustRightInd w:val="0"/>
        <w:spacing w:after="0" w:line="240" w:lineRule="auto"/>
        <w:rPr>
          <w:rFonts w:ascii="Times New Roman" w:eastAsia="Times New Roman" w:hAnsi="Times New Roman" w:cs="Times New Roman"/>
          <w:sz w:val="24"/>
          <w:szCs w:val="24"/>
          <w:lang w:val="en-GB" w:eastAsia="en-GB"/>
        </w:rPr>
      </w:pPr>
      <w:r w:rsidRPr="0053009B">
        <w:rPr>
          <w:rFonts w:ascii="Times New Roman" w:eastAsia="Times New Roman" w:hAnsi="Times New Roman" w:cs="Times New Roman"/>
          <w:sz w:val="24"/>
          <w:szCs w:val="24"/>
          <w:lang w:val="de-DE" w:eastAsia="en-GB"/>
        </w:rPr>
        <w:t xml:space="preserve">Burgert, M. and Schmidt, S. 2014. </w:t>
      </w:r>
      <w:r w:rsidRPr="00255996">
        <w:rPr>
          <w:rFonts w:ascii="Times New Roman" w:eastAsia="Times New Roman" w:hAnsi="Times New Roman" w:cs="Times New Roman"/>
          <w:sz w:val="24"/>
          <w:szCs w:val="24"/>
          <w:lang w:val="en-GB" w:eastAsia="en-GB"/>
        </w:rPr>
        <w:t>“</w:t>
      </w:r>
      <w:r w:rsidRPr="00255996">
        <w:rPr>
          <w:rFonts w:ascii="Times New Roman" w:eastAsia="Times New Roman" w:hAnsi="Times New Roman" w:cs="Times New Roman"/>
          <w:bCs/>
          <w:sz w:val="24"/>
          <w:szCs w:val="24"/>
          <w:lang w:val="en-GB" w:eastAsia="en-GB"/>
        </w:rPr>
        <w:t>Dealing with a liquidity trap when government debt matters: Optimal time-consistent monetary and fiscal policy</w:t>
      </w:r>
      <w:r w:rsidRPr="00255996">
        <w:rPr>
          <w:rFonts w:ascii="Times New Roman" w:eastAsia="Times New Roman" w:hAnsi="Times New Roman" w:cs="Times New Roman"/>
          <w:sz w:val="24"/>
          <w:szCs w:val="24"/>
          <w:lang w:val="en-GB" w:eastAsia="en-GB"/>
        </w:rPr>
        <w:t>.” </w:t>
      </w:r>
      <w:r w:rsidRPr="00255996">
        <w:rPr>
          <w:rFonts w:ascii="Times New Roman" w:eastAsia="Times New Roman" w:hAnsi="Times New Roman" w:cs="Times New Roman"/>
          <w:i/>
          <w:sz w:val="24"/>
          <w:szCs w:val="24"/>
          <w:lang w:val="en-GB" w:eastAsia="en-GB"/>
        </w:rPr>
        <w:t xml:space="preserve">Journal of Economic Dynamics and Control </w:t>
      </w:r>
      <w:r w:rsidRPr="00255996">
        <w:rPr>
          <w:rFonts w:ascii="Times New Roman" w:eastAsia="Times New Roman" w:hAnsi="Times New Roman" w:cs="Times New Roman"/>
          <w:sz w:val="24"/>
          <w:szCs w:val="24"/>
          <w:lang w:val="en-GB" w:eastAsia="en-GB"/>
        </w:rPr>
        <w:t>47(C): 282-299.</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130B6B" w:rsidRDefault="00130B6B"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r w:rsidRPr="00255996">
        <w:rPr>
          <w:rFonts w:ascii="Times New Roman" w:hAnsi="Times New Roman" w:cs="Times New Roman"/>
          <w:sz w:val="24"/>
          <w:szCs w:val="24"/>
          <w:shd w:val="clear" w:color="auto" w:fill="EFF3F8"/>
          <w:lang w:val="en-GB"/>
        </w:rPr>
        <w:t>Campbell, J.Y., Pflueger, C. and Viceira, L.M. 2013. “</w:t>
      </w:r>
      <w:r w:rsidRPr="00255996">
        <w:rPr>
          <w:rFonts w:ascii="Times New Roman" w:hAnsi="Times New Roman" w:cs="Times New Roman"/>
          <w:bCs/>
          <w:sz w:val="24"/>
          <w:szCs w:val="24"/>
          <w:lang w:val="en-GB"/>
        </w:rPr>
        <w:t>Monetary Policy Drivers of Bond and Equity Risks</w:t>
      </w:r>
      <w:r w:rsidRPr="00255996">
        <w:rPr>
          <w:rFonts w:ascii="Times New Roman" w:hAnsi="Times New Roman" w:cs="Times New Roman"/>
          <w:sz w:val="24"/>
          <w:szCs w:val="24"/>
          <w:shd w:val="clear" w:color="auto" w:fill="EFF3F8"/>
          <w:lang w:val="en-GB"/>
        </w:rPr>
        <w:t>.”</w:t>
      </w:r>
      <w:r w:rsidRPr="00255996">
        <w:rPr>
          <w:rStyle w:val="apple-converted-space"/>
          <w:rFonts w:ascii="Times New Roman" w:hAnsi="Times New Roman" w:cs="Times New Roman"/>
          <w:sz w:val="24"/>
          <w:szCs w:val="24"/>
          <w:shd w:val="clear" w:color="auto" w:fill="EFF3F8"/>
          <w:lang w:val="en-GB"/>
        </w:rPr>
        <w:t> </w:t>
      </w:r>
      <w:r w:rsidRPr="00255996">
        <w:rPr>
          <w:rFonts w:ascii="Times New Roman" w:hAnsi="Times New Roman" w:cs="Times New Roman"/>
          <w:i/>
          <w:sz w:val="24"/>
          <w:szCs w:val="24"/>
          <w:lang w:val="en-GB"/>
        </w:rPr>
        <w:t>Working Papers</w:t>
      </w:r>
      <w:r w:rsidRPr="00255996">
        <w:rPr>
          <w:rStyle w:val="apple-converted-space"/>
          <w:rFonts w:ascii="Times New Roman" w:hAnsi="Times New Roman" w:cs="Times New Roman"/>
          <w:i/>
          <w:sz w:val="24"/>
          <w:szCs w:val="24"/>
          <w:shd w:val="clear" w:color="auto" w:fill="EFF3F8"/>
          <w:lang w:val="en-GB"/>
        </w:rPr>
        <w:t> </w:t>
      </w:r>
      <w:r w:rsidRPr="00255996">
        <w:rPr>
          <w:rFonts w:ascii="Times New Roman" w:hAnsi="Times New Roman" w:cs="Times New Roman"/>
          <w:i/>
          <w:sz w:val="24"/>
          <w:szCs w:val="24"/>
          <w:shd w:val="clear" w:color="auto" w:fill="EFF3F8"/>
          <w:lang w:val="en-GB"/>
        </w:rPr>
        <w:t>14-031</w:t>
      </w:r>
      <w:r w:rsidRPr="00255996">
        <w:rPr>
          <w:rFonts w:ascii="Times New Roman" w:hAnsi="Times New Roman" w:cs="Times New Roman"/>
          <w:sz w:val="24"/>
          <w:szCs w:val="24"/>
          <w:shd w:val="clear" w:color="auto" w:fill="EFF3F8"/>
          <w:lang w:val="en-GB"/>
        </w:rPr>
        <w:t>. Harvard Business School.</w:t>
      </w:r>
    </w:p>
    <w:p w:rsidR="002B4E23" w:rsidRPr="00255996" w:rsidRDefault="002B4E23"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DC4B3E" w:rsidRPr="00255996" w:rsidRDefault="00DC4B3E" w:rsidP="00DC4B3E">
      <w:pPr>
        <w:spacing w:after="0" w:line="240" w:lineRule="auto"/>
        <w:rPr>
          <w:rFonts w:ascii="Times New Roman" w:hAnsi="Times New Roman" w:cs="Times New Roman"/>
          <w:sz w:val="24"/>
          <w:lang w:val="en-GB"/>
        </w:rPr>
      </w:pPr>
      <w:r w:rsidRPr="00255996">
        <w:rPr>
          <w:rFonts w:ascii="Times New Roman" w:hAnsi="Times New Roman" w:cs="Times New Roman"/>
          <w:sz w:val="24"/>
          <w:lang w:val="en-GB"/>
        </w:rPr>
        <w:t xml:space="preserve">Codogno, L., Favero, C. and Missale, A. 2003. “Yield spreads on EMU government bonds.” </w:t>
      </w:r>
      <w:r w:rsidRPr="00255996">
        <w:rPr>
          <w:rFonts w:ascii="Times New Roman" w:hAnsi="Times New Roman" w:cs="Times New Roman"/>
          <w:i/>
          <w:sz w:val="24"/>
          <w:lang w:val="en-GB"/>
        </w:rPr>
        <w:t xml:space="preserve">Economic Policy Review. </w:t>
      </w:r>
      <w:r w:rsidRPr="00255996">
        <w:rPr>
          <w:rFonts w:ascii="Times New Roman" w:hAnsi="Times New Roman" w:cs="Times New Roman"/>
          <w:sz w:val="24"/>
          <w:lang w:val="en-GB"/>
        </w:rPr>
        <w:t>18: 211-235.</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lang w:val="en-GB"/>
        </w:rPr>
      </w:pPr>
    </w:p>
    <w:p w:rsidR="00AB1862" w:rsidRPr="00255996" w:rsidRDefault="00AB1862" w:rsidP="00AB1862">
      <w:pPr>
        <w:spacing w:after="0" w:line="240" w:lineRule="auto"/>
        <w:rPr>
          <w:rFonts w:ascii="Times New Roman" w:eastAsiaTheme="minorEastAsia" w:hAnsi="Times New Roman" w:cs="Times New Roman"/>
          <w:sz w:val="24"/>
          <w:lang w:val="en-GB"/>
        </w:rPr>
      </w:pPr>
      <w:r w:rsidRPr="00255996">
        <w:rPr>
          <w:rFonts w:ascii="Times New Roman" w:eastAsiaTheme="minorEastAsia" w:hAnsi="Times New Roman" w:cs="Times New Roman"/>
          <w:sz w:val="24"/>
          <w:lang w:val="en-GB"/>
        </w:rPr>
        <w:lastRenderedPageBreak/>
        <w:t xml:space="preserve">Cont, R. and Tankov, P. 2009. “Constant Proportion Portfolio Insurance in presence of jumps in asset prices.” </w:t>
      </w:r>
      <w:r w:rsidRPr="00255996">
        <w:rPr>
          <w:rFonts w:ascii="Times New Roman" w:eastAsiaTheme="minorEastAsia" w:hAnsi="Times New Roman" w:cs="Times New Roman"/>
          <w:i/>
          <w:sz w:val="24"/>
          <w:lang w:val="en-GB"/>
        </w:rPr>
        <w:t>Journal of Mathematical Finance</w:t>
      </w:r>
      <w:r w:rsidRPr="00255996">
        <w:rPr>
          <w:rFonts w:ascii="Times New Roman" w:eastAsiaTheme="minorEastAsia" w:hAnsi="Times New Roman" w:cs="Times New Roman"/>
          <w:sz w:val="24"/>
          <w:lang w:val="en-GB"/>
        </w:rPr>
        <w:t xml:space="preserve"> 19(3): 379-401. </w:t>
      </w:r>
    </w:p>
    <w:p w:rsidR="00AB1862" w:rsidRPr="00255996" w:rsidRDefault="00AB1862" w:rsidP="00130B6B">
      <w:pPr>
        <w:autoSpaceDE w:val="0"/>
        <w:autoSpaceDN w:val="0"/>
        <w:adjustRightInd w:val="0"/>
        <w:spacing w:after="0" w:line="240" w:lineRule="auto"/>
        <w:rPr>
          <w:rFonts w:ascii="Times New Roman" w:eastAsia="Times New Roman" w:hAnsi="Times New Roman" w:cs="Times New Roman"/>
          <w:sz w:val="24"/>
          <w:szCs w:val="24"/>
          <w:lang w:val="en-GB" w:eastAsia="en-GB"/>
        </w:rPr>
      </w:pPr>
    </w:p>
    <w:p w:rsidR="00130B6B" w:rsidRPr="00255996" w:rsidRDefault="00130B6B" w:rsidP="00130B6B">
      <w:pPr>
        <w:autoSpaceDE w:val="0"/>
        <w:autoSpaceDN w:val="0"/>
        <w:adjustRightInd w:val="0"/>
        <w:spacing w:after="0" w:line="240" w:lineRule="auto"/>
        <w:rPr>
          <w:rFonts w:ascii="Times New Roman" w:eastAsia="Times New Roman" w:hAnsi="Times New Roman" w:cs="Times New Roman"/>
          <w:sz w:val="24"/>
          <w:szCs w:val="24"/>
          <w:lang w:val="en-GB" w:eastAsia="en-GB"/>
        </w:rPr>
      </w:pPr>
      <w:r w:rsidRPr="00255996">
        <w:rPr>
          <w:rFonts w:ascii="Times New Roman" w:eastAsia="Times New Roman" w:hAnsi="Times New Roman" w:cs="Times New Roman"/>
          <w:sz w:val="24"/>
          <w:szCs w:val="24"/>
          <w:lang w:val="en-GB" w:eastAsia="en-GB"/>
        </w:rPr>
        <w:t>Correa, R. and Sapriza, H. 2014. “</w:t>
      </w:r>
      <w:r w:rsidRPr="00255996">
        <w:rPr>
          <w:rFonts w:ascii="Times New Roman" w:eastAsia="Times New Roman" w:hAnsi="Times New Roman" w:cs="Times New Roman"/>
          <w:bCs/>
          <w:sz w:val="24"/>
          <w:szCs w:val="24"/>
          <w:lang w:val="en-GB" w:eastAsia="en-GB"/>
        </w:rPr>
        <w:t>Sovereign Debt Crises</w:t>
      </w:r>
      <w:r w:rsidRPr="00255996">
        <w:rPr>
          <w:rFonts w:ascii="Times New Roman" w:eastAsia="Times New Roman" w:hAnsi="Times New Roman" w:cs="Times New Roman"/>
          <w:sz w:val="24"/>
          <w:szCs w:val="24"/>
          <w:lang w:val="en-GB" w:eastAsia="en-GB"/>
        </w:rPr>
        <w:t>.” </w:t>
      </w:r>
      <w:r w:rsidRPr="00255996">
        <w:rPr>
          <w:rFonts w:ascii="Times New Roman" w:eastAsia="Times New Roman" w:hAnsi="Times New Roman" w:cs="Times New Roman"/>
          <w:i/>
          <w:sz w:val="24"/>
          <w:szCs w:val="24"/>
          <w:lang w:val="en-GB" w:eastAsia="en-GB"/>
        </w:rPr>
        <w:t>International Finance Discussion Papers No. 1104</w:t>
      </w:r>
      <w:r w:rsidRPr="00255996">
        <w:rPr>
          <w:rFonts w:ascii="Times New Roman" w:eastAsia="Times New Roman" w:hAnsi="Times New Roman" w:cs="Times New Roman"/>
          <w:sz w:val="24"/>
          <w:szCs w:val="24"/>
          <w:lang w:val="en-GB" w:eastAsia="en-GB"/>
        </w:rPr>
        <w:t>. Board of Governors of the Federal Reserve System.</w:t>
      </w:r>
    </w:p>
    <w:p w:rsidR="00741741" w:rsidRPr="00741741" w:rsidRDefault="00741741" w:rsidP="003A58A5">
      <w:pPr>
        <w:shd w:val="clear" w:color="auto" w:fill="EFF3F8"/>
        <w:spacing w:before="100" w:beforeAutospacing="1" w:after="100" w:afterAutospacing="1" w:line="24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Culbertson, J. M. 1957. “The Term Structure of Interest Rates.” </w:t>
      </w:r>
      <w:r>
        <w:rPr>
          <w:rFonts w:ascii="Times New Roman" w:eastAsia="Times New Roman" w:hAnsi="Times New Roman" w:cs="Times New Roman"/>
          <w:i/>
          <w:sz w:val="24"/>
          <w:szCs w:val="24"/>
          <w:lang w:val="en-GB" w:eastAsia="en-GB"/>
        </w:rPr>
        <w:t xml:space="preserve"> Quarterly Journal of Economics </w:t>
      </w:r>
      <w:r>
        <w:rPr>
          <w:rFonts w:ascii="Times New Roman" w:eastAsia="Times New Roman" w:hAnsi="Times New Roman" w:cs="Times New Roman"/>
          <w:sz w:val="24"/>
          <w:szCs w:val="24"/>
          <w:lang w:val="en-GB" w:eastAsia="en-GB"/>
        </w:rPr>
        <w:t>71: 485-517.</w:t>
      </w:r>
    </w:p>
    <w:p w:rsidR="00DC4B3E" w:rsidRPr="00255996" w:rsidRDefault="00DC4B3E" w:rsidP="00DC4B3E">
      <w:pPr>
        <w:autoSpaceDE w:val="0"/>
        <w:autoSpaceDN w:val="0"/>
        <w:adjustRightInd w:val="0"/>
        <w:spacing w:after="0" w:line="240" w:lineRule="auto"/>
        <w:rPr>
          <w:rFonts w:ascii="Times New Roman" w:hAnsi="Times New Roman" w:cs="Times New Roman"/>
          <w:sz w:val="24"/>
          <w:szCs w:val="24"/>
          <w:shd w:val="clear" w:color="auto" w:fill="EFF3F8"/>
          <w:lang w:val="en-GB"/>
        </w:rPr>
      </w:pPr>
      <w:r w:rsidRPr="00255996">
        <w:rPr>
          <w:rFonts w:ascii="Times New Roman" w:hAnsi="Times New Roman" w:cs="Times New Roman"/>
          <w:sz w:val="24"/>
          <w:szCs w:val="24"/>
          <w:shd w:val="clear" w:color="auto" w:fill="EFF3F8"/>
          <w:lang w:val="en-GB"/>
        </w:rPr>
        <w:t xml:space="preserve">Engen, E.M. and Hubbard, G. 2005. “Federal Government Debt and Interest Rates.” </w:t>
      </w:r>
      <w:r w:rsidRPr="00255996">
        <w:rPr>
          <w:rFonts w:ascii="Times New Roman" w:hAnsi="Times New Roman" w:cs="Times New Roman"/>
          <w:i/>
          <w:sz w:val="24"/>
          <w:szCs w:val="24"/>
          <w:shd w:val="clear" w:color="auto" w:fill="EFF3F8"/>
          <w:lang w:val="en-GB"/>
        </w:rPr>
        <w:t>NBER Macroeconomics Annual</w:t>
      </w:r>
      <w:r w:rsidRPr="00255996">
        <w:rPr>
          <w:rFonts w:ascii="Times New Roman" w:hAnsi="Times New Roman" w:cs="Times New Roman"/>
          <w:sz w:val="24"/>
          <w:szCs w:val="24"/>
          <w:shd w:val="clear" w:color="auto" w:fill="EFF3F8"/>
          <w:lang w:val="en-GB"/>
        </w:rPr>
        <w:t xml:space="preserve"> </w:t>
      </w:r>
      <w:r w:rsidRPr="00255996">
        <w:rPr>
          <w:rFonts w:ascii="Times New Roman" w:hAnsi="Times New Roman" w:cs="Times New Roman"/>
          <w:i/>
          <w:sz w:val="24"/>
          <w:szCs w:val="24"/>
          <w:shd w:val="clear" w:color="auto" w:fill="EFF3F8"/>
          <w:lang w:val="en-GB"/>
        </w:rPr>
        <w:t>Conference</w:t>
      </w:r>
      <w:r w:rsidRPr="00255996">
        <w:rPr>
          <w:rFonts w:ascii="Times New Roman" w:hAnsi="Times New Roman" w:cs="Times New Roman"/>
          <w:sz w:val="24"/>
          <w:szCs w:val="24"/>
          <w:shd w:val="clear" w:color="auto" w:fill="EFF3F8"/>
          <w:lang w:val="en-GB"/>
        </w:rPr>
        <w:t xml:space="preserve"> 2004. </w:t>
      </w:r>
    </w:p>
    <w:p w:rsidR="003A7D65" w:rsidRPr="00255996" w:rsidRDefault="003A7D65" w:rsidP="00DC4B3E">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1A3F60" w:rsidRPr="00255996" w:rsidRDefault="001A3F60" w:rsidP="001A3F60">
      <w:pPr>
        <w:autoSpaceDE w:val="0"/>
        <w:autoSpaceDN w:val="0"/>
        <w:adjustRightInd w:val="0"/>
        <w:spacing w:after="0" w:line="240" w:lineRule="auto"/>
        <w:rPr>
          <w:rFonts w:ascii="Times New Roman" w:hAnsi="Times New Roman" w:cs="Times New Roman"/>
          <w:sz w:val="24"/>
          <w:szCs w:val="24"/>
          <w:shd w:val="clear" w:color="auto" w:fill="EFF3F8"/>
          <w:lang w:val="en-GB"/>
        </w:rPr>
      </w:pPr>
      <w:r w:rsidRPr="00255996">
        <w:rPr>
          <w:rFonts w:ascii="Times New Roman" w:hAnsi="Times New Roman" w:cs="Times New Roman"/>
          <w:sz w:val="24"/>
          <w:szCs w:val="24"/>
          <w:shd w:val="clear" w:color="auto" w:fill="EFF3F8"/>
          <w:lang w:val="en-GB"/>
        </w:rPr>
        <w:t xml:space="preserve">Engle, R.F. and Granger, C.W.J. 1987. “Co-integration and error-correction: representation, </w:t>
      </w:r>
    </w:p>
    <w:p w:rsidR="001A3F60" w:rsidRPr="00255996" w:rsidRDefault="001A3F60" w:rsidP="001A3F60">
      <w:pPr>
        <w:autoSpaceDE w:val="0"/>
        <w:autoSpaceDN w:val="0"/>
        <w:adjustRightInd w:val="0"/>
        <w:spacing w:after="0" w:line="240" w:lineRule="auto"/>
        <w:rPr>
          <w:rFonts w:ascii="Times New Roman" w:hAnsi="Times New Roman" w:cs="Times New Roman"/>
          <w:sz w:val="24"/>
          <w:szCs w:val="24"/>
          <w:shd w:val="clear" w:color="auto" w:fill="EFF3F8"/>
          <w:lang w:val="en-GB"/>
        </w:rPr>
      </w:pPr>
      <w:r w:rsidRPr="00255996">
        <w:rPr>
          <w:rFonts w:ascii="Times New Roman" w:hAnsi="Times New Roman" w:cs="Times New Roman"/>
          <w:sz w:val="24"/>
          <w:szCs w:val="24"/>
          <w:shd w:val="clear" w:color="auto" w:fill="EFF3F8"/>
          <w:lang w:val="en-GB"/>
        </w:rPr>
        <w:t xml:space="preserve">estimation, and testing.” </w:t>
      </w:r>
      <w:r w:rsidRPr="00255996">
        <w:rPr>
          <w:rFonts w:ascii="Times New Roman" w:hAnsi="Times New Roman" w:cs="Times New Roman"/>
          <w:i/>
          <w:sz w:val="24"/>
          <w:szCs w:val="24"/>
          <w:shd w:val="clear" w:color="auto" w:fill="EFF3F8"/>
          <w:lang w:val="en-GB"/>
        </w:rPr>
        <w:t>Econometrica</w:t>
      </w:r>
      <w:r w:rsidRPr="00255996">
        <w:rPr>
          <w:rFonts w:ascii="Times New Roman" w:hAnsi="Times New Roman" w:cs="Times New Roman"/>
          <w:sz w:val="24"/>
          <w:szCs w:val="24"/>
          <w:shd w:val="clear" w:color="auto" w:fill="EFF3F8"/>
          <w:lang w:val="en-GB"/>
        </w:rPr>
        <w:t xml:space="preserve"> 55(1):251-276.</w:t>
      </w:r>
    </w:p>
    <w:p w:rsidR="001A3F60" w:rsidRPr="00255996" w:rsidRDefault="001A3F60" w:rsidP="00DC4B3E">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3A7D65" w:rsidRPr="00255996" w:rsidRDefault="003A7D65" w:rsidP="003A7D65">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Faini, R. 2006. “Fiscal Policy and Interest Rates in Europe.” </w:t>
      </w:r>
      <w:r w:rsidRPr="00255996">
        <w:rPr>
          <w:rFonts w:ascii="Times New Roman" w:hAnsi="Times New Roman" w:cs="Times New Roman"/>
          <w:i/>
          <w:iCs/>
          <w:sz w:val="24"/>
          <w:szCs w:val="24"/>
          <w:lang w:val="en-GB"/>
        </w:rPr>
        <w:t>Economic Policy 25:</w:t>
      </w:r>
      <w:r w:rsidRPr="00255996">
        <w:rPr>
          <w:rFonts w:ascii="Times New Roman" w:hAnsi="Times New Roman" w:cs="Times New Roman"/>
          <w:sz w:val="24"/>
          <w:szCs w:val="24"/>
          <w:lang w:val="en-GB"/>
        </w:rPr>
        <w:t xml:space="preserve"> 443–89.</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3A7D65" w:rsidRPr="00255996" w:rsidRDefault="003A7D65" w:rsidP="003A7D65">
      <w:pPr>
        <w:autoSpaceDE w:val="0"/>
        <w:autoSpaceDN w:val="0"/>
        <w:adjustRightInd w:val="0"/>
        <w:spacing w:after="0" w:line="240" w:lineRule="auto"/>
        <w:rPr>
          <w:rFonts w:ascii="Times New Roman" w:hAnsi="Times New Roman" w:cs="Times New Roman"/>
          <w:sz w:val="24"/>
          <w:szCs w:val="24"/>
          <w:lang w:val="en-GB"/>
        </w:rPr>
      </w:pPr>
      <w:r w:rsidRPr="005114FF">
        <w:rPr>
          <w:rFonts w:ascii="Times New Roman" w:hAnsi="Times New Roman" w:cs="Times New Roman"/>
          <w:sz w:val="24"/>
          <w:szCs w:val="24"/>
          <w:lang w:val="de-DE"/>
        </w:rPr>
        <w:t xml:space="preserve">Gerlach, S. Schulz, A. and Wolff, G.B. 2010. </w:t>
      </w:r>
      <w:r w:rsidRPr="00255996">
        <w:rPr>
          <w:rFonts w:ascii="Times New Roman" w:hAnsi="Times New Roman" w:cs="Times New Roman"/>
          <w:sz w:val="24"/>
          <w:szCs w:val="24"/>
          <w:lang w:val="en-GB"/>
        </w:rPr>
        <w:t xml:space="preserve">“Banking and sovereign risk in the euro area.” </w:t>
      </w:r>
      <w:r w:rsidRPr="00255996">
        <w:rPr>
          <w:rFonts w:ascii="Times New Roman" w:hAnsi="Times New Roman" w:cs="Times New Roman"/>
          <w:i/>
          <w:sz w:val="24"/>
          <w:szCs w:val="24"/>
          <w:lang w:val="en-GB"/>
        </w:rPr>
        <w:t>CEPR Discussion Paper</w:t>
      </w:r>
      <w:r w:rsidR="007E010E">
        <w:rPr>
          <w:rFonts w:ascii="Times New Roman" w:hAnsi="Times New Roman" w:cs="Times New Roman"/>
          <w:i/>
          <w:sz w:val="24"/>
          <w:szCs w:val="24"/>
          <w:lang w:val="en-GB"/>
        </w:rPr>
        <w:t xml:space="preserve"> No. 7833</w:t>
      </w:r>
      <w:r w:rsidRPr="00255996">
        <w:rPr>
          <w:rFonts w:ascii="Times New Roman" w:hAnsi="Times New Roman" w:cs="Times New Roman"/>
          <w:sz w:val="24"/>
          <w:szCs w:val="24"/>
          <w:lang w:val="en-GB"/>
        </w:rPr>
        <w:t>. Centre for Economic Policy Research.</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shd w:val="clear" w:color="auto" w:fill="FFFFFF"/>
          <w:lang w:val="en-GB"/>
        </w:rPr>
      </w:pPr>
    </w:p>
    <w:p w:rsidR="00241CD3" w:rsidRPr="00255996" w:rsidRDefault="00241CD3" w:rsidP="00130B6B">
      <w:pPr>
        <w:autoSpaceDE w:val="0"/>
        <w:autoSpaceDN w:val="0"/>
        <w:adjustRightInd w:val="0"/>
        <w:spacing w:after="0" w:line="240" w:lineRule="auto"/>
        <w:rPr>
          <w:rFonts w:ascii="Times New Roman" w:hAnsi="Times New Roman" w:cs="Times New Roman"/>
          <w:sz w:val="24"/>
          <w:lang w:val="de-DE"/>
        </w:rPr>
      </w:pPr>
      <w:r w:rsidRPr="00255996">
        <w:rPr>
          <w:rFonts w:ascii="Times New Roman" w:hAnsi="Times New Roman" w:cs="Times New Roman"/>
          <w:sz w:val="24"/>
          <w:lang w:val="en-GB"/>
        </w:rPr>
        <w:t xml:space="preserve">Gesell, S. 1916. </w:t>
      </w:r>
      <w:r w:rsidRPr="00255996">
        <w:rPr>
          <w:rFonts w:ascii="Times New Roman" w:hAnsi="Times New Roman" w:cs="Times New Roman"/>
          <w:sz w:val="24"/>
          <w:lang w:val="de-DE"/>
        </w:rPr>
        <w:t>“Die natürliche Wirtschaftsordnung durch Freiland und Freigeld.” Les Hauts-Geneveys: Selbstverlag.</w:t>
      </w:r>
    </w:p>
    <w:p w:rsidR="00241CD3" w:rsidRPr="00255996" w:rsidRDefault="00241CD3" w:rsidP="00130B6B">
      <w:pPr>
        <w:autoSpaceDE w:val="0"/>
        <w:autoSpaceDN w:val="0"/>
        <w:adjustRightInd w:val="0"/>
        <w:spacing w:after="0" w:line="240" w:lineRule="auto"/>
        <w:rPr>
          <w:rFonts w:ascii="Times New Roman" w:hAnsi="Times New Roman" w:cs="Times New Roman"/>
          <w:sz w:val="24"/>
          <w:szCs w:val="24"/>
          <w:shd w:val="clear" w:color="auto" w:fill="FFFFFF"/>
          <w:lang w:val="de-DE"/>
        </w:rPr>
      </w:pP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shd w:val="clear" w:color="auto" w:fill="FFFFFF"/>
          <w:lang w:val="en-GB"/>
        </w:rPr>
      </w:pPr>
      <w:r w:rsidRPr="00255996">
        <w:rPr>
          <w:rFonts w:ascii="Times New Roman" w:hAnsi="Times New Roman" w:cs="Times New Roman"/>
          <w:sz w:val="24"/>
          <w:szCs w:val="24"/>
          <w:shd w:val="clear" w:color="auto" w:fill="FFFFFF"/>
          <w:lang w:val="de-DE"/>
        </w:rPr>
        <w:t xml:space="preserve">Giese, J., Anderson, H., Bush, O., Castro, C., Farag, M. and Kapadia, S. 2014. </w:t>
      </w:r>
      <w:r w:rsidRPr="00255996">
        <w:rPr>
          <w:rFonts w:ascii="Times New Roman" w:hAnsi="Times New Roman" w:cs="Times New Roman"/>
          <w:sz w:val="24"/>
          <w:szCs w:val="24"/>
          <w:shd w:val="clear" w:color="auto" w:fill="FFFFFF"/>
          <w:lang w:val="en-GB"/>
        </w:rPr>
        <w:t>“</w:t>
      </w:r>
      <w:r w:rsidRPr="00255996">
        <w:rPr>
          <w:rStyle w:val="Strong"/>
          <w:rFonts w:ascii="Times New Roman" w:hAnsi="Times New Roman" w:cs="Times New Roman"/>
          <w:b w:val="0"/>
          <w:sz w:val="24"/>
          <w:szCs w:val="24"/>
          <w:shd w:val="clear" w:color="auto" w:fill="FFFFFF"/>
          <w:lang w:val="en-GB"/>
        </w:rPr>
        <w:t>The Credit-to-GDP and Complementary Indicators for Macro-Prudential Policy: Evidence from the UK.”</w:t>
      </w:r>
      <w:r w:rsidRPr="00255996">
        <w:rPr>
          <w:rStyle w:val="Strong"/>
          <w:rFonts w:ascii="Times New Roman" w:hAnsi="Times New Roman" w:cs="Times New Roman"/>
          <w:sz w:val="24"/>
          <w:szCs w:val="24"/>
          <w:shd w:val="clear" w:color="auto" w:fill="FFFFFF"/>
          <w:lang w:val="en-GB"/>
        </w:rPr>
        <w:t xml:space="preserve"> </w:t>
      </w:r>
      <w:r w:rsidRPr="00255996">
        <w:rPr>
          <w:rFonts w:ascii="Times New Roman" w:hAnsi="Times New Roman" w:cs="Times New Roman"/>
          <w:i/>
          <w:sz w:val="24"/>
          <w:szCs w:val="24"/>
          <w:shd w:val="clear" w:color="auto" w:fill="FFFFFF"/>
          <w:lang w:val="en-GB"/>
        </w:rPr>
        <w:t xml:space="preserve">International Journal of Finance &amp; Economics </w:t>
      </w:r>
      <w:r w:rsidRPr="00255996">
        <w:rPr>
          <w:rFonts w:ascii="Times New Roman" w:hAnsi="Times New Roman" w:cs="Times New Roman"/>
          <w:sz w:val="24"/>
          <w:szCs w:val="24"/>
          <w:shd w:val="clear" w:color="auto" w:fill="FFFFFF"/>
          <w:lang w:val="en-GB"/>
        </w:rPr>
        <w:t>19(1): 25-47.</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lang w:val="en-GB"/>
        </w:rPr>
      </w:pPr>
    </w:p>
    <w:p w:rsidR="003A7D65" w:rsidRPr="00255996" w:rsidRDefault="00130B6B" w:rsidP="003A7D65">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Gilchrist, S., Yankov, V. and Zakrajsek, E. 2009. “Credit market shocks and economic fluctuations: Evidence from corporate bond and stock markets.” </w:t>
      </w:r>
      <w:r w:rsidRPr="00255996">
        <w:rPr>
          <w:rFonts w:ascii="Times New Roman" w:hAnsi="Times New Roman" w:cs="Times New Roman"/>
          <w:i/>
          <w:sz w:val="24"/>
          <w:szCs w:val="24"/>
          <w:lang w:val="en-GB"/>
        </w:rPr>
        <w:t xml:space="preserve">Journal of Monetary Economics </w:t>
      </w:r>
      <w:r w:rsidRPr="00255996">
        <w:rPr>
          <w:rFonts w:ascii="Times New Roman" w:hAnsi="Times New Roman" w:cs="Times New Roman"/>
          <w:sz w:val="24"/>
          <w:szCs w:val="24"/>
          <w:lang w:val="en-GB"/>
        </w:rPr>
        <w:t>56(4): 471-493.</w:t>
      </w:r>
      <w:r w:rsidR="003A7D65" w:rsidRPr="00255996">
        <w:rPr>
          <w:rFonts w:ascii="Times New Roman" w:hAnsi="Times New Roman" w:cs="Times New Roman"/>
          <w:sz w:val="24"/>
          <w:szCs w:val="24"/>
          <w:lang w:val="en-GB"/>
        </w:rPr>
        <w:t xml:space="preserve"> </w:t>
      </w:r>
    </w:p>
    <w:p w:rsidR="003A7D65" w:rsidRPr="00255996" w:rsidRDefault="003A7D65" w:rsidP="003A7D65">
      <w:pPr>
        <w:autoSpaceDE w:val="0"/>
        <w:autoSpaceDN w:val="0"/>
        <w:adjustRightInd w:val="0"/>
        <w:spacing w:after="0" w:line="240" w:lineRule="auto"/>
        <w:rPr>
          <w:rFonts w:ascii="Times New Roman" w:hAnsi="Times New Roman" w:cs="Times New Roman"/>
          <w:sz w:val="24"/>
          <w:szCs w:val="24"/>
          <w:lang w:val="en-GB"/>
        </w:rPr>
      </w:pPr>
    </w:p>
    <w:p w:rsidR="003A7D65" w:rsidRPr="00255996" w:rsidRDefault="003A7D65" w:rsidP="003A7D65">
      <w:pPr>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Hauner, D. and Kumar, M. 2009. “Fiscal Policy and Interest Rates: How Sustainable is the</w:t>
      </w:r>
      <w:r w:rsidRPr="00255996">
        <w:rPr>
          <w:rFonts w:ascii="Times New Roman" w:hAnsi="Times New Roman" w:cs="Times New Roman"/>
          <w:lang w:val="en-GB"/>
        </w:rPr>
        <w:t xml:space="preserve"> </w:t>
      </w:r>
      <w:r w:rsidRPr="00255996">
        <w:rPr>
          <w:rFonts w:ascii="Times New Roman" w:hAnsi="Times New Roman" w:cs="Times New Roman"/>
          <w:sz w:val="24"/>
          <w:szCs w:val="24"/>
          <w:lang w:val="en-GB"/>
        </w:rPr>
        <w:t xml:space="preserve">New Economy?” </w:t>
      </w:r>
      <w:r w:rsidRPr="00255996">
        <w:rPr>
          <w:rFonts w:ascii="Times New Roman" w:hAnsi="Times New Roman" w:cs="Times New Roman"/>
          <w:i/>
          <w:sz w:val="24"/>
          <w:szCs w:val="24"/>
          <w:lang w:val="en-GB"/>
        </w:rPr>
        <w:t>IMF Working Paper 06/112</w:t>
      </w:r>
      <w:r w:rsidRPr="00255996">
        <w:rPr>
          <w:rFonts w:ascii="Times New Roman" w:hAnsi="Times New Roman" w:cs="Times New Roman"/>
          <w:sz w:val="24"/>
          <w:szCs w:val="24"/>
          <w:lang w:val="en-GB"/>
        </w:rPr>
        <w:t>. International Monetary Fund.</w:t>
      </w:r>
    </w:p>
    <w:p w:rsidR="00BC6A4A" w:rsidRDefault="00BC6A4A" w:rsidP="003A7D65">
      <w:pPr>
        <w:spacing w:after="0" w:line="240" w:lineRule="auto"/>
        <w:rPr>
          <w:rFonts w:ascii="Times New Roman" w:hAnsi="Times New Roman" w:cs="Times New Roman"/>
          <w:sz w:val="24"/>
          <w:szCs w:val="24"/>
          <w:lang w:val="en-GB"/>
        </w:rPr>
      </w:pPr>
    </w:p>
    <w:p w:rsidR="008431D5" w:rsidRDefault="008431D5" w:rsidP="008431D5">
      <w:pPr>
        <w:autoSpaceDE w:val="0"/>
        <w:autoSpaceDN w:val="0"/>
        <w:adjustRightInd w:val="0"/>
        <w:spacing w:after="0" w:line="240" w:lineRule="auto"/>
        <w:rPr>
          <w:rFonts w:ascii="Times New Roman" w:hAnsi="Times New Roman" w:cs="Times New Roman"/>
          <w:sz w:val="24"/>
          <w:lang w:val="en-GB"/>
        </w:rPr>
      </w:pPr>
      <w:r w:rsidRPr="00255996">
        <w:rPr>
          <w:rFonts w:ascii="Times New Roman" w:hAnsi="Times New Roman" w:cs="Times New Roman"/>
          <w:sz w:val="24"/>
          <w:lang w:val="en-GB"/>
        </w:rPr>
        <w:t>Hill, R.C. Griffiths, W.E. and Lim, G.C. 2008.</w:t>
      </w:r>
      <w:r>
        <w:rPr>
          <w:rFonts w:ascii="Times New Roman" w:hAnsi="Times New Roman" w:cs="Times New Roman"/>
          <w:sz w:val="24"/>
          <w:lang w:val="en-GB"/>
        </w:rPr>
        <w:t xml:space="preserve"> </w:t>
      </w:r>
      <w:r w:rsidRPr="00255996">
        <w:rPr>
          <w:rFonts w:ascii="Times New Roman" w:hAnsi="Times New Roman" w:cs="Times New Roman"/>
          <w:sz w:val="24"/>
          <w:lang w:val="en-GB"/>
        </w:rPr>
        <w:t>Principles of Econometrics, 3</w:t>
      </w:r>
      <w:r w:rsidRPr="00255996">
        <w:rPr>
          <w:rFonts w:ascii="Times New Roman" w:hAnsi="Times New Roman" w:cs="Times New Roman"/>
          <w:sz w:val="24"/>
          <w:vertAlign w:val="superscript"/>
          <w:lang w:val="en-GB"/>
        </w:rPr>
        <w:t>rd</w:t>
      </w:r>
      <w:r w:rsidRPr="00255996">
        <w:rPr>
          <w:rFonts w:ascii="Times New Roman" w:hAnsi="Times New Roman" w:cs="Times New Roman"/>
          <w:sz w:val="24"/>
          <w:lang w:val="en-GB"/>
        </w:rPr>
        <w:t xml:space="preserve"> Edition.</w:t>
      </w:r>
      <w:r>
        <w:rPr>
          <w:rFonts w:ascii="Times New Roman" w:hAnsi="Times New Roman" w:cs="Times New Roman"/>
          <w:sz w:val="24"/>
          <w:lang w:val="en-GB"/>
        </w:rPr>
        <w:t xml:space="preserve"> John Wiley &amp; Sons</w:t>
      </w:r>
      <w:r w:rsidR="00DF36C5">
        <w:rPr>
          <w:rFonts w:ascii="Times New Roman" w:hAnsi="Times New Roman" w:cs="Times New Roman"/>
          <w:sz w:val="24"/>
          <w:lang w:val="en-GB"/>
        </w:rPr>
        <w:t>.</w:t>
      </w:r>
      <w:r>
        <w:rPr>
          <w:rFonts w:ascii="Times New Roman" w:hAnsi="Times New Roman" w:cs="Times New Roman"/>
          <w:sz w:val="24"/>
          <w:lang w:val="en-GB"/>
        </w:rPr>
        <w:t xml:space="preserve"> </w:t>
      </w:r>
    </w:p>
    <w:p w:rsidR="008431D5" w:rsidRDefault="008431D5" w:rsidP="00BC6A4A">
      <w:pPr>
        <w:pStyle w:val="FootnoteText"/>
        <w:rPr>
          <w:rFonts w:ascii="Times New Roman" w:hAnsi="Times New Roman" w:cs="Times New Roman"/>
          <w:sz w:val="24"/>
        </w:rPr>
      </w:pPr>
    </w:p>
    <w:p w:rsidR="00BC6A4A" w:rsidRPr="00255996" w:rsidRDefault="00BC6A4A" w:rsidP="00BC6A4A">
      <w:pPr>
        <w:pStyle w:val="FootnoteText"/>
        <w:rPr>
          <w:rFonts w:ascii="Times New Roman" w:hAnsi="Times New Roman" w:cs="Times New Roman"/>
          <w:sz w:val="24"/>
        </w:rPr>
      </w:pPr>
      <w:r w:rsidRPr="00255996">
        <w:rPr>
          <w:rFonts w:ascii="Times New Roman" w:hAnsi="Times New Roman" w:cs="Times New Roman"/>
          <w:sz w:val="24"/>
        </w:rPr>
        <w:t xml:space="preserve">Houben, A.C.F.J. 2003. </w:t>
      </w:r>
      <w:r w:rsidRPr="00255996">
        <w:rPr>
          <w:rFonts w:ascii="Times New Roman" w:hAnsi="Times New Roman" w:cs="Times New Roman"/>
          <w:i/>
          <w:sz w:val="24"/>
        </w:rPr>
        <w:t xml:space="preserve">The Evolution of Monetary Policy Strategies in Europe </w:t>
      </w:r>
      <w:r w:rsidRPr="00255996">
        <w:rPr>
          <w:rFonts w:ascii="Times New Roman" w:hAnsi="Times New Roman" w:cs="Times New Roman"/>
          <w:sz w:val="24"/>
        </w:rPr>
        <w:t>(1</w:t>
      </w:r>
      <w:r w:rsidRPr="00255996">
        <w:rPr>
          <w:rFonts w:ascii="Times New Roman" w:hAnsi="Times New Roman" w:cs="Times New Roman"/>
          <w:sz w:val="24"/>
          <w:vertAlign w:val="superscript"/>
        </w:rPr>
        <w:t>st</w:t>
      </w:r>
      <w:r w:rsidRPr="00255996">
        <w:rPr>
          <w:rFonts w:ascii="Times New Roman" w:hAnsi="Times New Roman" w:cs="Times New Roman"/>
          <w:sz w:val="24"/>
        </w:rPr>
        <w:t xml:space="preserve"> edition). Boston, MA, USA: Kluwer Academic Publishers. </w:t>
      </w:r>
    </w:p>
    <w:p w:rsidR="00451875" w:rsidRDefault="00451875"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0015F6" w:rsidRPr="000015F6" w:rsidRDefault="000015F6"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r>
        <w:rPr>
          <w:rFonts w:ascii="Times New Roman" w:hAnsi="Times New Roman" w:cs="Times New Roman"/>
          <w:sz w:val="24"/>
          <w:szCs w:val="24"/>
          <w:shd w:val="clear" w:color="auto" w:fill="EFF3F8"/>
          <w:lang w:val="en-GB"/>
        </w:rPr>
        <w:t xml:space="preserve">Kingston, G. 1989. “Theoretical Foundations of Constant-Proportion Portfolio Insurance.” </w:t>
      </w:r>
      <w:r>
        <w:rPr>
          <w:rFonts w:ascii="Times New Roman" w:hAnsi="Times New Roman" w:cs="Times New Roman"/>
          <w:i/>
          <w:sz w:val="24"/>
          <w:szCs w:val="24"/>
          <w:shd w:val="clear" w:color="auto" w:fill="EFF3F8"/>
          <w:lang w:val="en-GB"/>
        </w:rPr>
        <w:t xml:space="preserve">Economics Letters </w:t>
      </w:r>
      <w:r>
        <w:rPr>
          <w:rFonts w:ascii="Times New Roman" w:hAnsi="Times New Roman" w:cs="Times New Roman"/>
          <w:sz w:val="24"/>
          <w:szCs w:val="24"/>
          <w:shd w:val="clear" w:color="auto" w:fill="EFF3F8"/>
          <w:lang w:val="en-GB"/>
        </w:rPr>
        <w:t>29(4): 345-347</w:t>
      </w:r>
    </w:p>
    <w:p w:rsidR="0040255D" w:rsidRPr="00255996" w:rsidRDefault="0040255D"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3A7D65" w:rsidRPr="00255996" w:rsidRDefault="003A7D65" w:rsidP="003A7D65">
      <w:pPr>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Laeven, L. and Valencia, F. 2010. “Resolution of Banking Crises; The Good, the Bad, and the Ugly.” </w:t>
      </w:r>
      <w:r w:rsidRPr="00255996">
        <w:rPr>
          <w:rFonts w:ascii="Times New Roman" w:hAnsi="Times New Roman" w:cs="Times New Roman"/>
          <w:i/>
          <w:sz w:val="24"/>
          <w:szCs w:val="24"/>
          <w:lang w:val="en-GB"/>
        </w:rPr>
        <w:t>IMF Working Papers 10/146.</w:t>
      </w:r>
      <w:r w:rsidRPr="00255996">
        <w:rPr>
          <w:rFonts w:ascii="Times New Roman" w:hAnsi="Times New Roman" w:cs="Times New Roman"/>
          <w:sz w:val="24"/>
          <w:szCs w:val="24"/>
          <w:lang w:val="en-GB"/>
        </w:rPr>
        <w:t xml:space="preserve"> International Monetary Fund. </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shd w:val="clear" w:color="auto" w:fill="EFF3F8"/>
          <w:lang w:val="en-GB"/>
        </w:rPr>
        <w:t>Longstaff, F.A. 2004. “</w:t>
      </w:r>
      <w:r w:rsidRPr="00255996">
        <w:rPr>
          <w:rFonts w:ascii="Times New Roman" w:hAnsi="Times New Roman" w:cs="Times New Roman"/>
          <w:bCs/>
          <w:sz w:val="24"/>
          <w:szCs w:val="24"/>
          <w:lang w:val="en-GB"/>
        </w:rPr>
        <w:t>The Flight-to-Liquidity Premium in U.S. Treasury Bond Prices</w:t>
      </w:r>
      <w:r w:rsidRPr="00255996">
        <w:rPr>
          <w:rFonts w:ascii="Times New Roman" w:hAnsi="Times New Roman" w:cs="Times New Roman"/>
          <w:sz w:val="24"/>
          <w:szCs w:val="24"/>
          <w:shd w:val="clear" w:color="auto" w:fill="EFF3F8"/>
          <w:lang w:val="en-GB"/>
        </w:rPr>
        <w:t>.”</w:t>
      </w:r>
      <w:r w:rsidRPr="00255996">
        <w:rPr>
          <w:rStyle w:val="apple-converted-space"/>
          <w:rFonts w:ascii="Times New Roman" w:hAnsi="Times New Roman" w:cs="Times New Roman"/>
          <w:sz w:val="24"/>
          <w:szCs w:val="24"/>
          <w:shd w:val="clear" w:color="auto" w:fill="EFF3F8"/>
          <w:lang w:val="en-GB"/>
        </w:rPr>
        <w:t> </w:t>
      </w:r>
      <w:r w:rsidRPr="00255996">
        <w:rPr>
          <w:rFonts w:ascii="Times New Roman" w:hAnsi="Times New Roman" w:cs="Times New Roman"/>
          <w:i/>
          <w:sz w:val="24"/>
          <w:szCs w:val="24"/>
          <w:lang w:val="en-GB"/>
        </w:rPr>
        <w:t>Journal of Business</w:t>
      </w:r>
      <w:r w:rsidR="00451875">
        <w:rPr>
          <w:rFonts w:ascii="Times New Roman" w:hAnsi="Times New Roman" w:cs="Times New Roman"/>
          <w:i/>
          <w:sz w:val="24"/>
          <w:szCs w:val="24"/>
          <w:shd w:val="clear" w:color="auto" w:fill="EFF3F8"/>
          <w:lang w:val="en-GB"/>
        </w:rPr>
        <w:t xml:space="preserve"> </w:t>
      </w:r>
      <w:r w:rsidRPr="00255996">
        <w:rPr>
          <w:rFonts w:ascii="Times New Roman" w:hAnsi="Times New Roman" w:cs="Times New Roman"/>
          <w:sz w:val="24"/>
          <w:szCs w:val="24"/>
          <w:shd w:val="clear" w:color="auto" w:fill="EFF3F8"/>
          <w:lang w:val="en-GB"/>
        </w:rPr>
        <w:t>77(3): 511-526.</w:t>
      </w:r>
    </w:p>
    <w:p w:rsidR="00DC4B3E" w:rsidRPr="00255996" w:rsidRDefault="00DC4B3E" w:rsidP="00DC4B3E">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741741" w:rsidRDefault="00741741" w:rsidP="00741741">
      <w:pPr>
        <w:rPr>
          <w:rFonts w:ascii="Times New Roman" w:eastAsiaTheme="minorEastAsia" w:hAnsi="Times New Roman" w:cs="Times New Roman"/>
          <w:sz w:val="24"/>
          <w:szCs w:val="24"/>
          <w:lang w:val="en-GB"/>
        </w:rPr>
      </w:pPr>
      <w:r w:rsidRPr="00741741">
        <w:rPr>
          <w:rFonts w:ascii="Times New Roman" w:eastAsiaTheme="minorEastAsia" w:hAnsi="Times New Roman" w:cs="Times New Roman"/>
          <w:sz w:val="24"/>
          <w:szCs w:val="24"/>
          <w:lang w:val="en-GB"/>
        </w:rPr>
        <w:lastRenderedPageBreak/>
        <w:t>Lutz,</w:t>
      </w:r>
      <w:r>
        <w:rPr>
          <w:rFonts w:ascii="Times New Roman" w:eastAsiaTheme="minorEastAsia" w:hAnsi="Times New Roman" w:cs="Times New Roman"/>
          <w:sz w:val="24"/>
          <w:szCs w:val="24"/>
          <w:lang w:val="en-GB"/>
        </w:rPr>
        <w:t xml:space="preserve"> F. A. 1940. “The Structure of Interest Rates.” </w:t>
      </w:r>
      <w:r>
        <w:rPr>
          <w:rFonts w:ascii="Times New Roman" w:eastAsiaTheme="minorEastAsia" w:hAnsi="Times New Roman" w:cs="Times New Roman"/>
          <w:i/>
          <w:sz w:val="24"/>
          <w:szCs w:val="24"/>
          <w:lang w:val="en-GB"/>
        </w:rPr>
        <w:t>Quarterly Journal of Economics</w:t>
      </w:r>
      <w:r>
        <w:rPr>
          <w:rFonts w:ascii="Times New Roman" w:eastAsiaTheme="minorEastAsia" w:hAnsi="Times New Roman" w:cs="Times New Roman"/>
          <w:sz w:val="24"/>
          <w:szCs w:val="24"/>
          <w:lang w:val="en-GB"/>
        </w:rPr>
        <w:t xml:space="preserve"> 55: 36-63.</w:t>
      </w:r>
    </w:p>
    <w:p w:rsidR="00DC4B3E" w:rsidRPr="00255996" w:rsidRDefault="00DC4B3E" w:rsidP="00DC4B3E">
      <w:pPr>
        <w:spacing w:after="0" w:line="240" w:lineRule="auto"/>
        <w:rPr>
          <w:rFonts w:ascii="Times New Roman" w:hAnsi="Times New Roman" w:cs="Times New Roman"/>
          <w:sz w:val="24"/>
          <w:lang w:val="en-GB"/>
        </w:rPr>
      </w:pPr>
      <w:r w:rsidRPr="00255996">
        <w:rPr>
          <w:rFonts w:ascii="Times New Roman" w:hAnsi="Times New Roman" w:cs="Times New Roman"/>
          <w:sz w:val="24"/>
          <w:lang w:val="en-GB"/>
        </w:rPr>
        <w:t xml:space="preserve">Manasse, P., Roubini, N. and Schimmelpfenning, A. 2003. “Predicting Sovereign Debt Crises.” </w:t>
      </w:r>
      <w:r w:rsidRPr="00255996">
        <w:rPr>
          <w:rFonts w:ascii="Times New Roman" w:hAnsi="Times New Roman" w:cs="Times New Roman"/>
          <w:i/>
          <w:sz w:val="24"/>
          <w:lang w:val="en-GB"/>
        </w:rPr>
        <w:t>IMF Working Paper WP03221</w:t>
      </w:r>
      <w:r w:rsidRPr="00255996">
        <w:rPr>
          <w:rFonts w:ascii="Times New Roman" w:hAnsi="Times New Roman" w:cs="Times New Roman"/>
          <w:sz w:val="24"/>
          <w:lang w:val="en-GB"/>
        </w:rPr>
        <w:t>. International Monetary Fund.</w:t>
      </w:r>
    </w:p>
    <w:p w:rsidR="003A7D65" w:rsidRPr="00255996" w:rsidRDefault="003A7D65" w:rsidP="00DC4B3E">
      <w:pPr>
        <w:spacing w:after="0" w:line="240" w:lineRule="auto"/>
        <w:rPr>
          <w:rFonts w:ascii="Times New Roman" w:hAnsi="Times New Roman" w:cs="Times New Roman"/>
          <w:sz w:val="24"/>
          <w:lang w:val="en-GB"/>
        </w:rPr>
      </w:pPr>
    </w:p>
    <w:p w:rsidR="003A7D65" w:rsidRPr="00255996" w:rsidRDefault="003A7D65" w:rsidP="003A7D65">
      <w:pPr>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lang w:val="en-GB"/>
        </w:rPr>
        <w:t xml:space="preserve">Manganelli, S. and Wolswijk, G. 2009. “What drives spreads in the Euro area government bond market?” </w:t>
      </w:r>
      <w:r w:rsidRPr="00255996">
        <w:rPr>
          <w:rFonts w:ascii="Times New Roman" w:hAnsi="Times New Roman" w:cs="Times New Roman"/>
          <w:i/>
          <w:sz w:val="24"/>
          <w:szCs w:val="24"/>
          <w:lang w:val="en-GB"/>
        </w:rPr>
        <w:t>Economic Policy Review</w:t>
      </w:r>
      <w:r w:rsidRPr="00255996">
        <w:rPr>
          <w:rFonts w:ascii="Times New Roman" w:hAnsi="Times New Roman" w:cs="Times New Roman"/>
          <w:sz w:val="24"/>
          <w:szCs w:val="24"/>
          <w:lang w:val="en-GB"/>
        </w:rPr>
        <w:t xml:space="preserve"> 24(4): 191-240.</w:t>
      </w:r>
    </w:p>
    <w:p w:rsidR="00AB1862" w:rsidRPr="00255996" w:rsidRDefault="00AB1862" w:rsidP="00AB1862">
      <w:pPr>
        <w:spacing w:after="0" w:line="240" w:lineRule="auto"/>
        <w:rPr>
          <w:rFonts w:ascii="Times New Roman" w:eastAsiaTheme="minorEastAsia" w:hAnsi="Times New Roman" w:cs="Times New Roman"/>
          <w:sz w:val="24"/>
          <w:lang w:val="en-GB"/>
        </w:rPr>
      </w:pPr>
    </w:p>
    <w:p w:rsidR="003E74F3" w:rsidRDefault="003E74F3" w:rsidP="003E74F3">
      <w:pPr>
        <w:autoSpaceDE w:val="0"/>
        <w:autoSpaceDN w:val="0"/>
        <w:adjustRightInd w:val="0"/>
        <w:spacing w:after="0" w:line="240" w:lineRule="auto"/>
        <w:rPr>
          <w:rFonts w:ascii="Times New Roman" w:hAnsi="Times New Roman" w:cs="Times New Roman"/>
          <w:sz w:val="24"/>
          <w:szCs w:val="24"/>
          <w:lang w:val="en-GB"/>
        </w:rPr>
      </w:pPr>
      <w:r w:rsidRPr="003E74F3">
        <w:rPr>
          <w:rFonts w:ascii="Times New Roman" w:hAnsi="Times New Roman" w:cs="Times New Roman"/>
          <w:sz w:val="24"/>
          <w:szCs w:val="24"/>
          <w:lang w:val="en-GB"/>
        </w:rPr>
        <w:t>Modigliani</w:t>
      </w:r>
      <w:r>
        <w:rPr>
          <w:rFonts w:ascii="Times New Roman" w:hAnsi="Times New Roman" w:cs="Times New Roman"/>
          <w:sz w:val="24"/>
          <w:szCs w:val="24"/>
          <w:lang w:val="en-GB"/>
        </w:rPr>
        <w:t>, F.</w:t>
      </w:r>
      <w:r w:rsidRPr="003E74F3">
        <w:rPr>
          <w:rFonts w:ascii="Times New Roman" w:hAnsi="Times New Roman" w:cs="Times New Roman"/>
          <w:sz w:val="24"/>
          <w:szCs w:val="24"/>
          <w:lang w:val="en-GB"/>
        </w:rPr>
        <w:t xml:space="preserve"> and Sutch,</w:t>
      </w:r>
      <w:r>
        <w:rPr>
          <w:rFonts w:ascii="Times New Roman" w:hAnsi="Times New Roman" w:cs="Times New Roman"/>
          <w:sz w:val="24"/>
          <w:szCs w:val="24"/>
          <w:lang w:val="en-GB"/>
        </w:rPr>
        <w:t xml:space="preserve"> R. 1966. “Innovations in Interest Rate Policy.” </w:t>
      </w:r>
      <w:r>
        <w:rPr>
          <w:rFonts w:ascii="Times New Roman" w:hAnsi="Times New Roman" w:cs="Times New Roman"/>
          <w:i/>
          <w:sz w:val="24"/>
          <w:szCs w:val="24"/>
          <w:lang w:val="en-GB"/>
        </w:rPr>
        <w:t>American Economic Review</w:t>
      </w:r>
      <w:r w:rsidRPr="003E74F3">
        <w:rPr>
          <w:rFonts w:ascii="Times New Roman" w:hAnsi="Times New Roman" w:cs="Times New Roman"/>
          <w:sz w:val="24"/>
          <w:szCs w:val="24"/>
          <w:lang w:val="en-GB"/>
        </w:rPr>
        <w:t xml:space="preserve"> </w:t>
      </w:r>
      <w:r w:rsidR="00221FAA">
        <w:rPr>
          <w:rFonts w:ascii="Times New Roman" w:hAnsi="Times New Roman" w:cs="Times New Roman"/>
          <w:sz w:val="24"/>
          <w:szCs w:val="24"/>
          <w:lang w:val="en-GB"/>
        </w:rPr>
        <w:t>56(2)</w:t>
      </w:r>
      <w:r>
        <w:rPr>
          <w:rFonts w:ascii="Times New Roman" w:hAnsi="Times New Roman" w:cs="Times New Roman"/>
          <w:sz w:val="24"/>
          <w:szCs w:val="24"/>
          <w:lang w:val="en-GB"/>
        </w:rPr>
        <w:t>: 178-197.</w:t>
      </w:r>
    </w:p>
    <w:p w:rsidR="003E74F3" w:rsidRPr="00255996" w:rsidRDefault="003E74F3" w:rsidP="00130B6B">
      <w:pPr>
        <w:autoSpaceDE w:val="0"/>
        <w:autoSpaceDN w:val="0"/>
        <w:adjustRightInd w:val="0"/>
        <w:spacing w:after="0" w:line="240" w:lineRule="auto"/>
        <w:rPr>
          <w:rFonts w:ascii="Times New Roman" w:hAnsi="Times New Roman" w:cs="Times New Roman"/>
          <w:sz w:val="24"/>
          <w:szCs w:val="24"/>
          <w:lang w:val="en-GB"/>
        </w:rPr>
      </w:pPr>
    </w:p>
    <w:p w:rsidR="003A4AB4" w:rsidRPr="00255996" w:rsidRDefault="003A4AB4" w:rsidP="003A4AB4">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eastAsiaTheme="minorEastAsia" w:hAnsi="Times New Roman" w:cs="Times New Roman"/>
          <w:sz w:val="24"/>
          <w:szCs w:val="24"/>
          <w:lang w:val="en-GB"/>
        </w:rPr>
        <w:t xml:space="preserve">Nguyen, H.T. 2011. “Exports, Imports, FDI and Economic Growth.” </w:t>
      </w:r>
      <w:r w:rsidRPr="00255996">
        <w:rPr>
          <w:rFonts w:ascii="Times New Roman" w:eastAsiaTheme="minorEastAsia" w:hAnsi="Times New Roman" w:cs="Times New Roman"/>
          <w:i/>
          <w:sz w:val="24"/>
          <w:szCs w:val="24"/>
          <w:lang w:val="en-GB"/>
        </w:rPr>
        <w:t>Working Paper No. 11-03</w:t>
      </w:r>
      <w:r w:rsidRPr="00255996">
        <w:rPr>
          <w:rFonts w:ascii="Times New Roman" w:eastAsiaTheme="minorEastAsia" w:hAnsi="Times New Roman" w:cs="Times New Roman"/>
          <w:sz w:val="24"/>
          <w:szCs w:val="24"/>
          <w:lang w:val="en-GB"/>
        </w:rPr>
        <w:t xml:space="preserve">. University of Colorado at Boulder. </w:t>
      </w: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DF36C5" w:rsidRPr="00DF36C5" w:rsidRDefault="00DF36C5" w:rsidP="00130B6B">
      <w:pPr>
        <w:autoSpaceDE w:val="0"/>
        <w:autoSpaceDN w:val="0"/>
        <w:adjustRightInd w:val="0"/>
        <w:spacing w:after="0" w:line="240" w:lineRule="auto"/>
        <w:rPr>
          <w:rFonts w:ascii="Times New Roman" w:hAnsi="Times New Roman" w:cs="Times New Roman"/>
          <w:i/>
          <w:sz w:val="24"/>
          <w:szCs w:val="24"/>
          <w:shd w:val="clear" w:color="auto" w:fill="EFF3F8"/>
          <w:lang w:val="en-GB"/>
        </w:rPr>
      </w:pPr>
      <w:r>
        <w:rPr>
          <w:rFonts w:ascii="Times New Roman" w:hAnsi="Times New Roman" w:cs="Times New Roman"/>
          <w:sz w:val="24"/>
          <w:szCs w:val="24"/>
          <w:shd w:val="clear" w:color="auto" w:fill="EFF3F8"/>
          <w:lang w:val="en-GB"/>
        </w:rPr>
        <w:t xml:space="preserve">Picerno, J. 2010. Dynamic Asset Allocation: Modern Portfolio Theory Updated for the Smart Investor. John Wiley &amp; Sons. </w:t>
      </w:r>
    </w:p>
    <w:p w:rsidR="00DF36C5" w:rsidRDefault="00DF36C5" w:rsidP="00130B6B">
      <w:pPr>
        <w:autoSpaceDE w:val="0"/>
        <w:autoSpaceDN w:val="0"/>
        <w:adjustRightInd w:val="0"/>
        <w:spacing w:after="0" w:line="240" w:lineRule="auto"/>
        <w:rPr>
          <w:rFonts w:ascii="Times New Roman" w:hAnsi="Times New Roman" w:cs="Times New Roman"/>
          <w:sz w:val="24"/>
          <w:szCs w:val="24"/>
          <w:shd w:val="clear" w:color="auto" w:fill="EFF3F8"/>
          <w:lang w:val="en-GB"/>
        </w:rPr>
      </w:pPr>
    </w:p>
    <w:p w:rsidR="00130B6B" w:rsidRPr="00255996" w:rsidRDefault="00130B6B" w:rsidP="00130B6B">
      <w:pPr>
        <w:autoSpaceDE w:val="0"/>
        <w:autoSpaceDN w:val="0"/>
        <w:adjustRightInd w:val="0"/>
        <w:spacing w:after="0" w:line="240" w:lineRule="auto"/>
        <w:rPr>
          <w:rFonts w:ascii="Times New Roman" w:hAnsi="Times New Roman" w:cs="Times New Roman"/>
          <w:sz w:val="24"/>
          <w:szCs w:val="24"/>
          <w:lang w:val="en-GB"/>
        </w:rPr>
      </w:pPr>
      <w:r w:rsidRPr="00255996">
        <w:rPr>
          <w:rFonts w:ascii="Times New Roman" w:hAnsi="Times New Roman" w:cs="Times New Roman"/>
          <w:sz w:val="24"/>
          <w:szCs w:val="24"/>
          <w:shd w:val="clear" w:color="auto" w:fill="EFF3F8"/>
          <w:lang w:val="en-GB"/>
        </w:rPr>
        <w:t>Poghosyan, T. 2012. “Long-Run and Short-Run Determinants of Sovereign Bond Yields in Advanced Economies.”</w:t>
      </w:r>
      <w:r w:rsidRPr="00255996">
        <w:rPr>
          <w:rStyle w:val="apple-converted-space"/>
          <w:rFonts w:ascii="Times New Roman" w:hAnsi="Times New Roman" w:cs="Times New Roman"/>
          <w:sz w:val="24"/>
          <w:szCs w:val="24"/>
          <w:shd w:val="clear" w:color="auto" w:fill="EFF3F8"/>
          <w:lang w:val="en-GB"/>
        </w:rPr>
        <w:t> </w:t>
      </w:r>
      <w:r w:rsidRPr="00255996">
        <w:rPr>
          <w:rFonts w:ascii="Times New Roman" w:hAnsi="Times New Roman" w:cs="Times New Roman"/>
          <w:i/>
          <w:sz w:val="24"/>
          <w:szCs w:val="24"/>
          <w:lang w:val="en-GB"/>
        </w:rPr>
        <w:t>IMF Working Papers</w:t>
      </w:r>
      <w:r w:rsidRPr="00255996">
        <w:rPr>
          <w:rStyle w:val="apple-converted-space"/>
          <w:rFonts w:ascii="Times New Roman" w:hAnsi="Times New Roman" w:cs="Times New Roman"/>
          <w:i/>
          <w:sz w:val="24"/>
          <w:szCs w:val="24"/>
          <w:shd w:val="clear" w:color="auto" w:fill="EFF3F8"/>
          <w:lang w:val="en-GB"/>
        </w:rPr>
        <w:t> </w:t>
      </w:r>
      <w:r w:rsidRPr="00255996">
        <w:rPr>
          <w:rFonts w:ascii="Times New Roman" w:hAnsi="Times New Roman" w:cs="Times New Roman"/>
          <w:i/>
          <w:sz w:val="24"/>
          <w:szCs w:val="24"/>
          <w:shd w:val="clear" w:color="auto" w:fill="EFF3F8"/>
          <w:lang w:val="en-GB"/>
        </w:rPr>
        <w:t>12-271.</w:t>
      </w:r>
      <w:r w:rsidRPr="00255996">
        <w:rPr>
          <w:rFonts w:ascii="Times New Roman" w:hAnsi="Times New Roman" w:cs="Times New Roman"/>
          <w:sz w:val="24"/>
          <w:szCs w:val="24"/>
          <w:shd w:val="clear" w:color="auto" w:fill="EFF3F8"/>
          <w:lang w:val="en-GB"/>
        </w:rPr>
        <w:t xml:space="preserve"> International Monetary Fund.</w:t>
      </w:r>
    </w:p>
    <w:p w:rsidR="0099345A" w:rsidRDefault="0099345A" w:rsidP="00130B6B">
      <w:pPr>
        <w:autoSpaceDE w:val="0"/>
        <w:autoSpaceDN w:val="0"/>
        <w:adjustRightInd w:val="0"/>
        <w:spacing w:after="0" w:line="240" w:lineRule="auto"/>
        <w:rPr>
          <w:rFonts w:ascii="Times New Roman" w:hAnsi="Times New Roman" w:cs="Times New Roman"/>
          <w:sz w:val="24"/>
          <w:szCs w:val="24"/>
          <w:lang w:val="en-GB"/>
        </w:rPr>
      </w:pPr>
    </w:p>
    <w:p w:rsidR="00350F68" w:rsidRPr="00350F68" w:rsidRDefault="00350F68" w:rsidP="00130B6B">
      <w:pPr>
        <w:autoSpaceDE w:val="0"/>
        <w:autoSpaceDN w:val="0"/>
        <w:adjustRightInd w:val="0"/>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Saikkonene, P. 1991. “Asymptotically Efficient Estimation of Cointegration Regressions.” </w:t>
      </w:r>
      <w:r>
        <w:rPr>
          <w:rFonts w:ascii="Times New Roman" w:hAnsi="Times New Roman" w:cs="Times New Roman"/>
          <w:i/>
          <w:sz w:val="24"/>
          <w:szCs w:val="24"/>
          <w:lang w:val="en-GB"/>
        </w:rPr>
        <w:t xml:space="preserve">Economic Theory </w:t>
      </w:r>
      <w:r>
        <w:rPr>
          <w:rFonts w:ascii="Times New Roman" w:hAnsi="Times New Roman" w:cs="Times New Roman"/>
          <w:sz w:val="24"/>
          <w:szCs w:val="24"/>
          <w:lang w:val="en-GB"/>
        </w:rPr>
        <w:t>7(1): 1-21.</w:t>
      </w:r>
    </w:p>
    <w:p w:rsidR="00350F68" w:rsidRDefault="00350F68" w:rsidP="00130B6B">
      <w:pPr>
        <w:autoSpaceDE w:val="0"/>
        <w:autoSpaceDN w:val="0"/>
        <w:adjustRightInd w:val="0"/>
        <w:spacing w:after="0" w:line="240" w:lineRule="auto"/>
        <w:rPr>
          <w:rFonts w:ascii="Times New Roman" w:hAnsi="Times New Roman" w:cs="Times New Roman"/>
          <w:sz w:val="24"/>
          <w:szCs w:val="24"/>
          <w:lang w:val="en-GB"/>
        </w:rPr>
      </w:pPr>
    </w:p>
    <w:p w:rsidR="006A0B76" w:rsidRPr="00255996" w:rsidRDefault="003A7D65" w:rsidP="006A0B76">
      <w:pPr>
        <w:autoSpaceDE w:val="0"/>
        <w:autoSpaceDN w:val="0"/>
        <w:adjustRightInd w:val="0"/>
        <w:spacing w:after="0" w:line="240" w:lineRule="auto"/>
        <w:rPr>
          <w:rFonts w:ascii="Times New Roman" w:hAnsi="Times New Roman" w:cs="Times New Roman"/>
          <w:sz w:val="24"/>
          <w:szCs w:val="24"/>
          <w:lang w:val="en-GB"/>
        </w:rPr>
      </w:pPr>
      <w:r w:rsidRPr="005114FF">
        <w:rPr>
          <w:rFonts w:ascii="Times New Roman" w:hAnsi="Times New Roman" w:cs="Times New Roman"/>
          <w:sz w:val="24"/>
          <w:szCs w:val="24"/>
          <w:lang w:val="en-GB"/>
        </w:rPr>
        <w:t xml:space="preserve">Schuknecht, L. von Hagen, J. and Wolswijk, G. 2009. </w:t>
      </w:r>
      <w:r w:rsidRPr="00255996">
        <w:rPr>
          <w:rFonts w:ascii="Times New Roman" w:hAnsi="Times New Roman" w:cs="Times New Roman"/>
          <w:sz w:val="24"/>
          <w:szCs w:val="24"/>
          <w:lang w:val="en-GB"/>
        </w:rPr>
        <w:t xml:space="preserve">“Government risk premiums in the bond market: EMU and Canada.” </w:t>
      </w:r>
      <w:r w:rsidRPr="00255996">
        <w:rPr>
          <w:rFonts w:ascii="Times New Roman" w:hAnsi="Times New Roman" w:cs="Times New Roman"/>
          <w:i/>
          <w:sz w:val="24"/>
          <w:szCs w:val="24"/>
          <w:lang w:val="en-GB"/>
        </w:rPr>
        <w:t>European Journal of Political Economy</w:t>
      </w:r>
      <w:r w:rsidRPr="00255996">
        <w:rPr>
          <w:rFonts w:ascii="Times New Roman" w:hAnsi="Times New Roman" w:cs="Times New Roman"/>
          <w:sz w:val="24"/>
          <w:szCs w:val="24"/>
          <w:lang w:val="en-GB"/>
        </w:rPr>
        <w:t xml:space="preserve"> 25(3): 371-384.</w:t>
      </w:r>
    </w:p>
    <w:p w:rsidR="00972533" w:rsidRPr="00255996" w:rsidRDefault="00972533" w:rsidP="006A0B76">
      <w:pPr>
        <w:autoSpaceDE w:val="0"/>
        <w:autoSpaceDN w:val="0"/>
        <w:adjustRightInd w:val="0"/>
        <w:spacing w:after="0" w:line="240" w:lineRule="auto"/>
        <w:rPr>
          <w:rFonts w:ascii="Times New Roman" w:hAnsi="Times New Roman" w:cs="Times New Roman"/>
          <w:sz w:val="24"/>
          <w:szCs w:val="24"/>
          <w:lang w:val="en-GB"/>
        </w:rPr>
      </w:pPr>
    </w:p>
    <w:p w:rsidR="009911E6" w:rsidRDefault="00B57BB0" w:rsidP="009911E6">
      <w:pPr>
        <w:autoSpaceDE w:val="0"/>
        <w:autoSpaceDN w:val="0"/>
        <w:adjustRightInd w:val="0"/>
        <w:spacing w:after="0" w:line="240" w:lineRule="auto"/>
        <w:rPr>
          <w:rFonts w:ascii="Times New Roman" w:hAnsi="Times New Roman" w:cs="Times New Roman"/>
          <w:sz w:val="24"/>
          <w:lang w:val="en-GB"/>
        </w:rPr>
      </w:pPr>
      <w:r w:rsidRPr="00255996">
        <w:rPr>
          <w:rFonts w:ascii="Times New Roman" w:hAnsi="Times New Roman" w:cs="Times New Roman"/>
          <w:sz w:val="24"/>
          <w:lang w:val="en-GB"/>
        </w:rPr>
        <w:t>Shleifer, A. and Vishny, R. 2011. “Fire Sales in Finance and Macroeconomics</w:t>
      </w:r>
      <w:r w:rsidRPr="00255996">
        <w:rPr>
          <w:rFonts w:ascii="Times New Roman" w:hAnsi="Times New Roman" w:cs="Times New Roman"/>
          <w:i/>
          <w:sz w:val="24"/>
          <w:lang w:val="en-GB"/>
        </w:rPr>
        <w:t>.”</w:t>
      </w:r>
      <w:r w:rsidRPr="00255996">
        <w:rPr>
          <w:rFonts w:ascii="Times New Roman" w:hAnsi="Times New Roman" w:cs="Times New Roman"/>
          <w:sz w:val="24"/>
          <w:lang w:val="en-GB"/>
        </w:rPr>
        <w:t xml:space="preserve"> </w:t>
      </w:r>
      <w:r w:rsidRPr="00255996">
        <w:rPr>
          <w:rFonts w:ascii="Times New Roman" w:hAnsi="Times New Roman" w:cs="Times New Roman"/>
          <w:i/>
          <w:sz w:val="24"/>
          <w:lang w:val="en-GB"/>
        </w:rPr>
        <w:t xml:space="preserve">Journal of Economic Perspectives </w:t>
      </w:r>
      <w:r w:rsidRPr="00255996">
        <w:rPr>
          <w:rFonts w:ascii="Times New Roman" w:hAnsi="Times New Roman" w:cs="Times New Roman"/>
          <w:sz w:val="24"/>
          <w:lang w:val="en-GB"/>
        </w:rPr>
        <w:t>25(1): 29-48.</w:t>
      </w:r>
    </w:p>
    <w:p w:rsidR="000221A8" w:rsidRPr="00255996" w:rsidRDefault="000221A8" w:rsidP="009911E6">
      <w:pPr>
        <w:autoSpaceDE w:val="0"/>
        <w:autoSpaceDN w:val="0"/>
        <w:adjustRightInd w:val="0"/>
        <w:spacing w:after="0" w:line="240" w:lineRule="auto"/>
        <w:rPr>
          <w:rFonts w:ascii="Times New Roman" w:hAnsi="Times New Roman" w:cs="Times New Roman"/>
          <w:sz w:val="24"/>
          <w:lang w:val="en-GB"/>
        </w:rPr>
      </w:pPr>
    </w:p>
    <w:p w:rsidR="000221A8" w:rsidRDefault="000221A8" w:rsidP="000221A8">
      <w:pPr>
        <w:autoSpaceDE w:val="0"/>
        <w:autoSpaceDN w:val="0"/>
        <w:adjustRightInd w:val="0"/>
        <w:spacing w:after="0" w:line="240" w:lineRule="auto"/>
        <w:rPr>
          <w:rFonts w:ascii="Times New Roman" w:hAnsi="Times New Roman" w:cs="Times New Roman"/>
          <w:sz w:val="24"/>
          <w:szCs w:val="24"/>
          <w:shd w:val="clear" w:color="auto" w:fill="EFF3F8"/>
          <w:lang w:val="en-GB"/>
        </w:rPr>
      </w:pPr>
      <w:r>
        <w:rPr>
          <w:rFonts w:ascii="Times New Roman" w:hAnsi="Times New Roman" w:cs="Times New Roman"/>
          <w:sz w:val="24"/>
          <w:szCs w:val="24"/>
          <w:shd w:val="clear" w:color="auto" w:fill="EFF3F8"/>
          <w:lang w:val="en-GB"/>
        </w:rPr>
        <w:t>Stedman, E. C. 1895. A Victorian Anthology. Cambridge: Riverside Press.</w:t>
      </w:r>
    </w:p>
    <w:p w:rsidR="009911E6" w:rsidRPr="00255996" w:rsidRDefault="009911E6" w:rsidP="009911E6">
      <w:pPr>
        <w:autoSpaceDE w:val="0"/>
        <w:autoSpaceDN w:val="0"/>
        <w:adjustRightInd w:val="0"/>
        <w:spacing w:after="0" w:line="240" w:lineRule="auto"/>
        <w:rPr>
          <w:rFonts w:ascii="Times New Roman" w:hAnsi="Times New Roman" w:cs="Times New Roman"/>
          <w:sz w:val="24"/>
          <w:lang w:val="en-GB"/>
        </w:rPr>
      </w:pPr>
    </w:p>
    <w:p w:rsidR="003A4AB4" w:rsidRPr="00255996" w:rsidRDefault="003A4AB4" w:rsidP="009911E6">
      <w:pPr>
        <w:autoSpaceDE w:val="0"/>
        <w:autoSpaceDN w:val="0"/>
        <w:adjustRightInd w:val="0"/>
        <w:spacing w:after="0" w:line="240" w:lineRule="auto"/>
        <w:rPr>
          <w:rFonts w:ascii="Times New Roman" w:hAnsi="Times New Roman" w:cs="Times New Roman"/>
          <w:sz w:val="24"/>
          <w:lang w:val="en-GB"/>
        </w:rPr>
      </w:pPr>
      <w:r w:rsidRPr="00255996">
        <w:rPr>
          <w:rFonts w:ascii="Times New Roman" w:eastAsiaTheme="minorEastAsia" w:hAnsi="Times New Roman" w:cs="Times New Roman"/>
          <w:sz w:val="24"/>
          <w:szCs w:val="24"/>
          <w:lang w:val="en-GB"/>
        </w:rPr>
        <w:t xml:space="preserve">Stock, J.H. and Watson, M.W. 1993. “A Simple Estimator of Cointegrating Vectors in Higher Order Integrated Systems.” </w:t>
      </w:r>
      <w:r w:rsidRPr="00255996">
        <w:rPr>
          <w:rFonts w:ascii="Times New Roman" w:eastAsiaTheme="minorEastAsia" w:hAnsi="Times New Roman" w:cs="Times New Roman"/>
          <w:i/>
          <w:sz w:val="24"/>
          <w:szCs w:val="24"/>
          <w:lang w:val="en-GB"/>
        </w:rPr>
        <w:t>Econometrica</w:t>
      </w:r>
      <w:r w:rsidRPr="00255996">
        <w:rPr>
          <w:rFonts w:ascii="Times New Roman" w:eastAsiaTheme="minorEastAsia" w:hAnsi="Times New Roman" w:cs="Times New Roman"/>
          <w:sz w:val="24"/>
          <w:szCs w:val="24"/>
          <w:lang w:val="en-GB"/>
        </w:rPr>
        <w:t xml:space="preserve"> 61(4): 783-820.</w:t>
      </w:r>
    </w:p>
    <w:p w:rsidR="00972533" w:rsidRDefault="00972533">
      <w:pPr>
        <w:rPr>
          <w:rFonts w:ascii="Times New Roman" w:eastAsiaTheme="minorEastAsia" w:hAnsi="Times New Roman" w:cs="Times New Roman"/>
          <w:sz w:val="24"/>
          <w:szCs w:val="24"/>
          <w:lang w:val="en-GB"/>
        </w:rPr>
      </w:pPr>
    </w:p>
    <w:p w:rsidR="00741741" w:rsidRDefault="00741741">
      <w:pPr>
        <w:rPr>
          <w:rFonts w:ascii="Times New Roman" w:eastAsiaTheme="minorEastAsia" w:hAnsi="Times New Roman" w:cs="Times New Roman"/>
          <w:sz w:val="24"/>
          <w:szCs w:val="24"/>
          <w:lang w:val="en-GB"/>
        </w:rPr>
      </w:pPr>
    </w:p>
    <w:p w:rsidR="00741741" w:rsidRDefault="00741741">
      <w:pPr>
        <w:rPr>
          <w:rFonts w:ascii="Times New Roman" w:eastAsiaTheme="minorEastAsia" w:hAnsi="Times New Roman" w:cs="Times New Roman"/>
          <w:sz w:val="24"/>
          <w:szCs w:val="24"/>
          <w:lang w:val="en-GB"/>
        </w:rPr>
      </w:pPr>
    </w:p>
    <w:p w:rsidR="00741741" w:rsidRDefault="00741741">
      <w:pPr>
        <w:rPr>
          <w:rFonts w:ascii="Times New Roman" w:eastAsiaTheme="minorEastAsia" w:hAnsi="Times New Roman" w:cs="Times New Roman"/>
          <w:sz w:val="24"/>
          <w:szCs w:val="24"/>
          <w:lang w:val="en-GB"/>
        </w:rPr>
      </w:pPr>
    </w:p>
    <w:p w:rsidR="001E59EA" w:rsidRDefault="001E59EA">
      <w:pPr>
        <w:rPr>
          <w:rFonts w:ascii="Times New Roman" w:eastAsiaTheme="minorEastAsia" w:hAnsi="Times New Roman" w:cs="Times New Roman"/>
          <w:sz w:val="24"/>
          <w:szCs w:val="24"/>
          <w:lang w:val="en-GB"/>
        </w:rPr>
      </w:pPr>
    </w:p>
    <w:p w:rsidR="001E59EA" w:rsidRDefault="001E59EA">
      <w:pPr>
        <w:rPr>
          <w:rFonts w:ascii="Times New Roman" w:eastAsiaTheme="minorEastAsia" w:hAnsi="Times New Roman" w:cs="Times New Roman"/>
          <w:sz w:val="24"/>
          <w:szCs w:val="24"/>
          <w:lang w:val="en-GB"/>
        </w:rPr>
      </w:pPr>
    </w:p>
    <w:p w:rsidR="001E59EA" w:rsidRDefault="001E59EA">
      <w:pPr>
        <w:rPr>
          <w:rFonts w:ascii="Times New Roman" w:eastAsiaTheme="minorEastAsia" w:hAnsi="Times New Roman" w:cs="Times New Roman"/>
          <w:sz w:val="24"/>
          <w:szCs w:val="24"/>
          <w:lang w:val="en-GB"/>
        </w:rPr>
      </w:pPr>
    </w:p>
    <w:p w:rsidR="001E59EA" w:rsidRDefault="001E59EA">
      <w:pPr>
        <w:rPr>
          <w:rFonts w:ascii="Times New Roman" w:eastAsiaTheme="minorEastAsia" w:hAnsi="Times New Roman" w:cs="Times New Roman"/>
          <w:sz w:val="24"/>
          <w:szCs w:val="24"/>
          <w:lang w:val="en-GB"/>
        </w:rPr>
      </w:pPr>
    </w:p>
    <w:p w:rsidR="001E59EA" w:rsidRDefault="001E59EA">
      <w:pPr>
        <w:rPr>
          <w:rFonts w:ascii="Times New Roman" w:eastAsiaTheme="minorEastAsia" w:hAnsi="Times New Roman" w:cs="Times New Roman"/>
          <w:sz w:val="24"/>
          <w:szCs w:val="24"/>
          <w:lang w:val="en-GB"/>
        </w:rPr>
      </w:pPr>
    </w:p>
    <w:p w:rsidR="003C2E1A" w:rsidRDefault="003C2E1A" w:rsidP="003C2E1A">
      <w:pPr>
        <w:rPr>
          <w:rFonts w:ascii="Times New Roman" w:eastAsiaTheme="minorEastAsia" w:hAnsi="Times New Roman" w:cs="Times New Roman"/>
          <w:b/>
          <w:sz w:val="24"/>
          <w:szCs w:val="24"/>
          <w:lang w:val="en-GB"/>
        </w:rPr>
      </w:pPr>
      <w:r w:rsidRPr="00255996">
        <w:rPr>
          <w:rFonts w:ascii="Times New Roman" w:eastAsiaTheme="minorEastAsia" w:hAnsi="Times New Roman" w:cs="Times New Roman"/>
          <w:b/>
          <w:sz w:val="24"/>
          <w:szCs w:val="24"/>
          <w:lang w:val="en-GB"/>
        </w:rPr>
        <w:lastRenderedPageBreak/>
        <w:t>Appendix:</w:t>
      </w:r>
    </w:p>
    <w:p w:rsidR="00DC4940" w:rsidRPr="00202156" w:rsidRDefault="00DC4940" w:rsidP="00DC4940">
      <w:pPr>
        <w:spacing w:after="0" w:line="360" w:lineRule="auto"/>
        <w:jc w:val="both"/>
        <w:rPr>
          <w:rFonts w:ascii="Times New Roman" w:hAnsi="Times New Roman" w:cs="Times New Roman"/>
          <w:b/>
          <w:sz w:val="24"/>
          <w:lang w:val="en-GB"/>
        </w:rPr>
      </w:pPr>
      <w:r>
        <w:rPr>
          <w:rFonts w:ascii="Times New Roman" w:hAnsi="Times New Roman" w:cs="Times New Roman"/>
          <w:b/>
          <w:noProof/>
          <w:sz w:val="24"/>
          <w:lang w:eastAsia="nl-NL"/>
        </w:rPr>
        <w:drawing>
          <wp:anchor distT="0" distB="0" distL="114300" distR="114300" simplePos="0" relativeHeight="251676672" behindDoc="1" locked="0" layoutInCell="1" allowOverlap="1">
            <wp:simplePos x="0" y="0"/>
            <wp:positionH relativeFrom="column">
              <wp:posOffset>-433070</wp:posOffset>
            </wp:positionH>
            <wp:positionV relativeFrom="paragraph">
              <wp:posOffset>376555</wp:posOffset>
            </wp:positionV>
            <wp:extent cx="6677025" cy="6438900"/>
            <wp:effectExtent l="19050" t="0" r="9525" b="0"/>
            <wp:wrapTight wrapText="bothSides">
              <wp:wrapPolygon edited="0">
                <wp:start x="-62" y="0"/>
                <wp:lineTo x="-62" y="21536"/>
                <wp:lineTo x="21631" y="21536"/>
                <wp:lineTo x="21631" y="0"/>
                <wp:lineTo x="-62" y="0"/>
              </wp:wrapPolygon>
            </wp:wrapTight>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6677025" cy="6438900"/>
                    </a:xfrm>
                    <a:prstGeom prst="rect">
                      <a:avLst/>
                    </a:prstGeom>
                    <a:noFill/>
                    <a:ln w="9525">
                      <a:noFill/>
                      <a:miter lim="800000"/>
                      <a:headEnd/>
                      <a:tailEnd/>
                    </a:ln>
                  </pic:spPr>
                </pic:pic>
              </a:graphicData>
            </a:graphic>
          </wp:anchor>
        </w:drawing>
      </w:r>
      <w:r>
        <w:rPr>
          <w:rFonts w:ascii="Times New Roman" w:hAnsi="Times New Roman" w:cs="Times New Roman"/>
          <w:b/>
          <w:sz w:val="24"/>
          <w:lang w:val="en-GB"/>
        </w:rPr>
        <w:t>Table A4</w:t>
      </w:r>
      <w:r w:rsidRPr="00202156">
        <w:rPr>
          <w:rFonts w:ascii="Times New Roman" w:hAnsi="Times New Roman" w:cs="Times New Roman"/>
          <w:b/>
          <w:sz w:val="24"/>
          <w:lang w:val="en-GB"/>
        </w:rPr>
        <w:t xml:space="preserve">.1: </w:t>
      </w:r>
      <w:r>
        <w:rPr>
          <w:rFonts w:ascii="Times New Roman" w:hAnsi="Times New Roman" w:cs="Times New Roman"/>
          <w:b/>
          <w:sz w:val="24"/>
          <w:lang w:val="en-GB"/>
        </w:rPr>
        <w:t>Data Sources and Variables - Short Description</w:t>
      </w:r>
      <w:r w:rsidRPr="00202156">
        <w:rPr>
          <w:rFonts w:ascii="Times New Roman" w:hAnsi="Times New Roman" w:cs="Times New Roman"/>
          <w:b/>
          <w:sz w:val="24"/>
          <w:lang w:val="en-GB"/>
        </w:rPr>
        <w:tab/>
      </w:r>
    </w:p>
    <w:p w:rsidR="00DC4940" w:rsidRDefault="00FD58CE" w:rsidP="00DC4940">
      <w:pPr>
        <w:spacing w:after="0" w:line="360" w:lineRule="auto"/>
        <w:jc w:val="both"/>
        <w:rPr>
          <w:rFonts w:ascii="Times New Roman" w:hAnsi="Times New Roman" w:cs="Times New Roman"/>
          <w:sz w:val="24"/>
          <w:lang w:val="en-GB"/>
        </w:rPr>
      </w:pPr>
      <w:r>
        <w:rPr>
          <w:noProof/>
          <w:lang w:eastAsia="nl-NL"/>
        </w:rPr>
        <mc:AlternateContent>
          <mc:Choice Requires="wps">
            <w:drawing>
              <wp:anchor distT="0" distB="0" distL="114300" distR="114300" simplePos="0" relativeHeight="251677696" behindDoc="0" locked="0" layoutInCell="1" allowOverlap="1">
                <wp:simplePos x="0" y="0"/>
                <wp:positionH relativeFrom="column">
                  <wp:posOffset>-433070</wp:posOffset>
                </wp:positionH>
                <wp:positionV relativeFrom="paragraph">
                  <wp:posOffset>-49530</wp:posOffset>
                </wp:positionV>
                <wp:extent cx="6677025" cy="171450"/>
                <wp:effectExtent l="0" t="4445" r="0" b="0"/>
                <wp:wrapTight wrapText="bothSides">
                  <wp:wrapPolygon edited="0">
                    <wp:start x="-31" y="0"/>
                    <wp:lineTo x="-31" y="20800"/>
                    <wp:lineTo x="21600" y="20800"/>
                    <wp:lineTo x="21600" y="0"/>
                    <wp:lineTo x="-31" y="0"/>
                  </wp:wrapPolygon>
                </wp:wrapTight>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171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4191" w:rsidRPr="00887840" w:rsidRDefault="00EA4191" w:rsidP="00DC4940">
                            <w:pPr>
                              <w:pStyle w:val="Caption"/>
                              <w:rPr>
                                <w:rFonts w:ascii="Times New Roman" w:hAnsi="Times New Roman" w:cs="Times New Roman"/>
                                <w:b w:val="0"/>
                                <w:i/>
                                <w:noProof/>
                                <w:color w:val="auto"/>
                                <w:sz w:val="24"/>
                                <w:lang w:val="en-GB"/>
                              </w:rPr>
                            </w:pPr>
                            <w:r>
                              <w:rPr>
                                <w:b w:val="0"/>
                                <w:i/>
                                <w:color w:val="auto"/>
                                <w:lang w:val="en-GB"/>
                              </w:rPr>
                              <w:t xml:space="preserve"> </w:t>
                            </w:r>
                            <w:r w:rsidRPr="00887840">
                              <w:rPr>
                                <w:b w:val="0"/>
                                <w:i/>
                                <w:color w:val="auto"/>
                                <w:lang w:val="en-GB"/>
                              </w:rPr>
                              <w:t>Sample Period: 01/01/2000 - 31/12/2014.  Number of observations p</w:t>
                            </w:r>
                            <w:r>
                              <w:rPr>
                                <w:b w:val="0"/>
                                <w:i/>
                                <w:color w:val="auto"/>
                                <w:lang w:val="en-GB"/>
                              </w:rPr>
                              <w:t>er variable: 180.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34.1pt;margin-top:-3.9pt;width:525.75pt;height:1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" stroked="f">
                <v:textbox inset="0,0,0,0">
                  <w:txbxContent>
                    <w:p w:rsidR="00EA4191" w:rsidRPr="00887840" w:rsidRDefault="00EA4191" w:rsidP="00DC4940">
                      <w:pPr>
                        <w:pStyle w:val="Caption"/>
                        <w:rPr>
                          <w:rFonts w:ascii="Times New Roman" w:hAnsi="Times New Roman" w:cs="Times New Roman"/>
                          <w:b w:val="0"/>
                          <w:i/>
                          <w:noProof/>
                          <w:color w:val="auto"/>
                          <w:sz w:val="24"/>
                          <w:lang w:val="en-GB"/>
                        </w:rPr>
                      </w:pPr>
                      <w:r>
                        <w:rPr>
                          <w:b w:val="0"/>
                          <w:i/>
                          <w:color w:val="auto"/>
                          <w:lang w:val="en-GB"/>
                        </w:rPr>
                        <w:t xml:space="preserve"> </w:t>
                      </w:r>
                      <w:r w:rsidRPr="00887840">
                        <w:rPr>
                          <w:b w:val="0"/>
                          <w:i/>
                          <w:color w:val="auto"/>
                          <w:lang w:val="en-GB"/>
                        </w:rPr>
                        <w:t>Sample Period: 01/01/2000 - 31/12/2014.  Number of observations p</w:t>
                      </w:r>
                      <w:r>
                        <w:rPr>
                          <w:b w:val="0"/>
                          <w:i/>
                          <w:color w:val="auto"/>
                          <w:lang w:val="en-GB"/>
                        </w:rPr>
                        <w:t>er variable: 180.</w:t>
                      </w:r>
                    </w:p>
                  </w:txbxContent>
                </v:textbox>
                <w10:wrap type="tight"/>
              </v:shape>
            </w:pict>
          </mc:Fallback>
        </mc:AlternateContent>
      </w:r>
      <w:r w:rsidR="00DC4940" w:rsidRPr="003C2E1A">
        <w:rPr>
          <w:rFonts w:ascii="Times New Roman" w:hAnsi="Times New Roman" w:cs="Times New Roman"/>
          <w:sz w:val="24"/>
          <w:lang w:val="en-GB"/>
        </w:rPr>
        <w:t xml:space="preserve"> </w:t>
      </w:r>
    </w:p>
    <w:p w:rsidR="00DC4940" w:rsidRDefault="00DC4940" w:rsidP="003C2E1A">
      <w:pPr>
        <w:rPr>
          <w:rFonts w:ascii="Times New Roman" w:eastAsiaTheme="minorEastAsia" w:hAnsi="Times New Roman" w:cs="Times New Roman"/>
          <w:b/>
          <w:sz w:val="24"/>
          <w:szCs w:val="24"/>
          <w:lang w:val="en-GB"/>
        </w:rPr>
      </w:pPr>
    </w:p>
    <w:p w:rsidR="00DC4940" w:rsidRDefault="00DC4940" w:rsidP="003C2E1A">
      <w:pPr>
        <w:rPr>
          <w:rFonts w:ascii="Times New Roman" w:eastAsiaTheme="minorEastAsia" w:hAnsi="Times New Roman" w:cs="Times New Roman"/>
          <w:b/>
          <w:sz w:val="24"/>
          <w:szCs w:val="24"/>
          <w:lang w:val="en-GB"/>
        </w:rPr>
      </w:pPr>
    </w:p>
    <w:p w:rsidR="00DC4940" w:rsidRDefault="00DC4940" w:rsidP="003C2E1A">
      <w:pPr>
        <w:rPr>
          <w:rFonts w:ascii="Times New Roman" w:eastAsiaTheme="minorEastAsia" w:hAnsi="Times New Roman" w:cs="Times New Roman"/>
          <w:b/>
          <w:sz w:val="24"/>
          <w:szCs w:val="24"/>
          <w:lang w:val="en-GB"/>
        </w:rPr>
      </w:pPr>
    </w:p>
    <w:p w:rsidR="00DC4940" w:rsidRPr="00255996" w:rsidRDefault="00DC4940" w:rsidP="003C2E1A">
      <w:pPr>
        <w:rPr>
          <w:rFonts w:ascii="Times New Roman" w:eastAsiaTheme="minorEastAsia" w:hAnsi="Times New Roman" w:cs="Times New Roman"/>
          <w:b/>
          <w:sz w:val="24"/>
          <w:szCs w:val="24"/>
          <w:lang w:val="en-GB"/>
        </w:rPr>
      </w:pPr>
    </w:p>
    <w:p w:rsidR="005A1413" w:rsidRDefault="00727B5C"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Table A4.2</w:t>
      </w:r>
      <w:r w:rsidR="005A1413">
        <w:rPr>
          <w:rFonts w:ascii="Times New Roman" w:eastAsiaTheme="minorEastAsia" w:hAnsi="Times New Roman" w:cs="Times New Roman"/>
          <w:b/>
          <w:sz w:val="24"/>
          <w:szCs w:val="24"/>
          <w:lang w:val="en-GB"/>
        </w:rPr>
        <w:t>: Descriptive Statistics</w:t>
      </w: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5A1413" w:rsidRDefault="00E645B3"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noProof/>
          <w:sz w:val="24"/>
          <w:szCs w:val="24"/>
          <w:lang w:eastAsia="nl-NL"/>
        </w:rPr>
        <w:drawing>
          <wp:anchor distT="0" distB="0" distL="114300" distR="114300" simplePos="0" relativeHeight="251661311" behindDoc="1" locked="0" layoutInCell="1" allowOverlap="1">
            <wp:simplePos x="0" y="0"/>
            <wp:positionH relativeFrom="column">
              <wp:posOffset>-1028700</wp:posOffset>
            </wp:positionH>
            <wp:positionV relativeFrom="paragraph">
              <wp:posOffset>160020</wp:posOffset>
            </wp:positionV>
            <wp:extent cx="8669020" cy="4707890"/>
            <wp:effectExtent l="0" t="1981200" r="0" b="1959610"/>
            <wp:wrapTight wrapText="bothSides">
              <wp:wrapPolygon edited="0">
                <wp:start x="-2" y="21684"/>
                <wp:lineTo x="21548" y="21684"/>
                <wp:lineTo x="21548" y="9"/>
                <wp:lineTo x="-2" y="9"/>
                <wp:lineTo x="-2" y="21684"/>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srcRect/>
                    <a:stretch>
                      <a:fillRect/>
                    </a:stretch>
                  </pic:blipFill>
                  <pic:spPr bwMode="auto">
                    <a:xfrm rot="5400000">
                      <a:off x="0" y="0"/>
                      <a:ext cx="8669020" cy="4707890"/>
                    </a:xfrm>
                    <a:prstGeom prst="rect">
                      <a:avLst/>
                    </a:prstGeom>
                    <a:noFill/>
                    <a:ln w="9525">
                      <a:noFill/>
                      <a:miter lim="800000"/>
                      <a:headEnd/>
                      <a:tailEnd/>
                    </a:ln>
                  </pic:spPr>
                </pic:pic>
              </a:graphicData>
            </a:graphic>
          </wp:anchor>
        </w:drawing>
      </w:r>
    </w:p>
    <w:p w:rsidR="00907B14" w:rsidRDefault="00907B14" w:rsidP="005C76C1">
      <w:pPr>
        <w:tabs>
          <w:tab w:val="left" w:pos="851"/>
          <w:tab w:val="left" w:pos="1418"/>
        </w:tabs>
        <w:spacing w:after="0" w:line="240" w:lineRule="auto"/>
        <w:rPr>
          <w:rFonts w:ascii="Times New Roman" w:eastAsiaTheme="minorEastAsia" w:hAnsi="Times New Roman" w:cs="Times New Roman"/>
          <w:b/>
          <w:sz w:val="24"/>
          <w:szCs w:val="24"/>
          <w:lang w:val="en-GB"/>
        </w:rPr>
      </w:pPr>
    </w:p>
    <w:p w:rsidR="00907B14" w:rsidRDefault="00907B14" w:rsidP="006F1A6E">
      <w:pPr>
        <w:spacing w:after="0" w:line="240" w:lineRule="auto"/>
        <w:rPr>
          <w:rFonts w:ascii="Times New Roman" w:eastAsiaTheme="minorEastAsia" w:hAnsi="Times New Roman" w:cs="Times New Roman"/>
          <w:b/>
          <w:sz w:val="24"/>
          <w:szCs w:val="24"/>
          <w:lang w:val="en-GB"/>
        </w:rPr>
      </w:pPr>
    </w:p>
    <w:p w:rsidR="00907B14" w:rsidRDefault="00907B14" w:rsidP="006F1A6E">
      <w:pPr>
        <w:spacing w:after="0" w:line="240" w:lineRule="auto"/>
        <w:rPr>
          <w:rFonts w:ascii="Times New Roman" w:eastAsiaTheme="minorEastAsia" w:hAnsi="Times New Roman" w:cs="Times New Roman"/>
          <w:b/>
          <w:sz w:val="24"/>
          <w:szCs w:val="24"/>
          <w:lang w:val="en-GB"/>
        </w:rPr>
      </w:pPr>
    </w:p>
    <w:p w:rsidR="00907B14" w:rsidRDefault="00907B14"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EA4191" w:rsidRDefault="00EA4191" w:rsidP="00EA4191">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Table A4.2: Descriptive Statistics (Continuation)</w:t>
      </w:r>
    </w:p>
    <w:p w:rsidR="0047063B" w:rsidRDefault="0047063B"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EA4191"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noProof/>
          <w:sz w:val="24"/>
          <w:szCs w:val="24"/>
          <w:lang w:eastAsia="nl-NL"/>
        </w:rPr>
        <w:drawing>
          <wp:anchor distT="0" distB="0" distL="114300" distR="114300" simplePos="0" relativeHeight="251663360" behindDoc="1" locked="0" layoutInCell="1" allowOverlap="1">
            <wp:simplePos x="0" y="0"/>
            <wp:positionH relativeFrom="column">
              <wp:posOffset>-916940</wp:posOffset>
            </wp:positionH>
            <wp:positionV relativeFrom="paragraph">
              <wp:posOffset>410210</wp:posOffset>
            </wp:positionV>
            <wp:extent cx="8565515" cy="3363595"/>
            <wp:effectExtent l="0" t="2609850" r="0" b="2580005"/>
            <wp:wrapTight wrapText="bothSides">
              <wp:wrapPolygon edited="0">
                <wp:start x="-22" y="21665"/>
                <wp:lineTo x="21547" y="21665"/>
                <wp:lineTo x="21547" y="12"/>
                <wp:lineTo x="-22" y="12"/>
                <wp:lineTo x="-22" y="21665"/>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srcRect/>
                    <a:stretch>
                      <a:fillRect/>
                    </a:stretch>
                  </pic:blipFill>
                  <pic:spPr bwMode="auto">
                    <a:xfrm rot="5400000">
                      <a:off x="0" y="0"/>
                      <a:ext cx="8565515" cy="3363595"/>
                    </a:xfrm>
                    <a:prstGeom prst="rect">
                      <a:avLst/>
                    </a:prstGeom>
                    <a:noFill/>
                    <a:ln w="9525">
                      <a:noFill/>
                      <a:miter lim="800000"/>
                      <a:headEnd/>
                      <a:tailEnd/>
                    </a:ln>
                  </pic:spPr>
                </pic:pic>
              </a:graphicData>
            </a:graphic>
          </wp:anchor>
        </w:drawing>
      </w: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AA5906" w:rsidRDefault="00AA5906" w:rsidP="006F1A6E">
      <w:pPr>
        <w:spacing w:after="0" w:line="240" w:lineRule="auto"/>
        <w:rPr>
          <w:rFonts w:ascii="Times New Roman" w:eastAsiaTheme="minorEastAsia" w:hAnsi="Times New Roman" w:cs="Times New Roman"/>
          <w:b/>
          <w:sz w:val="24"/>
          <w:szCs w:val="24"/>
          <w:lang w:val="en-GB"/>
        </w:rPr>
      </w:pPr>
    </w:p>
    <w:p w:rsidR="0047063B" w:rsidRDefault="0047063B" w:rsidP="006F1A6E">
      <w:pPr>
        <w:spacing w:after="0" w:line="240" w:lineRule="auto"/>
        <w:rPr>
          <w:rFonts w:ascii="Times New Roman" w:eastAsiaTheme="minorEastAsia" w:hAnsi="Times New Roman" w:cs="Times New Roman"/>
          <w:b/>
          <w:sz w:val="24"/>
          <w:szCs w:val="24"/>
          <w:lang w:val="en-GB"/>
        </w:rPr>
      </w:pPr>
    </w:p>
    <w:p w:rsidR="00DC4940" w:rsidRDefault="00DC4940" w:rsidP="006F1A6E">
      <w:pPr>
        <w:spacing w:after="0" w:line="240" w:lineRule="auto"/>
        <w:rPr>
          <w:rFonts w:ascii="Times New Roman" w:eastAsiaTheme="minorEastAsia" w:hAnsi="Times New Roman" w:cs="Times New Roman"/>
          <w:b/>
          <w:sz w:val="24"/>
          <w:szCs w:val="24"/>
          <w:lang w:val="en-GB"/>
        </w:rPr>
      </w:pPr>
    </w:p>
    <w:p w:rsidR="00DC4940" w:rsidRDefault="00DC4940" w:rsidP="006F1A6E">
      <w:pPr>
        <w:spacing w:after="0" w:line="240" w:lineRule="auto"/>
        <w:rPr>
          <w:rFonts w:ascii="Times New Roman" w:eastAsiaTheme="minorEastAsia" w:hAnsi="Times New Roman" w:cs="Times New Roman"/>
          <w:b/>
          <w:sz w:val="24"/>
          <w:szCs w:val="24"/>
          <w:lang w:val="en-GB"/>
        </w:rPr>
      </w:pPr>
    </w:p>
    <w:p w:rsidR="00023C5B" w:rsidRDefault="00023C5B"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t>A5.1: Akaike’s Information Criterion</w:t>
      </w:r>
    </w:p>
    <w:p w:rsidR="00023C5B" w:rsidRDefault="00023C5B" w:rsidP="00023C5B">
      <w:pPr>
        <w:pStyle w:val="ListParagraph"/>
        <w:spacing w:after="0" w:line="360" w:lineRule="auto"/>
        <w:ind w:left="0"/>
        <w:jc w:val="both"/>
        <w:rPr>
          <w:rFonts w:ascii="Times New Roman" w:hAnsi="Times New Roman" w:cs="Times New Roman"/>
          <w:sz w:val="24"/>
          <w:lang w:val="en-GB"/>
        </w:rPr>
      </w:pPr>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The AIC is an estimator of the Kullback-Leibler Divergence (KLD) one can expect between the ‘true’ model and a fitted statistical model. KLD is non-symmetric, convex function that measures the ‘distance’ between two probability distributions, where distance (</w:t>
      </w:r>
      <w:r w:rsidRPr="005C2FF3">
        <w:rPr>
          <w:rFonts w:ascii="Times New Roman" w:hAnsi="Times New Roman" w:cs="Times New Roman"/>
          <w:i/>
          <w:sz w:val="24"/>
          <w:lang w:val="en-GB"/>
        </w:rPr>
        <w:t>d</w:t>
      </w:r>
      <w:r w:rsidRPr="003C2E1A">
        <w:rPr>
          <w:rFonts w:ascii="Times New Roman" w:hAnsi="Times New Roman" w:cs="Times New Roman"/>
          <w:sz w:val="24"/>
          <w:lang w:val="en-GB"/>
        </w:rPr>
        <w:t>) is equal to:</w:t>
      </w:r>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m:oMathPara>
        <m:oMath>
          <m:r>
            <w:rPr>
              <w:rFonts w:ascii="Cambria Math" w:hAnsi="Cambria Math" w:cs="Times New Roman"/>
              <w:sz w:val="24"/>
              <w:lang w:val="en-GB"/>
            </w:rPr>
            <m:t>d=</m:t>
          </m:r>
          <m:nary>
            <m:naryPr>
              <m:chr m:val="∑"/>
              <m:limLoc m:val="undOvr"/>
              <m:supHide m:val="1"/>
              <m:ctrlPr>
                <w:rPr>
                  <w:rFonts w:ascii="Cambria Math" w:hAnsi="Cambria Math" w:cs="Times New Roman"/>
                  <w:i/>
                  <w:sz w:val="24"/>
                  <w:lang w:val="en-GB"/>
                </w:rPr>
              </m:ctrlPr>
            </m:naryPr>
            <m:sub>
              <m:r>
                <w:rPr>
                  <w:rFonts w:ascii="Cambria Math" w:hAnsi="Cambria Math" w:cs="Times New Roman"/>
                  <w:sz w:val="24"/>
                  <w:lang w:val="en-GB"/>
                </w:rPr>
                <m:t>k</m:t>
              </m:r>
            </m:sub>
            <m:sup/>
            <m:e>
              <m:sSub>
                <m:sSubPr>
                  <m:ctrlPr>
                    <w:rPr>
                      <w:rFonts w:ascii="Cambria Math" w:hAnsi="Cambria Math" w:cs="Times New Roman"/>
                      <w:i/>
                      <w:sz w:val="24"/>
                      <w:lang w:val="en-GB"/>
                    </w:rPr>
                  </m:ctrlPr>
                </m:sSubPr>
                <m:e>
                  <m:r>
                    <w:rPr>
                      <w:rFonts w:ascii="Cambria Math" w:hAnsi="Cambria Math" w:cs="Times New Roman"/>
                      <w:sz w:val="24"/>
                      <w:lang w:val="en-GB"/>
                    </w:rPr>
                    <m:t>p</m:t>
                  </m:r>
                </m:e>
                <m:sub>
                  <m:r>
                    <w:rPr>
                      <w:rFonts w:ascii="Cambria Math" w:hAnsi="Cambria Math" w:cs="Times New Roman"/>
                      <w:sz w:val="24"/>
                      <w:lang w:val="en-GB"/>
                    </w:rPr>
                    <m:t>k</m:t>
                  </m:r>
                </m:sub>
              </m:sSub>
              <m:sSup>
                <m:sSupPr>
                  <m:ctrlPr>
                    <w:rPr>
                      <w:rFonts w:ascii="Cambria Math" w:hAnsi="Cambria Math" w:cs="Times New Roman"/>
                      <w:i/>
                      <w:sz w:val="24"/>
                      <w:lang w:val="en-GB"/>
                    </w:rPr>
                  </m:ctrlPr>
                </m:sSupPr>
                <m:e>
                  <m:r>
                    <w:rPr>
                      <w:rFonts w:ascii="Cambria Math" w:hAnsi="Cambria Math" w:cs="Times New Roman"/>
                      <w:sz w:val="24"/>
                      <w:lang w:val="en-GB"/>
                    </w:rPr>
                    <m:t>log</m:t>
                  </m:r>
                </m:e>
                <m:sup>
                  <m:r>
                    <w:rPr>
                      <w:rFonts w:ascii="Cambria Math" w:hAnsi="Cambria Math" w:cs="Times New Roman"/>
                      <w:sz w:val="24"/>
                      <w:lang w:val="en-GB"/>
                    </w:rPr>
                    <m:t>2</m:t>
                  </m:r>
                </m:sup>
              </m:sSup>
            </m:e>
          </m:nary>
          <m:d>
            <m:dPr>
              <m:ctrlPr>
                <w:rPr>
                  <w:rFonts w:ascii="Cambria Math" w:hAnsi="Cambria Math" w:cs="Times New Roman"/>
                  <w:i/>
                  <w:sz w:val="24"/>
                  <w:lang w:val="en-GB"/>
                </w:rPr>
              </m:ctrlPr>
            </m:dPr>
            <m:e>
              <m:f>
                <m:fPr>
                  <m:ctrlPr>
                    <w:rPr>
                      <w:rFonts w:ascii="Cambria Math" w:hAnsi="Cambria Math" w:cs="Times New Roman"/>
                      <w:i/>
                      <w:sz w:val="24"/>
                      <w:lang w:val="en-GB"/>
                    </w:rPr>
                  </m:ctrlPr>
                </m:fPr>
                <m:num>
                  <m:sSub>
                    <m:sSubPr>
                      <m:ctrlPr>
                        <w:rPr>
                          <w:rFonts w:ascii="Cambria Math" w:hAnsi="Cambria Math" w:cs="Times New Roman"/>
                          <w:i/>
                          <w:sz w:val="24"/>
                          <w:lang w:val="en-GB"/>
                        </w:rPr>
                      </m:ctrlPr>
                    </m:sSubPr>
                    <m:e>
                      <m:r>
                        <w:rPr>
                          <w:rFonts w:ascii="Cambria Math" w:hAnsi="Cambria Math" w:cs="Times New Roman"/>
                          <w:sz w:val="24"/>
                          <w:lang w:val="en-GB"/>
                        </w:rPr>
                        <m:t>p</m:t>
                      </m:r>
                    </m:e>
                    <m:sub>
                      <m:r>
                        <w:rPr>
                          <w:rFonts w:ascii="Cambria Math" w:hAnsi="Cambria Math" w:cs="Times New Roman"/>
                          <w:sz w:val="24"/>
                          <w:lang w:val="en-GB"/>
                        </w:rPr>
                        <m:t>k</m:t>
                      </m:r>
                    </m:sub>
                  </m:sSub>
                </m:num>
                <m:den>
                  <m:sSub>
                    <m:sSubPr>
                      <m:ctrlPr>
                        <w:rPr>
                          <w:rFonts w:ascii="Cambria Math" w:hAnsi="Cambria Math" w:cs="Times New Roman"/>
                          <w:i/>
                          <w:sz w:val="24"/>
                          <w:lang w:val="en-GB"/>
                        </w:rPr>
                      </m:ctrlPr>
                    </m:sSubPr>
                    <m:e>
                      <m:r>
                        <w:rPr>
                          <w:rFonts w:ascii="Cambria Math" w:hAnsi="Cambria Math" w:cs="Times New Roman"/>
                          <w:sz w:val="24"/>
                          <w:lang w:val="en-GB"/>
                        </w:rPr>
                        <m:t>q</m:t>
                      </m:r>
                    </m:e>
                    <m:sub>
                      <m:r>
                        <w:rPr>
                          <w:rFonts w:ascii="Cambria Math" w:hAnsi="Cambria Math" w:cs="Times New Roman"/>
                          <w:sz w:val="24"/>
                          <w:lang w:val="en-GB"/>
                        </w:rPr>
                        <m:t>k</m:t>
                      </m:r>
                    </m:sub>
                  </m:sSub>
                </m:den>
              </m:f>
              <m:r>
                <w:rPr>
                  <w:rFonts w:ascii="Cambria Math" w:hAnsi="Cambria Math" w:cs="Times New Roman"/>
                  <w:sz w:val="24"/>
                  <w:lang w:val="en-GB"/>
                </w:rPr>
                <m:t xml:space="preserve"> </m:t>
              </m:r>
            </m:e>
          </m:d>
        </m:oMath>
      </m:oMathPara>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 xml:space="preserve">Two assumptions are instantly made; P is viewed as the ‘true’ distribution, whereas Q is the distribution implied by the ‘fitted’ model. KLD is often referred to as relative entropy, e.g., average uncertainty of all possible occurrences minus the true uncertainty apparent before observation (Shannon entropy). </w:t>
      </w:r>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The Multivariate AIC itself is equal to:</w:t>
      </w:r>
    </w:p>
    <w:p w:rsidR="00023C5B" w:rsidRPr="003C2E1A" w:rsidRDefault="00FD58CE" w:rsidP="00023C5B">
      <w:pPr>
        <w:pStyle w:val="ListParagraph"/>
        <w:spacing w:after="0" w:line="360" w:lineRule="auto"/>
        <w:ind w:left="0"/>
        <w:jc w:val="both"/>
        <w:rPr>
          <w:rFonts w:ascii="Times New Roman" w:eastAsiaTheme="minorEastAsia" w:hAnsi="Times New Roman" w:cs="Times New Roman"/>
          <w:lang w:val="en-GB"/>
        </w:rPr>
      </w:pPr>
      <m:oMathPara>
        <m:oMath>
          <m:sSub>
            <m:sSubPr>
              <m:ctrlPr>
                <w:rPr>
                  <w:rFonts w:ascii="Cambria Math" w:hAnsi="Cambria Math" w:cs="Times New Roman"/>
                  <w:i/>
                  <w:lang w:val="en-GB"/>
                </w:rPr>
              </m:ctrlPr>
            </m:sSubPr>
            <m:e>
              <m:r>
                <w:rPr>
                  <w:rFonts w:ascii="Cambria Math" w:hAnsi="Cambria Math" w:cs="Times New Roman"/>
                  <w:lang w:val="en-GB"/>
                </w:rPr>
                <m:t>AIC</m:t>
              </m:r>
            </m:e>
            <m:sub>
              <m:r>
                <w:rPr>
                  <w:rFonts w:ascii="Cambria Math" w:hAnsi="Cambria Math" w:cs="Times New Roman"/>
                  <w:lang w:val="en-GB"/>
                </w:rPr>
                <m:t>cm</m:t>
              </m:r>
            </m:sub>
          </m:sSub>
          <m:r>
            <w:rPr>
              <w:rFonts w:ascii="Cambria Math" w:hAnsi="Cambria Math" w:cs="Times New Roman"/>
              <w:lang w:val="en-GB"/>
            </w:rPr>
            <m:t xml:space="preserve">=AIC+2 </m:t>
          </m:r>
          <m:f>
            <m:fPr>
              <m:ctrlPr>
                <w:rPr>
                  <w:rFonts w:ascii="Cambria Math" w:hAnsi="Cambria Math" w:cs="Times New Roman"/>
                  <w:i/>
                  <w:lang w:val="en-GB"/>
                </w:rPr>
              </m:ctrlPr>
            </m:fPr>
            <m:num>
              <m:r>
                <w:rPr>
                  <w:rFonts w:ascii="Cambria Math" w:hAnsi="Cambria Math" w:cs="Times New Roman"/>
                  <w:lang w:val="en-GB"/>
                </w:rPr>
                <m:t>k(</m:t>
              </m:r>
              <m:r>
                <w:rPr>
                  <w:rFonts w:ascii="Times New Roman" w:hAnsi="Times New Roman" w:cs="Times New Roman"/>
                  <w:lang w:val="en-GB"/>
                </w:rPr>
                <m:t>ǩ</m:t>
              </m:r>
              <m:r>
                <w:rPr>
                  <w:rFonts w:ascii="Cambria Math" w:hAnsi="Cambria Math" w:cs="Times New Roman"/>
                  <w:lang w:val="en-GB"/>
                </w:rPr>
                <m:t>+1+p)</m:t>
              </m:r>
            </m:num>
            <m:den>
              <m:r>
                <w:rPr>
                  <w:rFonts w:ascii="Cambria Math" w:hAnsi="Cambria Math" w:cs="Times New Roman"/>
                  <w:lang w:val="en-GB"/>
                </w:rPr>
                <m:t>n-</m:t>
              </m:r>
              <m:r>
                <w:rPr>
                  <w:rFonts w:ascii="Times New Roman" w:hAnsi="Times New Roman" w:cs="Times New Roman"/>
                  <w:lang w:val="en-GB"/>
                </w:rPr>
                <m:t>ǩ</m:t>
              </m:r>
              <m:r>
                <w:rPr>
                  <w:rFonts w:ascii="Cambria Math" w:hAnsi="Cambria Math" w:cs="Times New Roman"/>
                  <w:lang w:val="en-GB"/>
                </w:rPr>
                <m:t>-1-p</m:t>
              </m:r>
            </m:den>
          </m:f>
        </m:oMath>
      </m:oMathPara>
    </w:p>
    <w:p w:rsidR="00023C5B" w:rsidRPr="003C2E1A" w:rsidRDefault="00023C5B" w:rsidP="00023C5B">
      <w:pPr>
        <w:pStyle w:val="ListParagraph"/>
        <w:spacing w:after="0" w:line="360" w:lineRule="auto"/>
        <w:ind w:left="0"/>
        <w:jc w:val="both"/>
        <w:rPr>
          <w:rFonts w:ascii="Times New Roman" w:eastAsiaTheme="minorEastAsia" w:hAnsi="Times New Roman" w:cs="Times New Roman"/>
          <w:sz w:val="24"/>
          <w:lang w:val="en-GB"/>
        </w:rPr>
      </w:pPr>
      <w:r w:rsidRPr="003C2E1A">
        <w:rPr>
          <w:rFonts w:ascii="Times New Roman" w:eastAsiaTheme="minorEastAsia" w:hAnsi="Times New Roman" w:cs="Times New Roman"/>
          <w:sz w:val="24"/>
          <w:lang w:val="en-GB"/>
        </w:rPr>
        <w:t xml:space="preserve">Where </w:t>
      </w:r>
      <m:oMath>
        <m:r>
          <w:rPr>
            <w:rFonts w:ascii="Cambria Math" w:eastAsiaTheme="minorEastAsia" w:hAnsi="Cambria Math" w:cs="Times New Roman"/>
            <w:sz w:val="24"/>
            <w:lang w:val="en-GB"/>
          </w:rPr>
          <m:t xml:space="preserve">k = </m:t>
        </m:r>
        <m:r>
          <w:rPr>
            <w:rFonts w:ascii="Times New Roman" w:eastAsiaTheme="minorEastAsia" w:hAnsi="Times New Roman" w:cs="Times New Roman"/>
            <w:sz w:val="24"/>
            <w:lang w:val="en-GB"/>
          </w:rPr>
          <m:t>ǩ</m:t>
        </m:r>
        <m:r>
          <w:rPr>
            <w:rFonts w:ascii="Cambria Math" w:eastAsiaTheme="minorEastAsia" w:hAnsi="Cambria Math" w:cs="Times New Roman"/>
            <w:sz w:val="24"/>
            <w:lang w:val="en-GB"/>
          </w:rPr>
          <m:t xml:space="preserve">p + </m:t>
        </m:r>
        <m:f>
          <m:fPr>
            <m:ctrlPr>
              <w:rPr>
                <w:rFonts w:ascii="Cambria Math" w:eastAsiaTheme="minorEastAsia" w:hAnsi="Cambria Math" w:cs="Times New Roman"/>
                <w:i/>
                <w:sz w:val="24"/>
                <w:lang w:val="en-GB"/>
              </w:rPr>
            </m:ctrlPr>
          </m:fPr>
          <m:num>
            <m:r>
              <w:rPr>
                <w:rFonts w:ascii="Cambria Math" w:eastAsiaTheme="minorEastAsia" w:hAnsi="Cambria Math" w:cs="Times New Roman"/>
                <w:sz w:val="24"/>
                <w:lang w:val="en-GB"/>
              </w:rPr>
              <m:t>p(p+1)</m:t>
            </m:r>
          </m:num>
          <m:den>
            <m:r>
              <w:rPr>
                <w:rFonts w:ascii="Cambria Math" w:eastAsiaTheme="minorEastAsia" w:hAnsi="Cambria Math" w:cs="Times New Roman"/>
                <w:sz w:val="24"/>
                <w:lang w:val="en-GB"/>
              </w:rPr>
              <m:t>2</m:t>
            </m:r>
          </m:den>
        </m:f>
        <m:r>
          <w:rPr>
            <w:rFonts w:ascii="Cambria Math" w:eastAsiaTheme="minorEastAsia" w:hAnsi="Cambria Math" w:cs="Times New Roman"/>
            <w:sz w:val="24"/>
            <w:lang w:val="en-GB"/>
          </w:rPr>
          <m:t xml:space="preserve"> </m:t>
        </m:r>
      </m:oMath>
      <w:r w:rsidRPr="003C2E1A">
        <w:rPr>
          <w:rFonts w:ascii="Times New Roman" w:eastAsiaTheme="minorEastAsia" w:hAnsi="Times New Roman" w:cs="Times New Roman"/>
          <w:sz w:val="24"/>
          <w:lang w:val="en-GB"/>
        </w:rPr>
        <w:t xml:space="preserve"> and</w:t>
      </w:r>
      <m:oMath>
        <m:r>
          <w:rPr>
            <w:rFonts w:ascii="Cambria Math" w:eastAsiaTheme="minorEastAsia" w:hAnsi="Cambria Math" w:cs="Times New Roman"/>
            <w:sz w:val="24"/>
            <w:lang w:val="en-GB"/>
          </w:rPr>
          <m:t xml:space="preserve">  AIC=-2</m:t>
        </m:r>
        <m:func>
          <m:funcPr>
            <m:ctrlPr>
              <w:rPr>
                <w:rFonts w:ascii="Cambria Math" w:eastAsiaTheme="minorEastAsia" w:hAnsi="Cambria Math" w:cs="Times New Roman"/>
                <w:sz w:val="24"/>
                <w:lang w:val="en-GB"/>
              </w:rPr>
            </m:ctrlPr>
          </m:funcPr>
          <m:fName>
            <m:r>
              <m:rPr>
                <m:sty m:val="p"/>
              </m:rPr>
              <w:rPr>
                <w:rFonts w:ascii="Cambria Math" w:eastAsiaTheme="minorEastAsia" w:hAnsi="Cambria Math" w:cs="Times New Roman"/>
                <w:sz w:val="24"/>
                <w:lang w:val="en-GB"/>
              </w:rPr>
              <m:t>ln</m:t>
            </m:r>
          </m:fName>
          <m:e>
            <m:d>
              <m:dPr>
                <m:ctrlPr>
                  <w:rPr>
                    <w:rFonts w:ascii="Cambria Math" w:eastAsiaTheme="minorEastAsia" w:hAnsi="Cambria Math" w:cs="Times New Roman"/>
                    <w:i/>
                    <w:sz w:val="24"/>
                    <w:lang w:val="en-GB"/>
                  </w:rPr>
                </m:ctrlPr>
              </m:dPr>
              <m:e>
                <m:r>
                  <w:rPr>
                    <w:rFonts w:ascii="Cambria Math" w:eastAsiaTheme="minorEastAsia" w:hAnsi="Cambria Math" w:cs="Times New Roman"/>
                    <w:sz w:val="24"/>
                    <w:lang w:val="en-GB"/>
                  </w:rPr>
                  <m:t>L</m:t>
                </m:r>
              </m:e>
            </m:d>
            <m:ctrlPr>
              <w:rPr>
                <w:rFonts w:ascii="Cambria Math" w:hAnsi="Cambria Math" w:cs="Times New Roman"/>
                <w:i/>
                <w:sz w:val="24"/>
                <w:lang w:val="en-GB"/>
              </w:rPr>
            </m:ctrlPr>
          </m:e>
        </m:func>
        <m:r>
          <w:rPr>
            <w:rFonts w:ascii="Cambria Math" w:eastAsiaTheme="minorEastAsia" w:hAnsi="Cambria Math" w:cs="Times New Roman"/>
            <w:sz w:val="24"/>
            <w:lang w:val="en-GB"/>
          </w:rPr>
          <m:t>+2k</m:t>
        </m:r>
      </m:oMath>
      <w:r w:rsidRPr="003C2E1A">
        <w:rPr>
          <w:rFonts w:ascii="Times New Roman" w:eastAsiaTheme="minorEastAsia" w:hAnsi="Times New Roman" w:cs="Times New Roman"/>
          <w:sz w:val="24"/>
          <w:lang w:val="en-GB"/>
        </w:rPr>
        <w:t>. In turn, L is equal to the maximized value of the maximum likelihood ratio. The number of lags that minimizes the AIC</w:t>
      </w:r>
      <w:r w:rsidRPr="003C2E1A">
        <w:rPr>
          <w:rFonts w:ascii="Times New Roman" w:eastAsiaTheme="minorEastAsia" w:hAnsi="Times New Roman" w:cs="Times New Roman"/>
          <w:i/>
          <w:sz w:val="20"/>
          <w:lang w:val="en-GB"/>
        </w:rPr>
        <w:t>cm</w:t>
      </w:r>
      <w:r w:rsidRPr="003C2E1A">
        <w:rPr>
          <w:rFonts w:ascii="Times New Roman" w:eastAsiaTheme="minorEastAsia" w:hAnsi="Times New Roman" w:cs="Times New Roman"/>
          <w:sz w:val="24"/>
          <w:lang w:val="en-GB"/>
        </w:rPr>
        <w:t xml:space="preserve"> will be selected. </w:t>
      </w:r>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 xml:space="preserve"> For the augmented DF test, the test equation is as follows:</w:t>
      </w:r>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m:oMathPara>
        <m:oMath>
          <m:r>
            <w:rPr>
              <w:rFonts w:ascii="Cambria Math" w:hAnsi="Cambria Math" w:cs="Times New Roman"/>
              <w:sz w:val="24"/>
              <w:lang w:val="en-GB"/>
            </w:rPr>
            <m:t>∆</m:t>
          </m:r>
          <m:sSub>
            <m:sSubPr>
              <m:ctrlPr>
                <w:rPr>
                  <w:rFonts w:ascii="Cambria Math" w:hAnsi="Cambria Math" w:cs="Times New Roman"/>
                  <w:i/>
                  <w:sz w:val="24"/>
                  <w:lang w:val="en-GB"/>
                </w:rPr>
              </m:ctrlPr>
            </m:sSubPr>
            <m:e>
              <m:r>
                <w:rPr>
                  <w:rFonts w:ascii="Cambria Math" w:hAnsi="Cambria Math" w:cs="Times New Roman"/>
                  <w:sz w:val="24"/>
                  <w:lang w:val="en-GB"/>
                </w:rPr>
                <m:t>y</m:t>
              </m:r>
            </m:e>
            <m:sub>
              <m:r>
                <w:rPr>
                  <w:rFonts w:ascii="Cambria Math" w:hAnsi="Cambria Math" w:cs="Times New Roman"/>
                  <w:sz w:val="24"/>
                  <w:lang w:val="en-GB"/>
                </w:rPr>
                <m:t>t</m:t>
              </m:r>
            </m:sub>
          </m:sSub>
          <m:r>
            <w:rPr>
              <w:rFonts w:ascii="Cambria Math" w:hAnsi="Cambria Math" w:cs="Times New Roman"/>
              <w:sz w:val="24"/>
              <w:lang w:val="en-GB"/>
            </w:rPr>
            <m:t>=α+γ</m:t>
          </m:r>
          <m:sSub>
            <m:sSubPr>
              <m:ctrlPr>
                <w:rPr>
                  <w:rFonts w:ascii="Cambria Math" w:hAnsi="Cambria Math" w:cs="Times New Roman"/>
                  <w:i/>
                  <w:sz w:val="24"/>
                  <w:lang w:val="en-GB"/>
                </w:rPr>
              </m:ctrlPr>
            </m:sSubPr>
            <m:e>
              <m:r>
                <w:rPr>
                  <w:rFonts w:ascii="Cambria Math" w:hAnsi="Cambria Math" w:cs="Times New Roman"/>
                  <w:sz w:val="24"/>
                  <w:lang w:val="en-GB"/>
                </w:rPr>
                <m:t>Y</m:t>
              </m:r>
            </m:e>
            <m:sub>
              <m:r>
                <w:rPr>
                  <w:rFonts w:ascii="Cambria Math" w:hAnsi="Cambria Math" w:cs="Times New Roman"/>
                  <w:sz w:val="24"/>
                  <w:lang w:val="en-GB"/>
                </w:rPr>
                <m:t>t-1</m:t>
              </m:r>
            </m:sub>
          </m:sSub>
          <m:r>
            <w:rPr>
              <w:rFonts w:ascii="Cambria Math" w:hAnsi="Cambria Math" w:cs="Times New Roman"/>
              <w:sz w:val="24"/>
              <w:lang w:val="en-GB"/>
            </w:rPr>
            <m:t>+</m:t>
          </m:r>
          <m:nary>
            <m:naryPr>
              <m:chr m:val="∑"/>
              <m:limLoc m:val="undOvr"/>
              <m:ctrlPr>
                <w:rPr>
                  <w:rFonts w:ascii="Cambria Math" w:hAnsi="Cambria Math" w:cs="Times New Roman"/>
                  <w:i/>
                  <w:sz w:val="24"/>
                  <w:lang w:val="en-GB"/>
                </w:rPr>
              </m:ctrlPr>
            </m:naryPr>
            <m:sub>
              <m:r>
                <w:rPr>
                  <w:rFonts w:ascii="Cambria Math" w:hAnsi="Cambria Math" w:cs="Times New Roman"/>
                  <w:sz w:val="24"/>
                  <w:lang w:val="en-GB"/>
                </w:rPr>
                <m:t>i=1</m:t>
              </m:r>
            </m:sub>
            <m:sup>
              <m:r>
                <w:rPr>
                  <w:rFonts w:ascii="Cambria Math" w:hAnsi="Cambria Math" w:cs="Times New Roman"/>
                  <w:sz w:val="24"/>
                  <w:lang w:val="en-GB"/>
                </w:rPr>
                <m:t>m</m:t>
              </m:r>
            </m:sup>
            <m:e>
              <m:sSub>
                <m:sSubPr>
                  <m:ctrlPr>
                    <w:rPr>
                      <w:rFonts w:ascii="Cambria Math" w:hAnsi="Cambria Math" w:cs="Times New Roman"/>
                      <w:i/>
                      <w:sz w:val="24"/>
                      <w:lang w:val="en-GB"/>
                    </w:rPr>
                  </m:ctrlPr>
                </m:sSubPr>
                <m:e>
                  <m:r>
                    <w:rPr>
                      <w:rFonts w:ascii="Cambria Math" w:hAnsi="Cambria Math" w:cs="Times New Roman"/>
                      <w:sz w:val="24"/>
                      <w:lang w:val="en-GB"/>
                    </w:rPr>
                    <m:t>a</m:t>
                  </m:r>
                </m:e>
                <m:sub>
                  <m:r>
                    <w:rPr>
                      <w:rFonts w:ascii="Cambria Math" w:hAnsi="Cambria Math" w:cs="Times New Roman"/>
                      <w:sz w:val="24"/>
                      <w:lang w:val="en-GB"/>
                    </w:rPr>
                    <m:t>i</m:t>
                  </m:r>
                </m:sub>
              </m:sSub>
              <m:r>
                <w:rPr>
                  <w:rFonts w:ascii="Cambria Math" w:hAnsi="Cambria Math" w:cs="Times New Roman"/>
                  <w:sz w:val="24"/>
                  <w:lang w:val="en-GB"/>
                </w:rPr>
                <m:t>∆</m:t>
              </m:r>
              <m:sSub>
                <m:sSubPr>
                  <m:ctrlPr>
                    <w:rPr>
                      <w:rFonts w:ascii="Cambria Math" w:hAnsi="Cambria Math" w:cs="Times New Roman"/>
                      <w:i/>
                      <w:sz w:val="24"/>
                      <w:lang w:val="en-GB"/>
                    </w:rPr>
                  </m:ctrlPr>
                </m:sSubPr>
                <m:e>
                  <m:r>
                    <w:rPr>
                      <w:rFonts w:ascii="Cambria Math" w:hAnsi="Cambria Math" w:cs="Times New Roman"/>
                      <w:sz w:val="24"/>
                      <w:lang w:val="en-GB"/>
                    </w:rPr>
                    <m:t>y</m:t>
                  </m:r>
                </m:e>
                <m:sub>
                  <m:r>
                    <w:rPr>
                      <w:rFonts w:ascii="Cambria Math" w:hAnsi="Cambria Math" w:cs="Times New Roman"/>
                      <w:sz w:val="24"/>
                      <w:lang w:val="en-GB"/>
                    </w:rPr>
                    <m:t>t-1</m:t>
                  </m:r>
                </m:sub>
              </m:sSub>
              <m:r>
                <w:rPr>
                  <w:rFonts w:ascii="Cambria Math" w:hAnsi="Cambria Math" w:cs="Times New Roman"/>
                  <w:sz w:val="24"/>
                  <w:lang w:val="en-GB"/>
                </w:rPr>
                <m:t>+</m:t>
              </m:r>
              <m:sSub>
                <m:sSubPr>
                  <m:ctrlPr>
                    <w:rPr>
                      <w:rFonts w:ascii="Cambria Math" w:hAnsi="Cambria Math" w:cs="Times New Roman"/>
                      <w:i/>
                      <w:sz w:val="24"/>
                      <w:lang w:val="en-GB"/>
                    </w:rPr>
                  </m:ctrlPr>
                </m:sSubPr>
                <m:e>
                  <m:r>
                    <w:rPr>
                      <w:rFonts w:ascii="Cambria Math" w:hAnsi="Cambria Math" w:cs="Times New Roman"/>
                      <w:sz w:val="24"/>
                      <w:lang w:val="en-GB"/>
                    </w:rPr>
                    <m:t>υ</m:t>
                  </m:r>
                </m:e>
                <m:sub>
                  <m:r>
                    <w:rPr>
                      <w:rFonts w:ascii="Cambria Math" w:hAnsi="Cambria Math" w:cs="Times New Roman"/>
                      <w:sz w:val="24"/>
                      <w:lang w:val="en-GB"/>
                    </w:rPr>
                    <m:t>t</m:t>
                  </m:r>
                </m:sub>
              </m:sSub>
            </m:e>
          </m:nary>
        </m:oMath>
      </m:oMathPara>
    </w:p>
    <w:p w:rsidR="00023C5B" w:rsidRPr="003C2E1A" w:rsidRDefault="00023C5B" w:rsidP="00023C5B">
      <w:pPr>
        <w:pStyle w:val="ListParagraph"/>
        <w:spacing w:after="0" w:line="360" w:lineRule="auto"/>
        <w:ind w:left="0"/>
        <w:jc w:val="both"/>
        <w:rPr>
          <w:rFonts w:ascii="Times New Roman" w:hAnsi="Times New Roman" w:cs="Times New Roman"/>
          <w:sz w:val="24"/>
          <w:lang w:val="en-GB"/>
        </w:rPr>
      </w:pPr>
      <w:r w:rsidRPr="003C2E1A">
        <w:rPr>
          <w:rFonts w:ascii="Times New Roman" w:hAnsi="Times New Roman" w:cs="Times New Roman"/>
          <w:sz w:val="24"/>
          <w:lang w:val="en-GB"/>
        </w:rPr>
        <w:t xml:space="preserve">As </w:t>
      </w:r>
      <m:oMath>
        <m:r>
          <w:rPr>
            <w:rFonts w:ascii="Cambria Math" w:hAnsi="Cambria Math" w:cs="Times New Roman"/>
            <w:sz w:val="24"/>
            <w:lang w:val="en-GB"/>
          </w:rPr>
          <m:t xml:space="preserve">  </m:t>
        </m:r>
        <m:sSub>
          <m:sSubPr>
            <m:ctrlPr>
              <w:rPr>
                <w:rFonts w:ascii="Cambria Math" w:hAnsi="Cambria Math" w:cs="Times New Roman"/>
                <w:i/>
                <w:sz w:val="24"/>
                <w:lang w:val="en-GB"/>
              </w:rPr>
            </m:ctrlPr>
          </m:sSubPr>
          <m:e>
            <m:r>
              <w:rPr>
                <w:rFonts w:ascii="Cambria Math" w:hAnsi="Cambria Math" w:cs="Times New Roman"/>
                <w:sz w:val="24"/>
                <w:lang w:val="en-GB"/>
              </w:rPr>
              <m:t>H</m:t>
            </m:r>
          </m:e>
          <m:sub>
            <m:r>
              <w:rPr>
                <w:rFonts w:ascii="Cambria Math" w:hAnsi="Cambria Math" w:cs="Times New Roman"/>
                <w:sz w:val="24"/>
                <w:lang w:val="en-GB"/>
              </w:rPr>
              <m:t>0</m:t>
            </m:r>
          </m:sub>
        </m:sSub>
        <m:r>
          <w:rPr>
            <w:rFonts w:ascii="Cambria Math" w:hAnsi="Cambria Math" w:cs="Times New Roman"/>
            <w:sz w:val="24"/>
            <w:lang w:val="en-GB"/>
          </w:rPr>
          <m:t>: γ=0</m:t>
        </m:r>
        <m:r>
          <w:rPr>
            <w:rFonts w:ascii="Cambria Math" w:eastAsiaTheme="minorEastAsia" w:hAnsi="Cambria Math" w:cs="Times New Roman"/>
            <w:sz w:val="24"/>
            <w:lang w:val="en-GB"/>
          </w:rPr>
          <m:t xml:space="preserve"> (ρ=1)</m:t>
        </m:r>
      </m:oMath>
      <w:r w:rsidRPr="003C2E1A">
        <w:rPr>
          <w:rFonts w:ascii="Times New Roman" w:eastAsiaTheme="minorEastAsia" w:hAnsi="Times New Roman" w:cs="Times New Roman"/>
          <w:sz w:val="24"/>
          <w:lang w:val="en-GB"/>
        </w:rPr>
        <w:t xml:space="preserve"> and</w:t>
      </w:r>
      <m:oMath>
        <m:r>
          <w:rPr>
            <w:rFonts w:ascii="Cambria Math" w:eastAsiaTheme="minorEastAsia" w:hAnsi="Cambria Math" w:cs="Times New Roman"/>
            <w:sz w:val="24"/>
            <w:lang w:val="en-GB"/>
          </w:rPr>
          <m:t xml:space="preserve">  </m:t>
        </m:r>
        <m:sSub>
          <m:sSubPr>
            <m:ctrlPr>
              <w:rPr>
                <w:rFonts w:ascii="Cambria Math" w:hAnsi="Cambria Math" w:cs="Times New Roman"/>
                <w:i/>
                <w:sz w:val="24"/>
                <w:lang w:val="en-GB"/>
              </w:rPr>
            </m:ctrlPr>
          </m:sSubPr>
          <m:e>
            <m:r>
              <w:rPr>
                <w:rFonts w:ascii="Cambria Math" w:hAnsi="Cambria Math" w:cs="Times New Roman"/>
                <w:sz w:val="24"/>
                <w:lang w:val="en-GB"/>
              </w:rPr>
              <m:t xml:space="preserve"> H</m:t>
            </m:r>
          </m:e>
          <m:sub>
            <m:r>
              <w:rPr>
                <w:rFonts w:ascii="Cambria Math" w:hAnsi="Cambria Math" w:cs="Times New Roman"/>
                <w:sz w:val="24"/>
                <w:lang w:val="en-GB"/>
              </w:rPr>
              <m:t>a</m:t>
            </m:r>
          </m:sub>
        </m:sSub>
        <m:r>
          <w:rPr>
            <w:rFonts w:ascii="Cambria Math" w:hAnsi="Cambria Math" w:cs="Times New Roman"/>
            <w:sz w:val="24"/>
            <w:lang w:val="en-GB"/>
          </w:rPr>
          <m:t>: γ&lt;0</m:t>
        </m:r>
        <m:r>
          <w:rPr>
            <w:rFonts w:ascii="Cambria Math" w:eastAsiaTheme="minorEastAsia" w:hAnsi="Cambria Math" w:cs="Times New Roman"/>
            <w:sz w:val="24"/>
            <w:lang w:val="en-GB"/>
          </w:rPr>
          <m:t xml:space="preserve"> (ρ&lt;1)</m:t>
        </m:r>
      </m:oMath>
      <w:r w:rsidRPr="003C2E1A">
        <w:rPr>
          <w:rFonts w:ascii="Times New Roman" w:eastAsiaTheme="minorEastAsia" w:hAnsi="Times New Roman" w:cs="Times New Roman"/>
          <w:sz w:val="24"/>
          <w:lang w:val="en-GB"/>
        </w:rPr>
        <w:t xml:space="preserve">; if </w:t>
      </w:r>
      <m:oMath>
        <m:sSub>
          <m:sSubPr>
            <m:ctrlPr>
              <w:rPr>
                <w:rFonts w:ascii="Cambria Math" w:hAnsi="Cambria Math" w:cs="Times New Roman"/>
                <w:i/>
                <w:sz w:val="24"/>
                <w:lang w:val="en-GB"/>
              </w:rPr>
            </m:ctrlPr>
          </m:sSubPr>
          <m:e>
            <m:r>
              <w:rPr>
                <w:rFonts w:ascii="Cambria Math" w:hAnsi="Cambria Math" w:cs="Times New Roman"/>
                <w:sz w:val="24"/>
                <w:lang w:val="en-GB"/>
              </w:rPr>
              <m:t>H</m:t>
            </m:r>
          </m:e>
          <m:sub>
            <m:r>
              <w:rPr>
                <w:rFonts w:ascii="Cambria Math" w:hAnsi="Cambria Math" w:cs="Times New Roman"/>
                <w:sz w:val="24"/>
                <w:lang w:val="en-GB"/>
              </w:rPr>
              <m:t>0</m:t>
            </m:r>
          </m:sub>
        </m:sSub>
      </m:oMath>
      <w:r w:rsidRPr="003C2E1A">
        <w:rPr>
          <w:rFonts w:ascii="Times New Roman" w:eastAsiaTheme="minorEastAsia" w:hAnsi="Times New Roman" w:cs="Times New Roman"/>
          <w:sz w:val="24"/>
          <w:lang w:val="en-GB"/>
        </w:rPr>
        <w:t xml:space="preserve"> is rejected then we conclude that the series is stationary. </w:t>
      </w:r>
    </w:p>
    <w:p w:rsidR="00023C5B" w:rsidRDefault="00023C5B" w:rsidP="006F1A6E">
      <w:pPr>
        <w:spacing w:after="0" w:line="240" w:lineRule="auto"/>
        <w:rPr>
          <w:rFonts w:ascii="Times New Roman" w:eastAsiaTheme="minorEastAsia" w:hAnsi="Times New Roman" w:cs="Times New Roman"/>
          <w:b/>
          <w:sz w:val="24"/>
          <w:szCs w:val="24"/>
          <w:lang w:val="en-GB"/>
        </w:rPr>
      </w:pPr>
    </w:p>
    <w:p w:rsidR="00023C5B" w:rsidRDefault="00023C5B" w:rsidP="006F1A6E">
      <w:pPr>
        <w:spacing w:after="0" w:line="240" w:lineRule="auto"/>
        <w:rPr>
          <w:rFonts w:ascii="Times New Roman" w:eastAsiaTheme="minorEastAsia" w:hAnsi="Times New Roman" w:cs="Times New Roman"/>
          <w:b/>
          <w:sz w:val="24"/>
          <w:szCs w:val="24"/>
          <w:lang w:val="en-GB"/>
        </w:rPr>
      </w:pPr>
    </w:p>
    <w:p w:rsidR="00023C5B" w:rsidRDefault="00023C5B" w:rsidP="006F1A6E">
      <w:pPr>
        <w:spacing w:after="0" w:line="240" w:lineRule="auto"/>
        <w:rPr>
          <w:rFonts w:ascii="Times New Roman" w:eastAsiaTheme="minorEastAsia" w:hAnsi="Times New Roman" w:cs="Times New Roman"/>
          <w:b/>
          <w:sz w:val="24"/>
          <w:szCs w:val="24"/>
          <w:lang w:val="en-GB"/>
        </w:rPr>
      </w:pPr>
    </w:p>
    <w:p w:rsidR="00C93DDF" w:rsidRDefault="001E59EA"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t xml:space="preserve">Table </w:t>
      </w:r>
      <w:r w:rsidR="00C93DDF">
        <w:rPr>
          <w:rFonts w:ascii="Times New Roman" w:eastAsiaTheme="minorEastAsia" w:hAnsi="Times New Roman" w:cs="Times New Roman"/>
          <w:b/>
          <w:sz w:val="24"/>
          <w:szCs w:val="24"/>
          <w:lang w:val="en-GB"/>
        </w:rPr>
        <w:t>A6.1: Granger Causality Potential Outcomes</w:t>
      </w:r>
    </w:p>
    <w:p w:rsidR="00250FCC" w:rsidRDefault="00250FCC" w:rsidP="006F1A6E">
      <w:pPr>
        <w:spacing w:after="0" w:line="240" w:lineRule="auto"/>
        <w:rPr>
          <w:rFonts w:ascii="Times New Roman" w:eastAsiaTheme="minorEastAsia" w:hAnsi="Times New Roman" w:cs="Times New Roman"/>
          <w:b/>
          <w:sz w:val="24"/>
          <w:szCs w:val="24"/>
          <w:lang w:val="en-GB"/>
        </w:rPr>
      </w:pPr>
    </w:p>
    <w:p w:rsidR="002628BD" w:rsidRDefault="00605568"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t xml:space="preserve">       </w:t>
      </w:r>
      <w:r w:rsidR="002628BD">
        <w:rPr>
          <w:rFonts w:ascii="Times New Roman" w:eastAsiaTheme="minorEastAsia" w:hAnsi="Times New Roman" w:cs="Times New Roman"/>
          <w:b/>
          <w:noProof/>
          <w:sz w:val="24"/>
          <w:szCs w:val="24"/>
          <w:lang w:eastAsia="nl-NL"/>
        </w:rPr>
        <w:drawing>
          <wp:inline distT="0" distB="0" distL="0" distR="0">
            <wp:extent cx="2879426" cy="126289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2885240" cy="1265445"/>
                    </a:xfrm>
                    <a:prstGeom prst="rect">
                      <a:avLst/>
                    </a:prstGeom>
                    <a:noFill/>
                    <a:ln w="9525">
                      <a:noFill/>
                      <a:miter lim="800000"/>
                      <a:headEnd/>
                      <a:tailEnd/>
                    </a:ln>
                  </pic:spPr>
                </pic:pic>
              </a:graphicData>
            </a:graphic>
          </wp:inline>
        </w:drawing>
      </w:r>
    </w:p>
    <w:p w:rsidR="002628BD" w:rsidRDefault="002628BD" w:rsidP="006F1A6E">
      <w:pPr>
        <w:spacing w:after="0" w:line="240" w:lineRule="auto"/>
        <w:rPr>
          <w:rFonts w:ascii="Times New Roman" w:eastAsiaTheme="minorEastAsia" w:hAnsi="Times New Roman" w:cs="Times New Roman"/>
          <w:b/>
          <w:sz w:val="24"/>
          <w:szCs w:val="24"/>
          <w:lang w:val="en-GB"/>
        </w:rPr>
      </w:pPr>
    </w:p>
    <w:p w:rsidR="00E645B3" w:rsidRDefault="00E645B3" w:rsidP="00DA0905">
      <w:pPr>
        <w:rPr>
          <w:rFonts w:ascii="Times New Roman" w:eastAsiaTheme="minorEastAsia" w:hAnsi="Times New Roman" w:cs="Times New Roman"/>
          <w:b/>
          <w:sz w:val="24"/>
          <w:szCs w:val="24"/>
          <w:lang w:val="en-GB"/>
        </w:rPr>
      </w:pPr>
    </w:p>
    <w:p w:rsidR="00DA0905" w:rsidRPr="00255996" w:rsidRDefault="00EA4191" w:rsidP="00DA0905">
      <w:pPr>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T</w:t>
      </w:r>
      <w:r w:rsidR="00DA0905" w:rsidRPr="00255996">
        <w:rPr>
          <w:rFonts w:ascii="Times New Roman" w:eastAsiaTheme="minorEastAsia" w:hAnsi="Times New Roman" w:cs="Times New Roman"/>
          <w:b/>
          <w:sz w:val="24"/>
          <w:szCs w:val="24"/>
          <w:lang w:val="en-GB"/>
        </w:rPr>
        <w:t>able A6.</w:t>
      </w:r>
      <w:r w:rsidR="0057495C">
        <w:rPr>
          <w:rFonts w:ascii="Times New Roman" w:eastAsiaTheme="minorEastAsia" w:hAnsi="Times New Roman" w:cs="Times New Roman"/>
          <w:b/>
          <w:sz w:val="24"/>
          <w:szCs w:val="24"/>
          <w:lang w:val="en-GB"/>
        </w:rPr>
        <w:t>2</w:t>
      </w:r>
      <w:r w:rsidR="00DA0905" w:rsidRPr="00255996">
        <w:rPr>
          <w:rFonts w:ascii="Times New Roman" w:eastAsiaTheme="minorEastAsia" w:hAnsi="Times New Roman" w:cs="Times New Roman"/>
          <w:b/>
          <w:sz w:val="24"/>
          <w:szCs w:val="24"/>
          <w:lang w:val="en-GB"/>
        </w:rPr>
        <w:t>: Group Unit Root Tests</w:t>
      </w:r>
    </w:p>
    <w:p w:rsidR="00DA0905" w:rsidRPr="00255996" w:rsidRDefault="00DA0905" w:rsidP="00DA0905">
      <w:pPr>
        <w:rPr>
          <w:rFonts w:ascii="Times New Roman" w:eastAsiaTheme="minorEastAsia" w:hAnsi="Times New Roman" w:cs="Times New Roman"/>
          <w:sz w:val="24"/>
          <w:szCs w:val="24"/>
          <w:lang w:val="en-GB"/>
        </w:rPr>
      </w:pPr>
      <w:r>
        <w:rPr>
          <w:rFonts w:ascii="Times New Roman" w:eastAsiaTheme="minorEastAsia" w:hAnsi="Times New Roman" w:cs="Times New Roman"/>
          <w:noProof/>
          <w:sz w:val="24"/>
          <w:szCs w:val="24"/>
          <w:lang w:eastAsia="nl-NL"/>
        </w:rPr>
        <w:drawing>
          <wp:inline distT="0" distB="0" distL="0" distR="0">
            <wp:extent cx="3698935" cy="8211253"/>
            <wp:effectExtent l="19050" t="0" r="0" b="0"/>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3711268" cy="8238630"/>
                    </a:xfrm>
                    <a:prstGeom prst="rect">
                      <a:avLst/>
                    </a:prstGeom>
                    <a:noFill/>
                    <a:ln w="9525">
                      <a:noFill/>
                      <a:miter lim="800000"/>
                      <a:headEnd/>
                      <a:tailEnd/>
                    </a:ln>
                  </pic:spPr>
                </pic:pic>
              </a:graphicData>
            </a:graphic>
          </wp:inline>
        </w:drawing>
      </w:r>
    </w:p>
    <w:p w:rsidR="00DA0905" w:rsidRDefault="00DA0905" w:rsidP="006F1A6E">
      <w:pPr>
        <w:spacing w:after="0" w:line="240" w:lineRule="auto"/>
        <w:rPr>
          <w:rFonts w:ascii="Times New Roman" w:eastAsiaTheme="minorEastAsia" w:hAnsi="Times New Roman" w:cs="Times New Roman"/>
          <w:b/>
          <w:sz w:val="24"/>
          <w:szCs w:val="24"/>
          <w:lang w:val="en-GB"/>
        </w:rPr>
      </w:pPr>
    </w:p>
    <w:p w:rsidR="00DA15CC" w:rsidRDefault="00DA15CC"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Table A6.</w:t>
      </w:r>
      <w:r w:rsidR="0057495C">
        <w:rPr>
          <w:rFonts w:ascii="Times New Roman" w:eastAsiaTheme="minorEastAsia" w:hAnsi="Times New Roman" w:cs="Times New Roman"/>
          <w:b/>
          <w:sz w:val="24"/>
          <w:szCs w:val="24"/>
          <w:lang w:val="en-GB"/>
        </w:rPr>
        <w:t>3</w:t>
      </w:r>
      <w:r>
        <w:rPr>
          <w:rFonts w:ascii="Times New Roman" w:eastAsiaTheme="minorEastAsia" w:hAnsi="Times New Roman" w:cs="Times New Roman"/>
          <w:b/>
          <w:sz w:val="24"/>
          <w:szCs w:val="24"/>
          <w:lang w:val="en-GB"/>
        </w:rPr>
        <w:t>:</w:t>
      </w:r>
      <w:r w:rsidR="00250FCC">
        <w:rPr>
          <w:rFonts w:ascii="Times New Roman" w:eastAsiaTheme="minorEastAsia" w:hAnsi="Times New Roman" w:cs="Times New Roman"/>
          <w:b/>
          <w:sz w:val="24"/>
          <w:szCs w:val="24"/>
          <w:lang w:val="en-GB"/>
        </w:rPr>
        <w:t xml:space="preserve"> J</w:t>
      </w:r>
      <w:r w:rsidR="00EA4191">
        <w:rPr>
          <w:rFonts w:ascii="Times New Roman" w:eastAsiaTheme="minorEastAsia" w:hAnsi="Times New Roman" w:cs="Times New Roman"/>
          <w:b/>
          <w:sz w:val="24"/>
          <w:szCs w:val="24"/>
          <w:lang w:val="en-GB"/>
        </w:rPr>
        <w:t xml:space="preserve">ohansen’s </w:t>
      </w:r>
      <w:r w:rsidR="00250FCC">
        <w:rPr>
          <w:rFonts w:ascii="Times New Roman" w:eastAsiaTheme="minorEastAsia" w:hAnsi="Times New Roman" w:cs="Times New Roman"/>
          <w:b/>
          <w:sz w:val="24"/>
          <w:szCs w:val="24"/>
          <w:lang w:val="en-GB"/>
        </w:rPr>
        <w:t>M</w:t>
      </w:r>
      <w:r w:rsidR="00EA4191">
        <w:rPr>
          <w:rFonts w:ascii="Times New Roman" w:eastAsiaTheme="minorEastAsia" w:hAnsi="Times New Roman" w:cs="Times New Roman"/>
          <w:b/>
          <w:sz w:val="24"/>
          <w:szCs w:val="24"/>
          <w:lang w:val="en-GB"/>
        </w:rPr>
        <w:t xml:space="preserve">ultivariate </w:t>
      </w:r>
      <w:r w:rsidR="00250FCC">
        <w:rPr>
          <w:rFonts w:ascii="Times New Roman" w:eastAsiaTheme="minorEastAsia" w:hAnsi="Times New Roman" w:cs="Times New Roman"/>
          <w:b/>
          <w:sz w:val="24"/>
          <w:szCs w:val="24"/>
          <w:lang w:val="en-GB"/>
        </w:rPr>
        <w:t>C</w:t>
      </w:r>
      <w:r w:rsidR="00EA4191">
        <w:rPr>
          <w:rFonts w:ascii="Times New Roman" w:eastAsiaTheme="minorEastAsia" w:hAnsi="Times New Roman" w:cs="Times New Roman"/>
          <w:b/>
          <w:sz w:val="24"/>
          <w:szCs w:val="24"/>
          <w:lang w:val="en-GB"/>
        </w:rPr>
        <w:t>ointegration</w:t>
      </w:r>
      <w:r w:rsidR="00250FCC">
        <w:rPr>
          <w:rFonts w:ascii="Times New Roman" w:eastAsiaTheme="minorEastAsia" w:hAnsi="Times New Roman" w:cs="Times New Roman"/>
          <w:b/>
          <w:sz w:val="24"/>
          <w:szCs w:val="24"/>
          <w:lang w:val="en-GB"/>
        </w:rPr>
        <w:t xml:space="preserve"> Results</w:t>
      </w:r>
    </w:p>
    <w:p w:rsidR="00A333C0" w:rsidRDefault="00A333C0" w:rsidP="006F1A6E">
      <w:pPr>
        <w:spacing w:after="0" w:line="240" w:lineRule="auto"/>
        <w:rPr>
          <w:rFonts w:ascii="Times New Roman" w:eastAsiaTheme="minorEastAsia" w:hAnsi="Times New Roman" w:cs="Times New Roman"/>
          <w:b/>
          <w:sz w:val="24"/>
          <w:szCs w:val="24"/>
          <w:lang w:val="en-GB"/>
        </w:rPr>
      </w:pPr>
    </w:p>
    <w:p w:rsidR="00766DE1" w:rsidRDefault="001828B0"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noProof/>
          <w:sz w:val="24"/>
          <w:szCs w:val="24"/>
          <w:lang w:eastAsia="nl-NL"/>
        </w:rPr>
        <w:drawing>
          <wp:inline distT="0" distB="0" distL="0" distR="0">
            <wp:extent cx="2965690" cy="3968219"/>
            <wp:effectExtent l="19050" t="0" r="61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2967361" cy="3970455"/>
                    </a:xfrm>
                    <a:prstGeom prst="rect">
                      <a:avLst/>
                    </a:prstGeom>
                    <a:noFill/>
                    <a:ln w="9525">
                      <a:noFill/>
                      <a:miter lim="800000"/>
                      <a:headEnd/>
                      <a:tailEnd/>
                    </a:ln>
                  </pic:spPr>
                </pic:pic>
              </a:graphicData>
            </a:graphic>
          </wp:inline>
        </w:drawing>
      </w:r>
    </w:p>
    <w:p w:rsidR="00766DE1" w:rsidRDefault="00766DE1" w:rsidP="006F1A6E">
      <w:pPr>
        <w:spacing w:after="0" w:line="240" w:lineRule="auto"/>
        <w:rPr>
          <w:rFonts w:ascii="Times New Roman" w:eastAsiaTheme="minorEastAsia" w:hAnsi="Times New Roman" w:cs="Times New Roman"/>
          <w:b/>
          <w:sz w:val="24"/>
          <w:szCs w:val="24"/>
          <w:lang w:val="en-GB"/>
        </w:rPr>
      </w:pPr>
    </w:p>
    <w:p w:rsidR="00766DE1" w:rsidRDefault="00766DE1" w:rsidP="006F1A6E">
      <w:pPr>
        <w:spacing w:after="0" w:line="240" w:lineRule="auto"/>
        <w:rPr>
          <w:rFonts w:ascii="Times New Roman" w:eastAsiaTheme="minorEastAsia" w:hAnsi="Times New Roman" w:cs="Times New Roman"/>
          <w:b/>
          <w:sz w:val="24"/>
          <w:szCs w:val="24"/>
          <w:lang w:val="en-GB"/>
        </w:rPr>
      </w:pPr>
    </w:p>
    <w:p w:rsidR="00766DE1" w:rsidRDefault="00766DE1" w:rsidP="006F1A6E">
      <w:pPr>
        <w:spacing w:after="0" w:line="240" w:lineRule="auto"/>
        <w:rPr>
          <w:rFonts w:ascii="Times New Roman" w:eastAsiaTheme="minorEastAsia" w:hAnsi="Times New Roman" w:cs="Times New Roman"/>
          <w:b/>
          <w:sz w:val="24"/>
          <w:szCs w:val="24"/>
          <w:lang w:val="en-GB"/>
        </w:rPr>
      </w:pPr>
    </w:p>
    <w:p w:rsidR="00766DE1" w:rsidRDefault="00766DE1"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DA15CC" w:rsidRDefault="00DA15CC" w:rsidP="005A1A0F">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Table A6.</w:t>
      </w:r>
      <w:r w:rsidR="0057495C">
        <w:rPr>
          <w:rFonts w:ascii="Times New Roman" w:eastAsiaTheme="minorEastAsia" w:hAnsi="Times New Roman" w:cs="Times New Roman"/>
          <w:b/>
          <w:sz w:val="24"/>
          <w:szCs w:val="24"/>
          <w:lang w:val="en-GB"/>
        </w:rPr>
        <w:t>4</w:t>
      </w:r>
      <w:r>
        <w:rPr>
          <w:rFonts w:ascii="Times New Roman" w:eastAsiaTheme="minorEastAsia" w:hAnsi="Times New Roman" w:cs="Times New Roman"/>
          <w:b/>
          <w:sz w:val="24"/>
          <w:szCs w:val="24"/>
          <w:lang w:val="en-GB"/>
        </w:rPr>
        <w:t>:</w:t>
      </w:r>
      <w:r w:rsidR="00E3565C">
        <w:rPr>
          <w:rFonts w:ascii="Times New Roman" w:eastAsiaTheme="minorEastAsia" w:hAnsi="Times New Roman" w:cs="Times New Roman"/>
          <w:b/>
          <w:sz w:val="24"/>
          <w:szCs w:val="24"/>
          <w:lang w:val="en-GB"/>
        </w:rPr>
        <w:t xml:space="preserve"> </w:t>
      </w:r>
      <w:r w:rsidR="00EA4191">
        <w:rPr>
          <w:rFonts w:ascii="Times New Roman" w:eastAsiaTheme="minorEastAsia" w:hAnsi="Times New Roman" w:cs="Times New Roman"/>
          <w:b/>
          <w:sz w:val="24"/>
          <w:szCs w:val="24"/>
          <w:lang w:val="en-GB"/>
        </w:rPr>
        <w:tab/>
      </w:r>
      <w:r w:rsidR="00E3565C">
        <w:rPr>
          <w:rFonts w:ascii="Times New Roman" w:eastAsiaTheme="minorEastAsia" w:hAnsi="Times New Roman" w:cs="Times New Roman"/>
          <w:b/>
          <w:sz w:val="24"/>
          <w:szCs w:val="24"/>
          <w:lang w:val="en-GB"/>
        </w:rPr>
        <w:t>Multivariate Vector Error Correction Models</w:t>
      </w:r>
      <w:r w:rsidR="00EA4191">
        <w:rPr>
          <w:rFonts w:ascii="Times New Roman" w:eastAsiaTheme="minorEastAsia" w:hAnsi="Times New Roman" w:cs="Times New Roman"/>
          <w:b/>
          <w:sz w:val="24"/>
          <w:szCs w:val="24"/>
          <w:lang w:val="en-GB"/>
        </w:rPr>
        <w:t xml:space="preserve"> – Long Run Equilibria</w:t>
      </w:r>
    </w:p>
    <w:p w:rsidR="005A1A0F" w:rsidRPr="005A1A0F" w:rsidRDefault="005A1A0F" w:rsidP="005A1A0F">
      <w:pPr>
        <w:spacing w:after="0" w:line="240" w:lineRule="auto"/>
        <w:rPr>
          <w:rFonts w:ascii="Times New Roman" w:eastAsiaTheme="minorEastAsia" w:hAnsi="Times New Roman" w:cs="Times New Roman"/>
          <w:b/>
          <w:sz w:val="8"/>
          <w:szCs w:val="24"/>
          <w:lang w:val="en-GB"/>
        </w:rPr>
      </w:pPr>
    </w:p>
    <w:p w:rsidR="005A1A0F" w:rsidRDefault="0096239D" w:rsidP="005A1A0F">
      <w:pPr>
        <w:spacing w:after="0" w:line="240" w:lineRule="auto"/>
        <w:rPr>
          <w:rFonts w:ascii="Times New Roman" w:hAnsi="Times New Roman" w:cs="Times New Roman"/>
          <w:noProof/>
          <w:sz w:val="16"/>
          <w:szCs w:val="24"/>
          <w:lang w:val="en-GB" w:eastAsia="en-GB"/>
        </w:rPr>
      </w:pPr>
      <w:r w:rsidRPr="005A1A0F">
        <w:rPr>
          <w:rFonts w:ascii="Times New Roman" w:hAnsi="Times New Roman" w:cs="Times New Roman"/>
          <w:noProof/>
          <w:sz w:val="24"/>
          <w:szCs w:val="24"/>
          <w:lang w:eastAsia="nl-NL"/>
        </w:rPr>
        <w:drawing>
          <wp:anchor distT="0" distB="0" distL="114300" distR="114300" simplePos="0" relativeHeight="251672576" behindDoc="1" locked="0" layoutInCell="1" allowOverlap="1">
            <wp:simplePos x="0" y="0"/>
            <wp:positionH relativeFrom="column">
              <wp:posOffset>16402</wp:posOffset>
            </wp:positionH>
            <wp:positionV relativeFrom="paragraph">
              <wp:posOffset>515</wp:posOffset>
            </wp:positionV>
            <wp:extent cx="5752022" cy="8238227"/>
            <wp:effectExtent l="19050" t="0" r="1078" b="0"/>
            <wp:wrapTight wrapText="bothSides">
              <wp:wrapPolygon edited="0">
                <wp:start x="-72" y="0"/>
                <wp:lineTo x="-72" y="21527"/>
                <wp:lineTo x="21604" y="21527"/>
                <wp:lineTo x="21604" y="0"/>
                <wp:lineTo x="-72" y="0"/>
              </wp:wrapPolygon>
            </wp:wrapTight>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srcRect/>
                    <a:stretch>
                      <a:fillRect/>
                    </a:stretch>
                  </pic:blipFill>
                  <pic:spPr bwMode="auto">
                    <a:xfrm>
                      <a:off x="0" y="0"/>
                      <a:ext cx="5752022" cy="8238227"/>
                    </a:xfrm>
                    <a:prstGeom prst="rect">
                      <a:avLst/>
                    </a:prstGeom>
                    <a:noFill/>
                    <a:ln w="9525">
                      <a:noFill/>
                      <a:miter lim="800000"/>
                      <a:headEnd/>
                      <a:tailEnd/>
                    </a:ln>
                  </pic:spPr>
                </pic:pic>
              </a:graphicData>
            </a:graphic>
          </wp:anchor>
        </w:drawing>
      </w:r>
      <w:r w:rsidR="00654A15" w:rsidRPr="005A1A0F">
        <w:rPr>
          <w:rFonts w:ascii="Times New Roman" w:hAnsi="Times New Roman" w:cs="Times New Roman"/>
          <w:noProof/>
          <w:sz w:val="16"/>
          <w:szCs w:val="24"/>
          <w:lang w:val="en-GB" w:eastAsia="en-GB"/>
        </w:rPr>
        <w:t xml:space="preserve">* </w:t>
      </w:r>
      <w:r w:rsidR="005A1A0F">
        <w:rPr>
          <w:rFonts w:ascii="Times New Roman" w:hAnsi="Times New Roman" w:cs="Times New Roman"/>
          <w:noProof/>
          <w:sz w:val="16"/>
          <w:szCs w:val="24"/>
          <w:lang w:val="en-GB" w:eastAsia="en-GB"/>
        </w:rPr>
        <w:t xml:space="preserve">  </w:t>
      </w:r>
      <w:r w:rsidR="00654A15" w:rsidRPr="005A1A0F">
        <w:rPr>
          <w:rFonts w:ascii="Times New Roman" w:hAnsi="Times New Roman" w:cs="Times New Roman"/>
          <w:noProof/>
          <w:sz w:val="16"/>
          <w:szCs w:val="24"/>
          <w:lang w:val="en-GB" w:eastAsia="en-GB"/>
        </w:rPr>
        <w:t xml:space="preserve">The first term is the long-run coefficient of each respective variable (if above zero). The second term (below the first) indicates </w:t>
      </w:r>
      <w:r w:rsidR="005A1A0F">
        <w:rPr>
          <w:rFonts w:ascii="Times New Roman" w:hAnsi="Times New Roman" w:cs="Times New Roman"/>
          <w:noProof/>
          <w:sz w:val="16"/>
          <w:szCs w:val="24"/>
          <w:lang w:val="en-GB" w:eastAsia="en-GB"/>
        </w:rPr>
        <w:tab/>
      </w:r>
      <w:r w:rsidR="00654A15" w:rsidRPr="005A1A0F">
        <w:rPr>
          <w:rFonts w:ascii="Times New Roman" w:hAnsi="Times New Roman" w:cs="Times New Roman"/>
          <w:noProof/>
          <w:sz w:val="16"/>
          <w:szCs w:val="24"/>
          <w:lang w:val="en-GB" w:eastAsia="en-GB"/>
        </w:rPr>
        <w:t xml:space="preserve">the </w:t>
      </w:r>
      <w:r w:rsidR="005A1A0F">
        <w:rPr>
          <w:rFonts w:ascii="Times New Roman" w:hAnsi="Times New Roman" w:cs="Times New Roman"/>
          <w:noProof/>
          <w:sz w:val="16"/>
          <w:szCs w:val="24"/>
          <w:lang w:val="en-GB" w:eastAsia="en-GB"/>
        </w:rPr>
        <w:t xml:space="preserve"> </w:t>
      </w:r>
    </w:p>
    <w:p w:rsidR="005A1A0F" w:rsidRDefault="005A1A0F" w:rsidP="005A1A0F">
      <w:pPr>
        <w:spacing w:after="0" w:line="240" w:lineRule="auto"/>
        <w:rPr>
          <w:rFonts w:ascii="Times New Roman" w:hAnsi="Times New Roman" w:cs="Times New Roman"/>
          <w:noProof/>
          <w:sz w:val="16"/>
          <w:szCs w:val="24"/>
          <w:lang w:val="en-GB" w:eastAsia="en-GB"/>
        </w:rPr>
      </w:pPr>
      <w:r>
        <w:rPr>
          <w:rFonts w:ascii="Times New Roman" w:hAnsi="Times New Roman" w:cs="Times New Roman"/>
          <w:noProof/>
          <w:sz w:val="16"/>
          <w:szCs w:val="24"/>
          <w:lang w:val="en-GB" w:eastAsia="en-GB"/>
        </w:rPr>
        <w:t xml:space="preserve">      </w:t>
      </w:r>
      <w:r w:rsidR="00654A15" w:rsidRPr="005A1A0F">
        <w:rPr>
          <w:rFonts w:ascii="Times New Roman" w:hAnsi="Times New Roman" w:cs="Times New Roman"/>
          <w:noProof/>
          <w:sz w:val="16"/>
          <w:szCs w:val="24"/>
          <w:lang w:val="en-GB" w:eastAsia="en-GB"/>
        </w:rPr>
        <w:t>standard errors</w:t>
      </w:r>
      <w:r w:rsidRPr="005A1A0F">
        <w:rPr>
          <w:rFonts w:ascii="Times New Roman" w:hAnsi="Times New Roman" w:cs="Times New Roman"/>
          <w:noProof/>
          <w:sz w:val="16"/>
          <w:szCs w:val="24"/>
          <w:lang w:val="en-GB" w:eastAsia="en-GB"/>
        </w:rPr>
        <w:t xml:space="preserve">. Whilst the term in parentheses indicates the t-statistic. </w:t>
      </w:r>
    </w:p>
    <w:p w:rsidR="005A1A0F" w:rsidRPr="005A1A0F" w:rsidRDefault="005A1A0F" w:rsidP="005A1A0F">
      <w:pPr>
        <w:spacing w:after="0" w:line="240" w:lineRule="auto"/>
        <w:rPr>
          <w:rFonts w:ascii="Times New Roman" w:hAnsi="Times New Roman" w:cs="Times New Roman"/>
          <w:noProof/>
          <w:sz w:val="16"/>
          <w:szCs w:val="24"/>
          <w:lang w:val="en-GB" w:eastAsia="en-GB"/>
        </w:rPr>
      </w:pPr>
      <w:r>
        <w:rPr>
          <w:rFonts w:ascii="Times New Roman" w:hAnsi="Times New Roman" w:cs="Times New Roman"/>
          <w:noProof/>
          <w:sz w:val="16"/>
          <w:szCs w:val="24"/>
          <w:lang w:val="en-GB" w:eastAsia="en-GB"/>
        </w:rPr>
        <w:t xml:space="preserve">** Any t-statistic above |2.7|, |2| and |1.684| is significant at the 1%, 5% and 10% level respectively.  </w:t>
      </w:r>
    </w:p>
    <w:p w:rsidR="00EA4191" w:rsidRDefault="00EA4191" w:rsidP="00EA4191">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 xml:space="preserve">Table A6.4: </w:t>
      </w:r>
      <w:r>
        <w:rPr>
          <w:rFonts w:ascii="Times New Roman" w:eastAsiaTheme="minorEastAsia" w:hAnsi="Times New Roman" w:cs="Times New Roman"/>
          <w:b/>
          <w:sz w:val="24"/>
          <w:szCs w:val="24"/>
          <w:lang w:val="en-GB"/>
        </w:rPr>
        <w:tab/>
        <w:t xml:space="preserve">Multivariate Vector Error Correction Models (Continuation) – Error </w:t>
      </w:r>
      <w:r>
        <w:rPr>
          <w:rFonts w:ascii="Times New Roman" w:eastAsiaTheme="minorEastAsia" w:hAnsi="Times New Roman" w:cs="Times New Roman"/>
          <w:b/>
          <w:sz w:val="24"/>
          <w:szCs w:val="24"/>
          <w:lang w:val="en-GB"/>
        </w:rPr>
        <w:tab/>
      </w:r>
      <w:r>
        <w:rPr>
          <w:rFonts w:ascii="Times New Roman" w:eastAsiaTheme="minorEastAsia" w:hAnsi="Times New Roman" w:cs="Times New Roman"/>
          <w:b/>
          <w:sz w:val="24"/>
          <w:szCs w:val="24"/>
          <w:lang w:val="en-GB"/>
        </w:rPr>
        <w:tab/>
      </w:r>
      <w:r>
        <w:rPr>
          <w:rFonts w:ascii="Times New Roman" w:eastAsiaTheme="minorEastAsia" w:hAnsi="Times New Roman" w:cs="Times New Roman"/>
          <w:b/>
          <w:sz w:val="24"/>
          <w:szCs w:val="24"/>
          <w:lang w:val="en-GB"/>
        </w:rPr>
        <w:tab/>
        <w:t>Correction Terms Part I</w:t>
      </w:r>
    </w:p>
    <w:p w:rsidR="00EA4191" w:rsidRPr="00EA4191" w:rsidRDefault="00EA4191" w:rsidP="00EA4191">
      <w:pPr>
        <w:spacing w:after="0" w:line="240" w:lineRule="auto"/>
        <w:jc w:val="center"/>
        <w:rPr>
          <w:rFonts w:ascii="Times New Roman" w:eastAsiaTheme="minorEastAsia" w:hAnsi="Times New Roman" w:cs="Times New Roman"/>
          <w:b/>
          <w:sz w:val="14"/>
          <w:szCs w:val="24"/>
          <w:lang w:val="en-GB"/>
        </w:rPr>
      </w:pPr>
    </w:p>
    <w:p w:rsidR="00766DE1" w:rsidRDefault="00EA4191" w:rsidP="00EA4191">
      <w:pPr>
        <w:spacing w:after="0" w:line="360" w:lineRule="auto"/>
        <w:jc w:val="both"/>
        <w:rPr>
          <w:rFonts w:ascii="Times New Roman" w:hAnsi="Times New Roman" w:cs="Times New Roman"/>
          <w:color w:val="FF0000"/>
          <w:sz w:val="24"/>
          <w:szCs w:val="24"/>
          <w:lang w:val="en-GB"/>
        </w:rPr>
      </w:pPr>
      <w:r>
        <w:rPr>
          <w:rFonts w:ascii="Times New Roman" w:hAnsi="Times New Roman" w:cs="Times New Roman"/>
          <w:color w:val="FF0000"/>
          <w:sz w:val="24"/>
          <w:szCs w:val="24"/>
          <w:lang w:val="en-GB"/>
        </w:rPr>
        <w:t xml:space="preserve">                 </w:t>
      </w:r>
      <w:r w:rsidR="00FC3CC3">
        <w:rPr>
          <w:rFonts w:ascii="Times New Roman" w:hAnsi="Times New Roman" w:cs="Times New Roman"/>
          <w:noProof/>
          <w:color w:val="FF0000"/>
          <w:sz w:val="24"/>
          <w:szCs w:val="24"/>
          <w:lang w:eastAsia="nl-NL"/>
        </w:rPr>
        <w:drawing>
          <wp:inline distT="0" distB="0" distL="0" distR="0">
            <wp:extent cx="4190073" cy="8082951"/>
            <wp:effectExtent l="19050" t="0" r="927"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srcRect/>
                    <a:stretch>
                      <a:fillRect/>
                    </a:stretch>
                  </pic:blipFill>
                  <pic:spPr bwMode="auto">
                    <a:xfrm>
                      <a:off x="0" y="0"/>
                      <a:ext cx="4190006" cy="8082951"/>
                    </a:xfrm>
                    <a:prstGeom prst="rect">
                      <a:avLst/>
                    </a:prstGeom>
                    <a:noFill/>
                    <a:ln w="9525">
                      <a:noFill/>
                      <a:miter lim="800000"/>
                      <a:headEnd/>
                      <a:tailEnd/>
                    </a:ln>
                  </pic:spPr>
                </pic:pic>
              </a:graphicData>
            </a:graphic>
          </wp:inline>
        </w:drawing>
      </w:r>
    </w:p>
    <w:p w:rsidR="00EA4191" w:rsidRPr="005A1A0F" w:rsidRDefault="00EA4191" w:rsidP="00EA4191">
      <w:pPr>
        <w:spacing w:after="0" w:line="240" w:lineRule="auto"/>
        <w:rPr>
          <w:rFonts w:ascii="Times New Roman" w:hAnsi="Times New Roman" w:cs="Times New Roman"/>
          <w:noProof/>
          <w:sz w:val="16"/>
          <w:szCs w:val="24"/>
          <w:lang w:val="en-GB" w:eastAsia="en-GB"/>
        </w:rPr>
      </w:pPr>
      <w:r>
        <w:rPr>
          <w:rFonts w:ascii="Times New Roman" w:hAnsi="Times New Roman" w:cs="Times New Roman"/>
          <w:noProof/>
          <w:sz w:val="16"/>
          <w:szCs w:val="24"/>
          <w:lang w:val="en-GB" w:eastAsia="en-GB"/>
        </w:rPr>
        <w:t xml:space="preserve">                             * Any t-statistic above |2.7|, |2| and |1.684| is significant at the 1%, 5% and 10% level respectively.  </w:t>
      </w:r>
    </w:p>
    <w:p w:rsidR="00EA4191" w:rsidRDefault="00EA4191" w:rsidP="00EA4191">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 xml:space="preserve">Table A6.4: </w:t>
      </w:r>
      <w:r>
        <w:rPr>
          <w:rFonts w:ascii="Times New Roman" w:eastAsiaTheme="minorEastAsia" w:hAnsi="Times New Roman" w:cs="Times New Roman"/>
          <w:b/>
          <w:sz w:val="24"/>
          <w:szCs w:val="24"/>
          <w:lang w:val="en-GB"/>
        </w:rPr>
        <w:tab/>
        <w:t xml:space="preserve">Multivariate Vector Error Correction Models (Continuation) – Error </w:t>
      </w:r>
      <w:r>
        <w:rPr>
          <w:rFonts w:ascii="Times New Roman" w:eastAsiaTheme="minorEastAsia" w:hAnsi="Times New Roman" w:cs="Times New Roman"/>
          <w:b/>
          <w:sz w:val="24"/>
          <w:szCs w:val="24"/>
          <w:lang w:val="en-GB"/>
        </w:rPr>
        <w:tab/>
      </w:r>
      <w:r>
        <w:rPr>
          <w:rFonts w:ascii="Times New Roman" w:eastAsiaTheme="minorEastAsia" w:hAnsi="Times New Roman" w:cs="Times New Roman"/>
          <w:b/>
          <w:sz w:val="24"/>
          <w:szCs w:val="24"/>
          <w:lang w:val="en-GB"/>
        </w:rPr>
        <w:tab/>
      </w:r>
      <w:r>
        <w:rPr>
          <w:rFonts w:ascii="Times New Roman" w:eastAsiaTheme="minorEastAsia" w:hAnsi="Times New Roman" w:cs="Times New Roman"/>
          <w:b/>
          <w:sz w:val="24"/>
          <w:szCs w:val="24"/>
          <w:lang w:val="en-GB"/>
        </w:rPr>
        <w:tab/>
        <w:t>Correction Terms Part II</w:t>
      </w:r>
    </w:p>
    <w:p w:rsidR="00FC3CC3" w:rsidRDefault="00FC3CC3" w:rsidP="00D83865">
      <w:pPr>
        <w:spacing w:after="0" w:line="360" w:lineRule="auto"/>
        <w:rPr>
          <w:rFonts w:ascii="Times New Roman" w:hAnsi="Times New Roman" w:cs="Times New Roman"/>
          <w:color w:val="FF0000"/>
          <w:sz w:val="24"/>
          <w:szCs w:val="24"/>
          <w:lang w:val="en-GB"/>
        </w:rPr>
      </w:pPr>
    </w:p>
    <w:p w:rsidR="00FC3CC3" w:rsidRDefault="00EA4191" w:rsidP="00D83865">
      <w:pPr>
        <w:spacing w:after="0" w:line="360" w:lineRule="auto"/>
        <w:rPr>
          <w:rFonts w:ascii="Times New Roman" w:hAnsi="Times New Roman" w:cs="Times New Roman"/>
          <w:color w:val="FF0000"/>
          <w:sz w:val="24"/>
          <w:szCs w:val="24"/>
          <w:lang w:val="en-GB"/>
        </w:rPr>
      </w:pPr>
      <w:r>
        <w:rPr>
          <w:rFonts w:ascii="Times New Roman" w:hAnsi="Times New Roman" w:cs="Times New Roman"/>
          <w:color w:val="FF0000"/>
          <w:sz w:val="24"/>
          <w:szCs w:val="24"/>
          <w:lang w:val="en-GB"/>
        </w:rPr>
        <w:t xml:space="preserve">                  </w:t>
      </w:r>
      <w:r w:rsidR="00FC3CC3">
        <w:rPr>
          <w:rFonts w:ascii="Times New Roman" w:hAnsi="Times New Roman" w:cs="Times New Roman"/>
          <w:noProof/>
          <w:color w:val="FF0000"/>
          <w:sz w:val="24"/>
          <w:szCs w:val="24"/>
          <w:lang w:eastAsia="nl-NL"/>
        </w:rPr>
        <w:drawing>
          <wp:inline distT="0" distB="0" distL="0" distR="0">
            <wp:extent cx="4261485" cy="5710555"/>
            <wp:effectExtent l="19050" t="0" r="5715" b="0"/>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print"/>
                    <a:srcRect/>
                    <a:stretch>
                      <a:fillRect/>
                    </a:stretch>
                  </pic:blipFill>
                  <pic:spPr bwMode="auto">
                    <a:xfrm>
                      <a:off x="0" y="0"/>
                      <a:ext cx="4261485" cy="5710555"/>
                    </a:xfrm>
                    <a:prstGeom prst="rect">
                      <a:avLst/>
                    </a:prstGeom>
                    <a:noFill/>
                    <a:ln w="9525">
                      <a:noFill/>
                      <a:miter lim="800000"/>
                      <a:headEnd/>
                      <a:tailEnd/>
                    </a:ln>
                  </pic:spPr>
                </pic:pic>
              </a:graphicData>
            </a:graphic>
          </wp:inline>
        </w:drawing>
      </w:r>
    </w:p>
    <w:p w:rsidR="00FC3CC3" w:rsidRPr="005A1A0F" w:rsidRDefault="00EA4191" w:rsidP="00FC3CC3">
      <w:pPr>
        <w:spacing w:after="0" w:line="240" w:lineRule="auto"/>
        <w:rPr>
          <w:rFonts w:ascii="Times New Roman" w:hAnsi="Times New Roman" w:cs="Times New Roman"/>
          <w:noProof/>
          <w:sz w:val="16"/>
          <w:szCs w:val="24"/>
          <w:lang w:val="en-GB" w:eastAsia="en-GB"/>
        </w:rPr>
      </w:pPr>
      <w:r>
        <w:rPr>
          <w:rFonts w:ascii="Times New Roman" w:hAnsi="Times New Roman" w:cs="Times New Roman"/>
          <w:noProof/>
          <w:sz w:val="16"/>
          <w:szCs w:val="24"/>
          <w:lang w:val="en-GB" w:eastAsia="en-GB"/>
        </w:rPr>
        <w:t xml:space="preserve">                           </w:t>
      </w:r>
      <w:r w:rsidR="00FC3CC3">
        <w:rPr>
          <w:rFonts w:ascii="Times New Roman" w:hAnsi="Times New Roman" w:cs="Times New Roman"/>
          <w:noProof/>
          <w:sz w:val="16"/>
          <w:szCs w:val="24"/>
          <w:lang w:val="en-GB" w:eastAsia="en-GB"/>
        </w:rPr>
        <w:t xml:space="preserve">  * Any t-statistic above |2.7|, |2| and |1.684| is significant at the 1%, 5% and 10% level respectively.  </w:t>
      </w: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BC410C" w:rsidRDefault="00BC410C" w:rsidP="00BC410C">
      <w:pPr>
        <w:spacing w:after="0" w:line="240" w:lineRule="auto"/>
        <w:rPr>
          <w:rFonts w:ascii="Times New Roman" w:eastAsia="Times New Roman" w:hAnsi="Times New Roman" w:cs="Times New Roman"/>
          <w:b/>
          <w:color w:val="000000"/>
          <w:sz w:val="24"/>
          <w:lang w:val="en-GB" w:eastAsia="en-GB"/>
        </w:rPr>
      </w:pPr>
      <w:r>
        <w:rPr>
          <w:rFonts w:ascii="Times New Roman" w:eastAsiaTheme="minorEastAsia" w:hAnsi="Times New Roman" w:cs="Times New Roman"/>
          <w:b/>
          <w:sz w:val="24"/>
          <w:szCs w:val="24"/>
          <w:lang w:val="en-GB"/>
        </w:rPr>
        <w:lastRenderedPageBreak/>
        <w:t>Table A6.</w:t>
      </w:r>
      <w:r w:rsidR="0057495C">
        <w:rPr>
          <w:rFonts w:ascii="Times New Roman" w:eastAsiaTheme="minorEastAsia" w:hAnsi="Times New Roman" w:cs="Times New Roman"/>
          <w:b/>
          <w:sz w:val="24"/>
          <w:szCs w:val="24"/>
          <w:lang w:val="en-GB"/>
        </w:rPr>
        <w:t>5</w:t>
      </w:r>
      <w:r>
        <w:rPr>
          <w:rFonts w:ascii="Times New Roman" w:eastAsiaTheme="minorEastAsia" w:hAnsi="Times New Roman" w:cs="Times New Roman"/>
          <w:b/>
          <w:sz w:val="24"/>
          <w:szCs w:val="24"/>
          <w:lang w:val="en-GB"/>
        </w:rPr>
        <w:t>:</w:t>
      </w:r>
      <w:r w:rsidRPr="00A74F6A">
        <w:rPr>
          <w:rFonts w:ascii="Calibri" w:eastAsia="Times New Roman" w:hAnsi="Calibri" w:cs="Times New Roman"/>
          <w:color w:val="000000"/>
          <w:lang w:val="en-GB" w:eastAsia="en-GB"/>
        </w:rPr>
        <w:t xml:space="preserve"> </w:t>
      </w:r>
      <w:r w:rsidRPr="00A74F6A">
        <w:rPr>
          <w:rFonts w:ascii="Times New Roman" w:eastAsia="Times New Roman" w:hAnsi="Times New Roman" w:cs="Times New Roman"/>
          <w:b/>
          <w:color w:val="000000"/>
          <w:sz w:val="24"/>
          <w:lang w:val="en-GB" w:eastAsia="en-GB"/>
        </w:rPr>
        <w:t>VEC Granger Causality/Block Exogeneity Wald Tests</w:t>
      </w:r>
    </w:p>
    <w:p w:rsidR="00BC410C" w:rsidRDefault="00BC410C" w:rsidP="00BC410C">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noProof/>
          <w:sz w:val="24"/>
          <w:szCs w:val="24"/>
          <w:lang w:eastAsia="nl-NL"/>
        </w:rPr>
        <w:drawing>
          <wp:anchor distT="0" distB="0" distL="114300" distR="114300" simplePos="0" relativeHeight="251674624" behindDoc="1" locked="0" layoutInCell="1" allowOverlap="1">
            <wp:simplePos x="0" y="0"/>
            <wp:positionH relativeFrom="column">
              <wp:posOffset>15875</wp:posOffset>
            </wp:positionH>
            <wp:positionV relativeFrom="paragraph">
              <wp:posOffset>46355</wp:posOffset>
            </wp:positionV>
            <wp:extent cx="3793490" cy="9057640"/>
            <wp:effectExtent l="19050" t="0" r="0" b="0"/>
            <wp:wrapTight wrapText="bothSides">
              <wp:wrapPolygon edited="0">
                <wp:start x="-108" y="0"/>
                <wp:lineTo x="-108" y="21533"/>
                <wp:lineTo x="21586" y="21533"/>
                <wp:lineTo x="21586" y="0"/>
                <wp:lineTo x="-108" y="0"/>
              </wp:wrapPolygon>
            </wp:wrapTight>
            <wp:docPr id="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3793490" cy="9057640"/>
                    </a:xfrm>
                    <a:prstGeom prst="rect">
                      <a:avLst/>
                    </a:prstGeom>
                    <a:noFill/>
                    <a:ln w="9525">
                      <a:noFill/>
                      <a:miter lim="800000"/>
                      <a:headEnd/>
                      <a:tailEnd/>
                    </a:ln>
                  </pic:spPr>
                </pic:pic>
              </a:graphicData>
            </a:graphic>
          </wp:anchor>
        </w:drawing>
      </w: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96239D" w:rsidRDefault="0096239D"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413BA0" w:rsidRDefault="00413BA0"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1503A1" w:rsidRDefault="001503A1" w:rsidP="006F1A6E">
      <w:pPr>
        <w:spacing w:after="0" w:line="240" w:lineRule="auto"/>
        <w:rPr>
          <w:rFonts w:ascii="Times New Roman" w:eastAsiaTheme="minorEastAsia" w:hAnsi="Times New Roman" w:cs="Times New Roman"/>
          <w:b/>
          <w:sz w:val="24"/>
          <w:szCs w:val="24"/>
          <w:lang w:val="en-GB"/>
        </w:rPr>
      </w:pPr>
    </w:p>
    <w:p w:rsidR="00413BA0" w:rsidRDefault="008E49E1"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Figure</w:t>
      </w:r>
      <w:r w:rsidR="00413BA0">
        <w:rPr>
          <w:rFonts w:ascii="Times New Roman" w:eastAsiaTheme="minorEastAsia" w:hAnsi="Times New Roman" w:cs="Times New Roman"/>
          <w:b/>
          <w:sz w:val="24"/>
          <w:szCs w:val="24"/>
          <w:lang w:val="en-GB"/>
        </w:rPr>
        <w:t xml:space="preserve"> A6.</w:t>
      </w:r>
      <w:r>
        <w:rPr>
          <w:rFonts w:ascii="Times New Roman" w:eastAsiaTheme="minorEastAsia" w:hAnsi="Times New Roman" w:cs="Times New Roman"/>
          <w:b/>
          <w:sz w:val="24"/>
          <w:szCs w:val="24"/>
          <w:lang w:val="en-GB"/>
        </w:rPr>
        <w:t>1</w:t>
      </w:r>
      <w:r w:rsidR="00413BA0">
        <w:rPr>
          <w:rFonts w:ascii="Times New Roman" w:eastAsiaTheme="minorEastAsia" w:hAnsi="Times New Roman" w:cs="Times New Roman"/>
          <w:b/>
          <w:sz w:val="24"/>
          <w:szCs w:val="24"/>
          <w:lang w:val="en-GB"/>
        </w:rPr>
        <w:t>: Impulse Response Functions</w:t>
      </w:r>
    </w:p>
    <w:p w:rsidR="00D43A01" w:rsidRDefault="00D43A01" w:rsidP="006F1A6E">
      <w:pPr>
        <w:spacing w:after="0" w:line="240" w:lineRule="auto"/>
        <w:rPr>
          <w:rFonts w:ascii="Times New Roman" w:eastAsiaTheme="minorEastAsia" w:hAnsi="Times New Roman" w:cs="Times New Roman"/>
          <w:b/>
          <w:sz w:val="24"/>
          <w:szCs w:val="24"/>
          <w:lang w:val="en-GB"/>
        </w:rPr>
      </w:pPr>
    </w:p>
    <w:p w:rsidR="00413BA0" w:rsidRDefault="00D43A01" w:rsidP="006F1A6E">
      <w:pPr>
        <w:spacing w:after="0" w:line="240" w:lineRule="auto"/>
        <w:rPr>
          <w:rFonts w:ascii="Times New Roman" w:eastAsiaTheme="minorEastAsia" w:hAnsi="Times New Roman" w:cs="Times New Roman"/>
          <w:b/>
          <w:i/>
          <w:sz w:val="24"/>
          <w:szCs w:val="24"/>
          <w:lang w:val="en-GB"/>
        </w:rPr>
      </w:pPr>
      <w:bookmarkStart w:id="1" w:name="OLE_LINK2"/>
      <w:r w:rsidRPr="00D43A01">
        <w:rPr>
          <w:rFonts w:ascii="Times New Roman" w:eastAsiaTheme="minorEastAsia" w:hAnsi="Times New Roman" w:cs="Times New Roman"/>
          <w:b/>
          <w:i/>
          <w:sz w:val="24"/>
          <w:szCs w:val="24"/>
          <w:lang w:val="en-GB"/>
        </w:rPr>
        <w:t>Germany</w:t>
      </w:r>
      <w:r w:rsidR="002037DA">
        <w:rPr>
          <w:rFonts w:ascii="Times New Roman" w:eastAsiaTheme="minorEastAsia" w:hAnsi="Times New Roman" w:cs="Times New Roman"/>
          <w:b/>
          <w:i/>
          <w:sz w:val="24"/>
          <w:szCs w:val="24"/>
          <w:lang w:val="en-GB"/>
        </w:rPr>
        <w:t>:</w:t>
      </w:r>
    </w:p>
    <w:p w:rsidR="002037DA" w:rsidRDefault="002037DA" w:rsidP="006F1A6E">
      <w:pPr>
        <w:spacing w:after="0" w:line="240" w:lineRule="auto"/>
        <w:rPr>
          <w:rFonts w:ascii="Times New Roman" w:eastAsiaTheme="minorEastAsia" w:hAnsi="Times New Roman" w:cs="Times New Roman"/>
          <w:b/>
          <w:i/>
          <w:sz w:val="24"/>
          <w:szCs w:val="24"/>
          <w:lang w:val="en-GB"/>
        </w:rPr>
      </w:pPr>
    </w:p>
    <w:p w:rsidR="002037DA" w:rsidRDefault="002037DA" w:rsidP="006F1A6E">
      <w:pPr>
        <w:spacing w:after="0" w:line="240" w:lineRule="auto"/>
        <w:rPr>
          <w:rFonts w:ascii="Times New Roman" w:eastAsiaTheme="minorEastAsia" w:hAnsi="Times New Roman" w:cs="Times New Roman"/>
          <w:b/>
          <w:i/>
          <w:sz w:val="24"/>
          <w:szCs w:val="24"/>
          <w:lang w:val="en-GB"/>
        </w:rPr>
      </w:pPr>
      <w:r>
        <w:rPr>
          <w:rFonts w:ascii="Times New Roman" w:eastAsiaTheme="minorEastAsia" w:hAnsi="Times New Roman" w:cs="Times New Roman"/>
          <w:b/>
          <w:i/>
          <w:noProof/>
          <w:sz w:val="24"/>
          <w:szCs w:val="24"/>
          <w:lang w:eastAsia="nl-NL"/>
        </w:rPr>
        <w:drawing>
          <wp:inline distT="0" distB="0" distL="0" distR="0">
            <wp:extent cx="3429109" cy="2915728"/>
            <wp:effectExtent l="1905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8" cstate="print"/>
                    <a:srcRect/>
                    <a:stretch>
                      <a:fillRect/>
                    </a:stretch>
                  </pic:blipFill>
                  <pic:spPr bwMode="auto">
                    <a:xfrm>
                      <a:off x="0" y="0"/>
                      <a:ext cx="3429288" cy="2915880"/>
                    </a:xfrm>
                    <a:prstGeom prst="rect">
                      <a:avLst/>
                    </a:prstGeom>
                    <a:noFill/>
                    <a:ln w="9525">
                      <a:noFill/>
                      <a:miter lim="800000"/>
                      <a:headEnd/>
                      <a:tailEnd/>
                    </a:ln>
                  </pic:spPr>
                </pic:pic>
              </a:graphicData>
            </a:graphic>
          </wp:inline>
        </w:drawing>
      </w:r>
    </w:p>
    <w:p w:rsidR="002037DA" w:rsidRPr="00D43A01" w:rsidRDefault="002037DA" w:rsidP="006F1A6E">
      <w:pPr>
        <w:spacing w:after="0" w:line="240" w:lineRule="auto"/>
        <w:rPr>
          <w:rFonts w:ascii="Times New Roman" w:eastAsiaTheme="minorEastAsia" w:hAnsi="Times New Roman" w:cs="Times New Roman"/>
          <w:b/>
          <w:i/>
          <w:sz w:val="24"/>
          <w:szCs w:val="24"/>
          <w:lang w:val="en-GB"/>
        </w:rPr>
      </w:pPr>
    </w:p>
    <w:p w:rsidR="002037DA" w:rsidRDefault="002037DA" w:rsidP="006F1A6E">
      <w:pPr>
        <w:spacing w:after="0" w:line="240" w:lineRule="auto"/>
        <w:rPr>
          <w:rFonts w:ascii="Times New Roman" w:eastAsiaTheme="minorEastAsia" w:hAnsi="Times New Roman" w:cs="Times New Roman"/>
          <w:b/>
          <w:i/>
          <w:sz w:val="24"/>
          <w:szCs w:val="24"/>
          <w:lang w:val="en-GB"/>
        </w:rPr>
      </w:pPr>
    </w:p>
    <w:p w:rsidR="00D43A01" w:rsidRDefault="00D43A01" w:rsidP="006F1A6E">
      <w:pPr>
        <w:spacing w:after="0" w:line="240" w:lineRule="auto"/>
        <w:rPr>
          <w:rFonts w:ascii="Times New Roman" w:eastAsiaTheme="minorEastAsia" w:hAnsi="Times New Roman" w:cs="Times New Roman"/>
          <w:b/>
          <w:i/>
          <w:sz w:val="24"/>
          <w:szCs w:val="24"/>
          <w:lang w:val="en-GB"/>
        </w:rPr>
      </w:pPr>
      <w:r w:rsidRPr="00D43A01">
        <w:rPr>
          <w:rFonts w:ascii="Times New Roman" w:eastAsiaTheme="minorEastAsia" w:hAnsi="Times New Roman" w:cs="Times New Roman"/>
          <w:b/>
          <w:i/>
          <w:sz w:val="24"/>
          <w:szCs w:val="24"/>
          <w:lang w:val="en-GB"/>
        </w:rPr>
        <w:t>Netherlands</w:t>
      </w:r>
      <w:r w:rsidR="002037DA">
        <w:rPr>
          <w:rFonts w:ascii="Times New Roman" w:eastAsiaTheme="minorEastAsia" w:hAnsi="Times New Roman" w:cs="Times New Roman"/>
          <w:b/>
          <w:i/>
          <w:sz w:val="24"/>
          <w:szCs w:val="24"/>
          <w:lang w:val="en-GB"/>
        </w:rPr>
        <w:t>:</w:t>
      </w:r>
    </w:p>
    <w:p w:rsidR="00031F0F" w:rsidRDefault="00031F0F" w:rsidP="006F1A6E">
      <w:pPr>
        <w:spacing w:after="0" w:line="240" w:lineRule="auto"/>
        <w:rPr>
          <w:rFonts w:ascii="Times New Roman" w:eastAsiaTheme="minorEastAsia" w:hAnsi="Times New Roman" w:cs="Times New Roman"/>
          <w:b/>
          <w:i/>
          <w:sz w:val="24"/>
          <w:szCs w:val="24"/>
          <w:lang w:val="en-GB"/>
        </w:rPr>
      </w:pPr>
    </w:p>
    <w:p w:rsidR="00814CAF" w:rsidRDefault="00386042" w:rsidP="006F1A6E">
      <w:pPr>
        <w:spacing w:after="0" w:line="240" w:lineRule="auto"/>
        <w:rPr>
          <w:rFonts w:ascii="Times New Roman" w:eastAsiaTheme="minorEastAsia" w:hAnsi="Times New Roman" w:cs="Times New Roman"/>
          <w:b/>
          <w:i/>
          <w:sz w:val="24"/>
          <w:szCs w:val="24"/>
          <w:lang w:val="en-GB"/>
        </w:rPr>
      </w:pPr>
      <w:r>
        <w:rPr>
          <w:rFonts w:ascii="Times New Roman" w:eastAsiaTheme="minorEastAsia" w:hAnsi="Times New Roman" w:cs="Times New Roman"/>
          <w:b/>
          <w:i/>
          <w:noProof/>
          <w:sz w:val="24"/>
          <w:szCs w:val="24"/>
          <w:lang w:eastAsia="nl-NL"/>
        </w:rPr>
        <w:drawing>
          <wp:inline distT="0" distB="0" distL="0" distR="0">
            <wp:extent cx="3522298" cy="3036498"/>
            <wp:effectExtent l="19050" t="0" r="1952" b="0"/>
            <wp:docPr id="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srcRect/>
                    <a:stretch>
                      <a:fillRect/>
                    </a:stretch>
                  </pic:blipFill>
                  <pic:spPr bwMode="auto">
                    <a:xfrm>
                      <a:off x="0" y="0"/>
                      <a:ext cx="3523545" cy="3037573"/>
                    </a:xfrm>
                    <a:prstGeom prst="rect">
                      <a:avLst/>
                    </a:prstGeom>
                    <a:noFill/>
                    <a:ln w="9525">
                      <a:noFill/>
                      <a:miter lim="800000"/>
                      <a:headEnd/>
                      <a:tailEnd/>
                    </a:ln>
                  </pic:spPr>
                </pic:pic>
              </a:graphicData>
            </a:graphic>
          </wp:inline>
        </w:drawing>
      </w:r>
    </w:p>
    <w:p w:rsidR="002037DA" w:rsidRDefault="002037DA" w:rsidP="006F1A6E">
      <w:pPr>
        <w:spacing w:after="0" w:line="240" w:lineRule="auto"/>
        <w:rPr>
          <w:rFonts w:ascii="Times New Roman" w:eastAsiaTheme="minorEastAsia" w:hAnsi="Times New Roman" w:cs="Times New Roman"/>
          <w:b/>
          <w:i/>
          <w:sz w:val="24"/>
          <w:szCs w:val="24"/>
          <w:lang w:val="en-GB"/>
        </w:rPr>
      </w:pPr>
    </w:p>
    <w:p w:rsidR="00814CAF" w:rsidRDefault="00814CAF" w:rsidP="006F1A6E">
      <w:pPr>
        <w:spacing w:after="0" w:line="240" w:lineRule="auto"/>
        <w:rPr>
          <w:rFonts w:ascii="Times New Roman" w:eastAsiaTheme="minorEastAsia" w:hAnsi="Times New Roman" w:cs="Times New Roman"/>
          <w:b/>
          <w:i/>
          <w:sz w:val="24"/>
          <w:szCs w:val="24"/>
          <w:lang w:val="en-GB"/>
        </w:rPr>
      </w:pPr>
    </w:p>
    <w:p w:rsidR="00386042" w:rsidRDefault="00386042" w:rsidP="006F1A6E">
      <w:pPr>
        <w:spacing w:after="0" w:line="240" w:lineRule="auto"/>
        <w:rPr>
          <w:rFonts w:ascii="Times New Roman" w:eastAsiaTheme="minorEastAsia" w:hAnsi="Times New Roman" w:cs="Times New Roman"/>
          <w:b/>
          <w:i/>
          <w:sz w:val="24"/>
          <w:szCs w:val="24"/>
          <w:lang w:val="en-GB"/>
        </w:rPr>
      </w:pPr>
    </w:p>
    <w:p w:rsidR="00386042" w:rsidRDefault="00386042" w:rsidP="006F1A6E">
      <w:pPr>
        <w:spacing w:after="0" w:line="240" w:lineRule="auto"/>
        <w:rPr>
          <w:rFonts w:ascii="Times New Roman" w:eastAsiaTheme="minorEastAsia" w:hAnsi="Times New Roman" w:cs="Times New Roman"/>
          <w:b/>
          <w:i/>
          <w:sz w:val="24"/>
          <w:szCs w:val="24"/>
          <w:lang w:val="en-GB"/>
        </w:rPr>
      </w:pPr>
    </w:p>
    <w:p w:rsidR="00386042" w:rsidRDefault="00386042" w:rsidP="006F1A6E">
      <w:pPr>
        <w:spacing w:after="0" w:line="240" w:lineRule="auto"/>
        <w:rPr>
          <w:rFonts w:ascii="Times New Roman" w:eastAsiaTheme="minorEastAsia" w:hAnsi="Times New Roman" w:cs="Times New Roman"/>
          <w:b/>
          <w:i/>
          <w:sz w:val="24"/>
          <w:szCs w:val="24"/>
          <w:lang w:val="en-GB"/>
        </w:rPr>
      </w:pPr>
    </w:p>
    <w:p w:rsidR="00386042" w:rsidRDefault="00386042" w:rsidP="006F1A6E">
      <w:pPr>
        <w:spacing w:after="0" w:line="240" w:lineRule="auto"/>
        <w:rPr>
          <w:rFonts w:ascii="Times New Roman" w:eastAsiaTheme="minorEastAsia" w:hAnsi="Times New Roman" w:cs="Times New Roman"/>
          <w:b/>
          <w:i/>
          <w:sz w:val="24"/>
          <w:szCs w:val="24"/>
          <w:lang w:val="en-GB"/>
        </w:rPr>
      </w:pPr>
    </w:p>
    <w:p w:rsidR="00386042" w:rsidRDefault="00386042" w:rsidP="006F1A6E">
      <w:pPr>
        <w:spacing w:after="0" w:line="240" w:lineRule="auto"/>
        <w:rPr>
          <w:rFonts w:ascii="Times New Roman" w:eastAsiaTheme="minorEastAsia" w:hAnsi="Times New Roman" w:cs="Times New Roman"/>
          <w:b/>
          <w:i/>
          <w:sz w:val="24"/>
          <w:szCs w:val="24"/>
          <w:lang w:val="en-GB"/>
        </w:rPr>
      </w:pPr>
    </w:p>
    <w:p w:rsidR="006C79B2" w:rsidRDefault="006C79B2" w:rsidP="006F1A6E">
      <w:pPr>
        <w:spacing w:after="0" w:line="240" w:lineRule="auto"/>
        <w:rPr>
          <w:rFonts w:ascii="Times New Roman" w:eastAsiaTheme="minorEastAsia" w:hAnsi="Times New Roman" w:cs="Times New Roman"/>
          <w:b/>
          <w:i/>
          <w:sz w:val="24"/>
          <w:szCs w:val="24"/>
          <w:lang w:val="en-GB"/>
        </w:rPr>
      </w:pPr>
    </w:p>
    <w:p w:rsidR="00D43A01" w:rsidRDefault="00D43A01" w:rsidP="006F1A6E">
      <w:pPr>
        <w:spacing w:after="0" w:line="240" w:lineRule="auto"/>
        <w:rPr>
          <w:rFonts w:ascii="Times New Roman" w:eastAsiaTheme="minorEastAsia" w:hAnsi="Times New Roman" w:cs="Times New Roman"/>
          <w:b/>
          <w:i/>
          <w:sz w:val="24"/>
          <w:szCs w:val="24"/>
          <w:lang w:val="en-GB"/>
        </w:rPr>
      </w:pPr>
      <w:bookmarkStart w:id="2" w:name="OLE_LINK3"/>
      <w:r w:rsidRPr="00D43A01">
        <w:rPr>
          <w:rFonts w:ascii="Times New Roman" w:eastAsiaTheme="minorEastAsia" w:hAnsi="Times New Roman" w:cs="Times New Roman"/>
          <w:b/>
          <w:i/>
          <w:sz w:val="24"/>
          <w:szCs w:val="24"/>
          <w:lang w:val="en-GB"/>
        </w:rPr>
        <w:lastRenderedPageBreak/>
        <w:t>Belgium</w:t>
      </w:r>
      <w:r w:rsidR="002037DA">
        <w:rPr>
          <w:rFonts w:ascii="Times New Roman" w:eastAsiaTheme="minorEastAsia" w:hAnsi="Times New Roman" w:cs="Times New Roman"/>
          <w:b/>
          <w:i/>
          <w:sz w:val="24"/>
          <w:szCs w:val="24"/>
          <w:lang w:val="en-GB"/>
        </w:rPr>
        <w:t>:</w:t>
      </w:r>
    </w:p>
    <w:p w:rsidR="006C79B2" w:rsidRDefault="006C79B2" w:rsidP="006F1A6E">
      <w:pPr>
        <w:spacing w:after="0" w:line="240" w:lineRule="auto"/>
        <w:rPr>
          <w:rFonts w:ascii="Times New Roman" w:eastAsiaTheme="minorEastAsia" w:hAnsi="Times New Roman" w:cs="Times New Roman"/>
          <w:b/>
          <w:i/>
          <w:sz w:val="24"/>
          <w:szCs w:val="24"/>
          <w:lang w:val="en-GB"/>
        </w:rPr>
      </w:pPr>
    </w:p>
    <w:p w:rsidR="00CE7911" w:rsidRDefault="003B03F1" w:rsidP="006F1A6E">
      <w:pPr>
        <w:spacing w:after="0" w:line="240" w:lineRule="auto"/>
        <w:rPr>
          <w:rFonts w:ascii="Times New Roman" w:eastAsiaTheme="minorEastAsia" w:hAnsi="Times New Roman" w:cs="Times New Roman"/>
          <w:b/>
          <w:i/>
          <w:sz w:val="24"/>
          <w:szCs w:val="24"/>
          <w:lang w:val="en-GB"/>
        </w:rPr>
      </w:pPr>
      <w:r>
        <w:rPr>
          <w:rFonts w:ascii="Times New Roman" w:eastAsiaTheme="minorEastAsia" w:hAnsi="Times New Roman" w:cs="Times New Roman"/>
          <w:b/>
          <w:i/>
          <w:noProof/>
          <w:sz w:val="24"/>
          <w:szCs w:val="24"/>
          <w:lang w:eastAsia="nl-NL"/>
        </w:rPr>
        <w:drawing>
          <wp:inline distT="0" distB="0" distL="0" distR="0">
            <wp:extent cx="3524502" cy="3002531"/>
            <wp:effectExtent l="19050" t="0" r="0" b="0"/>
            <wp:docPr id="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srcRect/>
                    <a:stretch>
                      <a:fillRect/>
                    </a:stretch>
                  </pic:blipFill>
                  <pic:spPr bwMode="auto">
                    <a:xfrm>
                      <a:off x="0" y="0"/>
                      <a:ext cx="3525986" cy="3003795"/>
                    </a:xfrm>
                    <a:prstGeom prst="rect">
                      <a:avLst/>
                    </a:prstGeom>
                    <a:noFill/>
                    <a:ln w="9525">
                      <a:noFill/>
                      <a:miter lim="800000"/>
                      <a:headEnd/>
                      <a:tailEnd/>
                    </a:ln>
                  </pic:spPr>
                </pic:pic>
              </a:graphicData>
            </a:graphic>
          </wp:inline>
        </w:drawing>
      </w:r>
    </w:p>
    <w:p w:rsidR="00CE7911" w:rsidRDefault="00CE7911" w:rsidP="006F1A6E">
      <w:pPr>
        <w:spacing w:after="0" w:line="240" w:lineRule="auto"/>
        <w:rPr>
          <w:rFonts w:ascii="Times New Roman" w:eastAsiaTheme="minorEastAsia" w:hAnsi="Times New Roman" w:cs="Times New Roman"/>
          <w:b/>
          <w:i/>
          <w:sz w:val="24"/>
          <w:szCs w:val="24"/>
          <w:lang w:val="en-GB"/>
        </w:rPr>
      </w:pPr>
    </w:p>
    <w:p w:rsidR="006C79B2" w:rsidRDefault="006C79B2" w:rsidP="006F1A6E">
      <w:pPr>
        <w:spacing w:after="0" w:line="240" w:lineRule="auto"/>
        <w:rPr>
          <w:rFonts w:ascii="Times New Roman" w:eastAsiaTheme="minorEastAsia" w:hAnsi="Times New Roman" w:cs="Times New Roman"/>
          <w:b/>
          <w:i/>
          <w:sz w:val="24"/>
          <w:szCs w:val="24"/>
          <w:lang w:val="en-GB"/>
        </w:rPr>
      </w:pPr>
    </w:p>
    <w:p w:rsidR="00D43A01" w:rsidRDefault="00D43A01" w:rsidP="006F1A6E">
      <w:pPr>
        <w:spacing w:after="0" w:line="240" w:lineRule="auto"/>
        <w:rPr>
          <w:rFonts w:ascii="Times New Roman" w:eastAsiaTheme="minorEastAsia" w:hAnsi="Times New Roman" w:cs="Times New Roman"/>
          <w:b/>
          <w:i/>
          <w:sz w:val="24"/>
          <w:szCs w:val="24"/>
          <w:lang w:val="en-GB"/>
        </w:rPr>
      </w:pPr>
      <w:r w:rsidRPr="00D43A01">
        <w:rPr>
          <w:rFonts w:ascii="Times New Roman" w:eastAsiaTheme="minorEastAsia" w:hAnsi="Times New Roman" w:cs="Times New Roman"/>
          <w:b/>
          <w:i/>
          <w:sz w:val="24"/>
          <w:szCs w:val="24"/>
          <w:lang w:val="en-GB"/>
        </w:rPr>
        <w:t>France</w:t>
      </w:r>
      <w:r w:rsidR="002037DA">
        <w:rPr>
          <w:rFonts w:ascii="Times New Roman" w:eastAsiaTheme="minorEastAsia" w:hAnsi="Times New Roman" w:cs="Times New Roman"/>
          <w:b/>
          <w:i/>
          <w:sz w:val="24"/>
          <w:szCs w:val="24"/>
          <w:lang w:val="en-GB"/>
        </w:rPr>
        <w:t>:</w:t>
      </w:r>
    </w:p>
    <w:p w:rsidR="00031F0F" w:rsidRDefault="00031F0F" w:rsidP="006F1A6E">
      <w:pPr>
        <w:spacing w:after="0" w:line="240" w:lineRule="auto"/>
        <w:rPr>
          <w:rFonts w:ascii="Times New Roman" w:eastAsiaTheme="minorEastAsia" w:hAnsi="Times New Roman" w:cs="Times New Roman"/>
          <w:b/>
          <w:i/>
          <w:sz w:val="24"/>
          <w:szCs w:val="24"/>
          <w:lang w:val="en-GB"/>
        </w:rPr>
      </w:pPr>
    </w:p>
    <w:p w:rsidR="00CE7911" w:rsidRDefault="00C543EA" w:rsidP="006F1A6E">
      <w:pPr>
        <w:spacing w:after="0" w:line="240" w:lineRule="auto"/>
        <w:rPr>
          <w:rFonts w:ascii="Times New Roman" w:eastAsiaTheme="minorEastAsia" w:hAnsi="Times New Roman" w:cs="Times New Roman"/>
          <w:b/>
          <w:i/>
          <w:sz w:val="24"/>
          <w:szCs w:val="24"/>
          <w:lang w:val="en-GB"/>
        </w:rPr>
      </w:pPr>
      <w:r>
        <w:rPr>
          <w:rFonts w:ascii="Times New Roman" w:eastAsiaTheme="minorEastAsia" w:hAnsi="Times New Roman" w:cs="Times New Roman"/>
          <w:b/>
          <w:i/>
          <w:noProof/>
          <w:sz w:val="24"/>
          <w:szCs w:val="24"/>
          <w:lang w:eastAsia="nl-NL"/>
        </w:rPr>
        <w:drawing>
          <wp:inline distT="0" distB="0" distL="0" distR="0">
            <wp:extent cx="3425067" cy="3148642"/>
            <wp:effectExtent l="19050" t="0" r="3933"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srcRect/>
                    <a:stretch>
                      <a:fillRect/>
                    </a:stretch>
                  </pic:blipFill>
                  <pic:spPr bwMode="auto">
                    <a:xfrm>
                      <a:off x="0" y="0"/>
                      <a:ext cx="3428406" cy="3151711"/>
                    </a:xfrm>
                    <a:prstGeom prst="rect">
                      <a:avLst/>
                    </a:prstGeom>
                    <a:noFill/>
                    <a:ln w="9525">
                      <a:noFill/>
                      <a:miter lim="800000"/>
                      <a:headEnd/>
                      <a:tailEnd/>
                    </a:ln>
                  </pic:spPr>
                </pic:pic>
              </a:graphicData>
            </a:graphic>
          </wp:inline>
        </w:drawing>
      </w:r>
    </w:p>
    <w:p w:rsidR="00CE7911" w:rsidRDefault="00CE7911" w:rsidP="006F1A6E">
      <w:pPr>
        <w:spacing w:after="0" w:line="240" w:lineRule="auto"/>
        <w:rPr>
          <w:rFonts w:ascii="Times New Roman" w:eastAsiaTheme="minorEastAsia" w:hAnsi="Times New Roman" w:cs="Times New Roman"/>
          <w:b/>
          <w:i/>
          <w:sz w:val="24"/>
          <w:szCs w:val="24"/>
          <w:lang w:val="en-GB"/>
        </w:rPr>
      </w:pPr>
    </w:p>
    <w:bookmarkEnd w:id="2"/>
    <w:p w:rsidR="00C543EA" w:rsidRDefault="00C543EA" w:rsidP="002037DA">
      <w:pPr>
        <w:spacing w:after="0" w:line="240" w:lineRule="auto"/>
        <w:rPr>
          <w:rFonts w:ascii="Times New Roman" w:eastAsiaTheme="minorEastAsia" w:hAnsi="Times New Roman" w:cs="Times New Roman"/>
          <w:b/>
          <w:i/>
          <w:sz w:val="24"/>
          <w:szCs w:val="24"/>
          <w:lang w:val="en-GB"/>
        </w:rPr>
      </w:pPr>
    </w:p>
    <w:p w:rsidR="00C543EA" w:rsidRDefault="00C543EA" w:rsidP="002037DA">
      <w:pPr>
        <w:spacing w:after="0" w:line="240" w:lineRule="auto"/>
        <w:rPr>
          <w:rFonts w:ascii="Times New Roman" w:eastAsiaTheme="minorEastAsia" w:hAnsi="Times New Roman" w:cs="Times New Roman"/>
          <w:b/>
          <w:i/>
          <w:sz w:val="24"/>
          <w:szCs w:val="24"/>
          <w:lang w:val="en-GB"/>
        </w:rPr>
      </w:pPr>
    </w:p>
    <w:p w:rsidR="00C543EA" w:rsidRDefault="00C543EA" w:rsidP="002037DA">
      <w:pPr>
        <w:spacing w:after="0" w:line="240" w:lineRule="auto"/>
        <w:rPr>
          <w:rFonts w:ascii="Times New Roman" w:eastAsiaTheme="minorEastAsia" w:hAnsi="Times New Roman" w:cs="Times New Roman"/>
          <w:b/>
          <w:i/>
          <w:sz w:val="24"/>
          <w:szCs w:val="24"/>
          <w:lang w:val="en-GB"/>
        </w:rPr>
      </w:pPr>
    </w:p>
    <w:p w:rsidR="00C543EA" w:rsidRDefault="00C543EA" w:rsidP="002037DA">
      <w:pPr>
        <w:spacing w:after="0" w:line="240" w:lineRule="auto"/>
        <w:rPr>
          <w:rFonts w:ascii="Times New Roman" w:eastAsiaTheme="minorEastAsia" w:hAnsi="Times New Roman" w:cs="Times New Roman"/>
          <w:b/>
          <w:i/>
          <w:sz w:val="24"/>
          <w:szCs w:val="24"/>
          <w:lang w:val="en-GB"/>
        </w:rPr>
      </w:pPr>
    </w:p>
    <w:p w:rsidR="00C543EA" w:rsidRDefault="00C543EA" w:rsidP="002037DA">
      <w:pPr>
        <w:spacing w:after="0" w:line="240" w:lineRule="auto"/>
        <w:rPr>
          <w:rFonts w:ascii="Times New Roman" w:eastAsiaTheme="minorEastAsia" w:hAnsi="Times New Roman" w:cs="Times New Roman"/>
          <w:b/>
          <w:i/>
          <w:sz w:val="24"/>
          <w:szCs w:val="24"/>
          <w:lang w:val="en-GB"/>
        </w:rPr>
      </w:pPr>
    </w:p>
    <w:p w:rsidR="00C543EA" w:rsidRDefault="00C543EA" w:rsidP="002037DA">
      <w:pPr>
        <w:spacing w:after="0" w:line="240" w:lineRule="auto"/>
        <w:rPr>
          <w:rFonts w:ascii="Times New Roman" w:eastAsiaTheme="minorEastAsia" w:hAnsi="Times New Roman" w:cs="Times New Roman"/>
          <w:b/>
          <w:i/>
          <w:sz w:val="24"/>
          <w:szCs w:val="24"/>
          <w:lang w:val="en-GB"/>
        </w:rPr>
      </w:pPr>
    </w:p>
    <w:p w:rsidR="00C543EA" w:rsidRDefault="00C543EA" w:rsidP="002037DA">
      <w:pPr>
        <w:spacing w:after="0" w:line="240" w:lineRule="auto"/>
        <w:rPr>
          <w:rFonts w:ascii="Times New Roman" w:eastAsiaTheme="minorEastAsia" w:hAnsi="Times New Roman" w:cs="Times New Roman"/>
          <w:b/>
          <w:i/>
          <w:sz w:val="24"/>
          <w:szCs w:val="24"/>
          <w:lang w:val="en-GB"/>
        </w:rPr>
      </w:pPr>
    </w:p>
    <w:p w:rsidR="00C543EA" w:rsidRDefault="00C543EA" w:rsidP="002037DA">
      <w:pPr>
        <w:spacing w:after="0" w:line="240" w:lineRule="auto"/>
        <w:rPr>
          <w:rFonts w:ascii="Times New Roman" w:eastAsiaTheme="minorEastAsia" w:hAnsi="Times New Roman" w:cs="Times New Roman"/>
          <w:b/>
          <w:i/>
          <w:sz w:val="24"/>
          <w:szCs w:val="24"/>
          <w:lang w:val="en-GB"/>
        </w:rPr>
      </w:pPr>
    </w:p>
    <w:p w:rsidR="002037DA" w:rsidRDefault="00D43A01" w:rsidP="002037DA">
      <w:pPr>
        <w:spacing w:after="0" w:line="240" w:lineRule="auto"/>
        <w:rPr>
          <w:rFonts w:ascii="Times New Roman" w:eastAsiaTheme="minorEastAsia" w:hAnsi="Times New Roman" w:cs="Times New Roman"/>
          <w:b/>
          <w:i/>
          <w:sz w:val="24"/>
          <w:szCs w:val="24"/>
          <w:lang w:val="en-GB"/>
        </w:rPr>
      </w:pPr>
      <w:bookmarkStart w:id="3" w:name="OLE_LINK4"/>
      <w:r w:rsidRPr="00D43A01">
        <w:rPr>
          <w:rFonts w:ascii="Times New Roman" w:eastAsiaTheme="minorEastAsia" w:hAnsi="Times New Roman" w:cs="Times New Roman"/>
          <w:b/>
          <w:i/>
          <w:sz w:val="24"/>
          <w:szCs w:val="24"/>
          <w:lang w:val="en-GB"/>
        </w:rPr>
        <w:lastRenderedPageBreak/>
        <w:t>Spain</w:t>
      </w:r>
      <w:r w:rsidR="002037DA">
        <w:rPr>
          <w:rFonts w:ascii="Times New Roman" w:eastAsiaTheme="minorEastAsia" w:hAnsi="Times New Roman" w:cs="Times New Roman"/>
          <w:b/>
          <w:i/>
          <w:sz w:val="24"/>
          <w:szCs w:val="24"/>
          <w:lang w:val="en-GB"/>
        </w:rPr>
        <w:t>:</w:t>
      </w:r>
    </w:p>
    <w:p w:rsidR="00CE7911" w:rsidRDefault="00C543EA" w:rsidP="002037DA">
      <w:pPr>
        <w:spacing w:after="0" w:line="240" w:lineRule="auto"/>
        <w:rPr>
          <w:rFonts w:ascii="Times New Roman" w:eastAsiaTheme="minorEastAsia" w:hAnsi="Times New Roman" w:cs="Times New Roman"/>
          <w:b/>
          <w:i/>
          <w:sz w:val="24"/>
          <w:szCs w:val="24"/>
          <w:lang w:val="en-GB"/>
        </w:rPr>
      </w:pPr>
      <w:r>
        <w:rPr>
          <w:rFonts w:ascii="Times New Roman" w:eastAsiaTheme="minorEastAsia" w:hAnsi="Times New Roman" w:cs="Times New Roman"/>
          <w:b/>
          <w:i/>
          <w:noProof/>
          <w:sz w:val="24"/>
          <w:szCs w:val="24"/>
          <w:lang w:eastAsia="nl-NL"/>
        </w:rPr>
        <w:drawing>
          <wp:inline distT="0" distB="0" distL="0" distR="0">
            <wp:extent cx="2767282" cy="2497873"/>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srcRect/>
                    <a:stretch>
                      <a:fillRect/>
                    </a:stretch>
                  </pic:blipFill>
                  <pic:spPr bwMode="auto">
                    <a:xfrm>
                      <a:off x="0" y="0"/>
                      <a:ext cx="2770441" cy="2500725"/>
                    </a:xfrm>
                    <a:prstGeom prst="rect">
                      <a:avLst/>
                    </a:prstGeom>
                    <a:noFill/>
                    <a:ln w="9525">
                      <a:noFill/>
                      <a:miter lim="800000"/>
                      <a:headEnd/>
                      <a:tailEnd/>
                    </a:ln>
                  </pic:spPr>
                </pic:pic>
              </a:graphicData>
            </a:graphic>
          </wp:inline>
        </w:drawing>
      </w:r>
    </w:p>
    <w:p w:rsidR="00031F0F" w:rsidRDefault="00031F0F" w:rsidP="002037DA">
      <w:pPr>
        <w:spacing w:after="0" w:line="240" w:lineRule="auto"/>
        <w:rPr>
          <w:rFonts w:ascii="Times New Roman" w:eastAsiaTheme="minorEastAsia" w:hAnsi="Times New Roman" w:cs="Times New Roman"/>
          <w:b/>
          <w:i/>
          <w:sz w:val="24"/>
          <w:szCs w:val="24"/>
          <w:lang w:val="en-GB"/>
        </w:rPr>
      </w:pPr>
    </w:p>
    <w:p w:rsidR="007605F1" w:rsidRDefault="007605F1" w:rsidP="002037DA">
      <w:pPr>
        <w:spacing w:after="0" w:line="240" w:lineRule="auto"/>
        <w:rPr>
          <w:rFonts w:ascii="Times New Roman" w:eastAsiaTheme="minorEastAsia" w:hAnsi="Times New Roman" w:cs="Times New Roman"/>
          <w:b/>
          <w:i/>
          <w:sz w:val="24"/>
          <w:szCs w:val="24"/>
          <w:lang w:val="en-GB"/>
        </w:rPr>
      </w:pPr>
    </w:p>
    <w:p w:rsidR="00D43A01" w:rsidRDefault="00D43A01" w:rsidP="002037DA">
      <w:pPr>
        <w:spacing w:after="0" w:line="240" w:lineRule="auto"/>
        <w:rPr>
          <w:rFonts w:ascii="Times New Roman" w:eastAsiaTheme="minorEastAsia" w:hAnsi="Times New Roman" w:cs="Times New Roman"/>
          <w:b/>
          <w:i/>
          <w:sz w:val="24"/>
          <w:szCs w:val="24"/>
          <w:lang w:val="en-GB"/>
        </w:rPr>
      </w:pPr>
      <w:r w:rsidRPr="00D43A01">
        <w:rPr>
          <w:rFonts w:ascii="Times New Roman" w:eastAsiaTheme="minorEastAsia" w:hAnsi="Times New Roman" w:cs="Times New Roman"/>
          <w:b/>
          <w:i/>
          <w:sz w:val="24"/>
          <w:szCs w:val="24"/>
          <w:lang w:val="en-GB"/>
        </w:rPr>
        <w:t>Italy</w:t>
      </w:r>
      <w:r w:rsidR="002037DA">
        <w:rPr>
          <w:rFonts w:ascii="Times New Roman" w:eastAsiaTheme="minorEastAsia" w:hAnsi="Times New Roman" w:cs="Times New Roman"/>
          <w:b/>
          <w:i/>
          <w:sz w:val="24"/>
          <w:szCs w:val="24"/>
          <w:lang w:val="en-GB"/>
        </w:rPr>
        <w:t>:</w:t>
      </w:r>
    </w:p>
    <w:p w:rsidR="00031F0F" w:rsidRDefault="005114FF" w:rsidP="002037DA">
      <w:pPr>
        <w:spacing w:after="0" w:line="240" w:lineRule="auto"/>
        <w:rPr>
          <w:rFonts w:ascii="Times New Roman" w:eastAsiaTheme="minorEastAsia" w:hAnsi="Times New Roman" w:cs="Times New Roman"/>
          <w:b/>
          <w:i/>
          <w:sz w:val="24"/>
          <w:szCs w:val="24"/>
          <w:lang w:val="en-GB"/>
        </w:rPr>
      </w:pPr>
      <w:r>
        <w:rPr>
          <w:rFonts w:ascii="Times New Roman" w:eastAsiaTheme="minorEastAsia" w:hAnsi="Times New Roman" w:cs="Times New Roman"/>
          <w:b/>
          <w:i/>
          <w:noProof/>
          <w:sz w:val="24"/>
          <w:szCs w:val="24"/>
          <w:lang w:eastAsia="nl-NL"/>
        </w:rPr>
        <w:drawing>
          <wp:inline distT="0" distB="0" distL="0" distR="0">
            <wp:extent cx="2810414" cy="2451685"/>
            <wp:effectExtent l="19050" t="0" r="8986"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2813618" cy="2454480"/>
                    </a:xfrm>
                    <a:prstGeom prst="rect">
                      <a:avLst/>
                    </a:prstGeom>
                    <a:noFill/>
                    <a:ln w="9525">
                      <a:noFill/>
                      <a:miter lim="800000"/>
                      <a:headEnd/>
                      <a:tailEnd/>
                    </a:ln>
                  </pic:spPr>
                </pic:pic>
              </a:graphicData>
            </a:graphic>
          </wp:inline>
        </w:drawing>
      </w:r>
    </w:p>
    <w:p w:rsidR="00386042" w:rsidRDefault="00386042" w:rsidP="002037DA">
      <w:pPr>
        <w:spacing w:after="0" w:line="240" w:lineRule="auto"/>
        <w:rPr>
          <w:rFonts w:ascii="Times New Roman" w:eastAsiaTheme="minorEastAsia" w:hAnsi="Times New Roman" w:cs="Times New Roman"/>
          <w:b/>
          <w:i/>
          <w:sz w:val="24"/>
          <w:szCs w:val="24"/>
          <w:lang w:val="en-GB"/>
        </w:rPr>
      </w:pPr>
    </w:p>
    <w:p w:rsidR="004F574D" w:rsidRDefault="004F574D" w:rsidP="002037DA">
      <w:pPr>
        <w:spacing w:after="0" w:line="240" w:lineRule="auto"/>
        <w:rPr>
          <w:rFonts w:ascii="Times New Roman" w:eastAsiaTheme="minorEastAsia" w:hAnsi="Times New Roman" w:cs="Times New Roman"/>
          <w:b/>
          <w:i/>
          <w:sz w:val="24"/>
          <w:szCs w:val="24"/>
          <w:lang w:val="en-GB"/>
        </w:rPr>
      </w:pPr>
    </w:p>
    <w:p w:rsidR="00D43A01" w:rsidRDefault="00D43A01" w:rsidP="006F1A6E">
      <w:pPr>
        <w:spacing w:after="0" w:line="240" w:lineRule="auto"/>
        <w:rPr>
          <w:rFonts w:ascii="Times New Roman" w:eastAsiaTheme="minorEastAsia" w:hAnsi="Times New Roman" w:cs="Times New Roman"/>
          <w:b/>
          <w:i/>
          <w:sz w:val="24"/>
          <w:szCs w:val="24"/>
          <w:lang w:val="en-GB"/>
        </w:rPr>
      </w:pPr>
      <w:bookmarkStart w:id="4" w:name="OLE_LINK5"/>
      <w:r w:rsidRPr="00D43A01">
        <w:rPr>
          <w:rFonts w:ascii="Times New Roman" w:eastAsiaTheme="minorEastAsia" w:hAnsi="Times New Roman" w:cs="Times New Roman"/>
          <w:b/>
          <w:i/>
          <w:sz w:val="24"/>
          <w:szCs w:val="24"/>
          <w:lang w:val="en-GB"/>
        </w:rPr>
        <w:t>Greece</w:t>
      </w:r>
      <w:r w:rsidR="002037DA">
        <w:rPr>
          <w:rFonts w:ascii="Times New Roman" w:eastAsiaTheme="minorEastAsia" w:hAnsi="Times New Roman" w:cs="Times New Roman"/>
          <w:b/>
          <w:i/>
          <w:sz w:val="24"/>
          <w:szCs w:val="24"/>
          <w:lang w:val="en-GB"/>
        </w:rPr>
        <w:t>:</w:t>
      </w:r>
    </w:p>
    <w:bookmarkEnd w:id="1"/>
    <w:bookmarkEnd w:id="3"/>
    <w:bookmarkEnd w:id="4"/>
    <w:p w:rsidR="00F036D4" w:rsidRDefault="0073707C" w:rsidP="006F1A6E">
      <w:pPr>
        <w:spacing w:after="0" w:line="240" w:lineRule="auto"/>
        <w:rPr>
          <w:rFonts w:ascii="Times New Roman" w:eastAsiaTheme="minorEastAsia" w:hAnsi="Times New Roman" w:cs="Times New Roman"/>
          <w:b/>
          <w:i/>
          <w:sz w:val="24"/>
          <w:szCs w:val="24"/>
          <w:lang w:val="en-GB"/>
        </w:rPr>
      </w:pPr>
      <w:r>
        <w:rPr>
          <w:rFonts w:ascii="Times New Roman" w:eastAsiaTheme="minorEastAsia" w:hAnsi="Times New Roman" w:cs="Times New Roman"/>
          <w:b/>
          <w:i/>
          <w:noProof/>
          <w:sz w:val="24"/>
          <w:szCs w:val="24"/>
          <w:lang w:eastAsia="nl-NL"/>
        </w:rPr>
        <w:drawing>
          <wp:inline distT="0" distB="0" distL="0" distR="0">
            <wp:extent cx="2810151" cy="2582973"/>
            <wp:effectExtent l="19050" t="0" r="9249"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srcRect/>
                    <a:stretch>
                      <a:fillRect/>
                    </a:stretch>
                  </pic:blipFill>
                  <pic:spPr bwMode="auto">
                    <a:xfrm>
                      <a:off x="0" y="0"/>
                      <a:ext cx="2816577" cy="2588879"/>
                    </a:xfrm>
                    <a:prstGeom prst="rect">
                      <a:avLst/>
                    </a:prstGeom>
                    <a:noFill/>
                    <a:ln w="9525">
                      <a:noFill/>
                      <a:miter lim="800000"/>
                      <a:headEnd/>
                      <a:tailEnd/>
                    </a:ln>
                  </pic:spPr>
                </pic:pic>
              </a:graphicData>
            </a:graphic>
          </wp:inline>
        </w:drawing>
      </w:r>
    </w:p>
    <w:p w:rsidR="009614F6" w:rsidRDefault="009614F6"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sz w:val="24"/>
          <w:szCs w:val="24"/>
          <w:lang w:val="en-GB"/>
        </w:rPr>
        <w:lastRenderedPageBreak/>
        <w:t>Table A6.6: Dynamic OLS – Compendium Results</w:t>
      </w:r>
    </w:p>
    <w:p w:rsidR="006570A6" w:rsidRPr="006570A6" w:rsidRDefault="006570A6" w:rsidP="006F1A6E">
      <w:pPr>
        <w:spacing w:after="0" w:line="240" w:lineRule="auto"/>
        <w:rPr>
          <w:rFonts w:ascii="Times New Roman" w:eastAsiaTheme="minorEastAsia" w:hAnsi="Times New Roman" w:cs="Times New Roman"/>
          <w:b/>
          <w:sz w:val="8"/>
          <w:szCs w:val="24"/>
          <w:lang w:val="en-GB"/>
        </w:rPr>
      </w:pPr>
    </w:p>
    <w:p w:rsidR="003E7015" w:rsidRDefault="003E7015" w:rsidP="006F1A6E">
      <w:pPr>
        <w:spacing w:after="0" w:line="240" w:lineRule="auto"/>
        <w:rPr>
          <w:rFonts w:ascii="Times New Roman" w:eastAsiaTheme="minorEastAsia" w:hAnsi="Times New Roman" w:cs="Times New Roman"/>
          <w:b/>
          <w:sz w:val="24"/>
          <w:szCs w:val="24"/>
          <w:lang w:val="en-GB"/>
        </w:rPr>
      </w:pPr>
      <w:r>
        <w:rPr>
          <w:rFonts w:ascii="Times New Roman" w:eastAsiaTheme="minorEastAsia" w:hAnsi="Times New Roman" w:cs="Times New Roman"/>
          <w:b/>
          <w:noProof/>
          <w:sz w:val="24"/>
          <w:szCs w:val="24"/>
          <w:lang w:eastAsia="nl-NL"/>
        </w:rPr>
        <w:drawing>
          <wp:anchor distT="0" distB="0" distL="114300" distR="114300" simplePos="0" relativeHeight="251678720" behindDoc="1" locked="0" layoutInCell="1" allowOverlap="1">
            <wp:simplePos x="0" y="0"/>
            <wp:positionH relativeFrom="column">
              <wp:posOffset>1215390</wp:posOffset>
            </wp:positionH>
            <wp:positionV relativeFrom="paragraph">
              <wp:posOffset>20320</wp:posOffset>
            </wp:positionV>
            <wp:extent cx="3094355" cy="8928100"/>
            <wp:effectExtent l="19050" t="0" r="0" b="0"/>
            <wp:wrapTight wrapText="bothSides">
              <wp:wrapPolygon edited="0">
                <wp:start x="-133" y="0"/>
                <wp:lineTo x="-133" y="21569"/>
                <wp:lineTo x="21542" y="21569"/>
                <wp:lineTo x="21542" y="0"/>
                <wp:lineTo x="-133" y="0"/>
              </wp:wrapPolygon>
            </wp:wrapTight>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srcRect/>
                    <a:stretch>
                      <a:fillRect/>
                    </a:stretch>
                  </pic:blipFill>
                  <pic:spPr bwMode="auto">
                    <a:xfrm>
                      <a:off x="0" y="0"/>
                      <a:ext cx="3094355" cy="8928100"/>
                    </a:xfrm>
                    <a:prstGeom prst="rect">
                      <a:avLst/>
                    </a:prstGeom>
                    <a:noFill/>
                    <a:ln w="9525">
                      <a:noFill/>
                      <a:miter lim="800000"/>
                      <a:headEnd/>
                      <a:tailEnd/>
                    </a:ln>
                  </pic:spPr>
                </pic:pic>
              </a:graphicData>
            </a:graphic>
          </wp:anchor>
        </w:drawing>
      </w:r>
    </w:p>
    <w:p w:rsidR="00C32D0A" w:rsidRDefault="00C32D0A" w:rsidP="006F1A6E">
      <w:pPr>
        <w:spacing w:after="0" w:line="240" w:lineRule="auto"/>
        <w:rPr>
          <w:rFonts w:ascii="Times New Roman" w:eastAsiaTheme="minorEastAsia" w:hAnsi="Times New Roman" w:cs="Times New Roman"/>
          <w:b/>
          <w:sz w:val="24"/>
          <w:szCs w:val="24"/>
          <w:lang w:val="en-GB"/>
        </w:rPr>
      </w:pPr>
    </w:p>
    <w:p w:rsidR="00C32D0A" w:rsidRDefault="00C32D0A" w:rsidP="006F1A6E">
      <w:pPr>
        <w:spacing w:after="0" w:line="240" w:lineRule="auto"/>
        <w:rPr>
          <w:rFonts w:ascii="Times New Roman" w:eastAsiaTheme="minorEastAsia" w:hAnsi="Times New Roman" w:cs="Times New Roman"/>
          <w:b/>
          <w:sz w:val="24"/>
          <w:szCs w:val="24"/>
          <w:lang w:val="en-GB"/>
        </w:rPr>
      </w:pPr>
    </w:p>
    <w:p w:rsidR="00C32D0A" w:rsidRPr="00D43A01" w:rsidRDefault="00C32D0A" w:rsidP="006F1A6E">
      <w:pPr>
        <w:spacing w:after="0" w:line="240" w:lineRule="auto"/>
        <w:rPr>
          <w:rFonts w:ascii="Times New Roman" w:eastAsiaTheme="minorEastAsia" w:hAnsi="Times New Roman" w:cs="Times New Roman"/>
          <w:b/>
          <w:i/>
          <w:sz w:val="24"/>
          <w:szCs w:val="24"/>
          <w:lang w:val="en-GB"/>
        </w:rPr>
      </w:pPr>
    </w:p>
    <w:sectPr w:rsidR="00C32D0A" w:rsidRPr="00D43A01" w:rsidSect="003A4338">
      <w:footerReference w:type="default" r:id="rId26"/>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D47" w:rsidRDefault="00A12D47" w:rsidP="00FA031F">
      <w:pPr>
        <w:spacing w:after="0" w:line="240" w:lineRule="auto"/>
      </w:pPr>
      <w:r>
        <w:separator/>
      </w:r>
    </w:p>
  </w:endnote>
  <w:endnote w:type="continuationSeparator" w:id="0">
    <w:p w:rsidR="00A12D47" w:rsidRDefault="00A12D47" w:rsidP="00FA0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664952"/>
      <w:docPartObj>
        <w:docPartGallery w:val="Page Numbers (Bottom of Page)"/>
        <w:docPartUnique/>
      </w:docPartObj>
    </w:sdtPr>
    <w:sdtEndPr/>
    <w:sdtContent>
      <w:p w:rsidR="00EA4191" w:rsidRDefault="00FD58CE">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EA4191" w:rsidRDefault="00EA41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D47" w:rsidRDefault="00A12D47" w:rsidP="00FA031F">
      <w:pPr>
        <w:spacing w:after="0" w:line="240" w:lineRule="auto"/>
      </w:pPr>
      <w:r>
        <w:separator/>
      </w:r>
    </w:p>
  </w:footnote>
  <w:footnote w:type="continuationSeparator" w:id="0">
    <w:p w:rsidR="00A12D47" w:rsidRDefault="00A12D47" w:rsidP="00FA031F">
      <w:pPr>
        <w:spacing w:after="0" w:line="240" w:lineRule="auto"/>
      </w:pPr>
      <w:r>
        <w:continuationSeparator/>
      </w:r>
    </w:p>
  </w:footnote>
  <w:footnote w:id="1">
    <w:p w:rsidR="00EA4191" w:rsidRPr="002D6733" w:rsidRDefault="00EA4191" w:rsidP="002D6733">
      <w:pPr>
        <w:pStyle w:val="Default"/>
        <w:rPr>
          <w:sz w:val="20"/>
          <w:szCs w:val="20"/>
        </w:rPr>
      </w:pPr>
      <w:r>
        <w:rPr>
          <w:rStyle w:val="FootnoteReference"/>
        </w:rPr>
        <w:footnoteRef/>
      </w:r>
      <w:r>
        <w:t xml:space="preserve"> </w:t>
      </w:r>
      <w:r>
        <w:rPr>
          <w:i/>
          <w:iCs/>
          <w:sz w:val="20"/>
          <w:szCs w:val="20"/>
        </w:rPr>
        <w:t xml:space="preserve">Student at the Erasmus School of Economics (student number: 329676ms), Erasmus University Rotterdam, contact via e-mail: marloesspanjersberg@gmail.com </w:t>
      </w:r>
    </w:p>
  </w:footnote>
  <w:footnote w:id="2">
    <w:p w:rsidR="00EA4191" w:rsidRDefault="00EA4191">
      <w:pPr>
        <w:pStyle w:val="FootnoteText"/>
      </w:pPr>
      <w:r>
        <w:rPr>
          <w:rStyle w:val="FootnoteReference"/>
        </w:rPr>
        <w:footnoteRef/>
      </w:r>
      <w:r>
        <w:t xml:space="preserve"> </w:t>
      </w:r>
      <w:r>
        <w:rPr>
          <w:i/>
          <w:iCs/>
        </w:rPr>
        <w:t>Erasmus School of Economics, Erasmus University Rotterdam</w:t>
      </w:r>
    </w:p>
  </w:footnote>
  <w:footnote w:id="3">
    <w:p w:rsidR="00EA4191" w:rsidRPr="004A1D9B" w:rsidRDefault="00EA4191">
      <w:pPr>
        <w:pStyle w:val="FootnoteText"/>
        <w:rPr>
          <w:rFonts w:ascii="Times New Roman" w:hAnsi="Times New Roman" w:cs="Times New Roman"/>
          <w:sz w:val="18"/>
        </w:rPr>
      </w:pPr>
      <w:r>
        <w:rPr>
          <w:rStyle w:val="FootnoteReference"/>
        </w:rPr>
        <w:footnoteRef/>
      </w:r>
      <w:r>
        <w:t xml:space="preserve"> </w:t>
      </w:r>
      <w:r w:rsidRPr="004A1D9B">
        <w:rPr>
          <w:rFonts w:ascii="Times New Roman" w:hAnsi="Times New Roman" w:cs="Times New Roman"/>
          <w:sz w:val="18"/>
        </w:rPr>
        <w:t>https://www.ecb.europa.eu/mopo/implement/omt/html/index.en.html</w:t>
      </w:r>
    </w:p>
  </w:footnote>
  <w:footnote w:id="4">
    <w:p w:rsidR="00EA4191" w:rsidRPr="004A1D9B" w:rsidRDefault="00EA4191">
      <w:pPr>
        <w:pStyle w:val="FootnoteText"/>
        <w:rPr>
          <w:rFonts w:ascii="Times New Roman" w:hAnsi="Times New Roman" w:cs="Times New Roman"/>
          <w:sz w:val="18"/>
        </w:rPr>
      </w:pPr>
      <w:r w:rsidRPr="004A1D9B">
        <w:rPr>
          <w:rStyle w:val="FootnoteReference"/>
          <w:rFonts w:ascii="Times New Roman" w:hAnsi="Times New Roman" w:cs="Times New Roman"/>
          <w:sz w:val="18"/>
        </w:rPr>
        <w:footnoteRef/>
      </w:r>
      <w:r w:rsidRPr="004A1D9B">
        <w:rPr>
          <w:rFonts w:ascii="Times New Roman" w:hAnsi="Times New Roman" w:cs="Times New Roman"/>
          <w:sz w:val="18"/>
        </w:rPr>
        <w:t xml:space="preserve"> https://www.ecb.europa.eu/press/pr/date/2015/html/pr150122_1.en.html</w:t>
      </w:r>
    </w:p>
  </w:footnote>
  <w:footnote w:id="5">
    <w:p w:rsidR="00EA4191" w:rsidRPr="004A1D9B" w:rsidRDefault="00EA4191">
      <w:pPr>
        <w:pStyle w:val="FootnoteText"/>
        <w:rPr>
          <w:rFonts w:ascii="Times New Roman" w:hAnsi="Times New Roman" w:cs="Times New Roman"/>
          <w:sz w:val="18"/>
        </w:rPr>
      </w:pPr>
      <w:r w:rsidRPr="004A1D9B">
        <w:rPr>
          <w:rStyle w:val="FootnoteReference"/>
          <w:rFonts w:ascii="Times New Roman" w:hAnsi="Times New Roman" w:cs="Times New Roman"/>
          <w:sz w:val="18"/>
        </w:rPr>
        <w:footnoteRef/>
      </w:r>
      <w:r w:rsidRPr="004A1D9B">
        <w:rPr>
          <w:rFonts w:ascii="Times New Roman" w:hAnsi="Times New Roman" w:cs="Times New Roman"/>
          <w:sz w:val="18"/>
        </w:rPr>
        <w:t xml:space="preserve"> http://www.bloomberg.com/news/articles/2015-01-22/draghi-commits-ecb-to-trillion-euro-qe-plan-in-deflation-fight</w:t>
      </w:r>
    </w:p>
  </w:footnote>
  <w:footnote w:id="6">
    <w:p w:rsidR="00EA4191" w:rsidRPr="004A1D9B" w:rsidRDefault="00EA4191">
      <w:pPr>
        <w:pStyle w:val="FootnoteText"/>
        <w:rPr>
          <w:rFonts w:ascii="Times New Roman" w:hAnsi="Times New Roman" w:cs="Times New Roman"/>
          <w:sz w:val="18"/>
        </w:rPr>
      </w:pPr>
      <w:r w:rsidRPr="004A1D9B">
        <w:rPr>
          <w:rStyle w:val="FootnoteReference"/>
          <w:rFonts w:ascii="Times New Roman" w:hAnsi="Times New Roman" w:cs="Times New Roman"/>
          <w:sz w:val="18"/>
        </w:rPr>
        <w:footnoteRef/>
      </w:r>
      <w:r w:rsidRPr="004A1D9B">
        <w:rPr>
          <w:rFonts w:ascii="Times New Roman" w:hAnsi="Times New Roman" w:cs="Times New Roman"/>
          <w:sz w:val="18"/>
        </w:rPr>
        <w:t xml:space="preserve"> http://blogs.wsj.com/moneybeat/2015/02/02/why-all-the-talk-of-negative-bond-yields</w:t>
      </w:r>
    </w:p>
  </w:footnote>
  <w:footnote w:id="7">
    <w:p w:rsidR="00EA4191" w:rsidRPr="004A1D9B" w:rsidRDefault="00EA4191">
      <w:pPr>
        <w:pStyle w:val="FootnoteText"/>
        <w:rPr>
          <w:rFonts w:ascii="Times New Roman" w:hAnsi="Times New Roman" w:cs="Times New Roman"/>
          <w:sz w:val="18"/>
        </w:rPr>
      </w:pPr>
      <w:r w:rsidRPr="004A1D9B">
        <w:rPr>
          <w:rStyle w:val="FootnoteReference"/>
          <w:rFonts w:ascii="Times New Roman" w:hAnsi="Times New Roman" w:cs="Times New Roman"/>
          <w:sz w:val="18"/>
        </w:rPr>
        <w:footnoteRef/>
      </w:r>
      <w:r w:rsidRPr="004A1D9B">
        <w:rPr>
          <w:rFonts w:ascii="Times New Roman" w:hAnsi="Times New Roman" w:cs="Times New Roman"/>
          <w:sz w:val="18"/>
        </w:rPr>
        <w:t xml:space="preserve"> https://www.ecb.europa.eu/stats/monetary/rates/html/index.en.html</w:t>
      </w:r>
    </w:p>
  </w:footnote>
  <w:footnote w:id="8">
    <w:p w:rsidR="00EA4191" w:rsidRPr="004A1D9B" w:rsidRDefault="00EA4191">
      <w:pPr>
        <w:pStyle w:val="FootnoteText"/>
        <w:rPr>
          <w:rFonts w:ascii="Times New Roman" w:hAnsi="Times New Roman" w:cs="Times New Roman"/>
          <w:sz w:val="18"/>
        </w:rPr>
      </w:pPr>
      <w:r w:rsidRPr="004A1D9B">
        <w:rPr>
          <w:rStyle w:val="FootnoteReference"/>
          <w:rFonts w:ascii="Times New Roman" w:hAnsi="Times New Roman" w:cs="Times New Roman"/>
          <w:sz w:val="18"/>
        </w:rPr>
        <w:footnoteRef/>
      </w:r>
      <w:r w:rsidRPr="004A1D9B">
        <w:rPr>
          <w:rFonts w:ascii="Times New Roman" w:hAnsi="Times New Roman" w:cs="Times New Roman"/>
          <w:sz w:val="18"/>
        </w:rPr>
        <w:t xml:space="preserve"> https://clubbrb.wordpress.com/tag/zero-lower-bound</w:t>
      </w:r>
    </w:p>
  </w:footnote>
  <w:footnote w:id="9">
    <w:p w:rsidR="00EA4191" w:rsidRDefault="00EA4191">
      <w:pPr>
        <w:pStyle w:val="FootnoteText"/>
      </w:pPr>
      <w:r w:rsidRPr="004A1D9B">
        <w:rPr>
          <w:rStyle w:val="FootnoteReference"/>
          <w:rFonts w:ascii="Times New Roman" w:hAnsi="Times New Roman" w:cs="Times New Roman"/>
          <w:sz w:val="18"/>
        </w:rPr>
        <w:footnoteRef/>
      </w:r>
      <w:r w:rsidRPr="004A1D9B">
        <w:rPr>
          <w:rFonts w:ascii="Times New Roman" w:hAnsi="Times New Roman" w:cs="Times New Roman"/>
          <w:sz w:val="18"/>
        </w:rPr>
        <w:t xml:space="preserve"> http://www.zerohedge.com/news/2015-01-31/16-global-government-bonds-now-have-negative-yield-here-whos-buying-it</w:t>
      </w:r>
    </w:p>
  </w:footnote>
  <w:footnote w:id="10">
    <w:p w:rsidR="00EA4191" w:rsidRDefault="00EA4191">
      <w:pPr>
        <w:pStyle w:val="FootnoteText"/>
      </w:pPr>
      <w:r>
        <w:rPr>
          <w:rStyle w:val="FootnoteReference"/>
        </w:rPr>
        <w:footnoteRef/>
      </w:r>
      <w:r>
        <w:rPr>
          <w:rFonts w:ascii="Times New Roman" w:hAnsi="Times New Roman" w:cs="Times New Roman"/>
          <w:sz w:val="18"/>
        </w:rPr>
        <w:t xml:space="preserve"> </w:t>
      </w:r>
      <w:r w:rsidRPr="0004656D">
        <w:rPr>
          <w:rFonts w:ascii="Times New Roman" w:hAnsi="Times New Roman" w:cs="Times New Roman"/>
          <w:sz w:val="18"/>
        </w:rPr>
        <w:t>Houben,</w:t>
      </w:r>
      <w:r>
        <w:rPr>
          <w:rFonts w:ascii="Times New Roman" w:hAnsi="Times New Roman" w:cs="Times New Roman"/>
          <w:sz w:val="18"/>
        </w:rPr>
        <w:t xml:space="preserve"> (2003)</w:t>
      </w:r>
    </w:p>
  </w:footnote>
  <w:footnote w:id="11">
    <w:p w:rsidR="00EA4191" w:rsidRPr="00CC1349" w:rsidRDefault="00EA4191" w:rsidP="00CC1349">
      <w:pPr>
        <w:autoSpaceDE w:val="0"/>
        <w:autoSpaceDN w:val="0"/>
        <w:adjustRightInd w:val="0"/>
        <w:spacing w:after="0" w:line="240" w:lineRule="auto"/>
        <w:rPr>
          <w:rFonts w:cs="Times New Roman"/>
          <w:sz w:val="20"/>
          <w:lang w:val="en-GB"/>
        </w:rPr>
      </w:pPr>
      <w:r>
        <w:rPr>
          <w:rStyle w:val="FootnoteReference"/>
        </w:rPr>
        <w:footnoteRef/>
      </w:r>
      <w:r w:rsidRPr="00B57BB0">
        <w:rPr>
          <w:lang w:val="en-GB"/>
        </w:rPr>
        <w:t xml:space="preserve"> </w:t>
      </w:r>
      <w:r w:rsidRPr="0004656D">
        <w:rPr>
          <w:rFonts w:ascii="Times New Roman" w:hAnsi="Times New Roman" w:cs="Times New Roman"/>
          <w:sz w:val="18"/>
          <w:lang w:val="en-GB"/>
        </w:rPr>
        <w:t>Shleifer and Vishny, (2011)</w:t>
      </w:r>
      <w:r w:rsidRPr="0004656D">
        <w:rPr>
          <w:rFonts w:cs="Times New Roman"/>
          <w:sz w:val="18"/>
          <w:lang w:val="en-GB"/>
        </w:rPr>
        <w:t xml:space="preserve"> </w:t>
      </w:r>
    </w:p>
  </w:footnote>
  <w:footnote w:id="12">
    <w:p w:rsidR="00EA4191" w:rsidRPr="008B3480" w:rsidRDefault="00EA4191">
      <w:pPr>
        <w:pStyle w:val="FootnoteText"/>
      </w:pPr>
      <w:r>
        <w:rPr>
          <w:rStyle w:val="FootnoteReference"/>
        </w:rPr>
        <w:footnoteRef/>
      </w:r>
      <w:r>
        <w:t xml:space="preserve"> </w:t>
      </w:r>
      <w:r w:rsidRPr="0004656D">
        <w:rPr>
          <w:rFonts w:ascii="Times New Roman" w:hAnsi="Times New Roman" w:cs="Times New Roman"/>
          <w:sz w:val="18"/>
        </w:rPr>
        <w:t>Gesell, (1916)</w:t>
      </w:r>
    </w:p>
  </w:footnote>
  <w:footnote w:id="13">
    <w:p w:rsidR="00EA4191" w:rsidRDefault="00EA4191">
      <w:pPr>
        <w:pStyle w:val="FootnoteText"/>
      </w:pPr>
      <w:r>
        <w:rPr>
          <w:rStyle w:val="FootnoteReference"/>
        </w:rPr>
        <w:footnoteRef/>
      </w:r>
      <w:r>
        <w:t xml:space="preserve"> </w:t>
      </w:r>
      <w:r w:rsidRPr="005D0892">
        <w:rPr>
          <w:rFonts w:ascii="Times New Roman" w:hAnsi="Times New Roman" w:cs="Times New Roman"/>
          <w:sz w:val="18"/>
        </w:rPr>
        <w:t>Attanasi et al., (2009)</w:t>
      </w:r>
    </w:p>
  </w:footnote>
  <w:footnote w:id="14">
    <w:p w:rsidR="00EA4191" w:rsidRPr="004A1D9B" w:rsidRDefault="00EA4191">
      <w:pPr>
        <w:pStyle w:val="FootnoteText"/>
        <w:rPr>
          <w:rFonts w:ascii="Times New Roman" w:hAnsi="Times New Roman" w:cs="Times New Roman"/>
          <w:sz w:val="18"/>
          <w:szCs w:val="18"/>
        </w:rPr>
      </w:pPr>
      <w:r w:rsidRPr="004A1D9B">
        <w:rPr>
          <w:rStyle w:val="FootnoteReference"/>
          <w:rFonts w:ascii="Times New Roman" w:hAnsi="Times New Roman" w:cs="Times New Roman"/>
          <w:sz w:val="18"/>
          <w:szCs w:val="18"/>
        </w:rPr>
        <w:footnoteRef/>
      </w:r>
      <w:r w:rsidRPr="004A1D9B">
        <w:rPr>
          <w:rFonts w:ascii="Times New Roman" w:hAnsi="Times New Roman" w:cs="Times New Roman"/>
          <w:sz w:val="18"/>
          <w:szCs w:val="18"/>
        </w:rPr>
        <w:t xml:space="preserve"> Modigliani and Sutch, (1966)</w:t>
      </w:r>
    </w:p>
  </w:footnote>
  <w:footnote w:id="15">
    <w:p w:rsidR="00EA4191" w:rsidRPr="004A1D9B" w:rsidRDefault="00EA4191">
      <w:pPr>
        <w:pStyle w:val="FootnoteText"/>
        <w:rPr>
          <w:rFonts w:ascii="Times New Roman" w:hAnsi="Times New Roman" w:cs="Times New Roman"/>
          <w:sz w:val="18"/>
          <w:szCs w:val="18"/>
        </w:rPr>
      </w:pPr>
      <w:r w:rsidRPr="004A1D9B">
        <w:rPr>
          <w:rStyle w:val="FootnoteReference"/>
          <w:rFonts w:ascii="Times New Roman" w:hAnsi="Times New Roman" w:cs="Times New Roman"/>
          <w:sz w:val="18"/>
          <w:szCs w:val="18"/>
        </w:rPr>
        <w:footnoteRef/>
      </w:r>
      <w:r w:rsidRPr="004A1D9B">
        <w:rPr>
          <w:rFonts w:ascii="Times New Roman" w:hAnsi="Times New Roman" w:cs="Times New Roman"/>
          <w:sz w:val="18"/>
          <w:szCs w:val="18"/>
        </w:rPr>
        <w:t xml:space="preserve"> Lutz, (1940)</w:t>
      </w:r>
    </w:p>
  </w:footnote>
  <w:footnote w:id="16">
    <w:p w:rsidR="00EA4191" w:rsidRPr="004A1D9B" w:rsidRDefault="00EA4191">
      <w:pPr>
        <w:pStyle w:val="FootnoteText"/>
        <w:rPr>
          <w:rFonts w:ascii="Times New Roman" w:hAnsi="Times New Roman" w:cs="Times New Roman"/>
          <w:sz w:val="18"/>
          <w:szCs w:val="18"/>
        </w:rPr>
      </w:pPr>
      <w:r w:rsidRPr="004A1D9B">
        <w:rPr>
          <w:rStyle w:val="FootnoteReference"/>
          <w:rFonts w:ascii="Times New Roman" w:hAnsi="Times New Roman" w:cs="Times New Roman"/>
          <w:sz w:val="18"/>
          <w:szCs w:val="18"/>
        </w:rPr>
        <w:footnoteRef/>
      </w:r>
      <w:r w:rsidRPr="004A1D9B">
        <w:rPr>
          <w:rFonts w:ascii="Times New Roman" w:hAnsi="Times New Roman" w:cs="Times New Roman"/>
          <w:sz w:val="18"/>
          <w:szCs w:val="18"/>
        </w:rPr>
        <w:t xml:space="preserve"> Culbertson, (1957)</w:t>
      </w:r>
    </w:p>
  </w:footnote>
  <w:footnote w:id="17">
    <w:p w:rsidR="00EA4191" w:rsidRPr="008431D5" w:rsidRDefault="00EA4191" w:rsidP="008431D5">
      <w:pPr>
        <w:autoSpaceDE w:val="0"/>
        <w:autoSpaceDN w:val="0"/>
        <w:adjustRightInd w:val="0"/>
        <w:spacing w:after="0" w:line="240" w:lineRule="auto"/>
        <w:rPr>
          <w:lang w:val="en-GB"/>
        </w:rPr>
      </w:pPr>
      <w:r w:rsidRPr="004A1D9B">
        <w:rPr>
          <w:rStyle w:val="FootnoteReference"/>
          <w:rFonts w:ascii="Times New Roman" w:hAnsi="Times New Roman" w:cs="Times New Roman"/>
          <w:sz w:val="18"/>
          <w:szCs w:val="18"/>
        </w:rPr>
        <w:footnoteRef/>
      </w:r>
      <w:r w:rsidRPr="004A1D9B">
        <w:rPr>
          <w:rFonts w:ascii="Times New Roman" w:hAnsi="Times New Roman" w:cs="Times New Roman"/>
          <w:sz w:val="18"/>
          <w:szCs w:val="18"/>
          <w:lang w:val="en-GB"/>
        </w:rPr>
        <w:t xml:space="preserve"> </w:t>
      </w:r>
      <w:r w:rsidRPr="004A1D9B">
        <w:rPr>
          <w:rFonts w:ascii="Times New Roman" w:hAnsi="Times New Roman" w:cs="Times New Roman"/>
          <w:i/>
          <w:sz w:val="18"/>
          <w:szCs w:val="18"/>
          <w:lang w:val="en-GB"/>
        </w:rPr>
        <w:t>The Ballad of East and West</w:t>
      </w:r>
      <w:r w:rsidRPr="004A1D9B">
        <w:rPr>
          <w:rFonts w:ascii="Times New Roman" w:hAnsi="Times New Roman" w:cs="Times New Roman"/>
          <w:sz w:val="18"/>
          <w:szCs w:val="18"/>
          <w:lang w:val="en-GB"/>
        </w:rPr>
        <w:t xml:space="preserve">, Rudyard Kipling, (1889); published as part of </w:t>
      </w:r>
      <w:r w:rsidRPr="004A1D9B">
        <w:rPr>
          <w:rFonts w:ascii="Times New Roman" w:hAnsi="Times New Roman" w:cs="Times New Roman"/>
          <w:sz w:val="18"/>
          <w:szCs w:val="18"/>
          <w:shd w:val="clear" w:color="auto" w:fill="EFF3F8"/>
          <w:lang w:val="en-GB"/>
        </w:rPr>
        <w:t>Stedman’s A Victorian Anthology, (1895)</w:t>
      </w:r>
    </w:p>
  </w:footnote>
  <w:footnote w:id="18">
    <w:p w:rsidR="00EA4191" w:rsidRPr="004A1D9B" w:rsidRDefault="00EA4191">
      <w:pPr>
        <w:pStyle w:val="FootnoteText"/>
        <w:rPr>
          <w:rFonts w:ascii="Times New Roman" w:hAnsi="Times New Roman" w:cs="Times New Roman"/>
          <w:sz w:val="18"/>
          <w:szCs w:val="18"/>
        </w:rPr>
      </w:pPr>
      <w:r w:rsidRPr="004A1D9B">
        <w:rPr>
          <w:rStyle w:val="FootnoteReference"/>
          <w:rFonts w:ascii="Times New Roman" w:hAnsi="Times New Roman" w:cs="Times New Roman"/>
          <w:sz w:val="18"/>
          <w:szCs w:val="18"/>
        </w:rPr>
        <w:footnoteRef/>
      </w:r>
      <w:r w:rsidRPr="004A1D9B">
        <w:rPr>
          <w:rFonts w:ascii="Times New Roman" w:hAnsi="Times New Roman" w:cs="Times New Roman"/>
          <w:sz w:val="18"/>
          <w:szCs w:val="18"/>
        </w:rPr>
        <w:t xml:space="preserve"> Picerno, (2010)</w:t>
      </w:r>
    </w:p>
  </w:footnote>
  <w:footnote w:id="19">
    <w:p w:rsidR="00EA4191" w:rsidRPr="000015F6" w:rsidRDefault="00EA4191">
      <w:pPr>
        <w:pStyle w:val="FootnoteText"/>
        <w:rPr>
          <w:rFonts w:ascii="Times New Roman" w:hAnsi="Times New Roman" w:cs="Times New Roman"/>
        </w:rPr>
      </w:pPr>
      <w:r w:rsidRPr="000015F6">
        <w:rPr>
          <w:rStyle w:val="FootnoteReference"/>
          <w:rFonts w:ascii="Times New Roman" w:hAnsi="Times New Roman" w:cs="Times New Roman"/>
          <w:sz w:val="18"/>
        </w:rPr>
        <w:footnoteRef/>
      </w:r>
      <w:r w:rsidRPr="000015F6">
        <w:rPr>
          <w:rFonts w:ascii="Times New Roman" w:hAnsi="Times New Roman" w:cs="Times New Roman"/>
          <w:sz w:val="18"/>
        </w:rPr>
        <w:t xml:space="preserve"> Kingston, (</w:t>
      </w:r>
      <w:r>
        <w:rPr>
          <w:rFonts w:ascii="Times New Roman" w:hAnsi="Times New Roman" w:cs="Times New Roman"/>
          <w:sz w:val="18"/>
        </w:rPr>
        <w:t>1989)</w:t>
      </w:r>
    </w:p>
  </w:footnote>
  <w:footnote w:id="20">
    <w:p w:rsidR="00EA4191" w:rsidRPr="00A22794" w:rsidRDefault="00EA4191" w:rsidP="00A22794">
      <w:pPr>
        <w:spacing w:after="0" w:line="240" w:lineRule="auto"/>
        <w:rPr>
          <w:rFonts w:ascii="Times New Roman" w:eastAsiaTheme="minorEastAsia" w:hAnsi="Times New Roman" w:cs="Times New Roman"/>
          <w:color w:val="FF0000"/>
          <w:sz w:val="24"/>
          <w:lang w:val="en-GB"/>
        </w:rPr>
      </w:pPr>
      <w:r w:rsidRPr="004A1D9B">
        <w:rPr>
          <w:rStyle w:val="FootnoteReference"/>
          <w:rFonts w:ascii="Times New Roman" w:hAnsi="Times New Roman" w:cs="Times New Roman"/>
          <w:sz w:val="18"/>
          <w:szCs w:val="18"/>
        </w:rPr>
        <w:footnoteRef/>
      </w:r>
      <w:r w:rsidRPr="004A1D9B">
        <w:rPr>
          <w:rFonts w:ascii="Times New Roman" w:hAnsi="Times New Roman" w:cs="Times New Roman"/>
          <w:sz w:val="18"/>
          <w:szCs w:val="18"/>
          <w:lang w:val="en-GB"/>
        </w:rPr>
        <w:t xml:space="preserve"> </w:t>
      </w:r>
      <w:r w:rsidRPr="004A1D9B">
        <w:rPr>
          <w:rFonts w:ascii="Times New Roman" w:eastAsiaTheme="minorEastAsia" w:hAnsi="Times New Roman" w:cs="Times New Roman"/>
          <w:sz w:val="18"/>
          <w:szCs w:val="18"/>
          <w:lang w:val="en-GB"/>
        </w:rPr>
        <w:t>Cont and Tankov, (</w:t>
      </w:r>
      <w:r w:rsidRPr="00F815F2">
        <w:rPr>
          <w:rFonts w:ascii="Times New Roman" w:eastAsiaTheme="minorEastAsia" w:hAnsi="Times New Roman" w:cs="Times New Roman"/>
          <w:sz w:val="18"/>
          <w:lang w:val="en-GB"/>
        </w:rPr>
        <w:t>2009)</w:t>
      </w:r>
    </w:p>
    <w:p w:rsidR="00EA4191" w:rsidRDefault="00EA4191" w:rsidP="00A22794">
      <w:pPr>
        <w:pStyle w:val="FootnoteText"/>
      </w:pPr>
    </w:p>
  </w:footnote>
  <w:footnote w:id="21">
    <w:p w:rsidR="00EA4191" w:rsidRDefault="00EA4191">
      <w:pPr>
        <w:pStyle w:val="FootnoteText"/>
      </w:pPr>
      <w:r>
        <w:rPr>
          <w:rStyle w:val="FootnoteReference"/>
        </w:rPr>
        <w:footnoteRef/>
      </w:r>
      <w:r>
        <w:t xml:space="preserve"> </w:t>
      </w:r>
      <w:r w:rsidRPr="007332DA">
        <w:rPr>
          <w:rFonts w:ascii="Times New Roman" w:hAnsi="Times New Roman" w:cs="Times New Roman"/>
          <w:sz w:val="18"/>
        </w:rPr>
        <w:t>Longstaff, (2004)</w:t>
      </w:r>
    </w:p>
  </w:footnote>
  <w:footnote w:id="22">
    <w:p w:rsidR="00EA4191" w:rsidRPr="00474FBD" w:rsidRDefault="00EA4191">
      <w:pPr>
        <w:pStyle w:val="FootnoteText"/>
      </w:pPr>
      <w:r>
        <w:rPr>
          <w:rStyle w:val="FootnoteReference"/>
        </w:rPr>
        <w:footnoteRef/>
      </w:r>
      <w:r w:rsidRPr="00474FBD">
        <w:t xml:space="preserve"> </w:t>
      </w:r>
      <w:r w:rsidRPr="00474FBD">
        <w:rPr>
          <w:rFonts w:ascii="Times New Roman" w:hAnsi="Times New Roman" w:cs="Times New Roman"/>
          <w:sz w:val="18"/>
        </w:rPr>
        <w:t>Beber et al., (2009)</w:t>
      </w:r>
    </w:p>
  </w:footnote>
  <w:footnote w:id="23">
    <w:p w:rsidR="00EA4191" w:rsidRPr="00474FBD" w:rsidRDefault="00EA4191" w:rsidP="002A2D29">
      <w:pPr>
        <w:autoSpaceDE w:val="0"/>
        <w:autoSpaceDN w:val="0"/>
        <w:adjustRightInd w:val="0"/>
        <w:spacing w:after="0" w:line="240" w:lineRule="auto"/>
        <w:rPr>
          <w:lang w:val="en-GB"/>
        </w:rPr>
      </w:pPr>
      <w:r>
        <w:rPr>
          <w:rStyle w:val="FootnoteReference"/>
        </w:rPr>
        <w:footnoteRef/>
      </w:r>
      <w:r w:rsidRPr="00474FBD">
        <w:rPr>
          <w:lang w:val="en-GB"/>
        </w:rPr>
        <w:t xml:space="preserve"> </w:t>
      </w:r>
      <w:r w:rsidRPr="00474FBD">
        <w:rPr>
          <w:rFonts w:ascii="Times New Roman" w:hAnsi="Times New Roman" w:cs="Times New Roman"/>
          <w:sz w:val="18"/>
          <w:szCs w:val="24"/>
          <w:shd w:val="clear" w:color="auto" w:fill="EFF3F8"/>
          <w:lang w:val="en-GB"/>
        </w:rPr>
        <w:t>Engen and Hubbard, (2005)</w:t>
      </w:r>
    </w:p>
  </w:footnote>
  <w:footnote w:id="24">
    <w:p w:rsidR="00EA4191" w:rsidRDefault="00EA4191">
      <w:pPr>
        <w:pStyle w:val="FootnoteText"/>
      </w:pPr>
      <w:r>
        <w:rPr>
          <w:rStyle w:val="FootnoteReference"/>
        </w:rPr>
        <w:footnoteRef/>
      </w:r>
      <w:r>
        <w:t xml:space="preserve"> </w:t>
      </w:r>
      <w:r w:rsidRPr="00F84FBC">
        <w:rPr>
          <w:rFonts w:ascii="Times New Roman" w:hAnsi="Times New Roman" w:cs="Times New Roman"/>
          <w:sz w:val="18"/>
        </w:rPr>
        <w:t>Campbell et al., (2013)</w:t>
      </w:r>
    </w:p>
  </w:footnote>
  <w:footnote w:id="25">
    <w:p w:rsidR="00EA4191" w:rsidRPr="00C64145" w:rsidRDefault="00EA4191">
      <w:pPr>
        <w:pStyle w:val="FootnoteText"/>
        <w:rPr>
          <w:lang w:val="nl-NL"/>
        </w:rPr>
      </w:pPr>
      <w:r>
        <w:rPr>
          <w:rStyle w:val="FootnoteReference"/>
        </w:rPr>
        <w:footnoteRef/>
      </w:r>
      <w:r w:rsidRPr="00C64145">
        <w:rPr>
          <w:lang w:val="nl-NL"/>
        </w:rPr>
        <w:t xml:space="preserve"> </w:t>
      </w:r>
      <w:r w:rsidRPr="00C64145">
        <w:rPr>
          <w:rFonts w:ascii="Times New Roman" w:hAnsi="Times New Roman" w:cs="Times New Roman"/>
          <w:sz w:val="18"/>
          <w:lang w:val="nl-NL"/>
        </w:rPr>
        <w:t>Giese et al., (2014)</w:t>
      </w:r>
    </w:p>
  </w:footnote>
  <w:footnote w:id="26">
    <w:p w:rsidR="00EA4191" w:rsidRPr="00C64145" w:rsidRDefault="00EA4191">
      <w:pPr>
        <w:pStyle w:val="FootnoteText"/>
        <w:rPr>
          <w:lang w:val="nl-NL"/>
        </w:rPr>
      </w:pPr>
      <w:r>
        <w:rPr>
          <w:rStyle w:val="FootnoteReference"/>
        </w:rPr>
        <w:footnoteRef/>
      </w:r>
      <w:r w:rsidRPr="00C64145">
        <w:rPr>
          <w:lang w:val="nl-NL"/>
        </w:rPr>
        <w:t xml:space="preserve"> </w:t>
      </w:r>
      <w:r w:rsidRPr="00C64145">
        <w:rPr>
          <w:rFonts w:ascii="Times New Roman" w:hAnsi="Times New Roman" w:cs="Times New Roman"/>
          <w:sz w:val="18"/>
          <w:lang w:val="nl-NL"/>
        </w:rPr>
        <w:t>Abiad et al, (2007)</w:t>
      </w:r>
    </w:p>
  </w:footnote>
  <w:footnote w:id="27">
    <w:p w:rsidR="00EA4191" w:rsidRDefault="00EA4191" w:rsidP="00DD1FDB">
      <w:pPr>
        <w:pStyle w:val="FootnoteText"/>
      </w:pPr>
      <w:r>
        <w:rPr>
          <w:rStyle w:val="FootnoteReference"/>
        </w:rPr>
        <w:footnoteRef/>
      </w:r>
      <w:r>
        <w:t xml:space="preserve"> </w:t>
      </w:r>
      <w:r w:rsidRPr="00F815F2">
        <w:rPr>
          <w:rFonts w:ascii="Times New Roman" w:hAnsi="Times New Roman" w:cs="Times New Roman"/>
          <w:sz w:val="18"/>
        </w:rPr>
        <w:t>30/06/2015: courtesy of E</w:t>
      </w:r>
      <w:r>
        <w:rPr>
          <w:rFonts w:ascii="Times New Roman" w:hAnsi="Times New Roman" w:cs="Times New Roman"/>
          <w:sz w:val="18"/>
        </w:rPr>
        <w:t>u</w:t>
      </w:r>
      <w:r w:rsidRPr="00F815F2">
        <w:rPr>
          <w:rFonts w:ascii="Times New Roman" w:hAnsi="Times New Roman" w:cs="Times New Roman"/>
          <w:sz w:val="18"/>
        </w:rPr>
        <w:t>ribor EDF Organization.</w:t>
      </w:r>
      <w:r w:rsidRPr="00F815F2">
        <w:rPr>
          <w:sz w:val="18"/>
        </w:rPr>
        <w:t xml:space="preserve"> </w:t>
      </w:r>
    </w:p>
  </w:footnote>
  <w:footnote w:id="28">
    <w:p w:rsidR="00EA4191" w:rsidRPr="00EE39AF" w:rsidRDefault="00EA4191">
      <w:pPr>
        <w:pStyle w:val="FootnoteText"/>
        <w:rPr>
          <w:rFonts w:ascii="Times New Roman" w:hAnsi="Times New Roman" w:cs="Times New Roman"/>
          <w:sz w:val="18"/>
        </w:rPr>
      </w:pPr>
      <w:r w:rsidRPr="00EE39AF">
        <w:rPr>
          <w:rStyle w:val="FootnoteReference"/>
          <w:rFonts w:ascii="Times New Roman" w:hAnsi="Times New Roman" w:cs="Times New Roman"/>
          <w:sz w:val="18"/>
        </w:rPr>
        <w:footnoteRef/>
      </w:r>
      <w:r w:rsidRPr="00EE39AF">
        <w:rPr>
          <w:rFonts w:ascii="Times New Roman" w:hAnsi="Times New Roman" w:cs="Times New Roman"/>
          <w:sz w:val="18"/>
        </w:rPr>
        <w:t xml:space="preserve"> Principles of Econometrics, 3</w:t>
      </w:r>
      <w:r w:rsidRPr="00EE39AF">
        <w:rPr>
          <w:rFonts w:ascii="Times New Roman" w:hAnsi="Times New Roman" w:cs="Times New Roman"/>
          <w:sz w:val="18"/>
          <w:vertAlign w:val="superscript"/>
        </w:rPr>
        <w:t>rd</w:t>
      </w:r>
      <w:r w:rsidRPr="00EE39AF">
        <w:rPr>
          <w:rFonts w:ascii="Times New Roman" w:hAnsi="Times New Roman" w:cs="Times New Roman"/>
          <w:sz w:val="18"/>
        </w:rPr>
        <w:t xml:space="preserve"> Edition. Authors: Hill, R.C. Griffiths, W.E. and Lim, G.C. 2008.</w:t>
      </w:r>
    </w:p>
  </w:footnote>
  <w:footnote w:id="29">
    <w:p w:rsidR="00EA4191" w:rsidRPr="00C64145" w:rsidRDefault="00EA4191">
      <w:pPr>
        <w:pStyle w:val="FootnoteText"/>
      </w:pPr>
      <w:r>
        <w:rPr>
          <w:rStyle w:val="FootnoteReference"/>
        </w:rPr>
        <w:footnoteRef/>
      </w:r>
      <w:r w:rsidRPr="00C64145">
        <w:t xml:space="preserve"> </w:t>
      </w:r>
      <w:r w:rsidRPr="00C64145">
        <w:rPr>
          <w:rFonts w:ascii="Times New Roman" w:hAnsi="Times New Roman" w:cs="Times New Roman"/>
          <w:sz w:val="18"/>
          <w:szCs w:val="18"/>
        </w:rPr>
        <w:t>Banerjee et al., (2005)</w:t>
      </w:r>
    </w:p>
  </w:footnote>
  <w:footnote w:id="30">
    <w:p w:rsidR="00EA4191" w:rsidRPr="00C64145" w:rsidRDefault="00EA4191">
      <w:pPr>
        <w:pStyle w:val="FootnoteText"/>
      </w:pPr>
      <w:r>
        <w:rPr>
          <w:rStyle w:val="FootnoteReference"/>
        </w:rPr>
        <w:footnoteRef/>
      </w:r>
      <w:r w:rsidRPr="00C64145">
        <w:t xml:space="preserve"> </w:t>
      </w:r>
      <w:r w:rsidRPr="00C64145">
        <w:rPr>
          <w:rFonts w:ascii="Times New Roman" w:hAnsi="Times New Roman" w:cs="Times New Roman"/>
          <w:sz w:val="18"/>
        </w:rPr>
        <w:t>Nguyen, (2011)</w:t>
      </w:r>
    </w:p>
  </w:footnote>
  <w:footnote w:id="31">
    <w:p w:rsidR="00EA4191" w:rsidRPr="00C64145" w:rsidRDefault="00EA4191">
      <w:pPr>
        <w:pStyle w:val="FootnoteText"/>
      </w:pPr>
      <w:r w:rsidRPr="00033D82">
        <w:rPr>
          <w:rStyle w:val="FootnoteReference"/>
          <w:sz w:val="18"/>
        </w:rPr>
        <w:footnoteRef/>
      </w:r>
      <w:r w:rsidRPr="00C64145">
        <w:rPr>
          <w:sz w:val="18"/>
        </w:rPr>
        <w:t xml:space="preserve"> </w:t>
      </w:r>
      <w:r w:rsidRPr="00C64145">
        <w:rPr>
          <w:rFonts w:ascii="Times New Roman" w:eastAsiaTheme="minorEastAsia" w:hAnsi="Times New Roman" w:cs="Times New Roman"/>
          <w:sz w:val="18"/>
          <w:szCs w:val="24"/>
        </w:rPr>
        <w:t>Stock and Watson, (1993)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511C4B"/>
    <w:multiLevelType w:val="hybridMultilevel"/>
    <w:tmpl w:val="2F44C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9A261D"/>
    <w:multiLevelType w:val="hybridMultilevel"/>
    <w:tmpl w:val="7892F0F8"/>
    <w:lvl w:ilvl="0" w:tplc="258E4370">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A50FF"/>
    <w:multiLevelType w:val="multilevel"/>
    <w:tmpl w:val="F406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7B5D1F"/>
    <w:multiLevelType w:val="hybridMultilevel"/>
    <w:tmpl w:val="4C92E552"/>
    <w:lvl w:ilvl="0" w:tplc="BEAC533A">
      <w:start w:val="1"/>
      <w:numFmt w:val="upp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BB65F9"/>
    <w:multiLevelType w:val="hybridMultilevel"/>
    <w:tmpl w:val="BCB4BC64"/>
    <w:lvl w:ilvl="0" w:tplc="BEAC533A">
      <w:start w:val="1"/>
      <w:numFmt w:val="upp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43233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1B64021"/>
    <w:multiLevelType w:val="hybridMultilevel"/>
    <w:tmpl w:val="EFA893F8"/>
    <w:lvl w:ilvl="0" w:tplc="0EE4BF70">
      <w:start w:val="1"/>
      <w:numFmt w:val="decimal"/>
      <w:lvlText w:val="%1."/>
      <w:lvlJc w:val="left"/>
      <w:pPr>
        <w:ind w:left="360" w:hanging="360"/>
      </w:pPr>
      <w:rPr>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BE4D5C"/>
    <w:multiLevelType w:val="multilevel"/>
    <w:tmpl w:val="0D548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9D2F76"/>
    <w:multiLevelType w:val="multilevel"/>
    <w:tmpl w:val="0D3CF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8227A8"/>
    <w:multiLevelType w:val="multilevel"/>
    <w:tmpl w:val="056E8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5224A0"/>
    <w:multiLevelType w:val="multilevel"/>
    <w:tmpl w:val="A6E42856"/>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1" w15:restartNumberingAfterBreak="0">
    <w:nsid w:val="4A3C3332"/>
    <w:multiLevelType w:val="hybridMultilevel"/>
    <w:tmpl w:val="F44E1E88"/>
    <w:lvl w:ilvl="0" w:tplc="258E4370">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421CDC"/>
    <w:multiLevelType w:val="multilevel"/>
    <w:tmpl w:val="9AD66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BB74C02"/>
    <w:multiLevelType w:val="multilevel"/>
    <w:tmpl w:val="433CE2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4987A3E"/>
    <w:multiLevelType w:val="hybridMultilevel"/>
    <w:tmpl w:val="D78A7998"/>
    <w:lvl w:ilvl="0" w:tplc="BEAC533A">
      <w:start w:val="1"/>
      <w:numFmt w:val="upp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783504E"/>
    <w:multiLevelType w:val="multilevel"/>
    <w:tmpl w:val="F12CD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5"/>
  </w:num>
  <w:num w:numId="3">
    <w:abstractNumId w:val="12"/>
  </w:num>
  <w:num w:numId="4">
    <w:abstractNumId w:val="2"/>
  </w:num>
  <w:num w:numId="5">
    <w:abstractNumId w:val="0"/>
  </w:num>
  <w:num w:numId="6">
    <w:abstractNumId w:val="4"/>
  </w:num>
  <w:num w:numId="7">
    <w:abstractNumId w:val="14"/>
  </w:num>
  <w:num w:numId="8">
    <w:abstractNumId w:val="1"/>
  </w:num>
  <w:num w:numId="9">
    <w:abstractNumId w:val="11"/>
  </w:num>
  <w:num w:numId="10">
    <w:abstractNumId w:val="7"/>
  </w:num>
  <w:num w:numId="11">
    <w:abstractNumId w:val="3"/>
  </w:num>
  <w:num w:numId="12">
    <w:abstractNumId w:val="9"/>
  </w:num>
  <w:num w:numId="13">
    <w:abstractNumId w:val="6"/>
  </w:num>
  <w:num w:numId="14">
    <w:abstractNumId w:val="5"/>
  </w:num>
  <w:num w:numId="15">
    <w:abstractNumId w:val="1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992"/>
    <w:rsid w:val="00000317"/>
    <w:rsid w:val="00000706"/>
    <w:rsid w:val="00000F5D"/>
    <w:rsid w:val="000015F6"/>
    <w:rsid w:val="000062EC"/>
    <w:rsid w:val="000128AA"/>
    <w:rsid w:val="00014A38"/>
    <w:rsid w:val="000160D4"/>
    <w:rsid w:val="00016D95"/>
    <w:rsid w:val="000221A8"/>
    <w:rsid w:val="00023C5B"/>
    <w:rsid w:val="00023C80"/>
    <w:rsid w:val="00023DF0"/>
    <w:rsid w:val="0002504B"/>
    <w:rsid w:val="00025DF5"/>
    <w:rsid w:val="000262D2"/>
    <w:rsid w:val="000300A2"/>
    <w:rsid w:val="00031F0F"/>
    <w:rsid w:val="00031FED"/>
    <w:rsid w:val="0003278D"/>
    <w:rsid w:val="00033D82"/>
    <w:rsid w:val="00035963"/>
    <w:rsid w:val="00036102"/>
    <w:rsid w:val="000417D0"/>
    <w:rsid w:val="00045C3C"/>
    <w:rsid w:val="0004656D"/>
    <w:rsid w:val="00046BF6"/>
    <w:rsid w:val="00046C8A"/>
    <w:rsid w:val="0005080C"/>
    <w:rsid w:val="000515C0"/>
    <w:rsid w:val="0005547F"/>
    <w:rsid w:val="000612F4"/>
    <w:rsid w:val="0006518D"/>
    <w:rsid w:val="000709D2"/>
    <w:rsid w:val="00070CDF"/>
    <w:rsid w:val="00071491"/>
    <w:rsid w:val="000719B8"/>
    <w:rsid w:val="00075AA7"/>
    <w:rsid w:val="00075C47"/>
    <w:rsid w:val="000767DE"/>
    <w:rsid w:val="00081C20"/>
    <w:rsid w:val="00084595"/>
    <w:rsid w:val="00093994"/>
    <w:rsid w:val="00094038"/>
    <w:rsid w:val="0009620F"/>
    <w:rsid w:val="000A443C"/>
    <w:rsid w:val="000B24C4"/>
    <w:rsid w:val="000B2721"/>
    <w:rsid w:val="000C03FD"/>
    <w:rsid w:val="000C0ECE"/>
    <w:rsid w:val="000C1602"/>
    <w:rsid w:val="000C4596"/>
    <w:rsid w:val="000C6BEC"/>
    <w:rsid w:val="000D3081"/>
    <w:rsid w:val="000D34F4"/>
    <w:rsid w:val="000D4C0B"/>
    <w:rsid w:val="000D6F13"/>
    <w:rsid w:val="000E26E6"/>
    <w:rsid w:val="000E40CA"/>
    <w:rsid w:val="000E5A3F"/>
    <w:rsid w:val="000E5C39"/>
    <w:rsid w:val="000F789A"/>
    <w:rsid w:val="0010170D"/>
    <w:rsid w:val="0010244C"/>
    <w:rsid w:val="00102A6F"/>
    <w:rsid w:val="00104C66"/>
    <w:rsid w:val="001127AA"/>
    <w:rsid w:val="001139CB"/>
    <w:rsid w:val="00116371"/>
    <w:rsid w:val="00121116"/>
    <w:rsid w:val="00124E9E"/>
    <w:rsid w:val="00124EF9"/>
    <w:rsid w:val="001250FB"/>
    <w:rsid w:val="001253DB"/>
    <w:rsid w:val="00125CAC"/>
    <w:rsid w:val="00126292"/>
    <w:rsid w:val="00126512"/>
    <w:rsid w:val="00127B08"/>
    <w:rsid w:val="00130B6B"/>
    <w:rsid w:val="00132FCB"/>
    <w:rsid w:val="00143CD6"/>
    <w:rsid w:val="00144EFD"/>
    <w:rsid w:val="001503A1"/>
    <w:rsid w:val="0015093D"/>
    <w:rsid w:val="00151B9A"/>
    <w:rsid w:val="00162D69"/>
    <w:rsid w:val="0016365E"/>
    <w:rsid w:val="00163C1B"/>
    <w:rsid w:val="00171FD1"/>
    <w:rsid w:val="00175F63"/>
    <w:rsid w:val="001828B0"/>
    <w:rsid w:val="00182AA3"/>
    <w:rsid w:val="001834BA"/>
    <w:rsid w:val="00184BFA"/>
    <w:rsid w:val="00193406"/>
    <w:rsid w:val="00194846"/>
    <w:rsid w:val="00196322"/>
    <w:rsid w:val="001A14C9"/>
    <w:rsid w:val="001A156C"/>
    <w:rsid w:val="001A1699"/>
    <w:rsid w:val="001A18A9"/>
    <w:rsid w:val="001A1E50"/>
    <w:rsid w:val="001A34EA"/>
    <w:rsid w:val="001A3F60"/>
    <w:rsid w:val="001A4732"/>
    <w:rsid w:val="001A7A52"/>
    <w:rsid w:val="001B27B6"/>
    <w:rsid w:val="001B2EB0"/>
    <w:rsid w:val="001B4C6F"/>
    <w:rsid w:val="001B6145"/>
    <w:rsid w:val="001B7F13"/>
    <w:rsid w:val="001C2F67"/>
    <w:rsid w:val="001C3371"/>
    <w:rsid w:val="001C624F"/>
    <w:rsid w:val="001C7B70"/>
    <w:rsid w:val="001D3B76"/>
    <w:rsid w:val="001E59EA"/>
    <w:rsid w:val="001E7941"/>
    <w:rsid w:val="001E7D1B"/>
    <w:rsid w:val="001F0081"/>
    <w:rsid w:val="001F187F"/>
    <w:rsid w:val="0020019A"/>
    <w:rsid w:val="00202156"/>
    <w:rsid w:val="002037DA"/>
    <w:rsid w:val="002049AA"/>
    <w:rsid w:val="00210357"/>
    <w:rsid w:val="00210B1A"/>
    <w:rsid w:val="002112D5"/>
    <w:rsid w:val="002115CC"/>
    <w:rsid w:val="00211E86"/>
    <w:rsid w:val="00211FDC"/>
    <w:rsid w:val="00213420"/>
    <w:rsid w:val="002146EA"/>
    <w:rsid w:val="00214AA4"/>
    <w:rsid w:val="002157A8"/>
    <w:rsid w:val="002159F2"/>
    <w:rsid w:val="00220BCB"/>
    <w:rsid w:val="00221FAA"/>
    <w:rsid w:val="00223B1A"/>
    <w:rsid w:val="0022541D"/>
    <w:rsid w:val="00225666"/>
    <w:rsid w:val="00225FD5"/>
    <w:rsid w:val="00230432"/>
    <w:rsid w:val="00230C1C"/>
    <w:rsid w:val="002321D7"/>
    <w:rsid w:val="00232E87"/>
    <w:rsid w:val="0023450C"/>
    <w:rsid w:val="00235A72"/>
    <w:rsid w:val="00235B60"/>
    <w:rsid w:val="00237D8C"/>
    <w:rsid w:val="002405B8"/>
    <w:rsid w:val="00240DBE"/>
    <w:rsid w:val="00241AB2"/>
    <w:rsid w:val="00241CD3"/>
    <w:rsid w:val="002438F4"/>
    <w:rsid w:val="00245304"/>
    <w:rsid w:val="002502B0"/>
    <w:rsid w:val="00250FCC"/>
    <w:rsid w:val="00251634"/>
    <w:rsid w:val="00251877"/>
    <w:rsid w:val="00251E1E"/>
    <w:rsid w:val="00255996"/>
    <w:rsid w:val="002562AC"/>
    <w:rsid w:val="00256718"/>
    <w:rsid w:val="002612C5"/>
    <w:rsid w:val="00261BDC"/>
    <w:rsid w:val="002628BD"/>
    <w:rsid w:val="00271CBA"/>
    <w:rsid w:val="00271ED8"/>
    <w:rsid w:val="002745D0"/>
    <w:rsid w:val="00274E2C"/>
    <w:rsid w:val="00274EF7"/>
    <w:rsid w:val="002751D7"/>
    <w:rsid w:val="00276E45"/>
    <w:rsid w:val="00276FBB"/>
    <w:rsid w:val="002818AC"/>
    <w:rsid w:val="0028352F"/>
    <w:rsid w:val="002846FD"/>
    <w:rsid w:val="00284CE3"/>
    <w:rsid w:val="00293C3F"/>
    <w:rsid w:val="00293F78"/>
    <w:rsid w:val="00296038"/>
    <w:rsid w:val="002A0922"/>
    <w:rsid w:val="002A15EC"/>
    <w:rsid w:val="002A2D29"/>
    <w:rsid w:val="002A437D"/>
    <w:rsid w:val="002B19C4"/>
    <w:rsid w:val="002B2C72"/>
    <w:rsid w:val="002B37F4"/>
    <w:rsid w:val="002B4E23"/>
    <w:rsid w:val="002B5AB1"/>
    <w:rsid w:val="002B64BE"/>
    <w:rsid w:val="002B76A3"/>
    <w:rsid w:val="002C176F"/>
    <w:rsid w:val="002C449A"/>
    <w:rsid w:val="002C54CA"/>
    <w:rsid w:val="002C7867"/>
    <w:rsid w:val="002C7C3F"/>
    <w:rsid w:val="002D50EC"/>
    <w:rsid w:val="002D59E4"/>
    <w:rsid w:val="002D6733"/>
    <w:rsid w:val="002E6B97"/>
    <w:rsid w:val="002F0D73"/>
    <w:rsid w:val="002F10C8"/>
    <w:rsid w:val="002F2A2F"/>
    <w:rsid w:val="002F3173"/>
    <w:rsid w:val="002F5E75"/>
    <w:rsid w:val="0030191B"/>
    <w:rsid w:val="003034D9"/>
    <w:rsid w:val="003057D6"/>
    <w:rsid w:val="00306A53"/>
    <w:rsid w:val="003111F5"/>
    <w:rsid w:val="003166AD"/>
    <w:rsid w:val="00316A31"/>
    <w:rsid w:val="0031768F"/>
    <w:rsid w:val="00320F91"/>
    <w:rsid w:val="00322CA1"/>
    <w:rsid w:val="00326995"/>
    <w:rsid w:val="00332F33"/>
    <w:rsid w:val="003410AA"/>
    <w:rsid w:val="0035004B"/>
    <w:rsid w:val="00350F68"/>
    <w:rsid w:val="00352423"/>
    <w:rsid w:val="0035339F"/>
    <w:rsid w:val="00353BA7"/>
    <w:rsid w:val="00355CC8"/>
    <w:rsid w:val="0035602F"/>
    <w:rsid w:val="003602C5"/>
    <w:rsid w:val="00362325"/>
    <w:rsid w:val="00366EA9"/>
    <w:rsid w:val="003673B3"/>
    <w:rsid w:val="00370BD6"/>
    <w:rsid w:val="00370FF7"/>
    <w:rsid w:val="003753A1"/>
    <w:rsid w:val="00375A8E"/>
    <w:rsid w:val="00375B38"/>
    <w:rsid w:val="00377113"/>
    <w:rsid w:val="00385800"/>
    <w:rsid w:val="00386042"/>
    <w:rsid w:val="00387591"/>
    <w:rsid w:val="003877BB"/>
    <w:rsid w:val="003907F7"/>
    <w:rsid w:val="00390DD1"/>
    <w:rsid w:val="00392FA5"/>
    <w:rsid w:val="00394BAD"/>
    <w:rsid w:val="0039537F"/>
    <w:rsid w:val="003959E1"/>
    <w:rsid w:val="00395DD1"/>
    <w:rsid w:val="0039676D"/>
    <w:rsid w:val="003A2A18"/>
    <w:rsid w:val="003A4338"/>
    <w:rsid w:val="003A4AB4"/>
    <w:rsid w:val="003A54CF"/>
    <w:rsid w:val="003A58A5"/>
    <w:rsid w:val="003A7D65"/>
    <w:rsid w:val="003B01AF"/>
    <w:rsid w:val="003B03F1"/>
    <w:rsid w:val="003B0D16"/>
    <w:rsid w:val="003B29A8"/>
    <w:rsid w:val="003B2BD6"/>
    <w:rsid w:val="003B35E7"/>
    <w:rsid w:val="003B37CE"/>
    <w:rsid w:val="003B42A8"/>
    <w:rsid w:val="003B5E76"/>
    <w:rsid w:val="003B73DF"/>
    <w:rsid w:val="003C10CC"/>
    <w:rsid w:val="003C2E1A"/>
    <w:rsid w:val="003C70E0"/>
    <w:rsid w:val="003C750F"/>
    <w:rsid w:val="003D1EB8"/>
    <w:rsid w:val="003D2240"/>
    <w:rsid w:val="003D7C57"/>
    <w:rsid w:val="003E02EE"/>
    <w:rsid w:val="003E2A53"/>
    <w:rsid w:val="003E5B28"/>
    <w:rsid w:val="003E7015"/>
    <w:rsid w:val="003E71BA"/>
    <w:rsid w:val="003E74F3"/>
    <w:rsid w:val="003F5E21"/>
    <w:rsid w:val="003F7326"/>
    <w:rsid w:val="003F7F5D"/>
    <w:rsid w:val="003F7FA8"/>
    <w:rsid w:val="00400EBE"/>
    <w:rsid w:val="0040255D"/>
    <w:rsid w:val="004034E2"/>
    <w:rsid w:val="004034FB"/>
    <w:rsid w:val="00403554"/>
    <w:rsid w:val="00403EB3"/>
    <w:rsid w:val="00404C46"/>
    <w:rsid w:val="0041066F"/>
    <w:rsid w:val="00412237"/>
    <w:rsid w:val="0041257D"/>
    <w:rsid w:val="00413BA0"/>
    <w:rsid w:val="00413BAC"/>
    <w:rsid w:val="00425D22"/>
    <w:rsid w:val="00426807"/>
    <w:rsid w:val="0043051B"/>
    <w:rsid w:val="00430842"/>
    <w:rsid w:val="00431352"/>
    <w:rsid w:val="00435EAA"/>
    <w:rsid w:val="0043692D"/>
    <w:rsid w:val="00436D8D"/>
    <w:rsid w:val="004373A7"/>
    <w:rsid w:val="004376E7"/>
    <w:rsid w:val="004404BB"/>
    <w:rsid w:val="00450122"/>
    <w:rsid w:val="00451875"/>
    <w:rsid w:val="0045220C"/>
    <w:rsid w:val="0045405A"/>
    <w:rsid w:val="004541A7"/>
    <w:rsid w:val="004549DD"/>
    <w:rsid w:val="004552E9"/>
    <w:rsid w:val="00457A5C"/>
    <w:rsid w:val="00464D37"/>
    <w:rsid w:val="00465324"/>
    <w:rsid w:val="0047063B"/>
    <w:rsid w:val="00474FBD"/>
    <w:rsid w:val="00476176"/>
    <w:rsid w:val="004878F0"/>
    <w:rsid w:val="004947F3"/>
    <w:rsid w:val="004A1786"/>
    <w:rsid w:val="004A1D9B"/>
    <w:rsid w:val="004B58E7"/>
    <w:rsid w:val="004C3D6C"/>
    <w:rsid w:val="004C4A90"/>
    <w:rsid w:val="004C5B9F"/>
    <w:rsid w:val="004C65AE"/>
    <w:rsid w:val="004C7E34"/>
    <w:rsid w:val="004D04D2"/>
    <w:rsid w:val="004D0F71"/>
    <w:rsid w:val="004D1F8D"/>
    <w:rsid w:val="004D457B"/>
    <w:rsid w:val="004E2675"/>
    <w:rsid w:val="004E3758"/>
    <w:rsid w:val="004E45E8"/>
    <w:rsid w:val="004E5EB1"/>
    <w:rsid w:val="004E5FAF"/>
    <w:rsid w:val="004E6666"/>
    <w:rsid w:val="004F2C0E"/>
    <w:rsid w:val="004F574D"/>
    <w:rsid w:val="004F5E10"/>
    <w:rsid w:val="005029EF"/>
    <w:rsid w:val="00504996"/>
    <w:rsid w:val="005052C3"/>
    <w:rsid w:val="00505F77"/>
    <w:rsid w:val="0050779A"/>
    <w:rsid w:val="005114FF"/>
    <w:rsid w:val="005128F9"/>
    <w:rsid w:val="005137A7"/>
    <w:rsid w:val="0052150D"/>
    <w:rsid w:val="005221AD"/>
    <w:rsid w:val="0052555B"/>
    <w:rsid w:val="0053009B"/>
    <w:rsid w:val="00534CC4"/>
    <w:rsid w:val="00540058"/>
    <w:rsid w:val="005404A8"/>
    <w:rsid w:val="00540855"/>
    <w:rsid w:val="00540A03"/>
    <w:rsid w:val="00540A19"/>
    <w:rsid w:val="005410D3"/>
    <w:rsid w:val="005411A9"/>
    <w:rsid w:val="005427D7"/>
    <w:rsid w:val="00542BF2"/>
    <w:rsid w:val="00543A89"/>
    <w:rsid w:val="00543E7F"/>
    <w:rsid w:val="005442A8"/>
    <w:rsid w:val="00547FDA"/>
    <w:rsid w:val="00550994"/>
    <w:rsid w:val="0055186C"/>
    <w:rsid w:val="00556CB0"/>
    <w:rsid w:val="00557542"/>
    <w:rsid w:val="00561FA7"/>
    <w:rsid w:val="00567BE6"/>
    <w:rsid w:val="0057490E"/>
    <w:rsid w:val="0057495C"/>
    <w:rsid w:val="00583423"/>
    <w:rsid w:val="00583AB2"/>
    <w:rsid w:val="00584D3E"/>
    <w:rsid w:val="00585170"/>
    <w:rsid w:val="005A1413"/>
    <w:rsid w:val="005A1A0F"/>
    <w:rsid w:val="005A2707"/>
    <w:rsid w:val="005A38DC"/>
    <w:rsid w:val="005A4586"/>
    <w:rsid w:val="005A5494"/>
    <w:rsid w:val="005A6E4E"/>
    <w:rsid w:val="005A71AA"/>
    <w:rsid w:val="005B47F9"/>
    <w:rsid w:val="005B4866"/>
    <w:rsid w:val="005B7ADB"/>
    <w:rsid w:val="005C094F"/>
    <w:rsid w:val="005C2FF3"/>
    <w:rsid w:val="005C6E58"/>
    <w:rsid w:val="005C6F20"/>
    <w:rsid w:val="005C76C1"/>
    <w:rsid w:val="005D0892"/>
    <w:rsid w:val="005D2534"/>
    <w:rsid w:val="005D30F6"/>
    <w:rsid w:val="005D6296"/>
    <w:rsid w:val="005E1E15"/>
    <w:rsid w:val="005E3497"/>
    <w:rsid w:val="005E53D6"/>
    <w:rsid w:val="005E593B"/>
    <w:rsid w:val="005F2356"/>
    <w:rsid w:val="005F382C"/>
    <w:rsid w:val="005F44BE"/>
    <w:rsid w:val="00600F25"/>
    <w:rsid w:val="006047AB"/>
    <w:rsid w:val="00605568"/>
    <w:rsid w:val="0060683E"/>
    <w:rsid w:val="00606DEC"/>
    <w:rsid w:val="00610AF6"/>
    <w:rsid w:val="00612592"/>
    <w:rsid w:val="00612E64"/>
    <w:rsid w:val="00614FB2"/>
    <w:rsid w:val="006171E1"/>
    <w:rsid w:val="00620132"/>
    <w:rsid w:val="006209C6"/>
    <w:rsid w:val="00621A50"/>
    <w:rsid w:val="00624C6F"/>
    <w:rsid w:val="00626E8C"/>
    <w:rsid w:val="00632D35"/>
    <w:rsid w:val="00634B24"/>
    <w:rsid w:val="00635678"/>
    <w:rsid w:val="006370E7"/>
    <w:rsid w:val="00640BB2"/>
    <w:rsid w:val="00640EA3"/>
    <w:rsid w:val="00645016"/>
    <w:rsid w:val="00650459"/>
    <w:rsid w:val="00652D92"/>
    <w:rsid w:val="00653468"/>
    <w:rsid w:val="00654A15"/>
    <w:rsid w:val="006555B7"/>
    <w:rsid w:val="006570A6"/>
    <w:rsid w:val="0065772B"/>
    <w:rsid w:val="00661695"/>
    <w:rsid w:val="00661997"/>
    <w:rsid w:val="00661D2B"/>
    <w:rsid w:val="00663B87"/>
    <w:rsid w:val="00666DA0"/>
    <w:rsid w:val="00671534"/>
    <w:rsid w:val="00673A76"/>
    <w:rsid w:val="00675B7D"/>
    <w:rsid w:val="00676AAF"/>
    <w:rsid w:val="00683403"/>
    <w:rsid w:val="006852C1"/>
    <w:rsid w:val="00687FDB"/>
    <w:rsid w:val="0069399D"/>
    <w:rsid w:val="0069403F"/>
    <w:rsid w:val="00694B2D"/>
    <w:rsid w:val="0069571E"/>
    <w:rsid w:val="00697952"/>
    <w:rsid w:val="006A0B76"/>
    <w:rsid w:val="006A0E78"/>
    <w:rsid w:val="006A0F32"/>
    <w:rsid w:val="006A1D81"/>
    <w:rsid w:val="006A3957"/>
    <w:rsid w:val="006A7916"/>
    <w:rsid w:val="006A798A"/>
    <w:rsid w:val="006B031F"/>
    <w:rsid w:val="006B0B67"/>
    <w:rsid w:val="006C4BAC"/>
    <w:rsid w:val="006C55D1"/>
    <w:rsid w:val="006C79B2"/>
    <w:rsid w:val="006D00E6"/>
    <w:rsid w:val="006D3B39"/>
    <w:rsid w:val="006D6AF6"/>
    <w:rsid w:val="006E646F"/>
    <w:rsid w:val="006F1A6E"/>
    <w:rsid w:val="006F28E4"/>
    <w:rsid w:val="006F2D07"/>
    <w:rsid w:val="006F5EB8"/>
    <w:rsid w:val="00700E1A"/>
    <w:rsid w:val="00702EDB"/>
    <w:rsid w:val="00703EEB"/>
    <w:rsid w:val="00703FCD"/>
    <w:rsid w:val="00705841"/>
    <w:rsid w:val="0071010E"/>
    <w:rsid w:val="00710F10"/>
    <w:rsid w:val="00713941"/>
    <w:rsid w:val="00714E91"/>
    <w:rsid w:val="0071532E"/>
    <w:rsid w:val="00727B5C"/>
    <w:rsid w:val="00731212"/>
    <w:rsid w:val="0073197C"/>
    <w:rsid w:val="00732671"/>
    <w:rsid w:val="007332DA"/>
    <w:rsid w:val="00734B61"/>
    <w:rsid w:val="007353CB"/>
    <w:rsid w:val="00736931"/>
    <w:rsid w:val="0073707C"/>
    <w:rsid w:val="007407F6"/>
    <w:rsid w:val="00740A14"/>
    <w:rsid w:val="00741741"/>
    <w:rsid w:val="00745006"/>
    <w:rsid w:val="0074535F"/>
    <w:rsid w:val="00745796"/>
    <w:rsid w:val="007516AD"/>
    <w:rsid w:val="00751B50"/>
    <w:rsid w:val="00753854"/>
    <w:rsid w:val="00754C55"/>
    <w:rsid w:val="0075584F"/>
    <w:rsid w:val="00755EA1"/>
    <w:rsid w:val="007605F1"/>
    <w:rsid w:val="00761415"/>
    <w:rsid w:val="00761667"/>
    <w:rsid w:val="00762878"/>
    <w:rsid w:val="007657BB"/>
    <w:rsid w:val="00766DE1"/>
    <w:rsid w:val="00773310"/>
    <w:rsid w:val="007807A1"/>
    <w:rsid w:val="00782C6C"/>
    <w:rsid w:val="00786CBF"/>
    <w:rsid w:val="0079188E"/>
    <w:rsid w:val="007923BF"/>
    <w:rsid w:val="00797AEE"/>
    <w:rsid w:val="007A465B"/>
    <w:rsid w:val="007A66B7"/>
    <w:rsid w:val="007B0B3C"/>
    <w:rsid w:val="007B2E51"/>
    <w:rsid w:val="007B3B7A"/>
    <w:rsid w:val="007B3EAD"/>
    <w:rsid w:val="007B769B"/>
    <w:rsid w:val="007C0F30"/>
    <w:rsid w:val="007D4EA1"/>
    <w:rsid w:val="007E010E"/>
    <w:rsid w:val="007E0E19"/>
    <w:rsid w:val="007E0E70"/>
    <w:rsid w:val="007E30F6"/>
    <w:rsid w:val="007E4431"/>
    <w:rsid w:val="007E6A69"/>
    <w:rsid w:val="007E6D00"/>
    <w:rsid w:val="007F3350"/>
    <w:rsid w:val="007F4A69"/>
    <w:rsid w:val="007F77F6"/>
    <w:rsid w:val="007F7D25"/>
    <w:rsid w:val="0080015B"/>
    <w:rsid w:val="0080191E"/>
    <w:rsid w:val="008020F8"/>
    <w:rsid w:val="008064A0"/>
    <w:rsid w:val="00806550"/>
    <w:rsid w:val="00807264"/>
    <w:rsid w:val="00813573"/>
    <w:rsid w:val="00814CAF"/>
    <w:rsid w:val="00815509"/>
    <w:rsid w:val="008157EC"/>
    <w:rsid w:val="00817720"/>
    <w:rsid w:val="00817ED3"/>
    <w:rsid w:val="00821581"/>
    <w:rsid w:val="00823D5C"/>
    <w:rsid w:val="00826A84"/>
    <w:rsid w:val="00833BAE"/>
    <w:rsid w:val="00833D1F"/>
    <w:rsid w:val="00834C77"/>
    <w:rsid w:val="00835B3C"/>
    <w:rsid w:val="008419C0"/>
    <w:rsid w:val="008431D5"/>
    <w:rsid w:val="008440C1"/>
    <w:rsid w:val="008447F1"/>
    <w:rsid w:val="00845BB2"/>
    <w:rsid w:val="00850D51"/>
    <w:rsid w:val="0085169E"/>
    <w:rsid w:val="0085237D"/>
    <w:rsid w:val="008529E1"/>
    <w:rsid w:val="00854644"/>
    <w:rsid w:val="00855F3F"/>
    <w:rsid w:val="00857746"/>
    <w:rsid w:val="008606D1"/>
    <w:rsid w:val="00862177"/>
    <w:rsid w:val="008626F3"/>
    <w:rsid w:val="00864404"/>
    <w:rsid w:val="008732C0"/>
    <w:rsid w:val="00873675"/>
    <w:rsid w:val="0087450C"/>
    <w:rsid w:val="00876FFC"/>
    <w:rsid w:val="00877042"/>
    <w:rsid w:val="00877C91"/>
    <w:rsid w:val="00881F57"/>
    <w:rsid w:val="00882E3D"/>
    <w:rsid w:val="00885A24"/>
    <w:rsid w:val="00886EF8"/>
    <w:rsid w:val="00887840"/>
    <w:rsid w:val="00890611"/>
    <w:rsid w:val="00894115"/>
    <w:rsid w:val="00896C30"/>
    <w:rsid w:val="00897C13"/>
    <w:rsid w:val="008A0772"/>
    <w:rsid w:val="008A3D69"/>
    <w:rsid w:val="008A53CF"/>
    <w:rsid w:val="008A7931"/>
    <w:rsid w:val="008B13A2"/>
    <w:rsid w:val="008B1A24"/>
    <w:rsid w:val="008B342E"/>
    <w:rsid w:val="008B3480"/>
    <w:rsid w:val="008B57A2"/>
    <w:rsid w:val="008B64A0"/>
    <w:rsid w:val="008C1E24"/>
    <w:rsid w:val="008C1FBC"/>
    <w:rsid w:val="008C4A85"/>
    <w:rsid w:val="008D2659"/>
    <w:rsid w:val="008D2C35"/>
    <w:rsid w:val="008D6806"/>
    <w:rsid w:val="008E3723"/>
    <w:rsid w:val="008E49E1"/>
    <w:rsid w:val="008E60FD"/>
    <w:rsid w:val="008E7C35"/>
    <w:rsid w:val="008F2128"/>
    <w:rsid w:val="008F3FA6"/>
    <w:rsid w:val="008F60B3"/>
    <w:rsid w:val="008F6647"/>
    <w:rsid w:val="009019F4"/>
    <w:rsid w:val="0090562F"/>
    <w:rsid w:val="00907B14"/>
    <w:rsid w:val="0091166D"/>
    <w:rsid w:val="00915B15"/>
    <w:rsid w:val="009166DF"/>
    <w:rsid w:val="00917077"/>
    <w:rsid w:val="00917ADF"/>
    <w:rsid w:val="00921C44"/>
    <w:rsid w:val="009222AC"/>
    <w:rsid w:val="00923CBC"/>
    <w:rsid w:val="00927578"/>
    <w:rsid w:val="00930100"/>
    <w:rsid w:val="009315F1"/>
    <w:rsid w:val="009326BD"/>
    <w:rsid w:val="009347E0"/>
    <w:rsid w:val="0093490B"/>
    <w:rsid w:val="00934FF6"/>
    <w:rsid w:val="00936AF7"/>
    <w:rsid w:val="00937389"/>
    <w:rsid w:val="00942006"/>
    <w:rsid w:val="00944F3C"/>
    <w:rsid w:val="00945A3C"/>
    <w:rsid w:val="00945CBC"/>
    <w:rsid w:val="00947D46"/>
    <w:rsid w:val="00955A59"/>
    <w:rsid w:val="00956AAB"/>
    <w:rsid w:val="009572F4"/>
    <w:rsid w:val="00957333"/>
    <w:rsid w:val="009614F6"/>
    <w:rsid w:val="0096239D"/>
    <w:rsid w:val="00963F2E"/>
    <w:rsid w:val="0096552C"/>
    <w:rsid w:val="0096646A"/>
    <w:rsid w:val="00971D61"/>
    <w:rsid w:val="00972533"/>
    <w:rsid w:val="0097475A"/>
    <w:rsid w:val="00974B27"/>
    <w:rsid w:val="00974E93"/>
    <w:rsid w:val="00975C13"/>
    <w:rsid w:val="00976831"/>
    <w:rsid w:val="00977305"/>
    <w:rsid w:val="009807B5"/>
    <w:rsid w:val="009816CA"/>
    <w:rsid w:val="009849CC"/>
    <w:rsid w:val="009854DC"/>
    <w:rsid w:val="00986C79"/>
    <w:rsid w:val="00990626"/>
    <w:rsid w:val="00990749"/>
    <w:rsid w:val="009911E6"/>
    <w:rsid w:val="0099345A"/>
    <w:rsid w:val="00994009"/>
    <w:rsid w:val="009946A8"/>
    <w:rsid w:val="009A2524"/>
    <w:rsid w:val="009A2598"/>
    <w:rsid w:val="009A3EA1"/>
    <w:rsid w:val="009A4375"/>
    <w:rsid w:val="009A7C0A"/>
    <w:rsid w:val="009B0BEB"/>
    <w:rsid w:val="009B2733"/>
    <w:rsid w:val="009B5544"/>
    <w:rsid w:val="009B7F2B"/>
    <w:rsid w:val="009C0906"/>
    <w:rsid w:val="009C0FC8"/>
    <w:rsid w:val="009C23DD"/>
    <w:rsid w:val="009C5430"/>
    <w:rsid w:val="009D7138"/>
    <w:rsid w:val="009D749E"/>
    <w:rsid w:val="009E4D9E"/>
    <w:rsid w:val="009E4EFF"/>
    <w:rsid w:val="009E559A"/>
    <w:rsid w:val="009F3012"/>
    <w:rsid w:val="009F6A4F"/>
    <w:rsid w:val="009F6B23"/>
    <w:rsid w:val="00A00087"/>
    <w:rsid w:val="00A01C70"/>
    <w:rsid w:val="00A031FB"/>
    <w:rsid w:val="00A07005"/>
    <w:rsid w:val="00A07F35"/>
    <w:rsid w:val="00A10B8C"/>
    <w:rsid w:val="00A11B55"/>
    <w:rsid w:val="00A128FF"/>
    <w:rsid w:val="00A12D47"/>
    <w:rsid w:val="00A15549"/>
    <w:rsid w:val="00A1558C"/>
    <w:rsid w:val="00A22794"/>
    <w:rsid w:val="00A24711"/>
    <w:rsid w:val="00A25BF7"/>
    <w:rsid w:val="00A30A4B"/>
    <w:rsid w:val="00A333C0"/>
    <w:rsid w:val="00A35BD6"/>
    <w:rsid w:val="00A40583"/>
    <w:rsid w:val="00A53E18"/>
    <w:rsid w:val="00A61C6D"/>
    <w:rsid w:val="00A634EE"/>
    <w:rsid w:val="00A71389"/>
    <w:rsid w:val="00A74F6A"/>
    <w:rsid w:val="00A7680E"/>
    <w:rsid w:val="00A774A2"/>
    <w:rsid w:val="00A830C6"/>
    <w:rsid w:val="00A85BB6"/>
    <w:rsid w:val="00A941FB"/>
    <w:rsid w:val="00A96470"/>
    <w:rsid w:val="00AA005A"/>
    <w:rsid w:val="00AA13B3"/>
    <w:rsid w:val="00AA2E6E"/>
    <w:rsid w:val="00AA3512"/>
    <w:rsid w:val="00AA3A05"/>
    <w:rsid w:val="00AA5906"/>
    <w:rsid w:val="00AA79B8"/>
    <w:rsid w:val="00AA7B2B"/>
    <w:rsid w:val="00AB039F"/>
    <w:rsid w:val="00AB0AE1"/>
    <w:rsid w:val="00AB1862"/>
    <w:rsid w:val="00AC0368"/>
    <w:rsid w:val="00AC0E80"/>
    <w:rsid w:val="00AC2216"/>
    <w:rsid w:val="00AC3357"/>
    <w:rsid w:val="00AC44A2"/>
    <w:rsid w:val="00AC6E94"/>
    <w:rsid w:val="00AC6F90"/>
    <w:rsid w:val="00AD11DB"/>
    <w:rsid w:val="00AD203F"/>
    <w:rsid w:val="00AD45A0"/>
    <w:rsid w:val="00AD5529"/>
    <w:rsid w:val="00AD69F8"/>
    <w:rsid w:val="00AD6FDC"/>
    <w:rsid w:val="00AE1EB9"/>
    <w:rsid w:val="00AE56FC"/>
    <w:rsid w:val="00AF21DE"/>
    <w:rsid w:val="00AF3501"/>
    <w:rsid w:val="00B00911"/>
    <w:rsid w:val="00B02678"/>
    <w:rsid w:val="00B036E9"/>
    <w:rsid w:val="00B11A6C"/>
    <w:rsid w:val="00B13213"/>
    <w:rsid w:val="00B135E4"/>
    <w:rsid w:val="00B16815"/>
    <w:rsid w:val="00B16FBE"/>
    <w:rsid w:val="00B211CC"/>
    <w:rsid w:val="00B23992"/>
    <w:rsid w:val="00B250CE"/>
    <w:rsid w:val="00B26053"/>
    <w:rsid w:val="00B261D8"/>
    <w:rsid w:val="00B27C4F"/>
    <w:rsid w:val="00B31160"/>
    <w:rsid w:val="00B319A5"/>
    <w:rsid w:val="00B326E9"/>
    <w:rsid w:val="00B33AB2"/>
    <w:rsid w:val="00B36ED9"/>
    <w:rsid w:val="00B41AD4"/>
    <w:rsid w:val="00B50774"/>
    <w:rsid w:val="00B52BB7"/>
    <w:rsid w:val="00B52BFC"/>
    <w:rsid w:val="00B57BB0"/>
    <w:rsid w:val="00B601A0"/>
    <w:rsid w:val="00B6326F"/>
    <w:rsid w:val="00B64EE3"/>
    <w:rsid w:val="00B65241"/>
    <w:rsid w:val="00B71E10"/>
    <w:rsid w:val="00B7389D"/>
    <w:rsid w:val="00B739C1"/>
    <w:rsid w:val="00B8075B"/>
    <w:rsid w:val="00B85345"/>
    <w:rsid w:val="00B8549E"/>
    <w:rsid w:val="00B86894"/>
    <w:rsid w:val="00B87935"/>
    <w:rsid w:val="00B87EE2"/>
    <w:rsid w:val="00B93A8B"/>
    <w:rsid w:val="00B94703"/>
    <w:rsid w:val="00B96138"/>
    <w:rsid w:val="00BA1113"/>
    <w:rsid w:val="00BA641E"/>
    <w:rsid w:val="00BB0D1E"/>
    <w:rsid w:val="00BB236E"/>
    <w:rsid w:val="00BB510D"/>
    <w:rsid w:val="00BC2480"/>
    <w:rsid w:val="00BC3555"/>
    <w:rsid w:val="00BC410C"/>
    <w:rsid w:val="00BC48E9"/>
    <w:rsid w:val="00BC6A4A"/>
    <w:rsid w:val="00BD2978"/>
    <w:rsid w:val="00BD316C"/>
    <w:rsid w:val="00BD630C"/>
    <w:rsid w:val="00BE089E"/>
    <w:rsid w:val="00BE29CC"/>
    <w:rsid w:val="00BE3EFA"/>
    <w:rsid w:val="00BE5193"/>
    <w:rsid w:val="00BE60A6"/>
    <w:rsid w:val="00BF1C45"/>
    <w:rsid w:val="00BF503B"/>
    <w:rsid w:val="00BF5FCB"/>
    <w:rsid w:val="00BF74FF"/>
    <w:rsid w:val="00BF7AB2"/>
    <w:rsid w:val="00C028A3"/>
    <w:rsid w:val="00C0347F"/>
    <w:rsid w:val="00C04DD8"/>
    <w:rsid w:val="00C117B3"/>
    <w:rsid w:val="00C153F2"/>
    <w:rsid w:val="00C15D15"/>
    <w:rsid w:val="00C1771F"/>
    <w:rsid w:val="00C212CC"/>
    <w:rsid w:val="00C24EA3"/>
    <w:rsid w:val="00C256AC"/>
    <w:rsid w:val="00C27B10"/>
    <w:rsid w:val="00C30445"/>
    <w:rsid w:val="00C3129A"/>
    <w:rsid w:val="00C32D0A"/>
    <w:rsid w:val="00C33516"/>
    <w:rsid w:val="00C34653"/>
    <w:rsid w:val="00C369DE"/>
    <w:rsid w:val="00C37598"/>
    <w:rsid w:val="00C4366F"/>
    <w:rsid w:val="00C4396F"/>
    <w:rsid w:val="00C439C5"/>
    <w:rsid w:val="00C43A2E"/>
    <w:rsid w:val="00C45946"/>
    <w:rsid w:val="00C527C3"/>
    <w:rsid w:val="00C53266"/>
    <w:rsid w:val="00C543EA"/>
    <w:rsid w:val="00C606D3"/>
    <w:rsid w:val="00C61A78"/>
    <w:rsid w:val="00C63853"/>
    <w:rsid w:val="00C63CD4"/>
    <w:rsid w:val="00C64145"/>
    <w:rsid w:val="00C66F6B"/>
    <w:rsid w:val="00C7038A"/>
    <w:rsid w:val="00C73E10"/>
    <w:rsid w:val="00C832D4"/>
    <w:rsid w:val="00C86180"/>
    <w:rsid w:val="00C9051D"/>
    <w:rsid w:val="00C93DDF"/>
    <w:rsid w:val="00C95D88"/>
    <w:rsid w:val="00CA1DBC"/>
    <w:rsid w:val="00CA4103"/>
    <w:rsid w:val="00CB0F3A"/>
    <w:rsid w:val="00CB1C71"/>
    <w:rsid w:val="00CB1E3F"/>
    <w:rsid w:val="00CB40F2"/>
    <w:rsid w:val="00CB5162"/>
    <w:rsid w:val="00CB6EDE"/>
    <w:rsid w:val="00CC1349"/>
    <w:rsid w:val="00CC2B12"/>
    <w:rsid w:val="00CC3DCC"/>
    <w:rsid w:val="00CD06B2"/>
    <w:rsid w:val="00CD46A7"/>
    <w:rsid w:val="00CD4E65"/>
    <w:rsid w:val="00CD6433"/>
    <w:rsid w:val="00CD7240"/>
    <w:rsid w:val="00CD765C"/>
    <w:rsid w:val="00CE3FAD"/>
    <w:rsid w:val="00CE45EB"/>
    <w:rsid w:val="00CE678E"/>
    <w:rsid w:val="00CE6800"/>
    <w:rsid w:val="00CE7911"/>
    <w:rsid w:val="00D003EF"/>
    <w:rsid w:val="00D036FA"/>
    <w:rsid w:val="00D05203"/>
    <w:rsid w:val="00D122B3"/>
    <w:rsid w:val="00D12DBF"/>
    <w:rsid w:val="00D13D2B"/>
    <w:rsid w:val="00D14342"/>
    <w:rsid w:val="00D24CC7"/>
    <w:rsid w:val="00D43A01"/>
    <w:rsid w:val="00D44FF6"/>
    <w:rsid w:val="00D453DD"/>
    <w:rsid w:val="00D45B40"/>
    <w:rsid w:val="00D559EC"/>
    <w:rsid w:val="00D562D3"/>
    <w:rsid w:val="00D572AE"/>
    <w:rsid w:val="00D57F64"/>
    <w:rsid w:val="00D62C5D"/>
    <w:rsid w:val="00D63A99"/>
    <w:rsid w:val="00D64B86"/>
    <w:rsid w:val="00D66E14"/>
    <w:rsid w:val="00D671E6"/>
    <w:rsid w:val="00D711B4"/>
    <w:rsid w:val="00D73444"/>
    <w:rsid w:val="00D76DBB"/>
    <w:rsid w:val="00D83865"/>
    <w:rsid w:val="00D848D4"/>
    <w:rsid w:val="00D873EB"/>
    <w:rsid w:val="00D91883"/>
    <w:rsid w:val="00D9276F"/>
    <w:rsid w:val="00D92E45"/>
    <w:rsid w:val="00D93AC8"/>
    <w:rsid w:val="00D95C8F"/>
    <w:rsid w:val="00D960BA"/>
    <w:rsid w:val="00DA08B1"/>
    <w:rsid w:val="00DA0905"/>
    <w:rsid w:val="00DA15CC"/>
    <w:rsid w:val="00DA16CF"/>
    <w:rsid w:val="00DA67A7"/>
    <w:rsid w:val="00DB12AB"/>
    <w:rsid w:val="00DB4D0A"/>
    <w:rsid w:val="00DB539C"/>
    <w:rsid w:val="00DC0E40"/>
    <w:rsid w:val="00DC4940"/>
    <w:rsid w:val="00DC4B3E"/>
    <w:rsid w:val="00DC682B"/>
    <w:rsid w:val="00DD017B"/>
    <w:rsid w:val="00DD1D63"/>
    <w:rsid w:val="00DD1FDB"/>
    <w:rsid w:val="00DD31AA"/>
    <w:rsid w:val="00DD4268"/>
    <w:rsid w:val="00DD54C7"/>
    <w:rsid w:val="00DE1532"/>
    <w:rsid w:val="00DE2BE5"/>
    <w:rsid w:val="00DE3E95"/>
    <w:rsid w:val="00DE517B"/>
    <w:rsid w:val="00DE7C5B"/>
    <w:rsid w:val="00DF11B8"/>
    <w:rsid w:val="00DF1206"/>
    <w:rsid w:val="00DF2541"/>
    <w:rsid w:val="00DF2BAC"/>
    <w:rsid w:val="00DF2C39"/>
    <w:rsid w:val="00DF36C5"/>
    <w:rsid w:val="00DF796A"/>
    <w:rsid w:val="00E011F6"/>
    <w:rsid w:val="00E05446"/>
    <w:rsid w:val="00E11FC8"/>
    <w:rsid w:val="00E25EAD"/>
    <w:rsid w:val="00E27BF9"/>
    <w:rsid w:val="00E30757"/>
    <w:rsid w:val="00E328B2"/>
    <w:rsid w:val="00E3565C"/>
    <w:rsid w:val="00E35C30"/>
    <w:rsid w:val="00E35DA9"/>
    <w:rsid w:val="00E35DC1"/>
    <w:rsid w:val="00E40291"/>
    <w:rsid w:val="00E403BE"/>
    <w:rsid w:val="00E4335D"/>
    <w:rsid w:val="00E43A54"/>
    <w:rsid w:val="00E46688"/>
    <w:rsid w:val="00E47562"/>
    <w:rsid w:val="00E5105E"/>
    <w:rsid w:val="00E5147F"/>
    <w:rsid w:val="00E51BA9"/>
    <w:rsid w:val="00E526AE"/>
    <w:rsid w:val="00E544A0"/>
    <w:rsid w:val="00E558F8"/>
    <w:rsid w:val="00E645B3"/>
    <w:rsid w:val="00E72F95"/>
    <w:rsid w:val="00E73733"/>
    <w:rsid w:val="00E81D67"/>
    <w:rsid w:val="00E85C4D"/>
    <w:rsid w:val="00E8679E"/>
    <w:rsid w:val="00E87C9E"/>
    <w:rsid w:val="00E91C24"/>
    <w:rsid w:val="00E94E2C"/>
    <w:rsid w:val="00E94FBB"/>
    <w:rsid w:val="00E95A76"/>
    <w:rsid w:val="00E9619D"/>
    <w:rsid w:val="00E96CCD"/>
    <w:rsid w:val="00E96D59"/>
    <w:rsid w:val="00EA0CC6"/>
    <w:rsid w:val="00EA1BB0"/>
    <w:rsid w:val="00EA3BA4"/>
    <w:rsid w:val="00EA4033"/>
    <w:rsid w:val="00EA4191"/>
    <w:rsid w:val="00EA7671"/>
    <w:rsid w:val="00EA7FB8"/>
    <w:rsid w:val="00EB52F0"/>
    <w:rsid w:val="00EB5687"/>
    <w:rsid w:val="00EC244E"/>
    <w:rsid w:val="00EC2DEC"/>
    <w:rsid w:val="00ED2F37"/>
    <w:rsid w:val="00ED3BB1"/>
    <w:rsid w:val="00ED5299"/>
    <w:rsid w:val="00ED749C"/>
    <w:rsid w:val="00ED760D"/>
    <w:rsid w:val="00EE04AE"/>
    <w:rsid w:val="00EE1F44"/>
    <w:rsid w:val="00EE2E70"/>
    <w:rsid w:val="00EE39AF"/>
    <w:rsid w:val="00EE5570"/>
    <w:rsid w:val="00EE5A7C"/>
    <w:rsid w:val="00EF2421"/>
    <w:rsid w:val="00EF5CF9"/>
    <w:rsid w:val="00F01C45"/>
    <w:rsid w:val="00F036D4"/>
    <w:rsid w:val="00F0386E"/>
    <w:rsid w:val="00F1102D"/>
    <w:rsid w:val="00F11A65"/>
    <w:rsid w:val="00F11C52"/>
    <w:rsid w:val="00F11E41"/>
    <w:rsid w:val="00F12432"/>
    <w:rsid w:val="00F14517"/>
    <w:rsid w:val="00F15611"/>
    <w:rsid w:val="00F166FE"/>
    <w:rsid w:val="00F217A1"/>
    <w:rsid w:val="00F253B9"/>
    <w:rsid w:val="00F27FDC"/>
    <w:rsid w:val="00F309E2"/>
    <w:rsid w:val="00F30FF6"/>
    <w:rsid w:val="00F32C82"/>
    <w:rsid w:val="00F34E8F"/>
    <w:rsid w:val="00F356DC"/>
    <w:rsid w:val="00F37382"/>
    <w:rsid w:val="00F37C7F"/>
    <w:rsid w:val="00F43798"/>
    <w:rsid w:val="00F44040"/>
    <w:rsid w:val="00F466A8"/>
    <w:rsid w:val="00F47194"/>
    <w:rsid w:val="00F47DB7"/>
    <w:rsid w:val="00F509AD"/>
    <w:rsid w:val="00F51091"/>
    <w:rsid w:val="00F51424"/>
    <w:rsid w:val="00F52F93"/>
    <w:rsid w:val="00F5315F"/>
    <w:rsid w:val="00F640AA"/>
    <w:rsid w:val="00F640DE"/>
    <w:rsid w:val="00F702EC"/>
    <w:rsid w:val="00F70869"/>
    <w:rsid w:val="00F72696"/>
    <w:rsid w:val="00F73E6A"/>
    <w:rsid w:val="00F74A34"/>
    <w:rsid w:val="00F76F54"/>
    <w:rsid w:val="00F7719D"/>
    <w:rsid w:val="00F80287"/>
    <w:rsid w:val="00F815F2"/>
    <w:rsid w:val="00F823A3"/>
    <w:rsid w:val="00F84FBC"/>
    <w:rsid w:val="00F86F15"/>
    <w:rsid w:val="00F90E41"/>
    <w:rsid w:val="00F91C41"/>
    <w:rsid w:val="00F9586E"/>
    <w:rsid w:val="00F96A7C"/>
    <w:rsid w:val="00FA031F"/>
    <w:rsid w:val="00FA22DB"/>
    <w:rsid w:val="00FA4E73"/>
    <w:rsid w:val="00FA544D"/>
    <w:rsid w:val="00FA7377"/>
    <w:rsid w:val="00FA77FB"/>
    <w:rsid w:val="00FA7E5F"/>
    <w:rsid w:val="00FB0966"/>
    <w:rsid w:val="00FB0ED8"/>
    <w:rsid w:val="00FB27E8"/>
    <w:rsid w:val="00FB2999"/>
    <w:rsid w:val="00FB4E23"/>
    <w:rsid w:val="00FB5515"/>
    <w:rsid w:val="00FB69BD"/>
    <w:rsid w:val="00FC1569"/>
    <w:rsid w:val="00FC259B"/>
    <w:rsid w:val="00FC28E0"/>
    <w:rsid w:val="00FC3CC3"/>
    <w:rsid w:val="00FC77EF"/>
    <w:rsid w:val="00FD4DAF"/>
    <w:rsid w:val="00FD58CE"/>
    <w:rsid w:val="00FD6C87"/>
    <w:rsid w:val="00FD7BBD"/>
    <w:rsid w:val="00FE0B34"/>
    <w:rsid w:val="00FE1056"/>
    <w:rsid w:val="00FE2A13"/>
    <w:rsid w:val="00FE4C72"/>
    <w:rsid w:val="00FF0E2F"/>
    <w:rsid w:val="00FF19E5"/>
    <w:rsid w:val="00FF3911"/>
    <w:rsid w:val="00FF5516"/>
    <w:rsid w:val="00FF60BE"/>
    <w:rsid w:val="00FF77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5:docId w15:val="{5E19D55B-2634-48FB-B6C3-79489124B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992"/>
    <w:rPr>
      <w:lang w:val="nl-NL"/>
    </w:rPr>
  </w:style>
  <w:style w:type="paragraph" w:styleId="Heading1">
    <w:name w:val="heading 1"/>
    <w:basedOn w:val="Normal"/>
    <w:next w:val="Normal"/>
    <w:link w:val="Heading1Char"/>
    <w:uiPriority w:val="9"/>
    <w:qFormat/>
    <w:rsid w:val="003034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9403F"/>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Heading4">
    <w:name w:val="heading 4"/>
    <w:basedOn w:val="Normal"/>
    <w:next w:val="Normal"/>
    <w:link w:val="Heading4Char"/>
    <w:uiPriority w:val="9"/>
    <w:semiHidden/>
    <w:unhideWhenUsed/>
    <w:qFormat/>
    <w:rsid w:val="009807B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34D9"/>
    <w:rPr>
      <w:rFonts w:asciiTheme="majorHAnsi" w:eastAsiaTheme="majorEastAsia" w:hAnsiTheme="majorHAnsi" w:cstheme="majorBidi"/>
      <w:b/>
      <w:bCs/>
      <w:color w:val="365F91" w:themeColor="accent1" w:themeShade="BF"/>
      <w:sz w:val="28"/>
      <w:szCs w:val="28"/>
      <w:lang w:val="nl-NL"/>
    </w:rPr>
  </w:style>
  <w:style w:type="character" w:customStyle="1" w:styleId="Heading2Char">
    <w:name w:val="Heading 2 Char"/>
    <w:basedOn w:val="DefaultParagraphFont"/>
    <w:link w:val="Heading2"/>
    <w:uiPriority w:val="9"/>
    <w:rsid w:val="0069403F"/>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semiHidden/>
    <w:rsid w:val="009807B5"/>
    <w:rPr>
      <w:rFonts w:asciiTheme="majorHAnsi" w:eastAsiaTheme="majorEastAsia" w:hAnsiTheme="majorHAnsi" w:cstheme="majorBidi"/>
      <w:b/>
      <w:bCs/>
      <w:i/>
      <w:iCs/>
      <w:color w:val="4F81BD" w:themeColor="accent1"/>
      <w:lang w:val="nl-NL"/>
    </w:rPr>
  </w:style>
  <w:style w:type="character" w:customStyle="1" w:styleId="apple-converted-space">
    <w:name w:val="apple-converted-space"/>
    <w:basedOn w:val="DefaultParagraphFont"/>
    <w:rsid w:val="00130B6B"/>
  </w:style>
  <w:style w:type="character" w:styleId="Strong">
    <w:name w:val="Strong"/>
    <w:basedOn w:val="DefaultParagraphFont"/>
    <w:uiPriority w:val="22"/>
    <w:qFormat/>
    <w:rsid w:val="00130B6B"/>
    <w:rPr>
      <w:b/>
      <w:bCs/>
    </w:rPr>
  </w:style>
  <w:style w:type="character" w:styleId="Hyperlink">
    <w:name w:val="Hyperlink"/>
    <w:basedOn w:val="DefaultParagraphFont"/>
    <w:uiPriority w:val="99"/>
    <w:unhideWhenUsed/>
    <w:rsid w:val="0031768F"/>
    <w:rPr>
      <w:color w:val="0000FF"/>
      <w:u w:val="single"/>
    </w:rPr>
  </w:style>
  <w:style w:type="paragraph" w:styleId="NormalWeb">
    <w:name w:val="Normal (Web)"/>
    <w:basedOn w:val="Normal"/>
    <w:uiPriority w:val="99"/>
    <w:unhideWhenUsed/>
    <w:rsid w:val="00561FA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tkrname">
    <w:name w:val="tkrname"/>
    <w:basedOn w:val="DefaultParagraphFont"/>
    <w:rsid w:val="00E05446"/>
  </w:style>
  <w:style w:type="character" w:customStyle="1" w:styleId="tkrchange">
    <w:name w:val="tkrchange"/>
    <w:basedOn w:val="DefaultParagraphFont"/>
    <w:rsid w:val="00E05446"/>
  </w:style>
  <w:style w:type="paragraph" w:styleId="BalloonText">
    <w:name w:val="Balloon Text"/>
    <w:basedOn w:val="Normal"/>
    <w:link w:val="BalloonTextChar"/>
    <w:uiPriority w:val="99"/>
    <w:semiHidden/>
    <w:unhideWhenUsed/>
    <w:rsid w:val="00E054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446"/>
    <w:rPr>
      <w:rFonts w:ascii="Tahoma" w:hAnsi="Tahoma" w:cs="Tahoma"/>
      <w:sz w:val="16"/>
      <w:szCs w:val="16"/>
      <w:lang w:val="nl-NL"/>
    </w:rPr>
  </w:style>
  <w:style w:type="character" w:customStyle="1" w:styleId="definition-url">
    <w:name w:val="definition-url"/>
    <w:basedOn w:val="DefaultParagraphFont"/>
    <w:rsid w:val="0069403F"/>
  </w:style>
  <w:style w:type="character" w:styleId="Emphasis">
    <w:name w:val="Emphasis"/>
    <w:basedOn w:val="DefaultParagraphFont"/>
    <w:uiPriority w:val="20"/>
    <w:qFormat/>
    <w:rsid w:val="0069403F"/>
    <w:rPr>
      <w:i/>
      <w:iCs/>
    </w:rPr>
  </w:style>
  <w:style w:type="paragraph" w:styleId="FootnoteText">
    <w:name w:val="footnote text"/>
    <w:basedOn w:val="Normal"/>
    <w:link w:val="FootnoteTextChar"/>
    <w:uiPriority w:val="99"/>
    <w:semiHidden/>
    <w:unhideWhenUsed/>
    <w:rsid w:val="00FA031F"/>
    <w:pPr>
      <w:spacing w:after="0" w:line="240" w:lineRule="auto"/>
    </w:pPr>
    <w:rPr>
      <w:sz w:val="20"/>
      <w:szCs w:val="20"/>
      <w:lang w:val="en-GB"/>
    </w:rPr>
  </w:style>
  <w:style w:type="character" w:customStyle="1" w:styleId="FootnoteTextChar">
    <w:name w:val="Footnote Text Char"/>
    <w:basedOn w:val="DefaultParagraphFont"/>
    <w:link w:val="FootnoteText"/>
    <w:uiPriority w:val="99"/>
    <w:semiHidden/>
    <w:rsid w:val="00FA031F"/>
    <w:rPr>
      <w:sz w:val="20"/>
      <w:szCs w:val="20"/>
    </w:rPr>
  </w:style>
  <w:style w:type="character" w:styleId="FootnoteReference">
    <w:name w:val="footnote reference"/>
    <w:basedOn w:val="DefaultParagraphFont"/>
    <w:uiPriority w:val="99"/>
    <w:semiHidden/>
    <w:unhideWhenUsed/>
    <w:rsid w:val="00FA031F"/>
    <w:rPr>
      <w:vertAlign w:val="superscript"/>
    </w:rPr>
  </w:style>
  <w:style w:type="character" w:styleId="PlaceholderText">
    <w:name w:val="Placeholder Text"/>
    <w:basedOn w:val="DefaultParagraphFont"/>
    <w:uiPriority w:val="99"/>
    <w:semiHidden/>
    <w:rsid w:val="00806550"/>
    <w:rPr>
      <w:color w:val="808080"/>
    </w:rPr>
  </w:style>
  <w:style w:type="paragraph" w:customStyle="1" w:styleId="Default">
    <w:name w:val="Default"/>
    <w:rsid w:val="00240DBE"/>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102A6F"/>
    <w:pPr>
      <w:ind w:left="720"/>
      <w:contextualSpacing/>
    </w:pPr>
  </w:style>
  <w:style w:type="character" w:customStyle="1" w:styleId="hvr">
    <w:name w:val="hvr"/>
    <w:basedOn w:val="DefaultParagraphFont"/>
    <w:rsid w:val="00ED3BB1"/>
  </w:style>
  <w:style w:type="character" w:customStyle="1" w:styleId="font-size">
    <w:name w:val="font-size"/>
    <w:basedOn w:val="DefaultParagraphFont"/>
    <w:rsid w:val="003034D9"/>
  </w:style>
  <w:style w:type="character" w:customStyle="1" w:styleId="f-small">
    <w:name w:val="f-small"/>
    <w:basedOn w:val="DefaultParagraphFont"/>
    <w:rsid w:val="003034D9"/>
  </w:style>
  <w:style w:type="character" w:customStyle="1" w:styleId="f-medium">
    <w:name w:val="f-medium"/>
    <w:basedOn w:val="DefaultParagraphFont"/>
    <w:rsid w:val="003034D9"/>
  </w:style>
  <w:style w:type="character" w:customStyle="1" w:styleId="f-large">
    <w:name w:val="f-large"/>
    <w:basedOn w:val="DefaultParagraphFont"/>
    <w:rsid w:val="003034D9"/>
  </w:style>
  <w:style w:type="character" w:customStyle="1" w:styleId="tgc">
    <w:name w:val="_tgc"/>
    <w:basedOn w:val="DefaultParagraphFont"/>
    <w:rsid w:val="00081C20"/>
  </w:style>
  <w:style w:type="paragraph" w:customStyle="1" w:styleId="generalheadertext">
    <w:name w:val="generalheadertext"/>
    <w:basedOn w:val="Normal"/>
    <w:rsid w:val="00936AF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countobj">
    <w:name w:val="countobj"/>
    <w:basedOn w:val="DefaultParagraphFont"/>
    <w:rsid w:val="00936AF7"/>
  </w:style>
  <w:style w:type="paragraph" w:customStyle="1" w:styleId="articletitle">
    <w:name w:val="articletitle"/>
    <w:basedOn w:val="Normal"/>
    <w:rsid w:val="00936AF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authornames">
    <w:name w:val="authornames"/>
    <w:basedOn w:val="Normal"/>
    <w:rsid w:val="00936AF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TOCHeading">
    <w:name w:val="TOC Heading"/>
    <w:basedOn w:val="Heading1"/>
    <w:next w:val="Normal"/>
    <w:uiPriority w:val="39"/>
    <w:unhideWhenUsed/>
    <w:qFormat/>
    <w:rsid w:val="00FB0966"/>
    <w:pPr>
      <w:outlineLvl w:val="9"/>
    </w:pPr>
    <w:rPr>
      <w:lang w:val="en-US"/>
    </w:rPr>
  </w:style>
  <w:style w:type="paragraph" w:styleId="TOC2">
    <w:name w:val="toc 2"/>
    <w:basedOn w:val="Normal"/>
    <w:next w:val="Normal"/>
    <w:autoRedefine/>
    <w:uiPriority w:val="39"/>
    <w:unhideWhenUsed/>
    <w:qFormat/>
    <w:rsid w:val="00FB0966"/>
    <w:pPr>
      <w:spacing w:after="100"/>
      <w:ind w:left="220"/>
    </w:pPr>
    <w:rPr>
      <w:rFonts w:eastAsiaTheme="minorEastAsia"/>
      <w:lang w:val="en-US"/>
    </w:rPr>
  </w:style>
  <w:style w:type="paragraph" w:styleId="TOC1">
    <w:name w:val="toc 1"/>
    <w:basedOn w:val="Normal"/>
    <w:next w:val="Normal"/>
    <w:autoRedefine/>
    <w:uiPriority w:val="39"/>
    <w:semiHidden/>
    <w:unhideWhenUsed/>
    <w:qFormat/>
    <w:rsid w:val="00FB0966"/>
    <w:pPr>
      <w:spacing w:after="100"/>
    </w:pPr>
    <w:rPr>
      <w:rFonts w:eastAsiaTheme="minorEastAsia"/>
      <w:lang w:val="en-US"/>
    </w:rPr>
  </w:style>
  <w:style w:type="paragraph" w:styleId="TOC3">
    <w:name w:val="toc 3"/>
    <w:basedOn w:val="Normal"/>
    <w:next w:val="Normal"/>
    <w:autoRedefine/>
    <w:uiPriority w:val="39"/>
    <w:semiHidden/>
    <w:unhideWhenUsed/>
    <w:qFormat/>
    <w:rsid w:val="00FB0966"/>
    <w:pPr>
      <w:spacing w:after="100"/>
      <w:ind w:left="440"/>
    </w:pPr>
    <w:rPr>
      <w:rFonts w:eastAsiaTheme="minorEastAsia"/>
      <w:lang w:val="en-US"/>
    </w:rPr>
  </w:style>
  <w:style w:type="paragraph" w:styleId="Header">
    <w:name w:val="header"/>
    <w:basedOn w:val="Normal"/>
    <w:link w:val="HeaderChar"/>
    <w:uiPriority w:val="99"/>
    <w:semiHidden/>
    <w:unhideWhenUsed/>
    <w:rsid w:val="002D673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2D6733"/>
    <w:rPr>
      <w:lang w:val="nl-NL"/>
    </w:rPr>
  </w:style>
  <w:style w:type="paragraph" w:styleId="Footer">
    <w:name w:val="footer"/>
    <w:basedOn w:val="Normal"/>
    <w:link w:val="FooterChar"/>
    <w:uiPriority w:val="99"/>
    <w:unhideWhenUsed/>
    <w:rsid w:val="002D6733"/>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6733"/>
    <w:rPr>
      <w:lang w:val="nl-NL"/>
    </w:rPr>
  </w:style>
  <w:style w:type="paragraph" w:styleId="Caption">
    <w:name w:val="caption"/>
    <w:basedOn w:val="Normal"/>
    <w:next w:val="Normal"/>
    <w:uiPriority w:val="35"/>
    <w:unhideWhenUsed/>
    <w:qFormat/>
    <w:rsid w:val="00700E1A"/>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7052331">
      <w:bodyDiv w:val="1"/>
      <w:marLeft w:val="0"/>
      <w:marRight w:val="0"/>
      <w:marTop w:val="0"/>
      <w:marBottom w:val="0"/>
      <w:divBdr>
        <w:top w:val="none" w:sz="0" w:space="0" w:color="auto"/>
        <w:left w:val="none" w:sz="0" w:space="0" w:color="auto"/>
        <w:bottom w:val="none" w:sz="0" w:space="0" w:color="auto"/>
        <w:right w:val="none" w:sz="0" w:space="0" w:color="auto"/>
      </w:divBdr>
      <w:divsChild>
        <w:div w:id="525994158">
          <w:marLeft w:val="0"/>
          <w:marRight w:val="0"/>
          <w:marTop w:val="0"/>
          <w:marBottom w:val="0"/>
          <w:divBdr>
            <w:top w:val="none" w:sz="0" w:space="0" w:color="auto"/>
            <w:left w:val="none" w:sz="0" w:space="0" w:color="auto"/>
            <w:bottom w:val="none" w:sz="0" w:space="0" w:color="auto"/>
            <w:right w:val="none" w:sz="0" w:space="0" w:color="auto"/>
          </w:divBdr>
          <w:divsChild>
            <w:div w:id="88553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31160">
      <w:bodyDiv w:val="1"/>
      <w:marLeft w:val="0"/>
      <w:marRight w:val="0"/>
      <w:marTop w:val="0"/>
      <w:marBottom w:val="0"/>
      <w:divBdr>
        <w:top w:val="none" w:sz="0" w:space="0" w:color="auto"/>
        <w:left w:val="none" w:sz="0" w:space="0" w:color="auto"/>
        <w:bottom w:val="none" w:sz="0" w:space="0" w:color="auto"/>
        <w:right w:val="none" w:sz="0" w:space="0" w:color="auto"/>
      </w:divBdr>
    </w:div>
    <w:div w:id="59519611">
      <w:bodyDiv w:val="1"/>
      <w:marLeft w:val="0"/>
      <w:marRight w:val="0"/>
      <w:marTop w:val="0"/>
      <w:marBottom w:val="0"/>
      <w:divBdr>
        <w:top w:val="none" w:sz="0" w:space="0" w:color="auto"/>
        <w:left w:val="none" w:sz="0" w:space="0" w:color="auto"/>
        <w:bottom w:val="none" w:sz="0" w:space="0" w:color="auto"/>
        <w:right w:val="none" w:sz="0" w:space="0" w:color="auto"/>
      </w:divBdr>
    </w:div>
    <w:div w:id="72240486">
      <w:bodyDiv w:val="1"/>
      <w:marLeft w:val="0"/>
      <w:marRight w:val="0"/>
      <w:marTop w:val="0"/>
      <w:marBottom w:val="0"/>
      <w:divBdr>
        <w:top w:val="none" w:sz="0" w:space="0" w:color="auto"/>
        <w:left w:val="none" w:sz="0" w:space="0" w:color="auto"/>
        <w:bottom w:val="none" w:sz="0" w:space="0" w:color="auto"/>
        <w:right w:val="none" w:sz="0" w:space="0" w:color="auto"/>
      </w:divBdr>
    </w:div>
    <w:div w:id="91249735">
      <w:bodyDiv w:val="1"/>
      <w:marLeft w:val="0"/>
      <w:marRight w:val="0"/>
      <w:marTop w:val="0"/>
      <w:marBottom w:val="0"/>
      <w:divBdr>
        <w:top w:val="none" w:sz="0" w:space="0" w:color="auto"/>
        <w:left w:val="none" w:sz="0" w:space="0" w:color="auto"/>
        <w:bottom w:val="none" w:sz="0" w:space="0" w:color="auto"/>
        <w:right w:val="none" w:sz="0" w:space="0" w:color="auto"/>
      </w:divBdr>
    </w:div>
    <w:div w:id="98837109">
      <w:bodyDiv w:val="1"/>
      <w:marLeft w:val="0"/>
      <w:marRight w:val="0"/>
      <w:marTop w:val="0"/>
      <w:marBottom w:val="0"/>
      <w:divBdr>
        <w:top w:val="none" w:sz="0" w:space="0" w:color="auto"/>
        <w:left w:val="none" w:sz="0" w:space="0" w:color="auto"/>
        <w:bottom w:val="none" w:sz="0" w:space="0" w:color="auto"/>
        <w:right w:val="none" w:sz="0" w:space="0" w:color="auto"/>
      </w:divBdr>
    </w:div>
    <w:div w:id="145557247">
      <w:bodyDiv w:val="1"/>
      <w:marLeft w:val="0"/>
      <w:marRight w:val="0"/>
      <w:marTop w:val="0"/>
      <w:marBottom w:val="0"/>
      <w:divBdr>
        <w:top w:val="none" w:sz="0" w:space="0" w:color="auto"/>
        <w:left w:val="none" w:sz="0" w:space="0" w:color="auto"/>
        <w:bottom w:val="none" w:sz="0" w:space="0" w:color="auto"/>
        <w:right w:val="none" w:sz="0" w:space="0" w:color="auto"/>
      </w:divBdr>
    </w:div>
    <w:div w:id="205289752">
      <w:bodyDiv w:val="1"/>
      <w:marLeft w:val="0"/>
      <w:marRight w:val="0"/>
      <w:marTop w:val="0"/>
      <w:marBottom w:val="0"/>
      <w:divBdr>
        <w:top w:val="none" w:sz="0" w:space="0" w:color="auto"/>
        <w:left w:val="none" w:sz="0" w:space="0" w:color="auto"/>
        <w:bottom w:val="none" w:sz="0" w:space="0" w:color="auto"/>
        <w:right w:val="none" w:sz="0" w:space="0" w:color="auto"/>
      </w:divBdr>
    </w:div>
    <w:div w:id="234323390">
      <w:bodyDiv w:val="1"/>
      <w:marLeft w:val="0"/>
      <w:marRight w:val="0"/>
      <w:marTop w:val="0"/>
      <w:marBottom w:val="0"/>
      <w:divBdr>
        <w:top w:val="none" w:sz="0" w:space="0" w:color="auto"/>
        <w:left w:val="none" w:sz="0" w:space="0" w:color="auto"/>
        <w:bottom w:val="none" w:sz="0" w:space="0" w:color="auto"/>
        <w:right w:val="none" w:sz="0" w:space="0" w:color="auto"/>
      </w:divBdr>
    </w:div>
    <w:div w:id="239146252">
      <w:bodyDiv w:val="1"/>
      <w:marLeft w:val="0"/>
      <w:marRight w:val="0"/>
      <w:marTop w:val="0"/>
      <w:marBottom w:val="0"/>
      <w:divBdr>
        <w:top w:val="none" w:sz="0" w:space="0" w:color="auto"/>
        <w:left w:val="none" w:sz="0" w:space="0" w:color="auto"/>
        <w:bottom w:val="none" w:sz="0" w:space="0" w:color="auto"/>
        <w:right w:val="none" w:sz="0" w:space="0" w:color="auto"/>
      </w:divBdr>
    </w:div>
    <w:div w:id="282813390">
      <w:bodyDiv w:val="1"/>
      <w:marLeft w:val="0"/>
      <w:marRight w:val="0"/>
      <w:marTop w:val="0"/>
      <w:marBottom w:val="0"/>
      <w:divBdr>
        <w:top w:val="none" w:sz="0" w:space="0" w:color="auto"/>
        <w:left w:val="none" w:sz="0" w:space="0" w:color="auto"/>
        <w:bottom w:val="none" w:sz="0" w:space="0" w:color="auto"/>
        <w:right w:val="none" w:sz="0" w:space="0" w:color="auto"/>
      </w:divBdr>
    </w:div>
    <w:div w:id="309865493">
      <w:bodyDiv w:val="1"/>
      <w:marLeft w:val="0"/>
      <w:marRight w:val="0"/>
      <w:marTop w:val="0"/>
      <w:marBottom w:val="0"/>
      <w:divBdr>
        <w:top w:val="none" w:sz="0" w:space="0" w:color="auto"/>
        <w:left w:val="none" w:sz="0" w:space="0" w:color="auto"/>
        <w:bottom w:val="none" w:sz="0" w:space="0" w:color="auto"/>
        <w:right w:val="none" w:sz="0" w:space="0" w:color="auto"/>
      </w:divBdr>
    </w:div>
    <w:div w:id="326324760">
      <w:bodyDiv w:val="1"/>
      <w:marLeft w:val="0"/>
      <w:marRight w:val="0"/>
      <w:marTop w:val="0"/>
      <w:marBottom w:val="0"/>
      <w:divBdr>
        <w:top w:val="none" w:sz="0" w:space="0" w:color="auto"/>
        <w:left w:val="none" w:sz="0" w:space="0" w:color="auto"/>
        <w:bottom w:val="none" w:sz="0" w:space="0" w:color="auto"/>
        <w:right w:val="none" w:sz="0" w:space="0" w:color="auto"/>
      </w:divBdr>
    </w:div>
    <w:div w:id="354579582">
      <w:bodyDiv w:val="1"/>
      <w:marLeft w:val="0"/>
      <w:marRight w:val="0"/>
      <w:marTop w:val="0"/>
      <w:marBottom w:val="0"/>
      <w:divBdr>
        <w:top w:val="none" w:sz="0" w:space="0" w:color="auto"/>
        <w:left w:val="none" w:sz="0" w:space="0" w:color="auto"/>
        <w:bottom w:val="none" w:sz="0" w:space="0" w:color="auto"/>
        <w:right w:val="none" w:sz="0" w:space="0" w:color="auto"/>
      </w:divBdr>
    </w:div>
    <w:div w:id="480582973">
      <w:bodyDiv w:val="1"/>
      <w:marLeft w:val="0"/>
      <w:marRight w:val="0"/>
      <w:marTop w:val="0"/>
      <w:marBottom w:val="0"/>
      <w:divBdr>
        <w:top w:val="none" w:sz="0" w:space="0" w:color="auto"/>
        <w:left w:val="none" w:sz="0" w:space="0" w:color="auto"/>
        <w:bottom w:val="none" w:sz="0" w:space="0" w:color="auto"/>
        <w:right w:val="none" w:sz="0" w:space="0" w:color="auto"/>
      </w:divBdr>
    </w:div>
    <w:div w:id="526791144">
      <w:bodyDiv w:val="1"/>
      <w:marLeft w:val="0"/>
      <w:marRight w:val="0"/>
      <w:marTop w:val="0"/>
      <w:marBottom w:val="0"/>
      <w:divBdr>
        <w:top w:val="none" w:sz="0" w:space="0" w:color="auto"/>
        <w:left w:val="none" w:sz="0" w:space="0" w:color="auto"/>
        <w:bottom w:val="none" w:sz="0" w:space="0" w:color="auto"/>
        <w:right w:val="none" w:sz="0" w:space="0" w:color="auto"/>
      </w:divBdr>
    </w:div>
    <w:div w:id="551767441">
      <w:bodyDiv w:val="1"/>
      <w:marLeft w:val="0"/>
      <w:marRight w:val="0"/>
      <w:marTop w:val="0"/>
      <w:marBottom w:val="0"/>
      <w:divBdr>
        <w:top w:val="none" w:sz="0" w:space="0" w:color="auto"/>
        <w:left w:val="none" w:sz="0" w:space="0" w:color="auto"/>
        <w:bottom w:val="none" w:sz="0" w:space="0" w:color="auto"/>
        <w:right w:val="none" w:sz="0" w:space="0" w:color="auto"/>
      </w:divBdr>
    </w:div>
    <w:div w:id="556815444">
      <w:bodyDiv w:val="1"/>
      <w:marLeft w:val="0"/>
      <w:marRight w:val="0"/>
      <w:marTop w:val="0"/>
      <w:marBottom w:val="0"/>
      <w:divBdr>
        <w:top w:val="none" w:sz="0" w:space="0" w:color="auto"/>
        <w:left w:val="none" w:sz="0" w:space="0" w:color="auto"/>
        <w:bottom w:val="none" w:sz="0" w:space="0" w:color="auto"/>
        <w:right w:val="none" w:sz="0" w:space="0" w:color="auto"/>
      </w:divBdr>
    </w:div>
    <w:div w:id="559681560">
      <w:bodyDiv w:val="1"/>
      <w:marLeft w:val="0"/>
      <w:marRight w:val="0"/>
      <w:marTop w:val="0"/>
      <w:marBottom w:val="0"/>
      <w:divBdr>
        <w:top w:val="none" w:sz="0" w:space="0" w:color="auto"/>
        <w:left w:val="none" w:sz="0" w:space="0" w:color="auto"/>
        <w:bottom w:val="none" w:sz="0" w:space="0" w:color="auto"/>
        <w:right w:val="none" w:sz="0" w:space="0" w:color="auto"/>
      </w:divBdr>
    </w:div>
    <w:div w:id="586547465">
      <w:bodyDiv w:val="1"/>
      <w:marLeft w:val="0"/>
      <w:marRight w:val="0"/>
      <w:marTop w:val="0"/>
      <w:marBottom w:val="0"/>
      <w:divBdr>
        <w:top w:val="none" w:sz="0" w:space="0" w:color="auto"/>
        <w:left w:val="none" w:sz="0" w:space="0" w:color="auto"/>
        <w:bottom w:val="none" w:sz="0" w:space="0" w:color="auto"/>
        <w:right w:val="none" w:sz="0" w:space="0" w:color="auto"/>
      </w:divBdr>
    </w:div>
    <w:div w:id="678240885">
      <w:bodyDiv w:val="1"/>
      <w:marLeft w:val="0"/>
      <w:marRight w:val="0"/>
      <w:marTop w:val="0"/>
      <w:marBottom w:val="0"/>
      <w:divBdr>
        <w:top w:val="none" w:sz="0" w:space="0" w:color="auto"/>
        <w:left w:val="none" w:sz="0" w:space="0" w:color="auto"/>
        <w:bottom w:val="none" w:sz="0" w:space="0" w:color="auto"/>
        <w:right w:val="none" w:sz="0" w:space="0" w:color="auto"/>
      </w:divBdr>
    </w:div>
    <w:div w:id="789401262">
      <w:bodyDiv w:val="1"/>
      <w:marLeft w:val="0"/>
      <w:marRight w:val="0"/>
      <w:marTop w:val="0"/>
      <w:marBottom w:val="0"/>
      <w:divBdr>
        <w:top w:val="none" w:sz="0" w:space="0" w:color="auto"/>
        <w:left w:val="none" w:sz="0" w:space="0" w:color="auto"/>
        <w:bottom w:val="none" w:sz="0" w:space="0" w:color="auto"/>
        <w:right w:val="none" w:sz="0" w:space="0" w:color="auto"/>
      </w:divBdr>
    </w:div>
    <w:div w:id="804853922">
      <w:bodyDiv w:val="1"/>
      <w:marLeft w:val="0"/>
      <w:marRight w:val="0"/>
      <w:marTop w:val="0"/>
      <w:marBottom w:val="0"/>
      <w:divBdr>
        <w:top w:val="none" w:sz="0" w:space="0" w:color="auto"/>
        <w:left w:val="none" w:sz="0" w:space="0" w:color="auto"/>
        <w:bottom w:val="none" w:sz="0" w:space="0" w:color="auto"/>
        <w:right w:val="none" w:sz="0" w:space="0" w:color="auto"/>
      </w:divBdr>
    </w:div>
    <w:div w:id="808789405">
      <w:bodyDiv w:val="1"/>
      <w:marLeft w:val="0"/>
      <w:marRight w:val="0"/>
      <w:marTop w:val="0"/>
      <w:marBottom w:val="0"/>
      <w:divBdr>
        <w:top w:val="none" w:sz="0" w:space="0" w:color="auto"/>
        <w:left w:val="none" w:sz="0" w:space="0" w:color="auto"/>
        <w:bottom w:val="none" w:sz="0" w:space="0" w:color="auto"/>
        <w:right w:val="none" w:sz="0" w:space="0" w:color="auto"/>
      </w:divBdr>
    </w:div>
    <w:div w:id="846677599">
      <w:bodyDiv w:val="1"/>
      <w:marLeft w:val="0"/>
      <w:marRight w:val="0"/>
      <w:marTop w:val="0"/>
      <w:marBottom w:val="0"/>
      <w:divBdr>
        <w:top w:val="none" w:sz="0" w:space="0" w:color="auto"/>
        <w:left w:val="none" w:sz="0" w:space="0" w:color="auto"/>
        <w:bottom w:val="none" w:sz="0" w:space="0" w:color="auto"/>
        <w:right w:val="none" w:sz="0" w:space="0" w:color="auto"/>
      </w:divBdr>
    </w:div>
    <w:div w:id="908727773">
      <w:bodyDiv w:val="1"/>
      <w:marLeft w:val="0"/>
      <w:marRight w:val="0"/>
      <w:marTop w:val="0"/>
      <w:marBottom w:val="0"/>
      <w:divBdr>
        <w:top w:val="none" w:sz="0" w:space="0" w:color="auto"/>
        <w:left w:val="none" w:sz="0" w:space="0" w:color="auto"/>
        <w:bottom w:val="none" w:sz="0" w:space="0" w:color="auto"/>
        <w:right w:val="none" w:sz="0" w:space="0" w:color="auto"/>
      </w:divBdr>
    </w:div>
    <w:div w:id="915669728">
      <w:bodyDiv w:val="1"/>
      <w:marLeft w:val="0"/>
      <w:marRight w:val="0"/>
      <w:marTop w:val="0"/>
      <w:marBottom w:val="0"/>
      <w:divBdr>
        <w:top w:val="none" w:sz="0" w:space="0" w:color="auto"/>
        <w:left w:val="none" w:sz="0" w:space="0" w:color="auto"/>
        <w:bottom w:val="none" w:sz="0" w:space="0" w:color="auto"/>
        <w:right w:val="none" w:sz="0" w:space="0" w:color="auto"/>
      </w:divBdr>
      <w:divsChild>
        <w:div w:id="788596823">
          <w:marLeft w:val="0"/>
          <w:marRight w:val="0"/>
          <w:marTop w:val="0"/>
          <w:marBottom w:val="0"/>
          <w:divBdr>
            <w:top w:val="none" w:sz="0" w:space="0" w:color="auto"/>
            <w:left w:val="none" w:sz="0" w:space="0" w:color="auto"/>
            <w:bottom w:val="none" w:sz="0" w:space="0" w:color="auto"/>
            <w:right w:val="none" w:sz="0" w:space="0" w:color="auto"/>
          </w:divBdr>
        </w:div>
        <w:div w:id="1141508441">
          <w:marLeft w:val="0"/>
          <w:marRight w:val="5250"/>
          <w:marTop w:val="0"/>
          <w:marBottom w:val="0"/>
          <w:divBdr>
            <w:top w:val="none" w:sz="0" w:space="0" w:color="auto"/>
            <w:left w:val="none" w:sz="0" w:space="0" w:color="auto"/>
            <w:bottom w:val="none" w:sz="0" w:space="0" w:color="auto"/>
            <w:right w:val="none" w:sz="0" w:space="0" w:color="auto"/>
          </w:divBdr>
          <w:divsChild>
            <w:div w:id="2037197545">
              <w:marLeft w:val="0"/>
              <w:marRight w:val="0"/>
              <w:marTop w:val="0"/>
              <w:marBottom w:val="0"/>
              <w:divBdr>
                <w:top w:val="none" w:sz="0" w:space="0" w:color="auto"/>
                <w:left w:val="none" w:sz="0" w:space="0" w:color="auto"/>
                <w:bottom w:val="none" w:sz="0" w:space="0" w:color="auto"/>
                <w:right w:val="none" w:sz="0" w:space="0" w:color="auto"/>
              </w:divBdr>
              <w:divsChild>
                <w:div w:id="932325041">
                  <w:marLeft w:val="0"/>
                  <w:marRight w:val="0"/>
                  <w:marTop w:val="0"/>
                  <w:marBottom w:val="0"/>
                  <w:divBdr>
                    <w:top w:val="none" w:sz="0" w:space="0" w:color="auto"/>
                    <w:left w:val="none" w:sz="0" w:space="0" w:color="auto"/>
                    <w:bottom w:val="none" w:sz="0" w:space="0" w:color="auto"/>
                    <w:right w:val="none" w:sz="0" w:space="0" w:color="auto"/>
                  </w:divBdr>
                  <w:divsChild>
                    <w:div w:id="1533500100">
                      <w:marLeft w:val="0"/>
                      <w:marRight w:val="0"/>
                      <w:marTop w:val="0"/>
                      <w:marBottom w:val="0"/>
                      <w:divBdr>
                        <w:top w:val="none" w:sz="0" w:space="0" w:color="auto"/>
                        <w:left w:val="none" w:sz="0" w:space="0" w:color="auto"/>
                        <w:bottom w:val="none" w:sz="0" w:space="0" w:color="auto"/>
                        <w:right w:val="none" w:sz="0" w:space="0" w:color="auto"/>
                      </w:divBdr>
                      <w:divsChild>
                        <w:div w:id="1298532508">
                          <w:marLeft w:val="0"/>
                          <w:marRight w:val="0"/>
                          <w:marTop w:val="0"/>
                          <w:marBottom w:val="975"/>
                          <w:divBdr>
                            <w:top w:val="none" w:sz="0" w:space="0" w:color="auto"/>
                            <w:left w:val="none" w:sz="0" w:space="0" w:color="auto"/>
                            <w:bottom w:val="none" w:sz="0" w:space="0" w:color="auto"/>
                            <w:right w:val="none" w:sz="0" w:space="0" w:color="auto"/>
                          </w:divBdr>
                          <w:divsChild>
                            <w:div w:id="191235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5596957">
      <w:bodyDiv w:val="1"/>
      <w:marLeft w:val="0"/>
      <w:marRight w:val="0"/>
      <w:marTop w:val="0"/>
      <w:marBottom w:val="0"/>
      <w:divBdr>
        <w:top w:val="none" w:sz="0" w:space="0" w:color="auto"/>
        <w:left w:val="none" w:sz="0" w:space="0" w:color="auto"/>
        <w:bottom w:val="none" w:sz="0" w:space="0" w:color="auto"/>
        <w:right w:val="none" w:sz="0" w:space="0" w:color="auto"/>
      </w:divBdr>
    </w:div>
    <w:div w:id="987052711">
      <w:bodyDiv w:val="1"/>
      <w:marLeft w:val="0"/>
      <w:marRight w:val="0"/>
      <w:marTop w:val="0"/>
      <w:marBottom w:val="0"/>
      <w:divBdr>
        <w:top w:val="none" w:sz="0" w:space="0" w:color="auto"/>
        <w:left w:val="none" w:sz="0" w:space="0" w:color="auto"/>
        <w:bottom w:val="none" w:sz="0" w:space="0" w:color="auto"/>
        <w:right w:val="none" w:sz="0" w:space="0" w:color="auto"/>
      </w:divBdr>
      <w:divsChild>
        <w:div w:id="200873036">
          <w:marLeft w:val="0"/>
          <w:marRight w:val="0"/>
          <w:marTop w:val="0"/>
          <w:marBottom w:val="0"/>
          <w:divBdr>
            <w:top w:val="none" w:sz="0" w:space="0" w:color="auto"/>
            <w:left w:val="none" w:sz="0" w:space="0" w:color="auto"/>
            <w:bottom w:val="none" w:sz="0" w:space="0" w:color="auto"/>
            <w:right w:val="none" w:sz="0" w:space="0" w:color="auto"/>
          </w:divBdr>
        </w:div>
        <w:div w:id="1268267328">
          <w:marLeft w:val="0"/>
          <w:marRight w:val="0"/>
          <w:marTop w:val="0"/>
          <w:marBottom w:val="0"/>
          <w:divBdr>
            <w:top w:val="none" w:sz="0" w:space="0" w:color="auto"/>
            <w:left w:val="none" w:sz="0" w:space="0" w:color="auto"/>
            <w:bottom w:val="none" w:sz="0" w:space="0" w:color="auto"/>
            <w:right w:val="none" w:sz="0" w:space="0" w:color="auto"/>
          </w:divBdr>
        </w:div>
        <w:div w:id="1379160650">
          <w:marLeft w:val="0"/>
          <w:marRight w:val="0"/>
          <w:marTop w:val="0"/>
          <w:marBottom w:val="0"/>
          <w:divBdr>
            <w:top w:val="none" w:sz="0" w:space="0" w:color="auto"/>
            <w:left w:val="none" w:sz="0" w:space="0" w:color="auto"/>
            <w:bottom w:val="none" w:sz="0" w:space="0" w:color="auto"/>
            <w:right w:val="none" w:sz="0" w:space="0" w:color="auto"/>
          </w:divBdr>
        </w:div>
      </w:divsChild>
    </w:div>
    <w:div w:id="1008365135">
      <w:bodyDiv w:val="1"/>
      <w:marLeft w:val="0"/>
      <w:marRight w:val="0"/>
      <w:marTop w:val="0"/>
      <w:marBottom w:val="0"/>
      <w:divBdr>
        <w:top w:val="none" w:sz="0" w:space="0" w:color="auto"/>
        <w:left w:val="none" w:sz="0" w:space="0" w:color="auto"/>
        <w:bottom w:val="none" w:sz="0" w:space="0" w:color="auto"/>
        <w:right w:val="none" w:sz="0" w:space="0" w:color="auto"/>
      </w:divBdr>
    </w:div>
    <w:div w:id="1108113341">
      <w:bodyDiv w:val="1"/>
      <w:marLeft w:val="0"/>
      <w:marRight w:val="0"/>
      <w:marTop w:val="0"/>
      <w:marBottom w:val="0"/>
      <w:divBdr>
        <w:top w:val="none" w:sz="0" w:space="0" w:color="auto"/>
        <w:left w:val="none" w:sz="0" w:space="0" w:color="auto"/>
        <w:bottom w:val="none" w:sz="0" w:space="0" w:color="auto"/>
        <w:right w:val="none" w:sz="0" w:space="0" w:color="auto"/>
      </w:divBdr>
    </w:div>
    <w:div w:id="1133980793">
      <w:bodyDiv w:val="1"/>
      <w:marLeft w:val="0"/>
      <w:marRight w:val="0"/>
      <w:marTop w:val="0"/>
      <w:marBottom w:val="0"/>
      <w:divBdr>
        <w:top w:val="none" w:sz="0" w:space="0" w:color="auto"/>
        <w:left w:val="none" w:sz="0" w:space="0" w:color="auto"/>
        <w:bottom w:val="none" w:sz="0" w:space="0" w:color="auto"/>
        <w:right w:val="none" w:sz="0" w:space="0" w:color="auto"/>
      </w:divBdr>
    </w:div>
    <w:div w:id="1181817754">
      <w:bodyDiv w:val="1"/>
      <w:marLeft w:val="0"/>
      <w:marRight w:val="0"/>
      <w:marTop w:val="0"/>
      <w:marBottom w:val="0"/>
      <w:divBdr>
        <w:top w:val="none" w:sz="0" w:space="0" w:color="auto"/>
        <w:left w:val="none" w:sz="0" w:space="0" w:color="auto"/>
        <w:bottom w:val="none" w:sz="0" w:space="0" w:color="auto"/>
        <w:right w:val="none" w:sz="0" w:space="0" w:color="auto"/>
      </w:divBdr>
    </w:div>
    <w:div w:id="1194227485">
      <w:bodyDiv w:val="1"/>
      <w:marLeft w:val="0"/>
      <w:marRight w:val="0"/>
      <w:marTop w:val="0"/>
      <w:marBottom w:val="0"/>
      <w:divBdr>
        <w:top w:val="none" w:sz="0" w:space="0" w:color="auto"/>
        <w:left w:val="none" w:sz="0" w:space="0" w:color="auto"/>
        <w:bottom w:val="none" w:sz="0" w:space="0" w:color="auto"/>
        <w:right w:val="none" w:sz="0" w:space="0" w:color="auto"/>
      </w:divBdr>
    </w:div>
    <w:div w:id="1352879843">
      <w:bodyDiv w:val="1"/>
      <w:marLeft w:val="0"/>
      <w:marRight w:val="0"/>
      <w:marTop w:val="0"/>
      <w:marBottom w:val="0"/>
      <w:divBdr>
        <w:top w:val="none" w:sz="0" w:space="0" w:color="auto"/>
        <w:left w:val="none" w:sz="0" w:space="0" w:color="auto"/>
        <w:bottom w:val="none" w:sz="0" w:space="0" w:color="auto"/>
        <w:right w:val="none" w:sz="0" w:space="0" w:color="auto"/>
      </w:divBdr>
    </w:div>
    <w:div w:id="1377050043">
      <w:bodyDiv w:val="1"/>
      <w:marLeft w:val="0"/>
      <w:marRight w:val="0"/>
      <w:marTop w:val="0"/>
      <w:marBottom w:val="0"/>
      <w:divBdr>
        <w:top w:val="none" w:sz="0" w:space="0" w:color="auto"/>
        <w:left w:val="none" w:sz="0" w:space="0" w:color="auto"/>
        <w:bottom w:val="none" w:sz="0" w:space="0" w:color="auto"/>
        <w:right w:val="none" w:sz="0" w:space="0" w:color="auto"/>
      </w:divBdr>
    </w:div>
    <w:div w:id="1430394264">
      <w:bodyDiv w:val="1"/>
      <w:marLeft w:val="0"/>
      <w:marRight w:val="0"/>
      <w:marTop w:val="0"/>
      <w:marBottom w:val="0"/>
      <w:divBdr>
        <w:top w:val="none" w:sz="0" w:space="0" w:color="auto"/>
        <w:left w:val="none" w:sz="0" w:space="0" w:color="auto"/>
        <w:bottom w:val="none" w:sz="0" w:space="0" w:color="auto"/>
        <w:right w:val="none" w:sz="0" w:space="0" w:color="auto"/>
      </w:divBdr>
    </w:div>
    <w:div w:id="1434932457">
      <w:bodyDiv w:val="1"/>
      <w:marLeft w:val="0"/>
      <w:marRight w:val="0"/>
      <w:marTop w:val="0"/>
      <w:marBottom w:val="0"/>
      <w:divBdr>
        <w:top w:val="none" w:sz="0" w:space="0" w:color="auto"/>
        <w:left w:val="none" w:sz="0" w:space="0" w:color="auto"/>
        <w:bottom w:val="none" w:sz="0" w:space="0" w:color="auto"/>
        <w:right w:val="none" w:sz="0" w:space="0" w:color="auto"/>
      </w:divBdr>
    </w:div>
    <w:div w:id="1460763998">
      <w:bodyDiv w:val="1"/>
      <w:marLeft w:val="0"/>
      <w:marRight w:val="0"/>
      <w:marTop w:val="0"/>
      <w:marBottom w:val="0"/>
      <w:divBdr>
        <w:top w:val="none" w:sz="0" w:space="0" w:color="auto"/>
        <w:left w:val="none" w:sz="0" w:space="0" w:color="auto"/>
        <w:bottom w:val="none" w:sz="0" w:space="0" w:color="auto"/>
        <w:right w:val="none" w:sz="0" w:space="0" w:color="auto"/>
      </w:divBdr>
      <w:divsChild>
        <w:div w:id="990062210">
          <w:marLeft w:val="0"/>
          <w:marRight w:val="0"/>
          <w:marTop w:val="0"/>
          <w:marBottom w:val="0"/>
          <w:divBdr>
            <w:top w:val="none" w:sz="0" w:space="0" w:color="auto"/>
            <w:left w:val="none" w:sz="0" w:space="0" w:color="auto"/>
            <w:bottom w:val="none" w:sz="0" w:space="0" w:color="auto"/>
            <w:right w:val="none" w:sz="0" w:space="0" w:color="auto"/>
          </w:divBdr>
        </w:div>
      </w:divsChild>
    </w:div>
    <w:div w:id="1503593426">
      <w:bodyDiv w:val="1"/>
      <w:marLeft w:val="0"/>
      <w:marRight w:val="0"/>
      <w:marTop w:val="0"/>
      <w:marBottom w:val="0"/>
      <w:divBdr>
        <w:top w:val="none" w:sz="0" w:space="0" w:color="auto"/>
        <w:left w:val="none" w:sz="0" w:space="0" w:color="auto"/>
        <w:bottom w:val="none" w:sz="0" w:space="0" w:color="auto"/>
        <w:right w:val="none" w:sz="0" w:space="0" w:color="auto"/>
      </w:divBdr>
    </w:div>
    <w:div w:id="1597785711">
      <w:bodyDiv w:val="1"/>
      <w:marLeft w:val="0"/>
      <w:marRight w:val="0"/>
      <w:marTop w:val="0"/>
      <w:marBottom w:val="0"/>
      <w:divBdr>
        <w:top w:val="none" w:sz="0" w:space="0" w:color="auto"/>
        <w:left w:val="none" w:sz="0" w:space="0" w:color="auto"/>
        <w:bottom w:val="none" w:sz="0" w:space="0" w:color="auto"/>
        <w:right w:val="none" w:sz="0" w:space="0" w:color="auto"/>
      </w:divBdr>
      <w:divsChild>
        <w:div w:id="1329748299">
          <w:marLeft w:val="1500"/>
          <w:marRight w:val="0"/>
          <w:marTop w:val="0"/>
          <w:marBottom w:val="0"/>
          <w:divBdr>
            <w:top w:val="none" w:sz="0" w:space="0" w:color="auto"/>
            <w:left w:val="none" w:sz="0" w:space="0" w:color="auto"/>
            <w:bottom w:val="none" w:sz="0" w:space="0" w:color="auto"/>
            <w:right w:val="none" w:sz="0" w:space="0" w:color="auto"/>
          </w:divBdr>
          <w:divsChild>
            <w:div w:id="1407798603">
              <w:marLeft w:val="0"/>
              <w:marRight w:val="0"/>
              <w:marTop w:val="0"/>
              <w:marBottom w:val="0"/>
              <w:divBdr>
                <w:top w:val="single" w:sz="18" w:space="0" w:color="000000"/>
                <w:left w:val="none" w:sz="0" w:space="0" w:color="EEECE7"/>
                <w:bottom w:val="none" w:sz="0" w:space="0" w:color="EEECE7"/>
                <w:right w:val="none" w:sz="0" w:space="0" w:color="EEECE7"/>
              </w:divBdr>
              <w:divsChild>
                <w:div w:id="7801652">
                  <w:marLeft w:val="225"/>
                  <w:marRight w:val="0"/>
                  <w:marTop w:val="150"/>
                  <w:marBottom w:val="0"/>
                  <w:divBdr>
                    <w:top w:val="none" w:sz="0" w:space="0" w:color="auto"/>
                    <w:left w:val="none" w:sz="0" w:space="0" w:color="auto"/>
                    <w:bottom w:val="none" w:sz="0" w:space="0" w:color="auto"/>
                    <w:right w:val="none" w:sz="0" w:space="0" w:color="auto"/>
                  </w:divBdr>
                </w:div>
                <w:div w:id="958338990">
                  <w:marLeft w:val="150"/>
                  <w:marRight w:val="0"/>
                  <w:marTop w:val="75"/>
                  <w:marBottom w:val="0"/>
                  <w:divBdr>
                    <w:top w:val="none" w:sz="0" w:space="0" w:color="auto"/>
                    <w:left w:val="none" w:sz="0" w:space="0" w:color="auto"/>
                    <w:bottom w:val="none" w:sz="0" w:space="0" w:color="auto"/>
                    <w:right w:val="none" w:sz="0" w:space="0" w:color="auto"/>
                  </w:divBdr>
                </w:div>
                <w:div w:id="167294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265069">
          <w:marLeft w:val="0"/>
          <w:marRight w:val="0"/>
          <w:marTop w:val="0"/>
          <w:marBottom w:val="0"/>
          <w:divBdr>
            <w:top w:val="none" w:sz="0" w:space="0" w:color="auto"/>
            <w:left w:val="none" w:sz="0" w:space="0" w:color="auto"/>
            <w:bottom w:val="none" w:sz="0" w:space="0" w:color="auto"/>
            <w:right w:val="none" w:sz="0" w:space="0" w:color="auto"/>
          </w:divBdr>
        </w:div>
      </w:divsChild>
    </w:div>
    <w:div w:id="1602103851">
      <w:bodyDiv w:val="1"/>
      <w:marLeft w:val="0"/>
      <w:marRight w:val="0"/>
      <w:marTop w:val="0"/>
      <w:marBottom w:val="0"/>
      <w:divBdr>
        <w:top w:val="none" w:sz="0" w:space="0" w:color="auto"/>
        <w:left w:val="none" w:sz="0" w:space="0" w:color="auto"/>
        <w:bottom w:val="none" w:sz="0" w:space="0" w:color="auto"/>
        <w:right w:val="none" w:sz="0" w:space="0" w:color="auto"/>
      </w:divBdr>
    </w:div>
    <w:div w:id="1661084138">
      <w:bodyDiv w:val="1"/>
      <w:marLeft w:val="0"/>
      <w:marRight w:val="0"/>
      <w:marTop w:val="0"/>
      <w:marBottom w:val="0"/>
      <w:divBdr>
        <w:top w:val="none" w:sz="0" w:space="0" w:color="auto"/>
        <w:left w:val="none" w:sz="0" w:space="0" w:color="auto"/>
        <w:bottom w:val="none" w:sz="0" w:space="0" w:color="auto"/>
        <w:right w:val="none" w:sz="0" w:space="0" w:color="auto"/>
      </w:divBdr>
    </w:div>
    <w:div w:id="1665932889">
      <w:bodyDiv w:val="1"/>
      <w:marLeft w:val="0"/>
      <w:marRight w:val="0"/>
      <w:marTop w:val="0"/>
      <w:marBottom w:val="0"/>
      <w:divBdr>
        <w:top w:val="none" w:sz="0" w:space="0" w:color="auto"/>
        <w:left w:val="none" w:sz="0" w:space="0" w:color="auto"/>
        <w:bottom w:val="none" w:sz="0" w:space="0" w:color="auto"/>
        <w:right w:val="none" w:sz="0" w:space="0" w:color="auto"/>
      </w:divBdr>
    </w:div>
    <w:div w:id="1667367107">
      <w:bodyDiv w:val="1"/>
      <w:marLeft w:val="0"/>
      <w:marRight w:val="0"/>
      <w:marTop w:val="0"/>
      <w:marBottom w:val="0"/>
      <w:divBdr>
        <w:top w:val="none" w:sz="0" w:space="0" w:color="auto"/>
        <w:left w:val="none" w:sz="0" w:space="0" w:color="auto"/>
        <w:bottom w:val="none" w:sz="0" w:space="0" w:color="auto"/>
        <w:right w:val="none" w:sz="0" w:space="0" w:color="auto"/>
      </w:divBdr>
    </w:div>
    <w:div w:id="1739596676">
      <w:bodyDiv w:val="1"/>
      <w:marLeft w:val="0"/>
      <w:marRight w:val="0"/>
      <w:marTop w:val="0"/>
      <w:marBottom w:val="0"/>
      <w:divBdr>
        <w:top w:val="none" w:sz="0" w:space="0" w:color="auto"/>
        <w:left w:val="none" w:sz="0" w:space="0" w:color="auto"/>
        <w:bottom w:val="none" w:sz="0" w:space="0" w:color="auto"/>
        <w:right w:val="none" w:sz="0" w:space="0" w:color="auto"/>
      </w:divBdr>
    </w:div>
    <w:div w:id="1767460245">
      <w:bodyDiv w:val="1"/>
      <w:marLeft w:val="0"/>
      <w:marRight w:val="0"/>
      <w:marTop w:val="0"/>
      <w:marBottom w:val="0"/>
      <w:divBdr>
        <w:top w:val="none" w:sz="0" w:space="0" w:color="auto"/>
        <w:left w:val="none" w:sz="0" w:space="0" w:color="auto"/>
        <w:bottom w:val="none" w:sz="0" w:space="0" w:color="auto"/>
        <w:right w:val="none" w:sz="0" w:space="0" w:color="auto"/>
      </w:divBdr>
    </w:div>
    <w:div w:id="1857307877">
      <w:bodyDiv w:val="1"/>
      <w:marLeft w:val="0"/>
      <w:marRight w:val="0"/>
      <w:marTop w:val="0"/>
      <w:marBottom w:val="0"/>
      <w:divBdr>
        <w:top w:val="none" w:sz="0" w:space="0" w:color="auto"/>
        <w:left w:val="none" w:sz="0" w:space="0" w:color="auto"/>
        <w:bottom w:val="none" w:sz="0" w:space="0" w:color="auto"/>
        <w:right w:val="none" w:sz="0" w:space="0" w:color="auto"/>
      </w:divBdr>
    </w:div>
    <w:div w:id="1903441482">
      <w:bodyDiv w:val="1"/>
      <w:marLeft w:val="0"/>
      <w:marRight w:val="0"/>
      <w:marTop w:val="0"/>
      <w:marBottom w:val="0"/>
      <w:divBdr>
        <w:top w:val="none" w:sz="0" w:space="0" w:color="auto"/>
        <w:left w:val="none" w:sz="0" w:space="0" w:color="auto"/>
        <w:bottom w:val="none" w:sz="0" w:space="0" w:color="auto"/>
        <w:right w:val="none" w:sz="0" w:space="0" w:color="auto"/>
      </w:divBdr>
    </w:div>
    <w:div w:id="1987584793">
      <w:bodyDiv w:val="1"/>
      <w:marLeft w:val="0"/>
      <w:marRight w:val="0"/>
      <w:marTop w:val="0"/>
      <w:marBottom w:val="0"/>
      <w:divBdr>
        <w:top w:val="none" w:sz="0" w:space="0" w:color="auto"/>
        <w:left w:val="none" w:sz="0" w:space="0" w:color="auto"/>
        <w:bottom w:val="none" w:sz="0" w:space="0" w:color="auto"/>
        <w:right w:val="none" w:sz="0" w:space="0" w:color="auto"/>
      </w:divBdr>
    </w:div>
    <w:div w:id="1991861745">
      <w:bodyDiv w:val="1"/>
      <w:marLeft w:val="0"/>
      <w:marRight w:val="0"/>
      <w:marTop w:val="0"/>
      <w:marBottom w:val="0"/>
      <w:divBdr>
        <w:top w:val="none" w:sz="0" w:space="0" w:color="auto"/>
        <w:left w:val="none" w:sz="0" w:space="0" w:color="auto"/>
        <w:bottom w:val="none" w:sz="0" w:space="0" w:color="auto"/>
        <w:right w:val="none" w:sz="0" w:space="0" w:color="auto"/>
      </w:divBdr>
    </w:div>
    <w:div w:id="2000232539">
      <w:bodyDiv w:val="1"/>
      <w:marLeft w:val="0"/>
      <w:marRight w:val="0"/>
      <w:marTop w:val="0"/>
      <w:marBottom w:val="0"/>
      <w:divBdr>
        <w:top w:val="none" w:sz="0" w:space="0" w:color="auto"/>
        <w:left w:val="none" w:sz="0" w:space="0" w:color="auto"/>
        <w:bottom w:val="none" w:sz="0" w:space="0" w:color="auto"/>
        <w:right w:val="none" w:sz="0" w:space="0" w:color="auto"/>
      </w:divBdr>
    </w:div>
    <w:div w:id="2007124973">
      <w:bodyDiv w:val="1"/>
      <w:marLeft w:val="0"/>
      <w:marRight w:val="0"/>
      <w:marTop w:val="0"/>
      <w:marBottom w:val="0"/>
      <w:divBdr>
        <w:top w:val="none" w:sz="0" w:space="0" w:color="auto"/>
        <w:left w:val="none" w:sz="0" w:space="0" w:color="auto"/>
        <w:bottom w:val="none" w:sz="0" w:space="0" w:color="auto"/>
        <w:right w:val="none" w:sz="0" w:space="0" w:color="auto"/>
      </w:divBdr>
    </w:div>
    <w:div w:id="2038656750">
      <w:bodyDiv w:val="1"/>
      <w:marLeft w:val="0"/>
      <w:marRight w:val="0"/>
      <w:marTop w:val="0"/>
      <w:marBottom w:val="0"/>
      <w:divBdr>
        <w:top w:val="none" w:sz="0" w:space="0" w:color="auto"/>
        <w:left w:val="none" w:sz="0" w:space="0" w:color="auto"/>
        <w:bottom w:val="none" w:sz="0" w:space="0" w:color="auto"/>
        <w:right w:val="none" w:sz="0" w:space="0" w:color="auto"/>
      </w:divBdr>
    </w:div>
    <w:div w:id="2055421262">
      <w:bodyDiv w:val="1"/>
      <w:marLeft w:val="0"/>
      <w:marRight w:val="0"/>
      <w:marTop w:val="0"/>
      <w:marBottom w:val="0"/>
      <w:divBdr>
        <w:top w:val="none" w:sz="0" w:space="0" w:color="auto"/>
        <w:left w:val="none" w:sz="0" w:space="0" w:color="auto"/>
        <w:bottom w:val="none" w:sz="0" w:space="0" w:color="auto"/>
        <w:right w:val="none" w:sz="0" w:space="0" w:color="auto"/>
      </w:divBdr>
      <w:divsChild>
        <w:div w:id="1141967339">
          <w:marLeft w:val="0"/>
          <w:marRight w:val="0"/>
          <w:marTop w:val="0"/>
          <w:marBottom w:val="41"/>
          <w:divBdr>
            <w:top w:val="none" w:sz="0" w:space="0" w:color="auto"/>
            <w:left w:val="none" w:sz="0" w:space="0" w:color="auto"/>
            <w:bottom w:val="none" w:sz="0" w:space="0" w:color="auto"/>
            <w:right w:val="none" w:sz="0" w:space="0" w:color="auto"/>
          </w:divBdr>
        </w:div>
      </w:divsChild>
    </w:div>
    <w:div w:id="2065791970">
      <w:bodyDiv w:val="1"/>
      <w:marLeft w:val="0"/>
      <w:marRight w:val="0"/>
      <w:marTop w:val="0"/>
      <w:marBottom w:val="0"/>
      <w:divBdr>
        <w:top w:val="none" w:sz="0" w:space="0" w:color="auto"/>
        <w:left w:val="none" w:sz="0" w:space="0" w:color="auto"/>
        <w:bottom w:val="none" w:sz="0" w:space="0" w:color="auto"/>
        <w:right w:val="none" w:sz="0" w:space="0" w:color="auto"/>
      </w:divBdr>
    </w:div>
    <w:div w:id="208687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1EFCEE-F9CB-4781-A9CF-36039A123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16454</Words>
  <Characters>90500</Characters>
  <Application>Microsoft Office Word</Application>
  <DocSecurity>0</DocSecurity>
  <Lines>754</Lines>
  <Paragraphs>213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106741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Spanjersberg</dc:creator>
  <cp:keywords/>
  <dc:description/>
  <cp:lastModifiedBy>M.M. Viola Gonzalez</cp:lastModifiedBy>
  <cp:revision>2</cp:revision>
  <cp:lastPrinted>2015-06-08T08:45:00Z</cp:lastPrinted>
  <dcterms:created xsi:type="dcterms:W3CDTF">2015-08-27T11:14:00Z</dcterms:created>
  <dcterms:modified xsi:type="dcterms:W3CDTF">2015-08-27T11:14:00Z</dcterms:modified>
</cp:coreProperties>
</file>