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bookmarkStart w:id="1" w:name="_Toc424733267" w:displacedByCustomXml="next"/>
    <w:sdt>
      <w:sdtPr>
        <w:rPr>
          <w:rFonts w:asciiTheme="majorHAnsi" w:eastAsiaTheme="majorEastAsia" w:hAnsiTheme="majorHAnsi" w:cstheme="majorBidi"/>
          <w:caps/>
          <w:lang w:val="nl-NL" w:eastAsia="en-US"/>
        </w:rPr>
        <w:id w:val="740989161"/>
        <w:docPartObj>
          <w:docPartGallery w:val="Cover Pages"/>
          <w:docPartUnique/>
        </w:docPartObj>
      </w:sdtPr>
      <w:sdtEndPr>
        <w:rPr>
          <w:rFonts w:ascii="Arial" w:eastAsiaTheme="minorHAnsi" w:hAnsi="Arial" w:cstheme="minorBidi"/>
          <w:b/>
          <w:bCs/>
          <w:caps w:val="0"/>
        </w:rPr>
      </w:sdtEndPr>
      <w:sdtContent>
        <w:tbl>
          <w:tblPr>
            <w:tblW w:w="5000" w:type="pct"/>
            <w:jc w:val="center"/>
            <w:tblLook w:val="04A0" w:firstRow="1" w:lastRow="0" w:firstColumn="1" w:lastColumn="0" w:noHBand="0" w:noVBand="1"/>
          </w:tblPr>
          <w:tblGrid>
            <w:gridCol w:w="9288"/>
          </w:tblGrid>
          <w:tr w:rsidR="00C3511A" w14:paraId="1B2099CE" w14:textId="77777777">
            <w:trPr>
              <w:trHeight w:val="2880"/>
              <w:jc w:val="center"/>
            </w:trPr>
            <w:sdt>
              <w:sdtPr>
                <w:rPr>
                  <w:rFonts w:asciiTheme="majorHAnsi" w:eastAsiaTheme="majorEastAsia" w:hAnsiTheme="majorHAnsi" w:cstheme="majorBidi"/>
                  <w:caps/>
                  <w:lang w:val="nl-NL"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14:paraId="5F109B3F" w14:textId="77777777" w:rsidR="00C3511A" w:rsidRDefault="002E32D3">
                    <w:pPr>
                      <w:pStyle w:val="NoSpacing"/>
                      <w:jc w:val="center"/>
                      <w:rPr>
                        <w:rFonts w:asciiTheme="majorHAnsi" w:eastAsiaTheme="majorEastAsia" w:hAnsiTheme="majorHAnsi" w:cstheme="majorBidi"/>
                        <w:caps/>
                      </w:rPr>
                    </w:pPr>
                    <w:r>
                      <w:rPr>
                        <w:rFonts w:asciiTheme="majorHAnsi" w:eastAsiaTheme="majorEastAsia" w:hAnsiTheme="majorHAnsi" w:cstheme="majorBidi"/>
                        <w:caps/>
                        <w:lang w:val="nl-NL"/>
                      </w:rPr>
                      <w:t>Erasmus University Rotterdam</w:t>
                    </w:r>
                  </w:p>
                </w:tc>
              </w:sdtContent>
            </w:sdt>
          </w:tr>
          <w:tr w:rsidR="00C3511A" w:rsidRPr="00221BBB" w14:paraId="75F7FBCD" w14:textId="77777777">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4CB9261D" w14:textId="77777777" w:rsidR="00C3511A" w:rsidRDefault="00C3511A">
                    <w:pPr>
                      <w:pStyle w:val="NoSpacing"/>
                      <w:jc w:val="center"/>
                      <w:rPr>
                        <w:rFonts w:asciiTheme="majorHAnsi" w:eastAsiaTheme="majorEastAsia" w:hAnsiTheme="majorHAnsi" w:cstheme="majorBidi"/>
                        <w:sz w:val="80"/>
                        <w:szCs w:val="80"/>
                      </w:rPr>
                    </w:pPr>
                    <w:r w:rsidRPr="00C3511A">
                      <w:rPr>
                        <w:rFonts w:asciiTheme="majorHAnsi" w:eastAsiaTheme="majorEastAsia" w:hAnsiTheme="majorHAnsi" w:cstheme="majorBidi"/>
                        <w:sz w:val="80"/>
                        <w:szCs w:val="80"/>
                      </w:rPr>
                      <w:t>Electricity market liberalization and renewable electricity innovation</w:t>
                    </w:r>
                  </w:p>
                </w:tc>
              </w:sdtContent>
            </w:sdt>
          </w:tr>
          <w:tr w:rsidR="00C3511A" w14:paraId="6EAC7CFE" w14:textId="77777777">
            <w:trPr>
              <w:trHeight w:val="720"/>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14:paraId="4583DC70" w14:textId="77777777" w:rsidR="00C3511A" w:rsidRDefault="00C3511A">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lang w:val="nl-NL"/>
                      </w:rPr>
                      <w:t>An empirical analysis</w:t>
                    </w:r>
                  </w:p>
                </w:tc>
              </w:sdtContent>
            </w:sdt>
          </w:tr>
          <w:tr w:rsidR="00C3511A" w14:paraId="4DE65574" w14:textId="77777777">
            <w:trPr>
              <w:trHeight w:val="360"/>
              <w:jc w:val="center"/>
            </w:trPr>
            <w:tc>
              <w:tcPr>
                <w:tcW w:w="5000" w:type="pct"/>
                <w:vAlign w:val="center"/>
              </w:tcPr>
              <w:p w14:paraId="6A4400FA" w14:textId="77777777" w:rsidR="00C3511A" w:rsidRDefault="00C3511A">
                <w:pPr>
                  <w:pStyle w:val="NoSpacing"/>
                  <w:jc w:val="center"/>
                </w:pPr>
              </w:p>
            </w:tc>
          </w:tr>
          <w:tr w:rsidR="00C3511A" w14:paraId="15E81F92" w14:textId="77777777">
            <w:trPr>
              <w:trHeight w:val="360"/>
              <w:jc w:val="center"/>
            </w:trPr>
            <w:tc>
              <w:tcPr>
                <w:tcW w:w="5000" w:type="pct"/>
                <w:vAlign w:val="center"/>
              </w:tcPr>
              <w:p w14:paraId="2AEB829D" w14:textId="78EBA38A" w:rsidR="00092B35" w:rsidRPr="00092B35" w:rsidRDefault="00092B35" w:rsidP="00092B35">
                <w:pPr>
                  <w:pStyle w:val="NoSpacing"/>
                  <w:jc w:val="center"/>
                  <w:rPr>
                    <w:b/>
                    <w:bCs/>
                  </w:rPr>
                </w:pPr>
                <w:r>
                  <w:rPr>
                    <w:b/>
                    <w:bCs/>
                  </w:rPr>
                  <w:t>Thesis a</w:t>
                </w:r>
                <w:r w:rsidRPr="00092B35">
                  <w:rPr>
                    <w:b/>
                    <w:bCs/>
                  </w:rPr>
                  <w:t>uthor: Jan Quist</w:t>
                </w:r>
              </w:p>
              <w:p w14:paraId="50661937" w14:textId="77E2349C" w:rsidR="00092B35" w:rsidRPr="00092B35" w:rsidRDefault="00092B35" w:rsidP="00092B35">
                <w:pPr>
                  <w:pStyle w:val="NoSpacing"/>
                  <w:jc w:val="center"/>
                  <w:rPr>
                    <w:b/>
                    <w:bCs/>
                  </w:rPr>
                </w:pPr>
                <w:r w:rsidRPr="00092B35">
                  <w:rPr>
                    <w:b/>
                    <w:bCs/>
                  </w:rPr>
                  <w:t>Student number: 364627</w:t>
                </w:r>
              </w:p>
              <w:p w14:paraId="5D85C3BC" w14:textId="77777777" w:rsidR="00092B35" w:rsidRPr="00092B35" w:rsidRDefault="00092B35" w:rsidP="00092B35">
                <w:pPr>
                  <w:pStyle w:val="NoSpacing"/>
                  <w:jc w:val="center"/>
                  <w:rPr>
                    <w:b/>
                    <w:bCs/>
                    <w:lang w:val="nl-NL"/>
                  </w:rPr>
                </w:pPr>
                <w:r w:rsidRPr="00092B35">
                  <w:rPr>
                    <w:b/>
                    <w:bCs/>
                    <w:lang w:val="nl-NL"/>
                  </w:rPr>
                  <w:t>Study: Economie en Bedrijfseconomie; Erasmus Universiteit Rotterdam</w:t>
                </w:r>
              </w:p>
              <w:p w14:paraId="3EA8F90E" w14:textId="77777777" w:rsidR="00092B35" w:rsidRPr="00092B35" w:rsidRDefault="00092B35" w:rsidP="00092B35">
                <w:pPr>
                  <w:pStyle w:val="NoSpacing"/>
                  <w:jc w:val="center"/>
                  <w:rPr>
                    <w:b/>
                    <w:bCs/>
                    <w:lang w:val="nl-NL"/>
                  </w:rPr>
                </w:pPr>
              </w:p>
              <w:p w14:paraId="11515021" w14:textId="43DFFC9D" w:rsidR="00C3511A" w:rsidRDefault="00092B35">
                <w:pPr>
                  <w:pStyle w:val="NoSpacing"/>
                  <w:jc w:val="center"/>
                  <w:rPr>
                    <w:b/>
                    <w:bCs/>
                    <w:lang w:val="nl-NL"/>
                  </w:rPr>
                </w:pPr>
                <w:r>
                  <w:rPr>
                    <w:b/>
                    <w:bCs/>
                    <w:lang w:val="nl-NL"/>
                  </w:rPr>
                  <w:t xml:space="preserve">Thesis supervisor: </w:t>
                </w:r>
                <w:r w:rsidR="008125C1">
                  <w:rPr>
                    <w:b/>
                    <w:bCs/>
                    <w:lang w:val="nl-NL"/>
                  </w:rPr>
                  <w:t>Brigitte  Hoogendoorn</w:t>
                </w:r>
              </w:p>
              <w:p w14:paraId="18692CCB" w14:textId="06E81A9B" w:rsidR="00092B35" w:rsidRDefault="00092B35">
                <w:pPr>
                  <w:pStyle w:val="NoSpacing"/>
                  <w:jc w:val="center"/>
                  <w:rPr>
                    <w:b/>
                    <w:bCs/>
                  </w:rPr>
                </w:pPr>
              </w:p>
            </w:tc>
          </w:tr>
          <w:tr w:rsidR="00C3511A" w14:paraId="4DA5FF49" w14:textId="77777777">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fullDate="2015-08-10T00:00:00Z">
                  <w:dateFormat w:val="M/d/yyyy"/>
                  <w:lid w:val="en-US"/>
                  <w:storeMappedDataAs w:val="dateTime"/>
                  <w:calendar w:val="gregorian"/>
                </w:date>
              </w:sdtPr>
              <w:sdtEndPr/>
              <w:sdtContent>
                <w:tc>
                  <w:tcPr>
                    <w:tcW w:w="5000" w:type="pct"/>
                    <w:vAlign w:val="center"/>
                  </w:tcPr>
                  <w:p w14:paraId="050FE3E2" w14:textId="77777777" w:rsidR="00C3511A" w:rsidRDefault="00C3511A">
                    <w:pPr>
                      <w:pStyle w:val="NoSpacing"/>
                      <w:jc w:val="center"/>
                      <w:rPr>
                        <w:b/>
                        <w:bCs/>
                      </w:rPr>
                    </w:pPr>
                    <w:r>
                      <w:rPr>
                        <w:b/>
                        <w:bCs/>
                      </w:rPr>
                      <w:t>8/10/2015</w:t>
                    </w:r>
                  </w:p>
                </w:tc>
              </w:sdtContent>
            </w:sdt>
          </w:tr>
        </w:tbl>
        <w:p w14:paraId="743F7779" w14:textId="77777777" w:rsidR="00C3511A" w:rsidRDefault="00C3511A"/>
        <w:p w14:paraId="41D742A3" w14:textId="77777777" w:rsidR="00C3511A" w:rsidRDefault="00C3511A"/>
        <w:tbl>
          <w:tblPr>
            <w:tblpPr w:leftFromText="187" w:rightFromText="187" w:horzAnchor="margin" w:tblpXSpec="center" w:tblpYSpec="bottom"/>
            <w:tblW w:w="5000" w:type="pct"/>
            <w:tblLook w:val="04A0" w:firstRow="1" w:lastRow="0" w:firstColumn="1" w:lastColumn="0" w:noHBand="0" w:noVBand="1"/>
          </w:tblPr>
          <w:tblGrid>
            <w:gridCol w:w="9288"/>
          </w:tblGrid>
          <w:tr w:rsidR="00C3511A" w:rsidRPr="00C3511A" w14:paraId="58EF69A4" w14:textId="77777777">
            <w:tc>
              <w:tcPr>
                <w:tcW w:w="5000" w:type="pct"/>
              </w:tcPr>
              <w:p w14:paraId="7A242D6B" w14:textId="33255025" w:rsidR="00C3511A" w:rsidRDefault="00C55BBE" w:rsidP="00C3511A">
                <w:pPr>
                  <w:pStyle w:val="NoSpacing"/>
                  <w:jc w:val="both"/>
                </w:pPr>
                <w:sdt>
                  <w:sdtPr>
                    <w:rPr>
                      <w:lang w:eastAsia="nl-NL"/>
                    </w:rPr>
                    <w:alias w:val="Abstract"/>
                    <w:id w:val="8276291"/>
                    <w:dataBinding w:prefixMappings="xmlns:ns0='http://schemas.microsoft.com/office/2006/coverPageProps'" w:xpath="/ns0:CoverPageProperties[1]/ns0:Abstract[1]" w:storeItemID="{55AF091B-3C7A-41E3-B477-F2FDAA23CFDA}"/>
                    <w:text/>
                  </w:sdtPr>
                  <w:sdtEndPr/>
                  <w:sdtContent>
                    <w:r w:rsidR="00C3511A" w:rsidRPr="00DB009A">
                      <w:rPr>
                        <w:lang w:eastAsia="nl-NL"/>
                      </w:rPr>
                      <w:t>This thesis studies the effects of electricity market liberalization on renewable electricity innovation in the European Union from 1990 to 2013 from an economic point of view. The transition to renewable electricity sources is an effective and efficient solution to environmental problems, and one of the most important solutions available. Innovation is required to attain the benefits of renewable electricity generation. The effect of electricity market liberalization on renewable electricity innovation should therefore bother policy makers in the European Union, although it is an underexposed aspect in liberalization research. This study aims to fill the gap.</w:t>
                    </w:r>
                  </w:sdtContent>
                </w:sdt>
              </w:p>
            </w:tc>
          </w:tr>
        </w:tbl>
        <w:p w14:paraId="73B49782" w14:textId="77777777" w:rsidR="00C3511A" w:rsidRPr="00C3511A" w:rsidRDefault="00C3511A" w:rsidP="00C3511A">
          <w:pPr>
            <w:rPr>
              <w:lang w:val="en-US"/>
            </w:rPr>
          </w:pPr>
        </w:p>
        <w:p w14:paraId="72255BBF" w14:textId="1FCEFCCD" w:rsidR="00C3511A" w:rsidRDefault="00C3511A">
          <w:pPr>
            <w:spacing w:line="276" w:lineRule="auto"/>
            <w:jc w:val="left"/>
          </w:pPr>
          <w:r w:rsidRPr="00C3511A">
            <w:rPr>
              <w:b/>
              <w:bCs/>
              <w:lang w:val="en-US"/>
            </w:rPr>
            <w:br w:type="page"/>
          </w:r>
        </w:p>
      </w:sdtContent>
    </w:sdt>
    <w:p w14:paraId="1E3DA29A" w14:textId="77777777" w:rsidR="00EE79FF" w:rsidRDefault="00ED1C44" w:rsidP="00EE79FF">
      <w:pPr>
        <w:pStyle w:val="Heading1"/>
        <w:rPr>
          <w:lang w:val="en-US"/>
        </w:rPr>
      </w:pPr>
      <w:bookmarkStart w:id="2" w:name="_Toc426898386"/>
      <w:bookmarkStart w:id="3" w:name="_Toc427657266"/>
      <w:r>
        <w:rPr>
          <w:lang w:val="en-US"/>
        </w:rPr>
        <w:lastRenderedPageBreak/>
        <w:t>Abstract</w:t>
      </w:r>
      <w:bookmarkEnd w:id="2"/>
      <w:bookmarkEnd w:id="3"/>
      <w:bookmarkEnd w:id="1"/>
    </w:p>
    <w:p w14:paraId="3D93BD4B" w14:textId="77777777" w:rsidR="00257045" w:rsidRDefault="00257045" w:rsidP="001C451C">
      <w:pPr>
        <w:rPr>
          <w:lang w:val="en-US" w:eastAsia="nl-NL"/>
        </w:rPr>
      </w:pPr>
      <w:r>
        <w:rPr>
          <w:lang w:val="en-US" w:eastAsia="nl-NL"/>
        </w:rPr>
        <w:t>This thesis studies</w:t>
      </w:r>
      <w:r w:rsidR="001C451C">
        <w:rPr>
          <w:lang w:val="en-US" w:eastAsia="nl-NL"/>
        </w:rPr>
        <w:t xml:space="preserve"> the effects of electricity market liberalization on renewable electricity innovation</w:t>
      </w:r>
      <w:r>
        <w:rPr>
          <w:lang w:val="en-US" w:eastAsia="nl-NL"/>
        </w:rPr>
        <w:t xml:space="preserve"> in the European Union from 1990 to 2013 from an economic point of view. The transition to renewable electricity sources is an effective and efficient solution to environmental problems, and one of the most important solutions available. Innovation is required to attain the benefits of renewable electricity generation. </w:t>
      </w:r>
      <w:r w:rsidR="00B73F87">
        <w:rPr>
          <w:lang w:val="en-US" w:eastAsia="nl-NL"/>
        </w:rPr>
        <w:t>The effect of electricity market liberalization on r</w:t>
      </w:r>
      <w:r>
        <w:rPr>
          <w:lang w:val="en-US" w:eastAsia="nl-NL"/>
        </w:rPr>
        <w:t xml:space="preserve">enewable electricity innovation </w:t>
      </w:r>
      <w:r w:rsidR="00B73F87">
        <w:rPr>
          <w:lang w:val="en-US" w:eastAsia="nl-NL"/>
        </w:rPr>
        <w:t>should therefore bother policy makers in the European Union, although it is an underexposed aspect in liberalization research. This study aims to fill the gap.</w:t>
      </w:r>
    </w:p>
    <w:p w14:paraId="739F5CBB" w14:textId="77777777" w:rsidR="00CF35E5" w:rsidRDefault="00007D3E" w:rsidP="00CF35E5">
      <w:pPr>
        <w:rPr>
          <w:rFonts w:eastAsia="Times New Roman" w:cs="Arial"/>
          <w:color w:val="000000"/>
          <w:lang w:val="en-US" w:eastAsia="nl-NL"/>
        </w:rPr>
      </w:pPr>
      <w:r>
        <w:rPr>
          <w:rFonts w:eastAsia="Times New Roman" w:cs="Arial"/>
          <w:color w:val="000000"/>
          <w:lang w:val="en-US" w:eastAsia="nl-NL"/>
        </w:rPr>
        <w:t>Previous work on the topic of electricity market liberalization identified positive effects for consumers, e</w:t>
      </w:r>
      <w:r w:rsidR="00CF506B">
        <w:rPr>
          <w:rFonts w:eastAsia="Times New Roman" w:cs="Arial"/>
          <w:color w:val="000000"/>
          <w:lang w:val="en-US" w:eastAsia="nl-NL"/>
        </w:rPr>
        <w:t>nergy efficiency and prices. Two</w:t>
      </w:r>
      <w:r>
        <w:rPr>
          <w:rFonts w:eastAsia="Times New Roman" w:cs="Arial"/>
          <w:color w:val="000000"/>
          <w:lang w:val="en-US" w:eastAsia="nl-NL"/>
        </w:rPr>
        <w:t xml:space="preserve"> effect</w:t>
      </w:r>
      <w:r w:rsidR="00CF506B">
        <w:rPr>
          <w:rFonts w:eastAsia="Times New Roman" w:cs="Arial"/>
          <w:color w:val="000000"/>
          <w:lang w:val="en-US" w:eastAsia="nl-NL"/>
        </w:rPr>
        <w:t>s</w:t>
      </w:r>
      <w:r>
        <w:rPr>
          <w:rFonts w:eastAsia="Times New Roman" w:cs="Arial"/>
          <w:color w:val="000000"/>
          <w:lang w:val="en-US" w:eastAsia="nl-NL"/>
        </w:rPr>
        <w:t xml:space="preserve"> of electricity market liberalization </w:t>
      </w:r>
      <w:r w:rsidR="00A865EE">
        <w:rPr>
          <w:rFonts w:eastAsia="Times New Roman" w:cs="Arial"/>
          <w:color w:val="000000"/>
          <w:lang w:val="en-US" w:eastAsia="nl-NL"/>
        </w:rPr>
        <w:t xml:space="preserve">on innovation </w:t>
      </w:r>
      <w:r w:rsidR="00CF506B">
        <w:rPr>
          <w:rFonts w:eastAsia="Times New Roman" w:cs="Arial"/>
          <w:color w:val="000000"/>
          <w:lang w:val="en-US" w:eastAsia="nl-NL"/>
        </w:rPr>
        <w:t>are a market failure in basic R&amp;D</w:t>
      </w:r>
      <w:sdt>
        <w:sdtPr>
          <w:rPr>
            <w:rFonts w:eastAsia="Times New Roman" w:cs="Arial"/>
            <w:color w:val="000000"/>
            <w:lang w:val="en-US" w:eastAsia="nl-NL"/>
          </w:rPr>
          <w:id w:val="362418975"/>
          <w:citation/>
        </w:sdtPr>
        <w:sdtEndPr/>
        <w:sdtContent>
          <w:r w:rsidR="00CF506B">
            <w:rPr>
              <w:rFonts w:eastAsia="Times New Roman" w:cs="Arial"/>
              <w:color w:val="000000"/>
              <w:lang w:val="en-US" w:eastAsia="nl-NL"/>
            </w:rPr>
            <w:fldChar w:fldCharType="begin"/>
          </w:r>
          <w:r w:rsidR="00CF506B">
            <w:rPr>
              <w:rFonts w:eastAsia="Times New Roman" w:cs="Arial"/>
              <w:color w:val="000000"/>
              <w:lang w:val="en-US" w:eastAsia="nl-NL"/>
            </w:rPr>
            <w:instrText xml:space="preserve">CITATION Jam08 \t  \l 1043 </w:instrText>
          </w:r>
          <w:r w:rsidR="00CF506B">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(Jamesb &amp; Pollitt, 2008)</w:t>
          </w:r>
          <w:r w:rsidR="00CF506B">
            <w:rPr>
              <w:rFonts w:eastAsia="Times New Roman" w:cs="Arial"/>
              <w:color w:val="000000"/>
              <w:lang w:val="en-US" w:eastAsia="nl-NL"/>
            </w:rPr>
            <w:fldChar w:fldCharType="end"/>
          </w:r>
        </w:sdtContent>
      </w:sdt>
      <w:r w:rsidR="00CF506B">
        <w:rPr>
          <w:rFonts w:eastAsia="Times New Roman" w:cs="Arial"/>
          <w:color w:val="000000"/>
          <w:lang w:val="en-US" w:eastAsia="nl-NL"/>
        </w:rPr>
        <w:t xml:space="preserve"> and a switch from long term</w:t>
      </w:r>
      <w:r w:rsidR="00CF35E5">
        <w:rPr>
          <w:rFonts w:eastAsia="Times New Roman" w:cs="Arial"/>
          <w:color w:val="000000"/>
          <w:lang w:val="en-US" w:eastAsia="nl-NL"/>
        </w:rPr>
        <w:t xml:space="preserve"> </w:t>
      </w:r>
      <w:r w:rsidR="00CF506B">
        <w:rPr>
          <w:lang w:val="en-US"/>
        </w:rPr>
        <w:t xml:space="preserve">(and in particular </w:t>
      </w:r>
      <w:r w:rsidR="00CF506B">
        <w:rPr>
          <w:rFonts w:eastAsia="Times New Roman" w:cs="Arial"/>
          <w:color w:val="000000"/>
          <w:lang w:val="en-US" w:eastAsia="nl-NL"/>
        </w:rPr>
        <w:t>cleaner, environmentally preferred energy supply R&amp;D) to more customer-oriented product- and organizational innovations</w:t>
      </w:r>
      <w:sdt>
        <w:sdtPr>
          <w:rPr>
            <w:rFonts w:eastAsia="Times New Roman" w:cs="Arial"/>
            <w:color w:val="000000"/>
            <w:lang w:val="en-US" w:eastAsia="nl-NL"/>
          </w:rPr>
          <w:id w:val="-536967653"/>
          <w:citation/>
        </w:sdtPr>
        <w:sdtEndPr/>
        <w:sdtContent>
          <w:r w:rsidR="00CF35E5">
            <w:rPr>
              <w:rFonts w:eastAsia="Times New Roman" w:cs="Arial"/>
              <w:color w:val="000000"/>
              <w:lang w:val="en-US" w:eastAsia="nl-NL"/>
            </w:rPr>
            <w:fldChar w:fldCharType="begin"/>
          </w:r>
          <w:r w:rsidR="00CF35E5" w:rsidRPr="00CF35E5">
            <w:rPr>
              <w:rFonts w:eastAsia="Times New Roman" w:cs="Arial"/>
              <w:color w:val="000000"/>
              <w:lang w:val="en-US" w:eastAsia="nl-NL"/>
            </w:rPr>
            <w:instrText xml:space="preserve"> CITATION Doo98 \l 1043 </w:instrText>
          </w:r>
          <w:r w:rsidR="00CF35E5">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(Dooley, 1998)</w:t>
          </w:r>
          <w:r w:rsidR="00CF35E5">
            <w:rPr>
              <w:rFonts w:eastAsia="Times New Roman" w:cs="Arial"/>
              <w:color w:val="000000"/>
              <w:lang w:val="en-US" w:eastAsia="nl-NL"/>
            </w:rPr>
            <w:fldChar w:fldCharType="end"/>
          </w:r>
        </w:sdtContent>
      </w:sdt>
      <w:r>
        <w:rPr>
          <w:rFonts w:eastAsia="Times New Roman" w:cs="Arial"/>
          <w:color w:val="000000"/>
          <w:lang w:val="en-US" w:eastAsia="nl-NL"/>
        </w:rPr>
        <w:t xml:space="preserve">. </w:t>
      </w:r>
      <w:r w:rsidR="00CF35E5">
        <w:rPr>
          <w:rFonts w:eastAsia="Times New Roman" w:cs="Arial"/>
          <w:color w:val="000000"/>
          <w:lang w:val="en-US" w:eastAsia="nl-NL"/>
        </w:rPr>
        <w:t xml:space="preserve">However, it </w:t>
      </w:r>
      <w:r>
        <w:rPr>
          <w:rFonts w:eastAsia="Times New Roman" w:cs="Arial"/>
          <w:color w:val="000000"/>
          <w:lang w:val="en-US" w:eastAsia="nl-NL"/>
        </w:rPr>
        <w:t>is unclear whether the</w:t>
      </w:r>
      <w:r w:rsidR="00CF35E5">
        <w:rPr>
          <w:rFonts w:eastAsia="Times New Roman" w:cs="Arial"/>
          <w:color w:val="000000"/>
          <w:lang w:val="en-US" w:eastAsia="nl-NL"/>
        </w:rPr>
        <w:t>se effects are</w:t>
      </w:r>
      <w:r>
        <w:rPr>
          <w:rFonts w:eastAsia="Times New Roman" w:cs="Arial"/>
          <w:color w:val="000000"/>
          <w:lang w:val="en-US" w:eastAsia="nl-NL"/>
        </w:rPr>
        <w:t xml:space="preserve"> initial or long term. The effect of electricity market liberalization on entry in renewable electricity innovative activities remained unstudied so far, as well as the effect on innovative quality. </w:t>
      </w:r>
    </w:p>
    <w:p w14:paraId="174A43B8" w14:textId="21674BCB" w:rsidR="00CF35E5" w:rsidRPr="001C451C" w:rsidRDefault="00CF35E5" w:rsidP="00CF35E5">
      <w:pPr>
        <w:rPr>
          <w:lang w:val="en-US" w:eastAsia="nl-NL"/>
        </w:rPr>
      </w:pPr>
      <w:r>
        <w:rPr>
          <w:lang w:val="en-US" w:eastAsia="nl-NL"/>
        </w:rPr>
        <w:t xml:space="preserve">OECD data on product market regulation for the electricity sector are used in this study to quantify electricity market liberalization. Patent data from the Orbis database provides insight in entry, innovative quantity and quality. </w:t>
      </w:r>
    </w:p>
    <w:p w14:paraId="2743550C" w14:textId="77777777" w:rsidR="00CF35E5" w:rsidRPr="009A0F03" w:rsidRDefault="00CF35E5" w:rsidP="00CF35E5">
      <w:pPr>
        <w:rPr>
          <w:lang w:val="en-US"/>
        </w:rPr>
      </w:pPr>
      <w:r>
        <w:rPr>
          <w:lang w:val="en-US" w:eastAsia="nl-NL"/>
        </w:rPr>
        <w:t xml:space="preserve">The major findings of this study are a positive association between electricity market liberalization and the quantity of innovative output in renewable electricity innovation; a negative association between electricity market liberalization and the quality of innovative output in renewable electricity innovation, and positive association between electricity market liberalization and entry in renewable electricity innovation. These findings are similar for studies on electricity innovation in general; </w:t>
      </w:r>
      <w:r>
        <w:rPr>
          <w:lang w:val="en-US" w:eastAsia="nl-NL"/>
        </w:rPr>
        <w:lastRenderedPageBreak/>
        <w:t>and therefore seem to contradict with the theory presented in previous studies that liberalization is likely to be related with a decrease of long-term (and in particular renewable electricity) innovation</w:t>
      </w:r>
      <w:sdt>
        <w:sdtPr>
          <w:rPr>
            <w:lang w:val="en-US" w:eastAsia="nl-NL"/>
          </w:rPr>
          <w:id w:val="-1410078316"/>
          <w:citation/>
        </w:sdtPr>
        <w:sdtEndPr/>
        <w:sdtContent>
          <w:r>
            <w:rPr>
              <w:lang w:val="en-US" w:eastAsia="nl-NL"/>
            </w:rPr>
            <w:fldChar w:fldCharType="begin"/>
          </w:r>
          <w:r w:rsidRPr="004D6C45">
            <w:rPr>
              <w:lang w:val="en-US" w:eastAsia="nl-NL"/>
            </w:rPr>
            <w:instrText xml:space="preserve"> CITATION Doo98 \l 1043 </w:instrText>
          </w:r>
          <w:r>
            <w:rPr>
              <w:lang w:val="en-US" w:eastAsia="nl-NL"/>
            </w:rPr>
            <w:fldChar w:fldCharType="separate"/>
          </w:r>
          <w:r w:rsidR="00B24268">
            <w:rPr>
              <w:noProof/>
              <w:lang w:val="en-US" w:eastAsia="nl-NL"/>
            </w:rPr>
            <w:t xml:space="preserve"> </w:t>
          </w:r>
          <w:r w:rsidR="00B24268" w:rsidRPr="00B24268">
            <w:rPr>
              <w:noProof/>
              <w:lang w:val="en-US" w:eastAsia="nl-NL"/>
            </w:rPr>
            <w:t>(Dooley, 1998)</w:t>
          </w:r>
          <w:r>
            <w:rPr>
              <w:lang w:val="en-US" w:eastAsia="nl-NL"/>
            </w:rPr>
            <w:fldChar w:fldCharType="end"/>
          </w:r>
        </w:sdtContent>
      </w:sdt>
      <w:r>
        <w:rPr>
          <w:lang w:val="en-US" w:eastAsia="nl-NL"/>
        </w:rPr>
        <w:t>.</w:t>
      </w:r>
    </w:p>
    <w:p w14:paraId="4F66D549" w14:textId="77777777" w:rsidR="00092B35" w:rsidRDefault="00092B35" w:rsidP="00DD24B4">
      <w:pPr>
        <w:rPr>
          <w:rFonts w:eastAsia="Times New Roman" w:cs="Arial"/>
          <w:color w:val="000000"/>
          <w:lang w:val="en-US" w:eastAsia="nl-NL"/>
        </w:rPr>
      </w:pPr>
    </w:p>
    <w:p w14:paraId="5D2270B8" w14:textId="77777777" w:rsidR="00CF35E5" w:rsidRDefault="00CF35E5" w:rsidP="00DD24B4">
      <w:pPr>
        <w:rPr>
          <w:rFonts w:eastAsia="Times New Roman" w:cs="Arial"/>
          <w:color w:val="000000"/>
          <w:lang w:val="en-US" w:eastAsia="nl-NL"/>
        </w:rPr>
      </w:pPr>
    </w:p>
    <w:p w14:paraId="37112F1B" w14:textId="77777777" w:rsidR="00092B35" w:rsidRDefault="00092B35" w:rsidP="00DD24B4">
      <w:pPr>
        <w:rPr>
          <w:rFonts w:eastAsia="Times New Roman" w:cs="Arial"/>
          <w:color w:val="000000"/>
          <w:lang w:val="en-US" w:eastAsia="nl-NL"/>
        </w:rPr>
      </w:pPr>
    </w:p>
    <w:sdt>
      <w:sdtPr>
        <w:rPr>
          <w:rFonts w:ascii="Arial" w:eastAsiaTheme="minorHAnsi" w:hAnsi="Arial" w:cstheme="minorBidi"/>
          <w:b w:val="0"/>
          <w:bCs w:val="0"/>
          <w:color w:val="auto"/>
          <w:sz w:val="22"/>
          <w:szCs w:val="22"/>
          <w:lang w:val="nl-NL" w:eastAsia="en-US"/>
        </w:rPr>
        <w:id w:val="-753504929"/>
        <w:docPartObj>
          <w:docPartGallery w:val="Table of Contents"/>
          <w:docPartUnique/>
        </w:docPartObj>
      </w:sdtPr>
      <w:sdtEndPr>
        <w:rPr>
          <w:noProof/>
        </w:rPr>
      </w:sdtEndPr>
      <w:sdtContent>
        <w:p w14:paraId="0B431DE3" w14:textId="126C8DE2" w:rsidR="00092B35" w:rsidRDefault="00092B35">
          <w:pPr>
            <w:pStyle w:val="TOCHeading"/>
          </w:pPr>
          <w:r>
            <w:t>Contents</w:t>
          </w:r>
        </w:p>
        <w:p w14:paraId="34063A15" w14:textId="77777777" w:rsidR="00B24268" w:rsidRDefault="00092B35">
          <w:pPr>
            <w:pStyle w:val="TOC1"/>
            <w:tabs>
              <w:tab w:val="right" w:leader="dot" w:pos="9062"/>
            </w:tabs>
            <w:rPr>
              <w:rFonts w:asciiTheme="minorHAnsi" w:eastAsiaTheme="minorEastAsia" w:hAnsiTheme="minorHAnsi"/>
              <w:noProof/>
              <w:lang w:eastAsia="nl-NL"/>
            </w:rPr>
          </w:pPr>
          <w:r>
            <w:fldChar w:fldCharType="begin"/>
          </w:r>
          <w:r>
            <w:instrText xml:space="preserve"> TOC \o "1-3" \h \z \u </w:instrText>
          </w:r>
          <w:r>
            <w:fldChar w:fldCharType="separate"/>
          </w:r>
          <w:hyperlink w:anchor="_Toc427657266" w:history="1">
            <w:r w:rsidR="00B24268" w:rsidRPr="00D85EEB">
              <w:rPr>
                <w:rStyle w:val="Hyperlink"/>
                <w:noProof/>
                <w:lang w:val="en-US"/>
              </w:rPr>
              <w:t>Abstract</w:t>
            </w:r>
            <w:r w:rsidR="00B24268">
              <w:rPr>
                <w:noProof/>
                <w:webHidden/>
              </w:rPr>
              <w:tab/>
            </w:r>
            <w:r w:rsidR="00B24268">
              <w:rPr>
                <w:noProof/>
                <w:webHidden/>
              </w:rPr>
              <w:fldChar w:fldCharType="begin"/>
            </w:r>
            <w:r w:rsidR="00B24268">
              <w:rPr>
                <w:noProof/>
                <w:webHidden/>
              </w:rPr>
              <w:instrText xml:space="preserve"> PAGEREF _Toc427657266 \h </w:instrText>
            </w:r>
            <w:r w:rsidR="00B24268">
              <w:rPr>
                <w:noProof/>
                <w:webHidden/>
              </w:rPr>
            </w:r>
            <w:r w:rsidR="00B24268">
              <w:rPr>
                <w:noProof/>
                <w:webHidden/>
              </w:rPr>
              <w:fldChar w:fldCharType="separate"/>
            </w:r>
            <w:r w:rsidR="00B24268">
              <w:rPr>
                <w:noProof/>
                <w:webHidden/>
              </w:rPr>
              <w:t>1</w:t>
            </w:r>
            <w:r w:rsidR="00B24268">
              <w:rPr>
                <w:noProof/>
                <w:webHidden/>
              </w:rPr>
              <w:fldChar w:fldCharType="end"/>
            </w:r>
          </w:hyperlink>
        </w:p>
        <w:p w14:paraId="6DEF0F4B" w14:textId="77777777" w:rsidR="00B24268" w:rsidRDefault="00C55BBE">
          <w:pPr>
            <w:pStyle w:val="TOC1"/>
            <w:tabs>
              <w:tab w:val="right" w:leader="dot" w:pos="9062"/>
            </w:tabs>
            <w:rPr>
              <w:rFonts w:asciiTheme="minorHAnsi" w:eastAsiaTheme="minorEastAsia" w:hAnsiTheme="minorHAnsi"/>
              <w:noProof/>
              <w:lang w:eastAsia="nl-NL"/>
            </w:rPr>
          </w:pPr>
          <w:hyperlink w:anchor="_Toc427657267" w:history="1">
            <w:r w:rsidR="00B24268" w:rsidRPr="00D85EEB">
              <w:rPr>
                <w:rStyle w:val="Hyperlink"/>
                <w:noProof/>
                <w:lang w:val="en-US"/>
              </w:rPr>
              <w:t>Introduction</w:t>
            </w:r>
            <w:r w:rsidR="00B24268">
              <w:rPr>
                <w:noProof/>
                <w:webHidden/>
              </w:rPr>
              <w:tab/>
            </w:r>
            <w:r w:rsidR="00B24268">
              <w:rPr>
                <w:noProof/>
                <w:webHidden/>
              </w:rPr>
              <w:fldChar w:fldCharType="begin"/>
            </w:r>
            <w:r w:rsidR="00B24268">
              <w:rPr>
                <w:noProof/>
                <w:webHidden/>
              </w:rPr>
              <w:instrText xml:space="preserve"> PAGEREF _Toc427657267 \h </w:instrText>
            </w:r>
            <w:r w:rsidR="00B24268">
              <w:rPr>
                <w:noProof/>
                <w:webHidden/>
              </w:rPr>
            </w:r>
            <w:r w:rsidR="00B24268">
              <w:rPr>
                <w:noProof/>
                <w:webHidden/>
              </w:rPr>
              <w:fldChar w:fldCharType="separate"/>
            </w:r>
            <w:r w:rsidR="00B24268">
              <w:rPr>
                <w:noProof/>
                <w:webHidden/>
              </w:rPr>
              <w:t>3</w:t>
            </w:r>
            <w:r w:rsidR="00B24268">
              <w:rPr>
                <w:noProof/>
                <w:webHidden/>
              </w:rPr>
              <w:fldChar w:fldCharType="end"/>
            </w:r>
          </w:hyperlink>
        </w:p>
        <w:p w14:paraId="072A9E05" w14:textId="77777777" w:rsidR="00B24268" w:rsidRDefault="00C55BBE">
          <w:pPr>
            <w:pStyle w:val="TOC2"/>
            <w:tabs>
              <w:tab w:val="right" w:leader="dot" w:pos="9062"/>
            </w:tabs>
            <w:rPr>
              <w:rFonts w:asciiTheme="minorHAnsi" w:eastAsiaTheme="minorEastAsia" w:hAnsiTheme="minorHAnsi"/>
              <w:noProof/>
              <w:lang w:eastAsia="nl-NL"/>
            </w:rPr>
          </w:pPr>
          <w:hyperlink w:anchor="_Toc427657268" w:history="1">
            <w:r w:rsidR="00B24268" w:rsidRPr="00D85EEB">
              <w:rPr>
                <w:rStyle w:val="Hyperlink"/>
                <w:noProof/>
                <w:lang w:val="en-US" w:eastAsia="nl-NL"/>
              </w:rPr>
              <w:t>Social Relevance</w:t>
            </w:r>
            <w:r w:rsidR="00B24268">
              <w:rPr>
                <w:noProof/>
                <w:webHidden/>
              </w:rPr>
              <w:tab/>
            </w:r>
            <w:r w:rsidR="00B24268">
              <w:rPr>
                <w:noProof/>
                <w:webHidden/>
              </w:rPr>
              <w:fldChar w:fldCharType="begin"/>
            </w:r>
            <w:r w:rsidR="00B24268">
              <w:rPr>
                <w:noProof/>
                <w:webHidden/>
              </w:rPr>
              <w:instrText xml:space="preserve"> PAGEREF _Toc427657268 \h </w:instrText>
            </w:r>
            <w:r w:rsidR="00B24268">
              <w:rPr>
                <w:noProof/>
                <w:webHidden/>
              </w:rPr>
            </w:r>
            <w:r w:rsidR="00B24268">
              <w:rPr>
                <w:noProof/>
                <w:webHidden/>
              </w:rPr>
              <w:fldChar w:fldCharType="separate"/>
            </w:r>
            <w:r w:rsidR="00B24268">
              <w:rPr>
                <w:noProof/>
                <w:webHidden/>
              </w:rPr>
              <w:t>3</w:t>
            </w:r>
            <w:r w:rsidR="00B24268">
              <w:rPr>
                <w:noProof/>
                <w:webHidden/>
              </w:rPr>
              <w:fldChar w:fldCharType="end"/>
            </w:r>
          </w:hyperlink>
        </w:p>
        <w:p w14:paraId="08FCDD58" w14:textId="77777777" w:rsidR="00B24268" w:rsidRDefault="00C55BBE">
          <w:pPr>
            <w:pStyle w:val="TOC2"/>
            <w:tabs>
              <w:tab w:val="right" w:leader="dot" w:pos="9062"/>
            </w:tabs>
            <w:rPr>
              <w:rFonts w:asciiTheme="minorHAnsi" w:eastAsiaTheme="minorEastAsia" w:hAnsiTheme="minorHAnsi"/>
              <w:noProof/>
              <w:lang w:eastAsia="nl-NL"/>
            </w:rPr>
          </w:pPr>
          <w:hyperlink w:anchor="_Toc427657269" w:history="1">
            <w:r w:rsidR="00B24268" w:rsidRPr="00D85EEB">
              <w:rPr>
                <w:rStyle w:val="Hyperlink"/>
                <w:noProof/>
                <w:lang w:val="en-US" w:eastAsia="nl-NL"/>
              </w:rPr>
              <w:t>Overview of knowledge</w:t>
            </w:r>
            <w:r w:rsidR="00B24268">
              <w:rPr>
                <w:noProof/>
                <w:webHidden/>
              </w:rPr>
              <w:tab/>
            </w:r>
            <w:r w:rsidR="00B24268">
              <w:rPr>
                <w:noProof/>
                <w:webHidden/>
              </w:rPr>
              <w:fldChar w:fldCharType="begin"/>
            </w:r>
            <w:r w:rsidR="00B24268">
              <w:rPr>
                <w:noProof/>
                <w:webHidden/>
              </w:rPr>
              <w:instrText xml:space="preserve"> PAGEREF _Toc427657269 \h </w:instrText>
            </w:r>
            <w:r w:rsidR="00B24268">
              <w:rPr>
                <w:noProof/>
                <w:webHidden/>
              </w:rPr>
            </w:r>
            <w:r w:rsidR="00B24268">
              <w:rPr>
                <w:noProof/>
                <w:webHidden/>
              </w:rPr>
              <w:fldChar w:fldCharType="separate"/>
            </w:r>
            <w:r w:rsidR="00B24268">
              <w:rPr>
                <w:noProof/>
                <w:webHidden/>
              </w:rPr>
              <w:t>3</w:t>
            </w:r>
            <w:r w:rsidR="00B24268">
              <w:rPr>
                <w:noProof/>
                <w:webHidden/>
              </w:rPr>
              <w:fldChar w:fldCharType="end"/>
            </w:r>
          </w:hyperlink>
        </w:p>
        <w:p w14:paraId="67C41CEF" w14:textId="77777777" w:rsidR="00B24268" w:rsidRDefault="00C55BBE">
          <w:pPr>
            <w:pStyle w:val="TOC2"/>
            <w:tabs>
              <w:tab w:val="right" w:leader="dot" w:pos="9062"/>
            </w:tabs>
            <w:rPr>
              <w:rFonts w:asciiTheme="minorHAnsi" w:eastAsiaTheme="minorEastAsia" w:hAnsiTheme="minorHAnsi"/>
              <w:noProof/>
              <w:lang w:eastAsia="nl-NL"/>
            </w:rPr>
          </w:pPr>
          <w:hyperlink w:anchor="_Toc427657270" w:history="1">
            <w:r w:rsidR="00B24268" w:rsidRPr="00D85EEB">
              <w:rPr>
                <w:rStyle w:val="Hyperlink"/>
                <w:noProof/>
                <w:lang w:val="en-US" w:eastAsia="nl-NL"/>
              </w:rPr>
              <w:t>Problem statement</w:t>
            </w:r>
            <w:r w:rsidR="00B24268">
              <w:rPr>
                <w:noProof/>
                <w:webHidden/>
              </w:rPr>
              <w:tab/>
            </w:r>
            <w:r w:rsidR="00B24268">
              <w:rPr>
                <w:noProof/>
                <w:webHidden/>
              </w:rPr>
              <w:fldChar w:fldCharType="begin"/>
            </w:r>
            <w:r w:rsidR="00B24268">
              <w:rPr>
                <w:noProof/>
                <w:webHidden/>
              </w:rPr>
              <w:instrText xml:space="preserve"> PAGEREF _Toc427657270 \h </w:instrText>
            </w:r>
            <w:r w:rsidR="00B24268">
              <w:rPr>
                <w:noProof/>
                <w:webHidden/>
              </w:rPr>
            </w:r>
            <w:r w:rsidR="00B24268">
              <w:rPr>
                <w:noProof/>
                <w:webHidden/>
              </w:rPr>
              <w:fldChar w:fldCharType="separate"/>
            </w:r>
            <w:r w:rsidR="00B24268">
              <w:rPr>
                <w:noProof/>
                <w:webHidden/>
              </w:rPr>
              <w:t>4</w:t>
            </w:r>
            <w:r w:rsidR="00B24268">
              <w:rPr>
                <w:noProof/>
                <w:webHidden/>
              </w:rPr>
              <w:fldChar w:fldCharType="end"/>
            </w:r>
          </w:hyperlink>
        </w:p>
        <w:p w14:paraId="6996DDDB" w14:textId="77777777" w:rsidR="00B24268" w:rsidRDefault="00C55BBE">
          <w:pPr>
            <w:pStyle w:val="TOC2"/>
            <w:tabs>
              <w:tab w:val="right" w:leader="dot" w:pos="9062"/>
            </w:tabs>
            <w:rPr>
              <w:rFonts w:asciiTheme="minorHAnsi" w:eastAsiaTheme="minorEastAsia" w:hAnsiTheme="minorHAnsi"/>
              <w:noProof/>
              <w:lang w:eastAsia="nl-NL"/>
            </w:rPr>
          </w:pPr>
          <w:hyperlink w:anchor="_Toc427657271" w:history="1">
            <w:r w:rsidR="00B24268" w:rsidRPr="00D85EEB">
              <w:rPr>
                <w:rStyle w:val="Hyperlink"/>
                <w:noProof/>
                <w:lang w:val="en-US" w:eastAsia="nl-NL"/>
              </w:rPr>
              <w:t>Research gap</w:t>
            </w:r>
            <w:r w:rsidR="00B24268">
              <w:rPr>
                <w:noProof/>
                <w:webHidden/>
              </w:rPr>
              <w:tab/>
            </w:r>
            <w:r w:rsidR="00B24268">
              <w:rPr>
                <w:noProof/>
                <w:webHidden/>
              </w:rPr>
              <w:fldChar w:fldCharType="begin"/>
            </w:r>
            <w:r w:rsidR="00B24268">
              <w:rPr>
                <w:noProof/>
                <w:webHidden/>
              </w:rPr>
              <w:instrText xml:space="preserve"> PAGEREF _Toc427657271 \h </w:instrText>
            </w:r>
            <w:r w:rsidR="00B24268">
              <w:rPr>
                <w:noProof/>
                <w:webHidden/>
              </w:rPr>
            </w:r>
            <w:r w:rsidR="00B24268">
              <w:rPr>
                <w:noProof/>
                <w:webHidden/>
              </w:rPr>
              <w:fldChar w:fldCharType="separate"/>
            </w:r>
            <w:r w:rsidR="00B24268">
              <w:rPr>
                <w:noProof/>
                <w:webHidden/>
              </w:rPr>
              <w:t>4</w:t>
            </w:r>
            <w:r w:rsidR="00B24268">
              <w:rPr>
                <w:noProof/>
                <w:webHidden/>
              </w:rPr>
              <w:fldChar w:fldCharType="end"/>
            </w:r>
          </w:hyperlink>
        </w:p>
        <w:p w14:paraId="5BC9FD03" w14:textId="77777777" w:rsidR="00B24268" w:rsidRDefault="00C55BBE">
          <w:pPr>
            <w:pStyle w:val="TOC2"/>
            <w:tabs>
              <w:tab w:val="right" w:leader="dot" w:pos="9062"/>
            </w:tabs>
            <w:rPr>
              <w:rFonts w:asciiTheme="minorHAnsi" w:eastAsiaTheme="minorEastAsia" w:hAnsiTheme="minorHAnsi"/>
              <w:noProof/>
              <w:lang w:eastAsia="nl-NL"/>
            </w:rPr>
          </w:pPr>
          <w:hyperlink w:anchor="_Toc427657272" w:history="1">
            <w:r w:rsidR="00B24268" w:rsidRPr="00D85EEB">
              <w:rPr>
                <w:rStyle w:val="Hyperlink"/>
                <w:noProof/>
                <w:lang w:val="en-US"/>
              </w:rPr>
              <w:t>Research question and objective</w:t>
            </w:r>
            <w:r w:rsidR="00B24268">
              <w:rPr>
                <w:noProof/>
                <w:webHidden/>
              </w:rPr>
              <w:tab/>
            </w:r>
            <w:r w:rsidR="00B24268">
              <w:rPr>
                <w:noProof/>
                <w:webHidden/>
              </w:rPr>
              <w:fldChar w:fldCharType="begin"/>
            </w:r>
            <w:r w:rsidR="00B24268">
              <w:rPr>
                <w:noProof/>
                <w:webHidden/>
              </w:rPr>
              <w:instrText xml:space="preserve"> PAGEREF _Toc427657272 \h </w:instrText>
            </w:r>
            <w:r w:rsidR="00B24268">
              <w:rPr>
                <w:noProof/>
                <w:webHidden/>
              </w:rPr>
            </w:r>
            <w:r w:rsidR="00B24268">
              <w:rPr>
                <w:noProof/>
                <w:webHidden/>
              </w:rPr>
              <w:fldChar w:fldCharType="separate"/>
            </w:r>
            <w:r w:rsidR="00B24268">
              <w:rPr>
                <w:noProof/>
                <w:webHidden/>
              </w:rPr>
              <w:t>4</w:t>
            </w:r>
            <w:r w:rsidR="00B24268">
              <w:rPr>
                <w:noProof/>
                <w:webHidden/>
              </w:rPr>
              <w:fldChar w:fldCharType="end"/>
            </w:r>
          </w:hyperlink>
        </w:p>
        <w:p w14:paraId="6EFC4FDA" w14:textId="77777777" w:rsidR="00B24268" w:rsidRDefault="00C55BBE">
          <w:pPr>
            <w:pStyle w:val="TOC2"/>
            <w:tabs>
              <w:tab w:val="right" w:leader="dot" w:pos="9062"/>
            </w:tabs>
            <w:rPr>
              <w:rFonts w:asciiTheme="minorHAnsi" w:eastAsiaTheme="minorEastAsia" w:hAnsiTheme="minorHAnsi"/>
              <w:noProof/>
              <w:lang w:eastAsia="nl-NL"/>
            </w:rPr>
          </w:pPr>
          <w:hyperlink w:anchor="_Toc427657273" w:history="1">
            <w:r w:rsidR="00B24268" w:rsidRPr="00D85EEB">
              <w:rPr>
                <w:rStyle w:val="Hyperlink"/>
                <w:noProof/>
                <w:lang w:val="en-US"/>
              </w:rPr>
              <w:t>Set up</w:t>
            </w:r>
            <w:r w:rsidR="00B24268">
              <w:rPr>
                <w:noProof/>
                <w:webHidden/>
              </w:rPr>
              <w:tab/>
            </w:r>
            <w:r w:rsidR="00B24268">
              <w:rPr>
                <w:noProof/>
                <w:webHidden/>
              </w:rPr>
              <w:fldChar w:fldCharType="begin"/>
            </w:r>
            <w:r w:rsidR="00B24268">
              <w:rPr>
                <w:noProof/>
                <w:webHidden/>
              </w:rPr>
              <w:instrText xml:space="preserve"> PAGEREF _Toc427657273 \h </w:instrText>
            </w:r>
            <w:r w:rsidR="00B24268">
              <w:rPr>
                <w:noProof/>
                <w:webHidden/>
              </w:rPr>
            </w:r>
            <w:r w:rsidR="00B24268">
              <w:rPr>
                <w:noProof/>
                <w:webHidden/>
              </w:rPr>
              <w:fldChar w:fldCharType="separate"/>
            </w:r>
            <w:r w:rsidR="00B24268">
              <w:rPr>
                <w:noProof/>
                <w:webHidden/>
              </w:rPr>
              <w:t>4</w:t>
            </w:r>
            <w:r w:rsidR="00B24268">
              <w:rPr>
                <w:noProof/>
                <w:webHidden/>
              </w:rPr>
              <w:fldChar w:fldCharType="end"/>
            </w:r>
          </w:hyperlink>
        </w:p>
        <w:p w14:paraId="60905062" w14:textId="77777777" w:rsidR="00B24268" w:rsidRDefault="00C55BBE">
          <w:pPr>
            <w:pStyle w:val="TOC2"/>
            <w:tabs>
              <w:tab w:val="right" w:leader="dot" w:pos="9062"/>
            </w:tabs>
            <w:rPr>
              <w:rFonts w:asciiTheme="minorHAnsi" w:eastAsiaTheme="minorEastAsia" w:hAnsiTheme="minorHAnsi"/>
              <w:noProof/>
              <w:lang w:eastAsia="nl-NL"/>
            </w:rPr>
          </w:pPr>
          <w:hyperlink w:anchor="_Toc427657274" w:history="1">
            <w:r w:rsidR="00B24268" w:rsidRPr="00D85EEB">
              <w:rPr>
                <w:rStyle w:val="Hyperlink"/>
                <w:noProof/>
                <w:lang w:val="en-US"/>
              </w:rPr>
              <w:t>Contribution</w:t>
            </w:r>
            <w:r w:rsidR="00B24268">
              <w:rPr>
                <w:noProof/>
                <w:webHidden/>
              </w:rPr>
              <w:tab/>
            </w:r>
            <w:r w:rsidR="00B24268">
              <w:rPr>
                <w:noProof/>
                <w:webHidden/>
              </w:rPr>
              <w:fldChar w:fldCharType="begin"/>
            </w:r>
            <w:r w:rsidR="00B24268">
              <w:rPr>
                <w:noProof/>
                <w:webHidden/>
              </w:rPr>
              <w:instrText xml:space="preserve"> PAGEREF _Toc427657274 \h </w:instrText>
            </w:r>
            <w:r w:rsidR="00B24268">
              <w:rPr>
                <w:noProof/>
                <w:webHidden/>
              </w:rPr>
            </w:r>
            <w:r w:rsidR="00B24268">
              <w:rPr>
                <w:noProof/>
                <w:webHidden/>
              </w:rPr>
              <w:fldChar w:fldCharType="separate"/>
            </w:r>
            <w:r w:rsidR="00B24268">
              <w:rPr>
                <w:noProof/>
                <w:webHidden/>
              </w:rPr>
              <w:t>5</w:t>
            </w:r>
            <w:r w:rsidR="00B24268">
              <w:rPr>
                <w:noProof/>
                <w:webHidden/>
              </w:rPr>
              <w:fldChar w:fldCharType="end"/>
            </w:r>
          </w:hyperlink>
        </w:p>
        <w:p w14:paraId="1B68B8EA" w14:textId="77777777" w:rsidR="00B24268" w:rsidRDefault="00C55BBE">
          <w:pPr>
            <w:pStyle w:val="TOC2"/>
            <w:tabs>
              <w:tab w:val="right" w:leader="dot" w:pos="9062"/>
            </w:tabs>
            <w:rPr>
              <w:rFonts w:asciiTheme="minorHAnsi" w:eastAsiaTheme="minorEastAsia" w:hAnsiTheme="minorHAnsi"/>
              <w:noProof/>
              <w:lang w:eastAsia="nl-NL"/>
            </w:rPr>
          </w:pPr>
          <w:hyperlink w:anchor="_Toc427657275" w:history="1">
            <w:r w:rsidR="00B24268" w:rsidRPr="00D85EEB">
              <w:rPr>
                <w:rStyle w:val="Hyperlink"/>
                <w:noProof/>
                <w:lang w:val="en-US"/>
              </w:rPr>
              <w:t>Results</w:t>
            </w:r>
            <w:r w:rsidR="00B24268">
              <w:rPr>
                <w:noProof/>
                <w:webHidden/>
              </w:rPr>
              <w:tab/>
            </w:r>
            <w:r w:rsidR="00B24268">
              <w:rPr>
                <w:noProof/>
                <w:webHidden/>
              </w:rPr>
              <w:fldChar w:fldCharType="begin"/>
            </w:r>
            <w:r w:rsidR="00B24268">
              <w:rPr>
                <w:noProof/>
                <w:webHidden/>
              </w:rPr>
              <w:instrText xml:space="preserve"> PAGEREF _Toc427657275 \h </w:instrText>
            </w:r>
            <w:r w:rsidR="00B24268">
              <w:rPr>
                <w:noProof/>
                <w:webHidden/>
              </w:rPr>
            </w:r>
            <w:r w:rsidR="00B24268">
              <w:rPr>
                <w:noProof/>
                <w:webHidden/>
              </w:rPr>
              <w:fldChar w:fldCharType="separate"/>
            </w:r>
            <w:r w:rsidR="00B24268">
              <w:rPr>
                <w:noProof/>
                <w:webHidden/>
              </w:rPr>
              <w:t>5</w:t>
            </w:r>
            <w:r w:rsidR="00B24268">
              <w:rPr>
                <w:noProof/>
                <w:webHidden/>
              </w:rPr>
              <w:fldChar w:fldCharType="end"/>
            </w:r>
          </w:hyperlink>
        </w:p>
        <w:p w14:paraId="1B8A9F69" w14:textId="77777777" w:rsidR="00B24268" w:rsidRDefault="00C55BBE">
          <w:pPr>
            <w:pStyle w:val="TOC2"/>
            <w:tabs>
              <w:tab w:val="right" w:leader="dot" w:pos="9062"/>
            </w:tabs>
            <w:rPr>
              <w:rFonts w:asciiTheme="minorHAnsi" w:eastAsiaTheme="minorEastAsia" w:hAnsiTheme="minorHAnsi"/>
              <w:noProof/>
              <w:lang w:eastAsia="nl-NL"/>
            </w:rPr>
          </w:pPr>
          <w:hyperlink w:anchor="_Toc427657276" w:history="1">
            <w:r w:rsidR="00B24268" w:rsidRPr="00D85EEB">
              <w:rPr>
                <w:rStyle w:val="Hyperlink"/>
                <w:noProof/>
                <w:lang w:val="en-US"/>
              </w:rPr>
              <w:t>Structure</w:t>
            </w:r>
            <w:r w:rsidR="00B24268">
              <w:rPr>
                <w:noProof/>
                <w:webHidden/>
              </w:rPr>
              <w:tab/>
            </w:r>
            <w:r w:rsidR="00B24268">
              <w:rPr>
                <w:noProof/>
                <w:webHidden/>
              </w:rPr>
              <w:fldChar w:fldCharType="begin"/>
            </w:r>
            <w:r w:rsidR="00B24268">
              <w:rPr>
                <w:noProof/>
                <w:webHidden/>
              </w:rPr>
              <w:instrText xml:space="preserve"> PAGEREF _Toc427657276 \h </w:instrText>
            </w:r>
            <w:r w:rsidR="00B24268">
              <w:rPr>
                <w:noProof/>
                <w:webHidden/>
              </w:rPr>
            </w:r>
            <w:r w:rsidR="00B24268">
              <w:rPr>
                <w:noProof/>
                <w:webHidden/>
              </w:rPr>
              <w:fldChar w:fldCharType="separate"/>
            </w:r>
            <w:r w:rsidR="00B24268">
              <w:rPr>
                <w:noProof/>
                <w:webHidden/>
              </w:rPr>
              <w:t>5</w:t>
            </w:r>
            <w:r w:rsidR="00B24268">
              <w:rPr>
                <w:noProof/>
                <w:webHidden/>
              </w:rPr>
              <w:fldChar w:fldCharType="end"/>
            </w:r>
          </w:hyperlink>
        </w:p>
        <w:p w14:paraId="30122DAD" w14:textId="77777777" w:rsidR="00B24268" w:rsidRDefault="00C55BBE">
          <w:pPr>
            <w:pStyle w:val="TOC1"/>
            <w:tabs>
              <w:tab w:val="right" w:leader="dot" w:pos="9062"/>
            </w:tabs>
            <w:rPr>
              <w:rFonts w:asciiTheme="minorHAnsi" w:eastAsiaTheme="minorEastAsia" w:hAnsiTheme="minorHAnsi"/>
              <w:noProof/>
              <w:lang w:eastAsia="nl-NL"/>
            </w:rPr>
          </w:pPr>
          <w:hyperlink w:anchor="_Toc427657277" w:history="1">
            <w:r w:rsidR="00B24268" w:rsidRPr="00D85EEB">
              <w:rPr>
                <w:rStyle w:val="Hyperlink"/>
                <w:noProof/>
                <w:lang w:val="en-US"/>
              </w:rPr>
              <w:t>Chapter one: Literature review &amp; Hypotheses</w:t>
            </w:r>
            <w:r w:rsidR="00B24268">
              <w:rPr>
                <w:noProof/>
                <w:webHidden/>
              </w:rPr>
              <w:tab/>
            </w:r>
            <w:r w:rsidR="00B24268">
              <w:rPr>
                <w:noProof/>
                <w:webHidden/>
              </w:rPr>
              <w:fldChar w:fldCharType="begin"/>
            </w:r>
            <w:r w:rsidR="00B24268">
              <w:rPr>
                <w:noProof/>
                <w:webHidden/>
              </w:rPr>
              <w:instrText xml:space="preserve"> PAGEREF _Toc427657277 \h </w:instrText>
            </w:r>
            <w:r w:rsidR="00B24268">
              <w:rPr>
                <w:noProof/>
                <w:webHidden/>
              </w:rPr>
            </w:r>
            <w:r w:rsidR="00B24268">
              <w:rPr>
                <w:noProof/>
                <w:webHidden/>
              </w:rPr>
              <w:fldChar w:fldCharType="separate"/>
            </w:r>
            <w:r w:rsidR="00B24268">
              <w:rPr>
                <w:noProof/>
                <w:webHidden/>
              </w:rPr>
              <w:t>6</w:t>
            </w:r>
            <w:r w:rsidR="00B24268">
              <w:rPr>
                <w:noProof/>
                <w:webHidden/>
              </w:rPr>
              <w:fldChar w:fldCharType="end"/>
            </w:r>
          </w:hyperlink>
        </w:p>
        <w:p w14:paraId="446F17F8" w14:textId="77777777" w:rsidR="00B24268" w:rsidRDefault="00C55BBE">
          <w:pPr>
            <w:pStyle w:val="TOC2"/>
            <w:tabs>
              <w:tab w:val="right" w:leader="dot" w:pos="9062"/>
            </w:tabs>
            <w:rPr>
              <w:rFonts w:asciiTheme="minorHAnsi" w:eastAsiaTheme="minorEastAsia" w:hAnsiTheme="minorHAnsi"/>
              <w:noProof/>
              <w:lang w:eastAsia="nl-NL"/>
            </w:rPr>
          </w:pPr>
          <w:hyperlink w:anchor="_Toc427657278" w:history="1">
            <w:r w:rsidR="00B24268" w:rsidRPr="00D85EEB">
              <w:rPr>
                <w:rStyle w:val="Hyperlink"/>
                <w:noProof/>
                <w:lang w:val="en-US"/>
              </w:rPr>
              <w:t>Trends</w:t>
            </w:r>
            <w:r w:rsidR="00B24268">
              <w:rPr>
                <w:noProof/>
                <w:webHidden/>
              </w:rPr>
              <w:tab/>
            </w:r>
            <w:r w:rsidR="00B24268">
              <w:rPr>
                <w:noProof/>
                <w:webHidden/>
              </w:rPr>
              <w:fldChar w:fldCharType="begin"/>
            </w:r>
            <w:r w:rsidR="00B24268">
              <w:rPr>
                <w:noProof/>
                <w:webHidden/>
              </w:rPr>
              <w:instrText xml:space="preserve"> PAGEREF _Toc427657278 \h </w:instrText>
            </w:r>
            <w:r w:rsidR="00B24268">
              <w:rPr>
                <w:noProof/>
                <w:webHidden/>
              </w:rPr>
            </w:r>
            <w:r w:rsidR="00B24268">
              <w:rPr>
                <w:noProof/>
                <w:webHidden/>
              </w:rPr>
              <w:fldChar w:fldCharType="separate"/>
            </w:r>
            <w:r w:rsidR="00B24268">
              <w:rPr>
                <w:noProof/>
                <w:webHidden/>
              </w:rPr>
              <w:t>6</w:t>
            </w:r>
            <w:r w:rsidR="00B24268">
              <w:rPr>
                <w:noProof/>
                <w:webHidden/>
              </w:rPr>
              <w:fldChar w:fldCharType="end"/>
            </w:r>
          </w:hyperlink>
        </w:p>
        <w:p w14:paraId="74F761ED" w14:textId="77777777" w:rsidR="00B24268" w:rsidRDefault="00C55BBE">
          <w:pPr>
            <w:pStyle w:val="TOC2"/>
            <w:tabs>
              <w:tab w:val="right" w:leader="dot" w:pos="9062"/>
            </w:tabs>
            <w:rPr>
              <w:rFonts w:asciiTheme="minorHAnsi" w:eastAsiaTheme="minorEastAsia" w:hAnsiTheme="minorHAnsi"/>
              <w:noProof/>
              <w:lang w:eastAsia="nl-NL"/>
            </w:rPr>
          </w:pPr>
          <w:hyperlink w:anchor="_Toc427657279" w:history="1">
            <w:r w:rsidR="00B24268" w:rsidRPr="00D85EEB">
              <w:rPr>
                <w:rStyle w:val="Hyperlink"/>
                <w:noProof/>
                <w:lang w:val="en-US" w:eastAsia="nl-NL"/>
              </w:rPr>
              <w:t>Niche</w:t>
            </w:r>
            <w:r w:rsidR="00B24268">
              <w:rPr>
                <w:noProof/>
                <w:webHidden/>
              </w:rPr>
              <w:tab/>
            </w:r>
            <w:r w:rsidR="00B24268">
              <w:rPr>
                <w:noProof/>
                <w:webHidden/>
              </w:rPr>
              <w:fldChar w:fldCharType="begin"/>
            </w:r>
            <w:r w:rsidR="00B24268">
              <w:rPr>
                <w:noProof/>
                <w:webHidden/>
              </w:rPr>
              <w:instrText xml:space="preserve"> PAGEREF _Toc427657279 \h </w:instrText>
            </w:r>
            <w:r w:rsidR="00B24268">
              <w:rPr>
                <w:noProof/>
                <w:webHidden/>
              </w:rPr>
            </w:r>
            <w:r w:rsidR="00B24268">
              <w:rPr>
                <w:noProof/>
                <w:webHidden/>
              </w:rPr>
              <w:fldChar w:fldCharType="separate"/>
            </w:r>
            <w:r w:rsidR="00B24268">
              <w:rPr>
                <w:noProof/>
                <w:webHidden/>
              </w:rPr>
              <w:t>8</w:t>
            </w:r>
            <w:r w:rsidR="00B24268">
              <w:rPr>
                <w:noProof/>
                <w:webHidden/>
              </w:rPr>
              <w:fldChar w:fldCharType="end"/>
            </w:r>
          </w:hyperlink>
        </w:p>
        <w:p w14:paraId="5174C353" w14:textId="77777777" w:rsidR="00B24268" w:rsidRDefault="00C55BBE">
          <w:pPr>
            <w:pStyle w:val="TOC2"/>
            <w:tabs>
              <w:tab w:val="right" w:leader="dot" w:pos="9062"/>
            </w:tabs>
            <w:rPr>
              <w:rFonts w:asciiTheme="minorHAnsi" w:eastAsiaTheme="minorEastAsia" w:hAnsiTheme="minorHAnsi"/>
              <w:noProof/>
              <w:lang w:eastAsia="nl-NL"/>
            </w:rPr>
          </w:pPr>
          <w:hyperlink w:anchor="_Toc427657280" w:history="1">
            <w:r w:rsidR="00B24268" w:rsidRPr="00D85EEB">
              <w:rPr>
                <w:rStyle w:val="Hyperlink"/>
                <w:noProof/>
                <w:lang w:val="en-US" w:eastAsia="nl-NL"/>
              </w:rPr>
              <w:t>Hypotheses</w:t>
            </w:r>
            <w:r w:rsidR="00B24268">
              <w:rPr>
                <w:noProof/>
                <w:webHidden/>
              </w:rPr>
              <w:tab/>
            </w:r>
            <w:r w:rsidR="00B24268">
              <w:rPr>
                <w:noProof/>
                <w:webHidden/>
              </w:rPr>
              <w:fldChar w:fldCharType="begin"/>
            </w:r>
            <w:r w:rsidR="00B24268">
              <w:rPr>
                <w:noProof/>
                <w:webHidden/>
              </w:rPr>
              <w:instrText xml:space="preserve"> PAGEREF _Toc427657280 \h </w:instrText>
            </w:r>
            <w:r w:rsidR="00B24268">
              <w:rPr>
                <w:noProof/>
                <w:webHidden/>
              </w:rPr>
            </w:r>
            <w:r w:rsidR="00B24268">
              <w:rPr>
                <w:noProof/>
                <w:webHidden/>
              </w:rPr>
              <w:fldChar w:fldCharType="separate"/>
            </w:r>
            <w:r w:rsidR="00B24268">
              <w:rPr>
                <w:noProof/>
                <w:webHidden/>
              </w:rPr>
              <w:t>8</w:t>
            </w:r>
            <w:r w:rsidR="00B24268">
              <w:rPr>
                <w:noProof/>
                <w:webHidden/>
              </w:rPr>
              <w:fldChar w:fldCharType="end"/>
            </w:r>
          </w:hyperlink>
        </w:p>
        <w:p w14:paraId="07761528" w14:textId="77777777" w:rsidR="00B24268" w:rsidRDefault="00C55BBE">
          <w:pPr>
            <w:pStyle w:val="TOC1"/>
            <w:tabs>
              <w:tab w:val="right" w:leader="dot" w:pos="9062"/>
            </w:tabs>
            <w:rPr>
              <w:rFonts w:asciiTheme="minorHAnsi" w:eastAsiaTheme="minorEastAsia" w:hAnsiTheme="minorHAnsi"/>
              <w:noProof/>
              <w:lang w:eastAsia="nl-NL"/>
            </w:rPr>
          </w:pPr>
          <w:hyperlink w:anchor="_Toc427657281" w:history="1">
            <w:r w:rsidR="00B24268" w:rsidRPr="00D85EEB">
              <w:rPr>
                <w:rStyle w:val="Hyperlink"/>
                <w:noProof/>
                <w:lang w:val="en-US"/>
              </w:rPr>
              <w:t>Chapter two: Methodology &amp; Data description</w:t>
            </w:r>
            <w:r w:rsidR="00B24268">
              <w:rPr>
                <w:noProof/>
                <w:webHidden/>
              </w:rPr>
              <w:tab/>
            </w:r>
            <w:r w:rsidR="00B24268">
              <w:rPr>
                <w:noProof/>
                <w:webHidden/>
              </w:rPr>
              <w:fldChar w:fldCharType="begin"/>
            </w:r>
            <w:r w:rsidR="00B24268">
              <w:rPr>
                <w:noProof/>
                <w:webHidden/>
              </w:rPr>
              <w:instrText xml:space="preserve"> PAGEREF _Toc427657281 \h </w:instrText>
            </w:r>
            <w:r w:rsidR="00B24268">
              <w:rPr>
                <w:noProof/>
                <w:webHidden/>
              </w:rPr>
            </w:r>
            <w:r w:rsidR="00B24268">
              <w:rPr>
                <w:noProof/>
                <w:webHidden/>
              </w:rPr>
              <w:fldChar w:fldCharType="separate"/>
            </w:r>
            <w:r w:rsidR="00B24268">
              <w:rPr>
                <w:noProof/>
                <w:webHidden/>
              </w:rPr>
              <w:t>10</w:t>
            </w:r>
            <w:r w:rsidR="00B24268">
              <w:rPr>
                <w:noProof/>
                <w:webHidden/>
              </w:rPr>
              <w:fldChar w:fldCharType="end"/>
            </w:r>
          </w:hyperlink>
        </w:p>
        <w:p w14:paraId="58165661" w14:textId="77777777" w:rsidR="00B24268" w:rsidRDefault="00C55BBE">
          <w:pPr>
            <w:pStyle w:val="TOC2"/>
            <w:tabs>
              <w:tab w:val="right" w:leader="dot" w:pos="9062"/>
            </w:tabs>
            <w:rPr>
              <w:rFonts w:asciiTheme="minorHAnsi" w:eastAsiaTheme="minorEastAsia" w:hAnsiTheme="minorHAnsi"/>
              <w:noProof/>
              <w:lang w:eastAsia="nl-NL"/>
            </w:rPr>
          </w:pPr>
          <w:hyperlink w:anchor="_Toc427657282" w:history="1">
            <w:r w:rsidR="00B24268" w:rsidRPr="00D85EEB">
              <w:rPr>
                <w:rStyle w:val="Hyperlink"/>
                <w:noProof/>
                <w:lang w:val="en-US"/>
              </w:rPr>
              <w:t>Measures</w:t>
            </w:r>
            <w:r w:rsidR="00B24268">
              <w:rPr>
                <w:noProof/>
                <w:webHidden/>
              </w:rPr>
              <w:tab/>
            </w:r>
            <w:r w:rsidR="00B24268">
              <w:rPr>
                <w:noProof/>
                <w:webHidden/>
              </w:rPr>
              <w:fldChar w:fldCharType="begin"/>
            </w:r>
            <w:r w:rsidR="00B24268">
              <w:rPr>
                <w:noProof/>
                <w:webHidden/>
              </w:rPr>
              <w:instrText xml:space="preserve"> PAGEREF _Toc427657282 \h </w:instrText>
            </w:r>
            <w:r w:rsidR="00B24268">
              <w:rPr>
                <w:noProof/>
                <w:webHidden/>
              </w:rPr>
            </w:r>
            <w:r w:rsidR="00B24268">
              <w:rPr>
                <w:noProof/>
                <w:webHidden/>
              </w:rPr>
              <w:fldChar w:fldCharType="separate"/>
            </w:r>
            <w:r w:rsidR="00B24268">
              <w:rPr>
                <w:noProof/>
                <w:webHidden/>
              </w:rPr>
              <w:t>11</w:t>
            </w:r>
            <w:r w:rsidR="00B24268">
              <w:rPr>
                <w:noProof/>
                <w:webHidden/>
              </w:rPr>
              <w:fldChar w:fldCharType="end"/>
            </w:r>
          </w:hyperlink>
        </w:p>
        <w:p w14:paraId="6BFC9F94" w14:textId="77777777" w:rsidR="00B24268" w:rsidRDefault="00C55BBE">
          <w:pPr>
            <w:pStyle w:val="TOC3"/>
            <w:tabs>
              <w:tab w:val="right" w:leader="dot" w:pos="9062"/>
            </w:tabs>
            <w:rPr>
              <w:rFonts w:asciiTheme="minorHAnsi" w:eastAsiaTheme="minorEastAsia" w:hAnsiTheme="minorHAnsi"/>
              <w:noProof/>
              <w:lang w:eastAsia="nl-NL"/>
            </w:rPr>
          </w:pPr>
          <w:hyperlink w:anchor="_Toc427657283" w:history="1">
            <w:r w:rsidR="00B24268" w:rsidRPr="00D85EEB">
              <w:rPr>
                <w:rStyle w:val="Hyperlink"/>
                <w:noProof/>
                <w:lang w:val="en-US"/>
              </w:rPr>
              <w:t>Sample description</w:t>
            </w:r>
            <w:r w:rsidR="00B24268">
              <w:rPr>
                <w:noProof/>
                <w:webHidden/>
              </w:rPr>
              <w:tab/>
            </w:r>
            <w:r w:rsidR="00B24268">
              <w:rPr>
                <w:noProof/>
                <w:webHidden/>
              </w:rPr>
              <w:fldChar w:fldCharType="begin"/>
            </w:r>
            <w:r w:rsidR="00B24268">
              <w:rPr>
                <w:noProof/>
                <w:webHidden/>
              </w:rPr>
              <w:instrText xml:space="preserve"> PAGEREF _Toc427657283 \h </w:instrText>
            </w:r>
            <w:r w:rsidR="00B24268">
              <w:rPr>
                <w:noProof/>
                <w:webHidden/>
              </w:rPr>
            </w:r>
            <w:r w:rsidR="00B24268">
              <w:rPr>
                <w:noProof/>
                <w:webHidden/>
              </w:rPr>
              <w:fldChar w:fldCharType="separate"/>
            </w:r>
            <w:r w:rsidR="00B24268">
              <w:rPr>
                <w:noProof/>
                <w:webHidden/>
              </w:rPr>
              <w:t>14</w:t>
            </w:r>
            <w:r w:rsidR="00B24268">
              <w:rPr>
                <w:noProof/>
                <w:webHidden/>
              </w:rPr>
              <w:fldChar w:fldCharType="end"/>
            </w:r>
          </w:hyperlink>
        </w:p>
        <w:p w14:paraId="5582D086" w14:textId="77777777" w:rsidR="00B24268" w:rsidRDefault="00C55BBE">
          <w:pPr>
            <w:pStyle w:val="TOC2"/>
            <w:tabs>
              <w:tab w:val="right" w:leader="dot" w:pos="9062"/>
            </w:tabs>
            <w:rPr>
              <w:rFonts w:asciiTheme="minorHAnsi" w:eastAsiaTheme="minorEastAsia" w:hAnsiTheme="minorHAnsi"/>
              <w:noProof/>
              <w:lang w:eastAsia="nl-NL"/>
            </w:rPr>
          </w:pPr>
          <w:hyperlink w:anchor="_Toc427657284" w:history="1">
            <w:r w:rsidR="00B24268" w:rsidRPr="00D85EEB">
              <w:rPr>
                <w:rStyle w:val="Hyperlink"/>
                <w:noProof/>
                <w:lang w:val="en-US"/>
              </w:rPr>
              <w:t>Data analysis techniques</w:t>
            </w:r>
            <w:r w:rsidR="00B24268">
              <w:rPr>
                <w:noProof/>
                <w:webHidden/>
              </w:rPr>
              <w:tab/>
            </w:r>
            <w:r w:rsidR="00B24268">
              <w:rPr>
                <w:noProof/>
                <w:webHidden/>
              </w:rPr>
              <w:fldChar w:fldCharType="begin"/>
            </w:r>
            <w:r w:rsidR="00B24268">
              <w:rPr>
                <w:noProof/>
                <w:webHidden/>
              </w:rPr>
              <w:instrText xml:space="preserve"> PAGEREF _Toc427657284 \h </w:instrText>
            </w:r>
            <w:r w:rsidR="00B24268">
              <w:rPr>
                <w:noProof/>
                <w:webHidden/>
              </w:rPr>
            </w:r>
            <w:r w:rsidR="00B24268">
              <w:rPr>
                <w:noProof/>
                <w:webHidden/>
              </w:rPr>
              <w:fldChar w:fldCharType="separate"/>
            </w:r>
            <w:r w:rsidR="00B24268">
              <w:rPr>
                <w:noProof/>
                <w:webHidden/>
              </w:rPr>
              <w:t>17</w:t>
            </w:r>
            <w:r w:rsidR="00B24268">
              <w:rPr>
                <w:noProof/>
                <w:webHidden/>
              </w:rPr>
              <w:fldChar w:fldCharType="end"/>
            </w:r>
          </w:hyperlink>
        </w:p>
        <w:p w14:paraId="168683C4" w14:textId="77777777" w:rsidR="00B24268" w:rsidRDefault="00C55BBE">
          <w:pPr>
            <w:pStyle w:val="TOC1"/>
            <w:tabs>
              <w:tab w:val="right" w:leader="dot" w:pos="9062"/>
            </w:tabs>
            <w:rPr>
              <w:rFonts w:asciiTheme="minorHAnsi" w:eastAsiaTheme="minorEastAsia" w:hAnsiTheme="minorHAnsi"/>
              <w:noProof/>
              <w:lang w:eastAsia="nl-NL"/>
            </w:rPr>
          </w:pPr>
          <w:hyperlink w:anchor="_Toc427657285" w:history="1">
            <w:r w:rsidR="00B24268" w:rsidRPr="00D85EEB">
              <w:rPr>
                <w:rStyle w:val="Hyperlink"/>
                <w:noProof/>
                <w:lang w:val="en-US"/>
              </w:rPr>
              <w:t>Chapter three: Results</w:t>
            </w:r>
            <w:r w:rsidR="00B24268">
              <w:rPr>
                <w:noProof/>
                <w:webHidden/>
              </w:rPr>
              <w:tab/>
            </w:r>
            <w:r w:rsidR="00B24268">
              <w:rPr>
                <w:noProof/>
                <w:webHidden/>
              </w:rPr>
              <w:fldChar w:fldCharType="begin"/>
            </w:r>
            <w:r w:rsidR="00B24268">
              <w:rPr>
                <w:noProof/>
                <w:webHidden/>
              </w:rPr>
              <w:instrText xml:space="preserve"> PAGEREF _Toc427657285 \h </w:instrText>
            </w:r>
            <w:r w:rsidR="00B24268">
              <w:rPr>
                <w:noProof/>
                <w:webHidden/>
              </w:rPr>
            </w:r>
            <w:r w:rsidR="00B24268">
              <w:rPr>
                <w:noProof/>
                <w:webHidden/>
              </w:rPr>
              <w:fldChar w:fldCharType="separate"/>
            </w:r>
            <w:r w:rsidR="00B24268">
              <w:rPr>
                <w:noProof/>
                <w:webHidden/>
              </w:rPr>
              <w:t>19</w:t>
            </w:r>
            <w:r w:rsidR="00B24268">
              <w:rPr>
                <w:noProof/>
                <w:webHidden/>
              </w:rPr>
              <w:fldChar w:fldCharType="end"/>
            </w:r>
          </w:hyperlink>
        </w:p>
        <w:p w14:paraId="4179BCF0" w14:textId="77777777" w:rsidR="00B24268" w:rsidRDefault="00C55BBE">
          <w:pPr>
            <w:pStyle w:val="TOC1"/>
            <w:tabs>
              <w:tab w:val="right" w:leader="dot" w:pos="9062"/>
            </w:tabs>
            <w:rPr>
              <w:rFonts w:asciiTheme="minorHAnsi" w:eastAsiaTheme="minorEastAsia" w:hAnsiTheme="minorHAnsi"/>
              <w:noProof/>
              <w:lang w:eastAsia="nl-NL"/>
            </w:rPr>
          </w:pPr>
          <w:hyperlink w:anchor="_Toc427657286" w:history="1">
            <w:r w:rsidR="00B24268" w:rsidRPr="00D85EEB">
              <w:rPr>
                <w:rStyle w:val="Hyperlink"/>
                <w:noProof/>
                <w:lang w:val="en-US"/>
              </w:rPr>
              <w:t>Chapter four: Conclusion &amp; Discussion</w:t>
            </w:r>
            <w:r w:rsidR="00B24268">
              <w:rPr>
                <w:noProof/>
                <w:webHidden/>
              </w:rPr>
              <w:tab/>
            </w:r>
            <w:r w:rsidR="00B24268">
              <w:rPr>
                <w:noProof/>
                <w:webHidden/>
              </w:rPr>
              <w:fldChar w:fldCharType="begin"/>
            </w:r>
            <w:r w:rsidR="00B24268">
              <w:rPr>
                <w:noProof/>
                <w:webHidden/>
              </w:rPr>
              <w:instrText xml:space="preserve"> PAGEREF _Toc427657286 \h </w:instrText>
            </w:r>
            <w:r w:rsidR="00B24268">
              <w:rPr>
                <w:noProof/>
                <w:webHidden/>
              </w:rPr>
            </w:r>
            <w:r w:rsidR="00B24268">
              <w:rPr>
                <w:noProof/>
                <w:webHidden/>
              </w:rPr>
              <w:fldChar w:fldCharType="separate"/>
            </w:r>
            <w:r w:rsidR="00B24268">
              <w:rPr>
                <w:noProof/>
                <w:webHidden/>
              </w:rPr>
              <w:t>22</w:t>
            </w:r>
            <w:r w:rsidR="00B24268">
              <w:rPr>
                <w:noProof/>
                <w:webHidden/>
              </w:rPr>
              <w:fldChar w:fldCharType="end"/>
            </w:r>
          </w:hyperlink>
        </w:p>
        <w:p w14:paraId="765208A5" w14:textId="77777777" w:rsidR="00B24268" w:rsidRDefault="00C55BBE">
          <w:pPr>
            <w:pStyle w:val="TOC2"/>
            <w:tabs>
              <w:tab w:val="right" w:leader="dot" w:pos="9062"/>
            </w:tabs>
            <w:rPr>
              <w:rFonts w:asciiTheme="minorHAnsi" w:eastAsiaTheme="minorEastAsia" w:hAnsiTheme="minorHAnsi"/>
              <w:noProof/>
              <w:lang w:eastAsia="nl-NL"/>
            </w:rPr>
          </w:pPr>
          <w:hyperlink w:anchor="_Toc427657287" w:history="1">
            <w:r w:rsidR="00B24268" w:rsidRPr="00D85EEB">
              <w:rPr>
                <w:rStyle w:val="Hyperlink"/>
                <w:noProof/>
                <w:lang w:val="en-US" w:eastAsia="nl-NL"/>
              </w:rPr>
              <w:t>Summary and interpretation</w:t>
            </w:r>
            <w:r w:rsidR="00B24268">
              <w:rPr>
                <w:noProof/>
                <w:webHidden/>
              </w:rPr>
              <w:tab/>
            </w:r>
            <w:r w:rsidR="00B24268">
              <w:rPr>
                <w:noProof/>
                <w:webHidden/>
              </w:rPr>
              <w:fldChar w:fldCharType="begin"/>
            </w:r>
            <w:r w:rsidR="00B24268">
              <w:rPr>
                <w:noProof/>
                <w:webHidden/>
              </w:rPr>
              <w:instrText xml:space="preserve"> PAGEREF _Toc427657287 \h </w:instrText>
            </w:r>
            <w:r w:rsidR="00B24268">
              <w:rPr>
                <w:noProof/>
                <w:webHidden/>
              </w:rPr>
            </w:r>
            <w:r w:rsidR="00B24268">
              <w:rPr>
                <w:noProof/>
                <w:webHidden/>
              </w:rPr>
              <w:fldChar w:fldCharType="separate"/>
            </w:r>
            <w:r w:rsidR="00B24268">
              <w:rPr>
                <w:noProof/>
                <w:webHidden/>
              </w:rPr>
              <w:t>22</w:t>
            </w:r>
            <w:r w:rsidR="00B24268">
              <w:rPr>
                <w:noProof/>
                <w:webHidden/>
              </w:rPr>
              <w:fldChar w:fldCharType="end"/>
            </w:r>
          </w:hyperlink>
        </w:p>
        <w:p w14:paraId="44228A64" w14:textId="77777777" w:rsidR="00B24268" w:rsidRDefault="00C55BBE">
          <w:pPr>
            <w:pStyle w:val="TOC2"/>
            <w:tabs>
              <w:tab w:val="right" w:leader="dot" w:pos="9062"/>
            </w:tabs>
            <w:rPr>
              <w:rFonts w:asciiTheme="minorHAnsi" w:eastAsiaTheme="minorEastAsia" w:hAnsiTheme="minorHAnsi"/>
              <w:noProof/>
              <w:lang w:eastAsia="nl-NL"/>
            </w:rPr>
          </w:pPr>
          <w:hyperlink w:anchor="_Toc427657288" w:history="1">
            <w:r w:rsidR="00B24268" w:rsidRPr="00D85EEB">
              <w:rPr>
                <w:rStyle w:val="Hyperlink"/>
                <w:noProof/>
                <w:lang w:val="en-US" w:eastAsia="nl-NL"/>
              </w:rPr>
              <w:t>Discussion</w:t>
            </w:r>
            <w:r w:rsidR="00B24268">
              <w:rPr>
                <w:noProof/>
                <w:webHidden/>
              </w:rPr>
              <w:tab/>
            </w:r>
            <w:r w:rsidR="00B24268">
              <w:rPr>
                <w:noProof/>
                <w:webHidden/>
              </w:rPr>
              <w:fldChar w:fldCharType="begin"/>
            </w:r>
            <w:r w:rsidR="00B24268">
              <w:rPr>
                <w:noProof/>
                <w:webHidden/>
              </w:rPr>
              <w:instrText xml:space="preserve"> PAGEREF _Toc427657288 \h </w:instrText>
            </w:r>
            <w:r w:rsidR="00B24268">
              <w:rPr>
                <w:noProof/>
                <w:webHidden/>
              </w:rPr>
            </w:r>
            <w:r w:rsidR="00B24268">
              <w:rPr>
                <w:noProof/>
                <w:webHidden/>
              </w:rPr>
              <w:fldChar w:fldCharType="separate"/>
            </w:r>
            <w:r w:rsidR="00B24268">
              <w:rPr>
                <w:noProof/>
                <w:webHidden/>
              </w:rPr>
              <w:t>23</w:t>
            </w:r>
            <w:r w:rsidR="00B24268">
              <w:rPr>
                <w:noProof/>
                <w:webHidden/>
              </w:rPr>
              <w:fldChar w:fldCharType="end"/>
            </w:r>
          </w:hyperlink>
        </w:p>
        <w:p w14:paraId="7C24001B" w14:textId="77777777" w:rsidR="00B24268" w:rsidRDefault="00C55BBE">
          <w:pPr>
            <w:pStyle w:val="TOC2"/>
            <w:tabs>
              <w:tab w:val="right" w:leader="dot" w:pos="9062"/>
            </w:tabs>
            <w:rPr>
              <w:rFonts w:asciiTheme="minorHAnsi" w:eastAsiaTheme="minorEastAsia" w:hAnsiTheme="minorHAnsi"/>
              <w:noProof/>
              <w:lang w:eastAsia="nl-NL"/>
            </w:rPr>
          </w:pPr>
          <w:hyperlink w:anchor="_Toc427657289" w:history="1">
            <w:r w:rsidR="00B24268" w:rsidRPr="00D85EEB">
              <w:rPr>
                <w:rStyle w:val="Hyperlink"/>
                <w:noProof/>
                <w:lang w:val="en-US" w:eastAsia="nl-NL"/>
              </w:rPr>
              <w:t>Answer research question</w:t>
            </w:r>
            <w:r w:rsidR="00B24268">
              <w:rPr>
                <w:noProof/>
                <w:webHidden/>
              </w:rPr>
              <w:tab/>
            </w:r>
            <w:r w:rsidR="00B24268">
              <w:rPr>
                <w:noProof/>
                <w:webHidden/>
              </w:rPr>
              <w:fldChar w:fldCharType="begin"/>
            </w:r>
            <w:r w:rsidR="00B24268">
              <w:rPr>
                <w:noProof/>
                <w:webHidden/>
              </w:rPr>
              <w:instrText xml:space="preserve"> PAGEREF _Toc427657289 \h </w:instrText>
            </w:r>
            <w:r w:rsidR="00B24268">
              <w:rPr>
                <w:noProof/>
                <w:webHidden/>
              </w:rPr>
            </w:r>
            <w:r w:rsidR="00B24268">
              <w:rPr>
                <w:noProof/>
                <w:webHidden/>
              </w:rPr>
              <w:fldChar w:fldCharType="separate"/>
            </w:r>
            <w:r w:rsidR="00B24268">
              <w:rPr>
                <w:noProof/>
                <w:webHidden/>
              </w:rPr>
              <w:t>23</w:t>
            </w:r>
            <w:r w:rsidR="00B24268">
              <w:rPr>
                <w:noProof/>
                <w:webHidden/>
              </w:rPr>
              <w:fldChar w:fldCharType="end"/>
            </w:r>
          </w:hyperlink>
        </w:p>
        <w:p w14:paraId="0C250D96" w14:textId="77777777" w:rsidR="00B24268" w:rsidRDefault="00C55BBE">
          <w:pPr>
            <w:pStyle w:val="TOC1"/>
            <w:tabs>
              <w:tab w:val="right" w:leader="dot" w:pos="9062"/>
            </w:tabs>
            <w:rPr>
              <w:rFonts w:asciiTheme="minorHAnsi" w:eastAsiaTheme="minorEastAsia" w:hAnsiTheme="minorHAnsi"/>
              <w:noProof/>
              <w:lang w:eastAsia="nl-NL"/>
            </w:rPr>
          </w:pPr>
          <w:hyperlink w:anchor="_Toc427657290" w:history="1">
            <w:r w:rsidR="00B24268" w:rsidRPr="00D85EEB">
              <w:rPr>
                <w:rStyle w:val="Hyperlink"/>
                <w:noProof/>
                <w:lang w:val="fr-FR"/>
              </w:rPr>
              <w:t>Bibliography</w:t>
            </w:r>
            <w:r w:rsidR="00B24268">
              <w:rPr>
                <w:noProof/>
                <w:webHidden/>
              </w:rPr>
              <w:tab/>
            </w:r>
            <w:r w:rsidR="00B24268">
              <w:rPr>
                <w:noProof/>
                <w:webHidden/>
              </w:rPr>
              <w:fldChar w:fldCharType="begin"/>
            </w:r>
            <w:r w:rsidR="00B24268">
              <w:rPr>
                <w:noProof/>
                <w:webHidden/>
              </w:rPr>
              <w:instrText xml:space="preserve"> PAGEREF _Toc427657290 \h </w:instrText>
            </w:r>
            <w:r w:rsidR="00B24268">
              <w:rPr>
                <w:noProof/>
                <w:webHidden/>
              </w:rPr>
            </w:r>
            <w:r w:rsidR="00B24268">
              <w:rPr>
                <w:noProof/>
                <w:webHidden/>
              </w:rPr>
              <w:fldChar w:fldCharType="separate"/>
            </w:r>
            <w:r w:rsidR="00B24268">
              <w:rPr>
                <w:noProof/>
                <w:webHidden/>
              </w:rPr>
              <w:t>25</w:t>
            </w:r>
            <w:r w:rsidR="00B24268">
              <w:rPr>
                <w:noProof/>
                <w:webHidden/>
              </w:rPr>
              <w:fldChar w:fldCharType="end"/>
            </w:r>
          </w:hyperlink>
        </w:p>
        <w:p w14:paraId="28DE4091" w14:textId="1ADFAFEB" w:rsidR="00092B35" w:rsidRDefault="00092B35">
          <w:r>
            <w:rPr>
              <w:b/>
              <w:bCs/>
              <w:noProof/>
            </w:rPr>
            <w:fldChar w:fldCharType="end"/>
          </w:r>
        </w:p>
      </w:sdtContent>
    </w:sdt>
    <w:p w14:paraId="2948F3A1" w14:textId="77777777" w:rsidR="00092B35" w:rsidRDefault="00092B35" w:rsidP="00DD24B4">
      <w:pPr>
        <w:rPr>
          <w:rFonts w:eastAsia="Times New Roman" w:cs="Arial"/>
          <w:color w:val="000000"/>
          <w:lang w:val="en-US" w:eastAsia="nl-NL"/>
        </w:rPr>
      </w:pPr>
    </w:p>
    <w:p w14:paraId="1C43443C" w14:textId="77777777" w:rsidR="00092B35" w:rsidRPr="00DD24B4" w:rsidRDefault="00092B35" w:rsidP="00DD24B4">
      <w:pPr>
        <w:rPr>
          <w:rFonts w:eastAsia="Times New Roman" w:cs="Arial"/>
          <w:color w:val="000000"/>
          <w:lang w:val="en-US" w:eastAsia="nl-NL"/>
        </w:rPr>
      </w:pPr>
    </w:p>
    <w:p w14:paraId="47144E23" w14:textId="77777777" w:rsidR="00ED1C44" w:rsidRDefault="00ED1C44" w:rsidP="00ED1C44">
      <w:pPr>
        <w:pStyle w:val="Heading1"/>
        <w:rPr>
          <w:lang w:val="en-US"/>
        </w:rPr>
      </w:pPr>
      <w:bookmarkStart w:id="4" w:name="_Toc424733272"/>
      <w:bookmarkStart w:id="5" w:name="_Toc426898387"/>
      <w:bookmarkStart w:id="6" w:name="_Toc427657267"/>
      <w:r>
        <w:rPr>
          <w:lang w:val="en-US"/>
        </w:rPr>
        <w:t>Introduction</w:t>
      </w:r>
      <w:bookmarkEnd w:id="4"/>
      <w:bookmarkEnd w:id="5"/>
      <w:bookmarkEnd w:id="6"/>
    </w:p>
    <w:p w14:paraId="71068122" w14:textId="77777777" w:rsidR="00ED1C44" w:rsidRDefault="00ED1C44" w:rsidP="00ED1C44">
      <w:pPr>
        <w:pStyle w:val="Heading2"/>
        <w:rPr>
          <w:lang w:val="en-US" w:eastAsia="nl-NL"/>
        </w:rPr>
      </w:pPr>
      <w:bookmarkStart w:id="7" w:name="_Toc424733273"/>
      <w:bookmarkStart w:id="8" w:name="_Toc426898388"/>
      <w:bookmarkStart w:id="9" w:name="_Toc427657268"/>
      <w:r>
        <w:rPr>
          <w:lang w:val="en-US" w:eastAsia="nl-NL"/>
        </w:rPr>
        <w:t>Social Relevance</w:t>
      </w:r>
      <w:bookmarkEnd w:id="7"/>
      <w:bookmarkEnd w:id="8"/>
      <w:bookmarkEnd w:id="9"/>
    </w:p>
    <w:p w14:paraId="2194EF30" w14:textId="77777777" w:rsidR="00C1248E" w:rsidRDefault="00C1248E" w:rsidP="00C1248E">
      <w:pPr>
        <w:rPr>
          <w:rFonts w:eastAsia="Times New Roman" w:cs="Arial"/>
          <w:color w:val="000000"/>
          <w:lang w:val="en-US" w:eastAsia="nl-NL"/>
        </w:rPr>
      </w:pPr>
      <w:r w:rsidRPr="006E1225">
        <w:rPr>
          <w:rFonts w:eastAsia="Times New Roman" w:cs="Arial"/>
          <w:color w:val="000000"/>
          <w:lang w:val="en-US" w:eastAsia="nl-NL"/>
        </w:rPr>
        <w:t xml:space="preserve">During the 90’s, most of the electricity markets were monopolized in the EU. The energy sector has liberalized since 1998. The EU aims for </w:t>
      </w:r>
      <w:r>
        <w:rPr>
          <w:rFonts w:eastAsia="Times New Roman" w:cs="Arial"/>
          <w:color w:val="000000"/>
          <w:lang w:val="en-US" w:eastAsia="nl-NL"/>
        </w:rPr>
        <w:t xml:space="preserve">a single European electricity market, </w:t>
      </w:r>
      <w:r w:rsidRPr="006E1225">
        <w:rPr>
          <w:rFonts w:eastAsia="Times New Roman" w:cs="Arial"/>
          <w:color w:val="000000"/>
          <w:lang w:val="en-US" w:eastAsia="nl-NL"/>
        </w:rPr>
        <w:t xml:space="preserve">reliable energy supplies at reasonable prices for businesses and consumers and with the minimal environmental impact. The EU divides the electricity sector in a non-competitive part (e.g. operating networks) and a competitive part (e.g. supply to customers). Three sets of liberalization directives were introduced: a first set became operative in 1998, a second set in 2004, and a third set in 2007 </w:t>
      </w:r>
      <w:r w:rsidRPr="006E1225">
        <w:rPr>
          <w:rFonts w:eastAsia="Times New Roman" w:cs="Arial"/>
          <w:color w:val="000000"/>
          <w:lang w:val="en-US" w:eastAsia="nl-NL"/>
        </w:rPr>
        <w:lastRenderedPageBreak/>
        <w:t xml:space="preserve">(EU commission, 2012). </w:t>
      </w:r>
      <w:r>
        <w:rPr>
          <w:rFonts w:eastAsia="Times New Roman" w:cs="Arial"/>
          <w:color w:val="000000"/>
          <w:lang w:val="en-US" w:eastAsia="nl-NL"/>
        </w:rPr>
        <w:t>These liberalization directives directly influence</w:t>
      </w:r>
      <w:r w:rsidR="00647EEB">
        <w:rPr>
          <w:rFonts w:eastAsia="Times New Roman" w:cs="Arial"/>
          <w:color w:val="000000"/>
          <w:lang w:val="en-US" w:eastAsia="nl-NL"/>
        </w:rPr>
        <w:t>d</w:t>
      </w:r>
      <w:r>
        <w:rPr>
          <w:rFonts w:eastAsia="Times New Roman" w:cs="Arial"/>
          <w:color w:val="000000"/>
          <w:lang w:val="en-US" w:eastAsia="nl-NL"/>
        </w:rPr>
        <w:t xml:space="preserve"> competition and market structure of the electricity market in a way that is beneficial for consumers and more efficient for producers</w:t>
      </w:r>
      <w:r w:rsidRPr="00C35C5C">
        <w:rPr>
          <w:lang w:val="en-US"/>
        </w:rPr>
        <w:t xml:space="preserve"> </w:t>
      </w:r>
      <w:sdt>
        <w:sdtPr>
          <w:rPr>
            <w:lang w:val="en-US"/>
          </w:rPr>
          <w:id w:val="-1307546507"/>
          <w:citation/>
        </w:sdtPr>
        <w:sdtEndPr/>
        <w:sdtContent>
          <w:r>
            <w:rPr>
              <w:lang w:val="en-US"/>
            </w:rPr>
            <w:fldChar w:fldCharType="begin"/>
          </w:r>
          <w:r>
            <w:rPr>
              <w:lang w:val="en-US"/>
            </w:rPr>
            <w:instrText xml:space="preserve">CITATION Jam05 \t  \l 1033 </w:instrText>
          </w:r>
          <w:r>
            <w:rPr>
              <w:lang w:val="en-US"/>
            </w:rPr>
            <w:fldChar w:fldCharType="separate"/>
          </w:r>
          <w:r w:rsidR="00B24268">
            <w:rPr>
              <w:noProof/>
              <w:lang w:val="en-US"/>
            </w:rPr>
            <w:t>(Jamesb &amp; Pollitt, 2005)</w:t>
          </w:r>
          <w:r>
            <w:rPr>
              <w:lang w:val="en-US"/>
            </w:rPr>
            <w:fldChar w:fldCharType="end"/>
          </w:r>
        </w:sdtContent>
      </w:sdt>
      <w:r>
        <w:rPr>
          <w:rFonts w:eastAsia="Times New Roman" w:cs="Arial"/>
          <w:color w:val="000000"/>
          <w:lang w:val="en-US" w:eastAsia="nl-NL"/>
        </w:rPr>
        <w:t xml:space="preserve">. </w:t>
      </w:r>
    </w:p>
    <w:p w14:paraId="69A8C566" w14:textId="77777777" w:rsidR="00E600CE" w:rsidRDefault="00E600CE" w:rsidP="00C1248E">
      <w:pPr>
        <w:rPr>
          <w:rFonts w:eastAsia="Times New Roman" w:cs="Arial"/>
          <w:color w:val="000000"/>
          <w:lang w:val="en-US" w:eastAsia="nl-NL"/>
        </w:rPr>
      </w:pPr>
      <w:r>
        <w:rPr>
          <w:rFonts w:eastAsia="Times New Roman" w:cs="Arial"/>
          <w:color w:val="000000"/>
          <w:lang w:val="en-US" w:eastAsia="nl-NL"/>
        </w:rPr>
        <w:t xml:space="preserve">However, these benefits may come at a cost. Liberalization may influence innovation in renewable energy. </w:t>
      </w:r>
      <w:r w:rsidR="00843D92">
        <w:rPr>
          <w:rFonts w:eastAsia="Times New Roman" w:cs="Arial"/>
          <w:color w:val="000000"/>
          <w:lang w:val="en-US" w:eastAsia="nl-NL"/>
        </w:rPr>
        <w:t>Renewable energy is important because it is an efficient and effective solution to environmental problems, and one of the most important solutions available. Some of the most important environmental problems are: acid penetration, stratospheric ozone depletion, global climate change and the greenhouse effect. The benefits of renewable energy are not limited to environmental benefits; it also has energy, economic and flexibility benefits. In order to attain the benefits, innovation needs to be conducted as required</w:t>
      </w:r>
      <w:sdt>
        <w:sdtPr>
          <w:rPr>
            <w:rFonts w:eastAsia="Times New Roman" w:cs="Arial"/>
            <w:color w:val="000000"/>
            <w:lang w:val="en-US" w:eastAsia="nl-NL"/>
          </w:rPr>
          <w:id w:val="-1122680490"/>
          <w:citation/>
        </w:sdtPr>
        <w:sdtEndPr/>
        <w:sdtContent>
          <w:r w:rsidR="00843D92">
            <w:rPr>
              <w:rFonts w:eastAsia="Times New Roman" w:cs="Arial"/>
              <w:color w:val="000000"/>
              <w:lang w:val="en-US" w:eastAsia="nl-NL"/>
            </w:rPr>
            <w:fldChar w:fldCharType="begin"/>
          </w:r>
          <w:r w:rsidR="00843D92">
            <w:rPr>
              <w:rFonts w:eastAsia="Times New Roman" w:cs="Arial"/>
              <w:color w:val="000000"/>
              <w:lang w:val="en-US" w:eastAsia="nl-NL"/>
            </w:rPr>
            <w:instrText xml:space="preserve"> CITATION Din00 \l 1033 </w:instrText>
          </w:r>
          <w:r w:rsidR="00843D92">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(Dincer, 2000)</w:t>
          </w:r>
          <w:r w:rsidR="00843D92">
            <w:rPr>
              <w:rFonts w:eastAsia="Times New Roman" w:cs="Arial"/>
              <w:color w:val="000000"/>
              <w:lang w:val="en-US" w:eastAsia="nl-NL"/>
            </w:rPr>
            <w:fldChar w:fldCharType="end"/>
          </w:r>
        </w:sdtContent>
      </w:sdt>
      <w:r w:rsidR="00843D92">
        <w:rPr>
          <w:rFonts w:eastAsia="Times New Roman" w:cs="Arial"/>
          <w:color w:val="000000"/>
          <w:lang w:val="en-US" w:eastAsia="nl-NL"/>
        </w:rPr>
        <w:t xml:space="preserve">. </w:t>
      </w:r>
      <w:r w:rsidR="003D68CA">
        <w:rPr>
          <w:rFonts w:eastAsia="Times New Roman" w:cs="Arial"/>
          <w:color w:val="000000"/>
          <w:lang w:val="en-US" w:eastAsia="nl-NL"/>
        </w:rPr>
        <w:t>A negative effect of liberalization on renewable electricity innovation</w:t>
      </w:r>
      <w:r w:rsidR="00DE1A2A">
        <w:rPr>
          <w:rFonts w:eastAsia="Times New Roman" w:cs="Arial"/>
          <w:color w:val="000000"/>
          <w:lang w:val="en-US" w:eastAsia="nl-NL"/>
        </w:rPr>
        <w:t xml:space="preserve"> </w:t>
      </w:r>
      <w:r w:rsidR="003D68CA">
        <w:rPr>
          <w:rFonts w:eastAsia="Times New Roman" w:cs="Arial"/>
          <w:color w:val="000000"/>
          <w:lang w:val="en-US" w:eastAsia="nl-NL"/>
        </w:rPr>
        <w:t xml:space="preserve">could </w:t>
      </w:r>
      <w:r w:rsidR="009A0F03">
        <w:rPr>
          <w:rFonts w:eastAsia="Times New Roman" w:cs="Arial"/>
          <w:color w:val="000000"/>
          <w:lang w:val="en-US" w:eastAsia="nl-NL"/>
        </w:rPr>
        <w:t xml:space="preserve">therefore </w:t>
      </w:r>
      <w:r w:rsidR="003D68CA">
        <w:rPr>
          <w:rFonts w:eastAsia="Times New Roman" w:cs="Arial"/>
          <w:color w:val="000000"/>
          <w:lang w:val="en-US" w:eastAsia="nl-NL"/>
        </w:rPr>
        <w:t>have dramatic effects on the world and its future.</w:t>
      </w:r>
      <w:r w:rsidR="006C25AD">
        <w:rPr>
          <w:rFonts w:eastAsia="Times New Roman" w:cs="Arial"/>
          <w:color w:val="000000"/>
          <w:lang w:val="en-US" w:eastAsia="nl-NL"/>
        </w:rPr>
        <w:t xml:space="preserve"> But why would we expect a negative influence of the liberalization on renewable electricity innovation and what effects do we observe in practice?</w:t>
      </w:r>
    </w:p>
    <w:p w14:paraId="0AA9C668" w14:textId="77777777" w:rsidR="00ED1C44" w:rsidRDefault="00ED1C44" w:rsidP="00ED1C44">
      <w:pPr>
        <w:pStyle w:val="Heading2"/>
        <w:rPr>
          <w:lang w:val="en-US" w:eastAsia="nl-NL"/>
        </w:rPr>
      </w:pPr>
      <w:bookmarkStart w:id="10" w:name="_Toc424733274"/>
      <w:bookmarkStart w:id="11" w:name="_Toc426898389"/>
      <w:bookmarkStart w:id="12" w:name="_Toc427657269"/>
      <w:r>
        <w:rPr>
          <w:lang w:val="en-US" w:eastAsia="nl-NL"/>
        </w:rPr>
        <w:t>Overview of knowledge</w:t>
      </w:r>
      <w:bookmarkEnd w:id="10"/>
      <w:bookmarkEnd w:id="11"/>
      <w:bookmarkEnd w:id="12"/>
    </w:p>
    <w:p w14:paraId="2E2D29EC" w14:textId="77777777" w:rsidR="003D68CA" w:rsidRDefault="003D68CA" w:rsidP="003D68CA">
      <w:pPr>
        <w:rPr>
          <w:lang w:val="en-US"/>
        </w:rPr>
      </w:pPr>
      <w:r>
        <w:rPr>
          <w:lang w:val="en-US"/>
        </w:rPr>
        <w:t xml:space="preserve">Research </w:t>
      </w:r>
      <w:r w:rsidR="009C6BCD">
        <w:rPr>
          <w:lang w:val="en-US"/>
        </w:rPr>
        <w:t>identified four</w:t>
      </w:r>
      <w:r>
        <w:rPr>
          <w:lang w:val="en-US"/>
        </w:rPr>
        <w:t xml:space="preserve"> effects of electricity market liberalization</w:t>
      </w:r>
      <w:r w:rsidR="006C25AD">
        <w:rPr>
          <w:lang w:val="en-US"/>
        </w:rPr>
        <w:t xml:space="preserve"> with respect to innovation</w:t>
      </w:r>
      <w:r>
        <w:rPr>
          <w:lang w:val="en-US"/>
        </w:rPr>
        <w:t>. First, r</w:t>
      </w:r>
      <w:r w:rsidRPr="00F27C2A">
        <w:rPr>
          <w:lang w:val="en-US"/>
        </w:rPr>
        <w:t>ecent research on energy market liberalization has identified a drastic cut in R&amp;D investments. At the</w:t>
      </w:r>
      <w:r>
        <w:rPr>
          <w:lang w:val="en-US"/>
        </w:rPr>
        <w:t xml:space="preserve"> same time, the number of patent applications increased considerably. We do not know whether these effects are temporary or a long lasting feature of liberalization</w:t>
      </w:r>
      <w:sdt>
        <w:sdtPr>
          <w:rPr>
            <w:lang w:val="en-US"/>
          </w:rPr>
          <w:id w:val="-1199544697"/>
          <w:citation/>
        </w:sdtPr>
        <w:sdtEndPr/>
        <w:sdtContent>
          <w:r>
            <w:rPr>
              <w:lang w:val="en-US"/>
            </w:rPr>
            <w:fldChar w:fldCharType="begin"/>
          </w:r>
          <w:r>
            <w:rPr>
              <w:lang w:val="en-US"/>
            </w:rPr>
            <w:instrText xml:space="preserve">CITATION Jam08 \t  \l 1043 </w:instrText>
          </w:r>
          <w:r>
            <w:rPr>
              <w:lang w:val="en-US"/>
            </w:rPr>
            <w:fldChar w:fldCharType="separate"/>
          </w:r>
          <w:r w:rsidR="00B24268">
            <w:rPr>
              <w:noProof/>
              <w:lang w:val="en-US"/>
            </w:rPr>
            <w:t xml:space="preserve"> </w:t>
          </w:r>
          <w:r w:rsidR="00B24268" w:rsidRPr="00B24268">
            <w:rPr>
              <w:noProof/>
              <w:lang w:val="en-US"/>
            </w:rPr>
            <w:t>(Jamesb &amp; Pollitt, 2008)</w:t>
          </w:r>
          <w:r>
            <w:rPr>
              <w:lang w:val="en-US"/>
            </w:rPr>
            <w:fldChar w:fldCharType="end"/>
          </w:r>
        </w:sdtContent>
      </w:sdt>
      <w:r>
        <w:rPr>
          <w:lang w:val="en-US"/>
        </w:rPr>
        <w:t xml:space="preserve">. </w:t>
      </w:r>
    </w:p>
    <w:p w14:paraId="15AE07AC" w14:textId="77777777" w:rsidR="003D68CA" w:rsidRDefault="003D68CA" w:rsidP="003D68CA">
      <w:pPr>
        <w:rPr>
          <w:rFonts w:eastAsia="Times New Roman" w:cs="Arial"/>
          <w:color w:val="000000"/>
          <w:lang w:val="en-US" w:eastAsia="nl-NL"/>
        </w:rPr>
      </w:pPr>
      <w:r>
        <w:rPr>
          <w:lang w:val="en-US"/>
        </w:rPr>
        <w:t xml:space="preserve">Second, it affected the scope of innovation. </w:t>
      </w:r>
      <w:r w:rsidRPr="006E1225">
        <w:rPr>
          <w:rFonts w:eastAsia="Times New Roman" w:cs="Arial"/>
          <w:color w:val="000000"/>
          <w:lang w:val="en-US" w:eastAsia="nl-NL"/>
        </w:rPr>
        <w:t xml:space="preserve">The increased scope in variation may reduce path dependency, thus increase the likelihood of radical innovations to develop. </w:t>
      </w:r>
      <w:r>
        <w:rPr>
          <w:rFonts w:eastAsia="Times New Roman" w:cs="Arial"/>
          <w:color w:val="000000"/>
          <w:lang w:val="en-US" w:eastAsia="nl-NL"/>
        </w:rPr>
        <w:t>Firms share less knowledge with one another, making imitation of innovations harder, therefore increasing the incentive to innovate</w:t>
      </w:r>
      <w:sdt>
        <w:sdtPr>
          <w:rPr>
            <w:rFonts w:eastAsia="Times New Roman" w:cs="Arial"/>
            <w:color w:val="000000"/>
            <w:lang w:val="en-US" w:eastAsia="nl-NL"/>
          </w:rPr>
          <w:id w:val="-4142998"/>
          <w:citation/>
        </w:sdtPr>
        <w:sdtEndPr/>
        <w:sdtContent>
          <w:r w:rsidR="009C6BCD">
            <w:rPr>
              <w:rFonts w:eastAsia="Times New Roman" w:cs="Arial"/>
              <w:color w:val="000000"/>
              <w:lang w:val="en-US" w:eastAsia="nl-NL"/>
            </w:rPr>
            <w:fldChar w:fldCharType="begin"/>
          </w:r>
          <w:r w:rsidR="009C6BCD">
            <w:rPr>
              <w:rFonts w:eastAsia="Times New Roman" w:cs="Arial"/>
              <w:color w:val="000000"/>
              <w:lang w:val="en-US" w:eastAsia="nl-NL"/>
            </w:rPr>
            <w:instrText xml:space="preserve"> CITATION Mar06 \l 1033 </w:instrText>
          </w:r>
          <w:r w:rsidR="009C6BCD">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(Markard &amp; Truffer, Innovation processes in large technical systems: Market liberalization as a driver for radical change?, 2006)</w:t>
          </w:r>
          <w:r w:rsidR="009C6BCD">
            <w:rPr>
              <w:rFonts w:eastAsia="Times New Roman" w:cs="Arial"/>
              <w:color w:val="000000"/>
              <w:lang w:val="en-US" w:eastAsia="nl-NL"/>
            </w:rPr>
            <w:fldChar w:fldCharType="end"/>
          </w:r>
        </w:sdtContent>
      </w:sdt>
      <w:r>
        <w:rPr>
          <w:rFonts w:eastAsia="Times New Roman" w:cs="Arial"/>
          <w:color w:val="000000"/>
          <w:lang w:val="en-US" w:eastAsia="nl-NL"/>
        </w:rPr>
        <w:t xml:space="preserve">. </w:t>
      </w:r>
    </w:p>
    <w:p w14:paraId="50690928" w14:textId="77777777" w:rsidR="003D68CA" w:rsidRPr="007569D8" w:rsidRDefault="003D68CA" w:rsidP="003D68CA">
      <w:pPr>
        <w:rPr>
          <w:rFonts w:eastAsia="Times New Roman" w:cs="Arial"/>
          <w:color w:val="000000"/>
          <w:lang w:val="en-US" w:eastAsia="nl-NL"/>
        </w:rPr>
      </w:pPr>
      <w:r>
        <w:rPr>
          <w:lang w:val="en-US"/>
        </w:rPr>
        <w:lastRenderedPageBreak/>
        <w:t xml:space="preserve">Third, it affected the focus of innovation management. </w:t>
      </w:r>
      <w:r>
        <w:rPr>
          <w:rFonts w:eastAsia="Times New Roman" w:cs="Arial"/>
          <w:color w:val="000000"/>
          <w:lang w:val="en-US" w:eastAsia="nl-NL"/>
        </w:rPr>
        <w:t xml:space="preserve">The focus of innovation management switches from incremental, technology-oriented innovation to more radical, customer-oriented product innovations and organizational </w:t>
      </w:r>
      <w:r w:rsidRPr="00CB61B6">
        <w:rPr>
          <w:rFonts w:eastAsia="Times New Roman" w:cs="Arial"/>
          <w:color w:val="000000"/>
          <w:lang w:val="en-US" w:eastAsia="nl-NL"/>
        </w:rPr>
        <w:t>innovations</w:t>
      </w:r>
      <w:sdt>
        <w:sdtPr>
          <w:rPr>
            <w:rFonts w:eastAsia="Times New Roman" w:cs="Arial"/>
            <w:color w:val="000000"/>
            <w:lang w:val="en-US" w:eastAsia="nl-NL"/>
          </w:rPr>
          <w:id w:val="-1594319235"/>
          <w:citation/>
        </w:sdtPr>
        <w:sdtEndPr/>
        <w:sdtContent>
          <w:r w:rsidR="009C6BCD">
            <w:rPr>
              <w:rFonts w:eastAsia="Times New Roman" w:cs="Arial"/>
              <w:color w:val="000000"/>
              <w:lang w:val="en-US" w:eastAsia="nl-NL"/>
            </w:rPr>
            <w:fldChar w:fldCharType="begin"/>
          </w:r>
          <w:r w:rsidR="009C6BCD">
            <w:rPr>
              <w:rFonts w:eastAsia="Times New Roman" w:cs="Arial"/>
              <w:color w:val="000000"/>
              <w:lang w:val="en-US" w:eastAsia="nl-NL"/>
            </w:rPr>
            <w:instrText xml:space="preserve"> CITATION Mar06 \l 1033 </w:instrText>
          </w:r>
          <w:r w:rsidR="009C6BCD">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(Markard &amp; Truffer, Innovation processes in large technical systems: Market liberalization as a driver for radical change?, 2006)</w:t>
          </w:r>
          <w:r w:rsidR="009C6BCD">
            <w:rPr>
              <w:rFonts w:eastAsia="Times New Roman" w:cs="Arial"/>
              <w:color w:val="000000"/>
              <w:lang w:val="en-US" w:eastAsia="nl-NL"/>
            </w:rPr>
            <w:fldChar w:fldCharType="end"/>
          </w:r>
        </w:sdtContent>
      </w:sdt>
      <w:r>
        <w:rPr>
          <w:rFonts w:eastAsia="Times New Roman" w:cs="Arial"/>
          <w:color w:val="000000"/>
          <w:lang w:val="en-US" w:eastAsia="nl-NL"/>
        </w:rPr>
        <w:t>.</w:t>
      </w:r>
      <w:r w:rsidRPr="003D68CA">
        <w:rPr>
          <w:rFonts w:eastAsia="Times New Roman" w:cs="Arial"/>
          <w:color w:val="000000"/>
          <w:lang w:val="en-US" w:eastAsia="nl-NL"/>
        </w:rPr>
        <w:t xml:space="preserve"> </w:t>
      </w:r>
      <w:r>
        <w:rPr>
          <w:rFonts w:eastAsia="Times New Roman" w:cs="Arial"/>
          <w:color w:val="000000"/>
          <w:lang w:val="en-US" w:eastAsia="nl-NL"/>
        </w:rPr>
        <w:t xml:space="preserve">This </w:t>
      </w:r>
      <w:r>
        <w:rPr>
          <w:rFonts w:eastAsia="Times New Roman" w:cs="Arial"/>
          <w:i/>
          <w:color w:val="000000"/>
          <w:lang w:val="en-US" w:eastAsia="nl-NL"/>
        </w:rPr>
        <w:t xml:space="preserve">short-termism </w:t>
      </w:r>
      <w:r w:rsidR="009C6BCD">
        <w:rPr>
          <w:rFonts w:eastAsia="Times New Roman" w:cs="Arial"/>
          <w:color w:val="000000"/>
          <w:lang w:val="en-US" w:eastAsia="nl-NL"/>
        </w:rPr>
        <w:t xml:space="preserve">as result of market liberalization </w:t>
      </w:r>
      <w:r>
        <w:rPr>
          <w:rFonts w:eastAsia="Times New Roman" w:cs="Arial"/>
          <w:color w:val="000000"/>
          <w:lang w:val="en-US" w:eastAsia="nl-NL"/>
        </w:rPr>
        <w:t xml:space="preserve">is also recognized in the telecommunications industry </w:t>
      </w:r>
      <w:sdt>
        <w:sdtPr>
          <w:rPr>
            <w:rFonts w:eastAsia="Times New Roman" w:cs="Arial"/>
            <w:color w:val="000000"/>
            <w:lang w:val="en-US" w:eastAsia="nl-NL"/>
          </w:rPr>
          <w:id w:val="728882780"/>
          <w:citation/>
        </w:sdtPr>
        <w:sdtEndPr/>
        <w:sdtContent>
          <w:r>
            <w:rPr>
              <w:rFonts w:eastAsia="Times New Roman" w:cs="Arial"/>
              <w:color w:val="000000"/>
              <w:lang w:val="en-US" w:eastAsia="nl-NL"/>
            </w:rPr>
            <w:fldChar w:fldCharType="begin"/>
          </w:r>
          <w:r w:rsidRPr="007569D8">
            <w:rPr>
              <w:rFonts w:eastAsia="Times New Roman" w:cs="Arial"/>
              <w:color w:val="000000"/>
              <w:lang w:val="en-US" w:eastAsia="nl-NL"/>
            </w:rPr>
            <w:instrText xml:space="preserve"> CITATION Cal03 \l 1043 </w:instrText>
          </w:r>
          <w:r>
            <w:rPr>
              <w:rFonts w:eastAsia="Times New Roman" w:cs="Arial"/>
              <w:color w:val="000000"/>
              <w:lang w:val="en-US" w:eastAsia="nl-NL"/>
            </w:rPr>
            <w:fldChar w:fldCharType="separate"/>
          </w:r>
          <w:r w:rsidR="00B24268" w:rsidRPr="00B24268">
            <w:rPr>
              <w:rFonts w:eastAsia="Times New Roman" w:cs="Arial"/>
              <w:noProof/>
              <w:color w:val="000000"/>
              <w:lang w:val="en-US" w:eastAsia="nl-NL"/>
            </w:rPr>
            <w:t>(Calderini, Garrone, &amp; Sobrero, 2003)</w:t>
          </w:r>
          <w:r>
            <w:rPr>
              <w:rFonts w:eastAsia="Times New Roman" w:cs="Arial"/>
              <w:color w:val="000000"/>
              <w:lang w:val="en-US" w:eastAsia="nl-NL"/>
            </w:rPr>
            <w:fldChar w:fldCharType="end"/>
          </w:r>
        </w:sdtContent>
      </w:sdt>
      <w:r>
        <w:rPr>
          <w:rFonts w:eastAsia="Times New Roman" w:cs="Arial"/>
          <w:color w:val="000000"/>
          <w:lang w:val="en-US" w:eastAsia="nl-NL"/>
        </w:rPr>
        <w:t>.</w:t>
      </w:r>
    </w:p>
    <w:p w14:paraId="68911BCB" w14:textId="77777777" w:rsidR="00647EEB" w:rsidRDefault="009C6BCD" w:rsidP="00920E93">
      <w:pPr>
        <w:rPr>
          <w:lang w:val="en-US"/>
        </w:rPr>
      </w:pPr>
      <w:r>
        <w:rPr>
          <w:lang w:val="en-US"/>
        </w:rPr>
        <w:t>Fourth</w:t>
      </w:r>
      <w:r w:rsidR="003D68CA">
        <w:rPr>
          <w:lang w:val="en-US"/>
        </w:rPr>
        <w:t>,</w:t>
      </w:r>
      <w:r>
        <w:rPr>
          <w:lang w:val="en-US"/>
        </w:rPr>
        <w:t xml:space="preserve"> electricity market</w:t>
      </w:r>
      <w:r w:rsidR="00920E93">
        <w:rPr>
          <w:lang w:val="en-US"/>
        </w:rPr>
        <w:t xml:space="preserve"> liberalization is </w:t>
      </w:r>
      <w:r>
        <w:rPr>
          <w:lang w:val="en-US"/>
        </w:rPr>
        <w:t xml:space="preserve">associated with </w:t>
      </w:r>
      <w:r w:rsidR="00920E93">
        <w:rPr>
          <w:lang w:val="en-US"/>
        </w:rPr>
        <w:t>increased rates of entry</w:t>
      </w:r>
      <w:r w:rsidR="003D68CA">
        <w:rPr>
          <w:lang w:val="en-US"/>
        </w:rPr>
        <w:t xml:space="preserve"> in the product market</w:t>
      </w:r>
      <w:r w:rsidR="00920E93">
        <w:rPr>
          <w:lang w:val="en-US"/>
        </w:rPr>
        <w:t xml:space="preserve">. Higher rates of entry are associated with higher rates of innovation and increase in efficiency. For more recently deregulated industries, entry encourages incumbents to drastically cut slack from their </w:t>
      </w:r>
      <w:r w:rsidR="00920E93" w:rsidRPr="00F27C2A">
        <w:rPr>
          <w:lang w:val="en-US"/>
        </w:rPr>
        <w:t>operations</w:t>
      </w:r>
      <w:r>
        <w:rPr>
          <w:lang w:val="en-US"/>
        </w:rPr>
        <w:t>, which results in increasing efficiency</w:t>
      </w:r>
      <w:r w:rsidR="00920E93" w:rsidRPr="00F27C2A">
        <w:rPr>
          <w:lang w:val="en-US"/>
        </w:rPr>
        <w:t xml:space="preserve"> </w:t>
      </w:r>
      <w:sdt>
        <w:sdtPr>
          <w:rPr>
            <w:lang w:val="en-US"/>
          </w:rPr>
          <w:id w:val="699366756"/>
          <w:citation/>
        </w:sdtPr>
        <w:sdtEndPr/>
        <w:sdtContent>
          <w:r w:rsidR="00920E93" w:rsidRPr="00F27C2A">
            <w:rPr>
              <w:lang w:val="en-US"/>
            </w:rPr>
            <w:fldChar w:fldCharType="begin"/>
          </w:r>
          <w:r w:rsidR="00920E93" w:rsidRPr="00F27C2A">
            <w:rPr>
              <w:rFonts w:eastAsia="Times New Roman" w:cs="Arial"/>
              <w:color w:val="000000"/>
              <w:lang w:val="en-US" w:eastAsia="nl-NL"/>
            </w:rPr>
            <w:instrText xml:space="preserve"> CITATION Ger95 \l 1043 </w:instrText>
          </w:r>
          <w:r w:rsidR="00920E93" w:rsidRPr="00F27C2A">
            <w:rPr>
              <w:lang w:val="en-US"/>
            </w:rPr>
            <w:fldChar w:fldCharType="separate"/>
          </w:r>
          <w:r w:rsidR="00B24268" w:rsidRPr="00B24268">
            <w:rPr>
              <w:rFonts w:eastAsia="Times New Roman" w:cs="Arial"/>
              <w:noProof/>
              <w:color w:val="000000"/>
              <w:lang w:val="en-US" w:eastAsia="nl-NL"/>
            </w:rPr>
            <w:t>(Geroski, 1995)</w:t>
          </w:r>
          <w:r w:rsidR="00920E93" w:rsidRPr="00F27C2A">
            <w:rPr>
              <w:lang w:val="en-US"/>
            </w:rPr>
            <w:fldChar w:fldCharType="end"/>
          </w:r>
        </w:sdtContent>
      </w:sdt>
      <w:r w:rsidR="00920E93" w:rsidRPr="00F27C2A">
        <w:rPr>
          <w:lang w:val="en-US"/>
        </w:rPr>
        <w:t xml:space="preserve">. </w:t>
      </w:r>
    </w:p>
    <w:p w14:paraId="21E439E7" w14:textId="77777777" w:rsidR="00920E93" w:rsidRPr="00920E93" w:rsidRDefault="00920E93" w:rsidP="00920E93">
      <w:pPr>
        <w:pStyle w:val="Heading2"/>
        <w:rPr>
          <w:lang w:val="en-US" w:eastAsia="nl-NL"/>
        </w:rPr>
      </w:pPr>
      <w:bookmarkStart w:id="13" w:name="_Toc424733275"/>
      <w:bookmarkStart w:id="14" w:name="_Toc426898390"/>
      <w:bookmarkStart w:id="15" w:name="_Toc427657270"/>
      <w:r>
        <w:rPr>
          <w:lang w:val="en-US" w:eastAsia="nl-NL"/>
        </w:rPr>
        <w:t>Problem statement</w:t>
      </w:r>
      <w:bookmarkEnd w:id="13"/>
      <w:bookmarkEnd w:id="14"/>
      <w:bookmarkEnd w:id="15"/>
    </w:p>
    <w:p w14:paraId="4B8E0FC2" w14:textId="77777777" w:rsidR="006164F8" w:rsidRDefault="006164F8" w:rsidP="006164F8">
      <w:pPr>
        <w:rPr>
          <w:lang w:val="en-US" w:eastAsia="nl-NL"/>
        </w:rPr>
      </w:pPr>
      <w:r>
        <w:rPr>
          <w:rFonts w:eastAsia="Times New Roman" w:cs="Arial"/>
          <w:color w:val="000000"/>
          <w:lang w:val="en-US" w:eastAsia="nl-NL"/>
        </w:rPr>
        <w:t>The benefits of electricity market liberalization may come at a cost. Traditional electricity production relies on fossil fuels, which the world is running out of. The transition to renewable energy sources is essential if electricity consumption stays constant</w:t>
      </w:r>
      <w:r w:rsidR="006C25AD">
        <w:rPr>
          <w:rFonts w:eastAsia="Times New Roman" w:cs="Arial"/>
          <w:color w:val="000000"/>
          <w:lang w:val="en-US" w:eastAsia="nl-NL"/>
        </w:rPr>
        <w:t xml:space="preserve"> or increases</w:t>
      </w:r>
      <w:r>
        <w:rPr>
          <w:rFonts w:eastAsia="Times New Roman" w:cs="Arial"/>
          <w:color w:val="000000"/>
          <w:lang w:val="en-US" w:eastAsia="nl-NL"/>
        </w:rPr>
        <w:t>. The transition requires innovation, which might be effected by the liberalization of the electricity market.</w:t>
      </w:r>
    </w:p>
    <w:p w14:paraId="23FF7233" w14:textId="77777777" w:rsidR="00202C5C" w:rsidRDefault="00ED1C44" w:rsidP="00202C5C">
      <w:pPr>
        <w:pStyle w:val="Heading2"/>
        <w:rPr>
          <w:lang w:val="en-US" w:eastAsia="nl-NL"/>
        </w:rPr>
      </w:pPr>
      <w:bookmarkStart w:id="16" w:name="_Toc424733276"/>
      <w:bookmarkStart w:id="17" w:name="_Toc426898391"/>
      <w:bookmarkStart w:id="18" w:name="_Toc427657271"/>
      <w:r>
        <w:rPr>
          <w:lang w:val="en-US" w:eastAsia="nl-NL"/>
        </w:rPr>
        <w:t>Research gap</w:t>
      </w:r>
      <w:bookmarkEnd w:id="16"/>
      <w:bookmarkEnd w:id="17"/>
      <w:bookmarkEnd w:id="18"/>
    </w:p>
    <w:p w14:paraId="19CCD783" w14:textId="77777777" w:rsidR="00234355" w:rsidRDefault="009922B1" w:rsidP="00BA534C">
      <w:pPr>
        <w:rPr>
          <w:lang w:val="en-US" w:eastAsia="nl-NL"/>
        </w:rPr>
      </w:pPr>
      <w:r>
        <w:rPr>
          <w:lang w:val="en-US" w:eastAsia="nl-NL"/>
        </w:rPr>
        <w:t>Research on product market liberalization covers several aspects of liberalization. First, Dooley (1998) studied the effect of electricity market liberalization on R&amp;D expenditures to electricity in the United States. Sanyal &amp; Gosh (2013</w:t>
      </w:r>
      <w:r w:rsidR="009A0F03">
        <w:rPr>
          <w:lang w:val="en-US" w:eastAsia="nl-NL"/>
        </w:rPr>
        <w:t>)</w:t>
      </w:r>
      <w:r>
        <w:rPr>
          <w:lang w:val="en-US" w:eastAsia="nl-NL"/>
        </w:rPr>
        <w:t xml:space="preserve"> studied the effect of electricity market deregulation on patent applications in the United States from 1980 to 2000. Cambini et al (2015) studied the effect of electricity market liberalization in Europe on R&amp;D expenditures to electricity and the effect of electricity market liberalization on patenting statistics. All these studies look at the effect of innovation in the entire electricity sector. The </w:t>
      </w:r>
      <w:r w:rsidR="00BA534C">
        <w:rPr>
          <w:lang w:val="en-US" w:eastAsia="nl-NL"/>
        </w:rPr>
        <w:t xml:space="preserve">important and uncovered aspect of </w:t>
      </w:r>
      <w:r w:rsidR="00BA534C" w:rsidRPr="00092B35">
        <w:rPr>
          <w:i/>
          <w:lang w:val="en-US" w:eastAsia="nl-NL"/>
        </w:rPr>
        <w:t>renewable</w:t>
      </w:r>
      <w:r w:rsidR="00BA534C">
        <w:rPr>
          <w:lang w:val="en-US" w:eastAsia="nl-NL"/>
        </w:rPr>
        <w:t xml:space="preserve"> electricity innovation remains to be studied in this work.</w:t>
      </w:r>
    </w:p>
    <w:p w14:paraId="62746CEB" w14:textId="77777777" w:rsidR="00EE79FF" w:rsidRDefault="00EE79FF" w:rsidP="00EE79FF">
      <w:pPr>
        <w:pStyle w:val="Heading2"/>
        <w:rPr>
          <w:lang w:val="en-US"/>
        </w:rPr>
      </w:pPr>
      <w:bookmarkStart w:id="19" w:name="_Toc424733277"/>
      <w:bookmarkStart w:id="20" w:name="_Toc426898392"/>
      <w:bookmarkStart w:id="21" w:name="_Toc427657272"/>
      <w:r>
        <w:rPr>
          <w:lang w:val="en-US"/>
        </w:rPr>
        <w:lastRenderedPageBreak/>
        <w:t>Research question and objective</w:t>
      </w:r>
      <w:bookmarkEnd w:id="19"/>
      <w:bookmarkEnd w:id="20"/>
      <w:bookmarkEnd w:id="21"/>
    </w:p>
    <w:p w14:paraId="27835348" w14:textId="77777777" w:rsidR="00061584" w:rsidRPr="0008743A" w:rsidRDefault="0008743A" w:rsidP="0008743A">
      <w:pPr>
        <w:ind w:left="708"/>
        <w:rPr>
          <w:i/>
          <w:lang w:val="en-US"/>
        </w:rPr>
      </w:pPr>
      <w:r w:rsidRPr="0008743A">
        <w:rPr>
          <w:i/>
          <w:lang w:val="en-US"/>
        </w:rPr>
        <w:t>What are the effects of electricity market liberalization on renewable electricity innovation in the European Union?</w:t>
      </w:r>
    </w:p>
    <w:p w14:paraId="741EB7D0" w14:textId="77777777" w:rsidR="001F0B21" w:rsidRPr="001F0B21" w:rsidRDefault="001F0B21" w:rsidP="001F0B21">
      <w:pPr>
        <w:rPr>
          <w:lang w:val="en-US"/>
        </w:rPr>
      </w:pPr>
      <w:r>
        <w:rPr>
          <w:lang w:val="en-US"/>
        </w:rPr>
        <w:t>The objective of this study is to quantify the effect of electricity market liberalization on renewable electricity innovation.</w:t>
      </w:r>
    </w:p>
    <w:p w14:paraId="597E8B6A" w14:textId="77777777" w:rsidR="00EE79FF" w:rsidRDefault="00EE79FF" w:rsidP="00EE79FF">
      <w:pPr>
        <w:pStyle w:val="Heading2"/>
        <w:rPr>
          <w:lang w:val="en-US"/>
        </w:rPr>
      </w:pPr>
      <w:bookmarkStart w:id="22" w:name="_Toc424733278"/>
      <w:bookmarkStart w:id="23" w:name="_Toc426898393"/>
      <w:bookmarkStart w:id="24" w:name="_Toc427657273"/>
      <w:r>
        <w:rPr>
          <w:lang w:val="en-US"/>
        </w:rPr>
        <w:t>Set up</w:t>
      </w:r>
      <w:bookmarkEnd w:id="22"/>
      <w:bookmarkEnd w:id="23"/>
      <w:bookmarkEnd w:id="24"/>
    </w:p>
    <w:p w14:paraId="66B74E3A" w14:textId="5B9D64D2" w:rsidR="001F0B21" w:rsidRPr="001F0B21" w:rsidRDefault="001F0B21" w:rsidP="001F0B21">
      <w:pPr>
        <w:rPr>
          <w:lang w:val="en-US"/>
        </w:rPr>
      </w:pPr>
      <w:r>
        <w:rPr>
          <w:lang w:val="en-US"/>
        </w:rPr>
        <w:t xml:space="preserve">The set up for this study is the following. First, a proxy for electricity market liberalization </w:t>
      </w:r>
      <w:r w:rsidR="00873DB0">
        <w:rPr>
          <w:lang w:val="en-US"/>
        </w:rPr>
        <w:t xml:space="preserve">will be used to approach the development of the liberalization. </w:t>
      </w:r>
      <w:r w:rsidR="00C32914">
        <w:rPr>
          <w:lang w:val="en-US"/>
        </w:rPr>
        <w:t>Second, p</w:t>
      </w:r>
      <w:r w:rsidR="00873DB0">
        <w:rPr>
          <w:lang w:val="en-US"/>
        </w:rPr>
        <w:t>atent statistics will be used to quantify renewable electricity innovation. Besides a basic patent count measure, this study will also look at entry of firms in the innovative process and a</w:t>
      </w:r>
      <w:r w:rsidR="006C25AD">
        <w:rPr>
          <w:lang w:val="en-US"/>
        </w:rPr>
        <w:t>dd</w:t>
      </w:r>
      <w:r w:rsidR="00873DB0">
        <w:rPr>
          <w:lang w:val="en-US"/>
        </w:rPr>
        <w:t xml:space="preserve"> patent value to adjust the results fo</w:t>
      </w:r>
      <w:r w:rsidR="00C32914">
        <w:rPr>
          <w:lang w:val="en-US"/>
        </w:rPr>
        <w:t xml:space="preserve">r patent and innovation quality. </w:t>
      </w:r>
      <w:r w:rsidR="00873DB0">
        <w:rPr>
          <w:lang w:val="en-US"/>
        </w:rPr>
        <w:t xml:space="preserve"> </w:t>
      </w:r>
    </w:p>
    <w:p w14:paraId="2140F66A" w14:textId="77777777" w:rsidR="00EE79FF" w:rsidRDefault="00EE79FF" w:rsidP="00EE79FF">
      <w:pPr>
        <w:pStyle w:val="Heading2"/>
        <w:rPr>
          <w:lang w:val="en-US"/>
        </w:rPr>
      </w:pPr>
      <w:bookmarkStart w:id="25" w:name="_Toc424733279"/>
      <w:bookmarkStart w:id="26" w:name="_Toc426898394"/>
      <w:bookmarkStart w:id="27" w:name="_Toc427657274"/>
      <w:r>
        <w:rPr>
          <w:lang w:val="en-US"/>
        </w:rPr>
        <w:t>Contribution</w:t>
      </w:r>
      <w:bookmarkEnd w:id="25"/>
      <w:bookmarkEnd w:id="26"/>
      <w:bookmarkEnd w:id="27"/>
    </w:p>
    <w:p w14:paraId="543A1733" w14:textId="77777777" w:rsidR="00061584" w:rsidRPr="001F0B21" w:rsidRDefault="001F0B21" w:rsidP="001F0B21">
      <w:pPr>
        <w:rPr>
          <w:lang w:val="en-US"/>
        </w:rPr>
      </w:pPr>
      <w:r>
        <w:rPr>
          <w:lang w:val="en-US"/>
        </w:rPr>
        <w:t xml:space="preserve">The contribution of this study is covering an important and under-exposed part of liberalization research: the effect on renewable energy innovation. </w:t>
      </w:r>
    </w:p>
    <w:p w14:paraId="5398DF6F" w14:textId="77777777" w:rsidR="00EE79FF" w:rsidRDefault="00EE79FF" w:rsidP="00EE79FF">
      <w:pPr>
        <w:pStyle w:val="Heading2"/>
        <w:rPr>
          <w:lang w:val="en-US"/>
        </w:rPr>
      </w:pPr>
      <w:bookmarkStart w:id="28" w:name="_Toc424733280"/>
      <w:bookmarkStart w:id="29" w:name="_Toc426898395"/>
      <w:bookmarkStart w:id="30" w:name="_Toc427657275"/>
      <w:r>
        <w:rPr>
          <w:lang w:val="en-US"/>
        </w:rPr>
        <w:t>Results</w:t>
      </w:r>
      <w:bookmarkEnd w:id="28"/>
      <w:bookmarkEnd w:id="29"/>
      <w:bookmarkEnd w:id="30"/>
    </w:p>
    <w:p w14:paraId="2AC09259" w14:textId="7D151FF7" w:rsidR="009A0F03" w:rsidRPr="009A0F03" w:rsidRDefault="009A0F03" w:rsidP="009A0F03">
      <w:pPr>
        <w:rPr>
          <w:lang w:val="en-US"/>
        </w:rPr>
      </w:pPr>
      <w:r>
        <w:rPr>
          <w:lang w:val="en-US" w:eastAsia="nl-NL"/>
        </w:rPr>
        <w:t>The major findings of this study are a positive association between electricity market liberalization and the quantity of innovative output</w:t>
      </w:r>
      <w:r w:rsidR="002A6035">
        <w:rPr>
          <w:lang w:val="en-US" w:eastAsia="nl-NL"/>
        </w:rPr>
        <w:t xml:space="preserve"> in renewable electricity innovation</w:t>
      </w:r>
      <w:r>
        <w:rPr>
          <w:lang w:val="en-US" w:eastAsia="nl-NL"/>
        </w:rPr>
        <w:t>; a negative association between electricity market liberalization and the quality of innovative output</w:t>
      </w:r>
      <w:r w:rsidR="002A6035">
        <w:rPr>
          <w:lang w:val="en-US" w:eastAsia="nl-NL"/>
        </w:rPr>
        <w:t xml:space="preserve"> in renewable electricity innovation</w:t>
      </w:r>
      <w:r>
        <w:rPr>
          <w:lang w:val="en-US" w:eastAsia="nl-NL"/>
        </w:rPr>
        <w:t>, and positive association between electricity market liberalization and entry</w:t>
      </w:r>
      <w:r w:rsidR="002A6035">
        <w:rPr>
          <w:lang w:val="en-US" w:eastAsia="nl-NL"/>
        </w:rPr>
        <w:t xml:space="preserve"> in renewable electricity innovation</w:t>
      </w:r>
      <w:r>
        <w:rPr>
          <w:lang w:val="en-US" w:eastAsia="nl-NL"/>
        </w:rPr>
        <w:t>.</w:t>
      </w:r>
      <w:r w:rsidR="002A6035">
        <w:rPr>
          <w:lang w:val="en-US" w:eastAsia="nl-NL"/>
        </w:rPr>
        <w:t xml:space="preserve"> These findings are similar for studies on electricity innovation in general; and therefore seem to contradict with the theory presented in previous studies that liberalization </w:t>
      </w:r>
      <w:r w:rsidR="004D6C45">
        <w:rPr>
          <w:lang w:val="en-US" w:eastAsia="nl-NL"/>
        </w:rPr>
        <w:t>is likely to be related with a decrease of long-term (and in particular renewable electricity) innovation</w:t>
      </w:r>
      <w:sdt>
        <w:sdtPr>
          <w:rPr>
            <w:lang w:val="en-US" w:eastAsia="nl-NL"/>
          </w:rPr>
          <w:id w:val="-866901558"/>
          <w:citation/>
        </w:sdtPr>
        <w:sdtEndPr/>
        <w:sdtContent>
          <w:r w:rsidR="004D6C45">
            <w:rPr>
              <w:lang w:val="en-US" w:eastAsia="nl-NL"/>
            </w:rPr>
            <w:fldChar w:fldCharType="begin"/>
          </w:r>
          <w:r w:rsidR="004D6C45" w:rsidRPr="004D6C45">
            <w:rPr>
              <w:lang w:val="en-US" w:eastAsia="nl-NL"/>
            </w:rPr>
            <w:instrText xml:space="preserve"> CITATION Doo98 \l 1043 </w:instrText>
          </w:r>
          <w:r w:rsidR="004D6C45">
            <w:rPr>
              <w:lang w:val="en-US" w:eastAsia="nl-NL"/>
            </w:rPr>
            <w:fldChar w:fldCharType="separate"/>
          </w:r>
          <w:r w:rsidR="00B24268">
            <w:rPr>
              <w:noProof/>
              <w:lang w:val="en-US" w:eastAsia="nl-NL"/>
            </w:rPr>
            <w:t xml:space="preserve"> </w:t>
          </w:r>
          <w:r w:rsidR="00B24268" w:rsidRPr="00B24268">
            <w:rPr>
              <w:noProof/>
              <w:lang w:val="en-US" w:eastAsia="nl-NL"/>
            </w:rPr>
            <w:t>(Dooley, 1998)</w:t>
          </w:r>
          <w:r w:rsidR="004D6C45">
            <w:rPr>
              <w:lang w:val="en-US" w:eastAsia="nl-NL"/>
            </w:rPr>
            <w:fldChar w:fldCharType="end"/>
          </w:r>
        </w:sdtContent>
      </w:sdt>
      <w:r w:rsidR="004D6C45">
        <w:rPr>
          <w:lang w:val="en-US" w:eastAsia="nl-NL"/>
        </w:rPr>
        <w:t>.</w:t>
      </w:r>
    </w:p>
    <w:p w14:paraId="38BB1ED3" w14:textId="77777777" w:rsidR="00EE79FF" w:rsidRDefault="00EE79FF" w:rsidP="00EE79FF">
      <w:pPr>
        <w:pStyle w:val="Heading2"/>
        <w:rPr>
          <w:lang w:val="en-US"/>
        </w:rPr>
      </w:pPr>
      <w:bookmarkStart w:id="31" w:name="_Toc424733281"/>
      <w:bookmarkStart w:id="32" w:name="_Toc426898396"/>
      <w:bookmarkStart w:id="33" w:name="_Toc427657276"/>
      <w:r>
        <w:rPr>
          <w:lang w:val="en-US"/>
        </w:rPr>
        <w:lastRenderedPageBreak/>
        <w:t>Structure</w:t>
      </w:r>
      <w:bookmarkEnd w:id="31"/>
      <w:bookmarkEnd w:id="32"/>
      <w:bookmarkEnd w:id="33"/>
    </w:p>
    <w:p w14:paraId="7D9A4ADB" w14:textId="77777777" w:rsidR="009255E6" w:rsidRDefault="00CD2C94" w:rsidP="009255E6">
      <w:pPr>
        <w:rPr>
          <w:lang w:val="en-US"/>
        </w:rPr>
      </w:pPr>
      <w:r>
        <w:rPr>
          <w:lang w:val="en-US"/>
        </w:rPr>
        <w:t>This paper is organized as follows. Chapter one reviews literature and presents the hypotheses. Chapter two</w:t>
      </w:r>
      <w:r w:rsidR="0008743A">
        <w:rPr>
          <w:lang w:val="en-US"/>
        </w:rPr>
        <w:t xml:space="preserve"> specifies the methodology and describes the data. Chapter three presents the results and provides estimates for the effects of variables of interest on renewable electricity </w:t>
      </w:r>
      <w:r w:rsidR="0008743A" w:rsidRPr="00AD6909">
        <w:rPr>
          <w:lang w:val="en-US"/>
        </w:rPr>
        <w:t xml:space="preserve">innovation. </w:t>
      </w:r>
      <w:r w:rsidRPr="00AD6909">
        <w:rPr>
          <w:lang w:val="en-US"/>
        </w:rPr>
        <w:t xml:space="preserve"> </w:t>
      </w:r>
      <w:r w:rsidR="0008743A" w:rsidRPr="00E600CE">
        <w:rPr>
          <w:lang w:val="en-US"/>
        </w:rPr>
        <w:t>Chapter four concludes.</w:t>
      </w:r>
    </w:p>
    <w:p w14:paraId="2336BB55" w14:textId="77777777" w:rsidR="00C3511A" w:rsidRDefault="00C3511A" w:rsidP="009255E6">
      <w:pPr>
        <w:rPr>
          <w:lang w:val="en-US"/>
        </w:rPr>
      </w:pPr>
    </w:p>
    <w:p w14:paraId="05BD6474" w14:textId="77777777" w:rsidR="00C3511A" w:rsidRDefault="00C3511A" w:rsidP="009255E6">
      <w:pPr>
        <w:rPr>
          <w:lang w:val="en-US"/>
        </w:rPr>
      </w:pPr>
    </w:p>
    <w:p w14:paraId="4031C0E1" w14:textId="77777777" w:rsidR="00092B35" w:rsidRDefault="00092B35" w:rsidP="009255E6">
      <w:pPr>
        <w:rPr>
          <w:lang w:val="en-US"/>
        </w:rPr>
      </w:pPr>
    </w:p>
    <w:p w14:paraId="4FC1437D" w14:textId="77777777" w:rsidR="00092B35" w:rsidRDefault="00092B35" w:rsidP="009255E6">
      <w:pPr>
        <w:rPr>
          <w:lang w:val="en-US"/>
        </w:rPr>
      </w:pPr>
    </w:p>
    <w:p w14:paraId="444704C0" w14:textId="77777777" w:rsidR="00092B35" w:rsidRDefault="00092B35" w:rsidP="009255E6">
      <w:pPr>
        <w:rPr>
          <w:lang w:val="en-US"/>
        </w:rPr>
      </w:pPr>
    </w:p>
    <w:p w14:paraId="738E1AA1" w14:textId="77777777" w:rsidR="00092B35" w:rsidRDefault="00092B35" w:rsidP="009255E6">
      <w:pPr>
        <w:rPr>
          <w:lang w:val="en-US"/>
        </w:rPr>
      </w:pPr>
    </w:p>
    <w:p w14:paraId="2DA08D5F" w14:textId="77777777" w:rsidR="00092B35" w:rsidRDefault="00092B35" w:rsidP="009255E6">
      <w:pPr>
        <w:rPr>
          <w:lang w:val="en-US"/>
        </w:rPr>
      </w:pPr>
    </w:p>
    <w:p w14:paraId="035C4B29" w14:textId="77777777" w:rsidR="00092B35" w:rsidRDefault="00092B35" w:rsidP="009255E6">
      <w:pPr>
        <w:rPr>
          <w:lang w:val="en-US"/>
        </w:rPr>
      </w:pPr>
    </w:p>
    <w:p w14:paraId="06BC089D" w14:textId="77777777" w:rsidR="00092B35" w:rsidRDefault="00092B35" w:rsidP="009255E6">
      <w:pPr>
        <w:rPr>
          <w:lang w:val="en-US"/>
        </w:rPr>
      </w:pPr>
    </w:p>
    <w:p w14:paraId="6B758D00" w14:textId="36D80BFD" w:rsidR="00092B35" w:rsidRDefault="00092B35" w:rsidP="009255E6">
      <w:pPr>
        <w:rPr>
          <w:lang w:val="en-US"/>
        </w:rPr>
      </w:pPr>
      <w:r>
        <w:rPr>
          <w:lang w:val="en-US"/>
        </w:rPr>
        <w:t>.</w:t>
      </w:r>
    </w:p>
    <w:p w14:paraId="4DC36EF0" w14:textId="77777777" w:rsidR="00EE79FF" w:rsidRDefault="0008743A" w:rsidP="00EE79FF">
      <w:pPr>
        <w:pStyle w:val="Heading1"/>
        <w:rPr>
          <w:lang w:val="en-US"/>
        </w:rPr>
      </w:pPr>
      <w:bookmarkStart w:id="34" w:name="_Toc424733282"/>
      <w:bookmarkStart w:id="35" w:name="_Toc426898397"/>
      <w:bookmarkStart w:id="36" w:name="_Toc427657277"/>
      <w:r w:rsidRPr="00E600CE">
        <w:rPr>
          <w:lang w:val="en-US"/>
        </w:rPr>
        <w:t xml:space="preserve">Chapter one: </w:t>
      </w:r>
      <w:r w:rsidR="00EE79FF" w:rsidRPr="00E600CE">
        <w:rPr>
          <w:lang w:val="en-US"/>
        </w:rPr>
        <w:t xml:space="preserve">Literature review </w:t>
      </w:r>
      <w:r w:rsidR="006B1E0D" w:rsidRPr="00E600CE">
        <w:rPr>
          <w:lang w:val="en-US"/>
        </w:rPr>
        <w:t>&amp; Hypotheses</w:t>
      </w:r>
      <w:bookmarkEnd w:id="34"/>
      <w:bookmarkEnd w:id="35"/>
      <w:bookmarkEnd w:id="36"/>
    </w:p>
    <w:p w14:paraId="5D83BAE3" w14:textId="77777777" w:rsidR="00F94490" w:rsidRPr="00F94490" w:rsidRDefault="00F94490" w:rsidP="00F94490">
      <w:pPr>
        <w:rPr>
          <w:lang w:val="en-US" w:eastAsia="nl-NL"/>
        </w:rPr>
      </w:pPr>
      <w:r>
        <w:rPr>
          <w:lang w:val="en-US" w:eastAsia="nl-NL"/>
        </w:rPr>
        <w:t xml:space="preserve">This chapter will describe the overall trends in liberalization research with regards to innovation. </w:t>
      </w:r>
      <w:r>
        <w:rPr>
          <w:lang w:val="en-US"/>
        </w:rPr>
        <w:t xml:space="preserve">First, it will describe the general effects of electricity market liberalization on innovation. Second, it will describe how the effects are heterogeneously for different types of firms and industries. After that, the hypotheses will be presented. </w:t>
      </w:r>
    </w:p>
    <w:p w14:paraId="21A57E2B" w14:textId="77777777" w:rsidR="00C32914" w:rsidRDefault="00C32914" w:rsidP="00C32914">
      <w:pPr>
        <w:pStyle w:val="Heading2"/>
        <w:rPr>
          <w:lang w:val="en-US"/>
        </w:rPr>
      </w:pPr>
      <w:bookmarkStart w:id="37" w:name="_Toc426898398"/>
      <w:bookmarkStart w:id="38" w:name="_Toc427657278"/>
      <w:r>
        <w:rPr>
          <w:lang w:val="en-US"/>
        </w:rPr>
        <w:lastRenderedPageBreak/>
        <w:t>Trends</w:t>
      </w:r>
      <w:bookmarkEnd w:id="37"/>
      <w:bookmarkEnd w:id="38"/>
    </w:p>
    <w:p w14:paraId="64E5FA15" w14:textId="77777777" w:rsidR="00081E94" w:rsidRDefault="00081E94" w:rsidP="00081E94">
      <w:pPr>
        <w:rPr>
          <w:lang w:val="en-US"/>
        </w:rPr>
      </w:pPr>
      <w:r>
        <w:rPr>
          <w:lang w:val="en-US"/>
        </w:rPr>
        <w:t>Recent research on energy market liberalization has identified a drastic cut in Research and Development (R&amp;D) investments</w:t>
      </w:r>
      <w:sdt>
        <w:sdtPr>
          <w:rPr>
            <w:lang w:val="en-US"/>
          </w:rPr>
          <w:id w:val="-1262986057"/>
          <w:citation/>
        </w:sdtPr>
        <w:sdtEndPr/>
        <w:sdtContent>
          <w:r>
            <w:rPr>
              <w:lang w:val="en-US"/>
            </w:rPr>
            <w:fldChar w:fldCharType="begin"/>
          </w:r>
          <w:r w:rsidR="009922B1">
            <w:rPr>
              <w:lang w:val="en-US"/>
            </w:rPr>
            <w:instrText xml:space="preserve">CITATION Jam08 \t  \l 1043 </w:instrText>
          </w:r>
          <w:r>
            <w:rPr>
              <w:lang w:val="en-US"/>
            </w:rPr>
            <w:fldChar w:fldCharType="separate"/>
          </w:r>
          <w:r w:rsidR="00B24268">
            <w:rPr>
              <w:noProof/>
              <w:lang w:val="en-US"/>
            </w:rPr>
            <w:t xml:space="preserve"> </w:t>
          </w:r>
          <w:r w:rsidR="00B24268" w:rsidRPr="00B24268">
            <w:rPr>
              <w:noProof/>
              <w:lang w:val="en-US"/>
            </w:rPr>
            <w:t>(Jamesb &amp; Pollitt, 2008)</w:t>
          </w:r>
          <w:r>
            <w:rPr>
              <w:lang w:val="en-US"/>
            </w:rPr>
            <w:fldChar w:fldCharType="end"/>
          </w:r>
        </w:sdtContent>
      </w:sdt>
      <w:r>
        <w:rPr>
          <w:lang w:val="en-US"/>
        </w:rPr>
        <w:t xml:space="preserve">. The authors link much of this decline to market reforms. Their claim goes even further: </w:t>
      </w:r>
    </w:p>
    <w:p w14:paraId="65B7D5E3" w14:textId="77777777" w:rsidR="00081E94" w:rsidRDefault="00081E94" w:rsidP="00081E94">
      <w:pPr>
        <w:ind w:left="708"/>
        <w:rPr>
          <w:lang w:val="en-US"/>
        </w:rPr>
      </w:pPr>
      <w:r>
        <w:rPr>
          <w:lang w:val="en-US"/>
        </w:rPr>
        <w:t>“</w:t>
      </w:r>
      <w:r w:rsidRPr="00A603DF">
        <w:rPr>
          <w:lang w:val="en-US"/>
        </w:rPr>
        <w:t>Most reform steps such as competition, unbundling, and private ownership, appear to have contributed to market failure in basic R&amp;D</w:t>
      </w:r>
      <w:r>
        <w:rPr>
          <w:lang w:val="en-US"/>
        </w:rPr>
        <w:t>” (p. 1007)</w:t>
      </w:r>
    </w:p>
    <w:p w14:paraId="589552A2" w14:textId="77777777" w:rsidR="00E12DEF" w:rsidRDefault="00E600CE" w:rsidP="00E12DEF">
      <w:pPr>
        <w:rPr>
          <w:rFonts w:eastAsia="Times New Roman" w:cs="Arial"/>
          <w:color w:val="000000"/>
          <w:lang w:val="en-US" w:eastAsia="nl-NL"/>
        </w:rPr>
      </w:pPr>
      <w:r>
        <w:rPr>
          <w:lang w:val="en-US"/>
        </w:rPr>
        <w:t xml:space="preserve">The market failure exists, according to Jamesb et al, due to positive externalities from R&amp;D. More specific, spillovers and limits to appropriation of benefits reduce the returns from R&amp;D expenditure to private investors. </w:t>
      </w:r>
      <w:r w:rsidR="00050018">
        <w:rPr>
          <w:lang w:val="en-US"/>
        </w:rPr>
        <w:t xml:space="preserve">As a result, the specific effect of this market failure may cause a switch from the focus from long-term ‘green’ innovation to short term competitive innovation. </w:t>
      </w:r>
      <w:r>
        <w:rPr>
          <w:lang w:val="en-US"/>
        </w:rPr>
        <w:t>This view can also explain why innovative output, such as patenting and organizational adjustment, appears to have improved despite a cut in R&amp;D expenditure. R&amp;D produces more output in the short run, going along with a decrease in long-term technological progress and innovation.</w:t>
      </w:r>
      <w:r w:rsidR="00E12DEF">
        <w:rPr>
          <w:lang w:val="en-US"/>
        </w:rPr>
        <w:t xml:space="preserve"> Another explanation for the apparent improvement in terms of patent applications is the concept of entry deterrence. </w:t>
      </w:r>
      <w:r w:rsidR="00E12DEF">
        <w:rPr>
          <w:rFonts w:eastAsia="Times New Roman" w:cs="Arial"/>
          <w:color w:val="000000"/>
          <w:lang w:val="en-US" w:eastAsia="nl-NL"/>
        </w:rPr>
        <w:t xml:space="preserve">This concept states that preemptive patenting can be used to deter entrance for new products </w:t>
      </w:r>
      <w:sdt>
        <w:sdtPr>
          <w:rPr>
            <w:rFonts w:eastAsia="Times New Roman" w:cs="Arial"/>
            <w:color w:val="000000"/>
            <w:lang w:val="en-US" w:eastAsia="nl-NL"/>
          </w:rPr>
          <w:id w:val="1203063454"/>
          <w:citation/>
        </w:sdtPr>
        <w:sdtEndPr/>
        <w:sdtContent>
          <w:r w:rsidR="00E12DEF">
            <w:rPr>
              <w:rFonts w:eastAsia="Times New Roman" w:cs="Arial"/>
              <w:color w:val="000000"/>
              <w:lang w:val="en-US" w:eastAsia="nl-NL"/>
            </w:rPr>
            <w:fldChar w:fldCharType="begin"/>
          </w:r>
          <w:r w:rsidR="00E12DEF" w:rsidRPr="00D81645">
            <w:rPr>
              <w:rFonts w:eastAsia="Times New Roman" w:cs="Arial"/>
              <w:color w:val="000000"/>
              <w:lang w:val="en-US" w:eastAsia="nl-NL"/>
            </w:rPr>
            <w:instrText xml:space="preserve"> CITATION Smi88 \l 1043 </w:instrText>
          </w:r>
          <w:r w:rsidR="00E12DEF">
            <w:rPr>
              <w:rFonts w:eastAsia="Times New Roman" w:cs="Arial"/>
              <w:color w:val="000000"/>
              <w:lang w:val="en-US" w:eastAsia="nl-NL"/>
            </w:rPr>
            <w:fldChar w:fldCharType="separate"/>
          </w:r>
          <w:r w:rsidR="00B24268" w:rsidRPr="00B24268">
            <w:rPr>
              <w:rFonts w:eastAsia="Times New Roman" w:cs="Arial"/>
              <w:noProof/>
              <w:color w:val="000000"/>
              <w:lang w:val="en-US" w:eastAsia="nl-NL"/>
            </w:rPr>
            <w:t>(Smiley, 1988)</w:t>
          </w:r>
          <w:r w:rsidR="00E12DEF">
            <w:rPr>
              <w:rFonts w:eastAsia="Times New Roman" w:cs="Arial"/>
              <w:color w:val="000000"/>
              <w:lang w:val="en-US" w:eastAsia="nl-NL"/>
            </w:rPr>
            <w:fldChar w:fldCharType="end"/>
          </w:r>
        </w:sdtContent>
      </w:sdt>
      <w:r w:rsidR="00E12DEF">
        <w:rPr>
          <w:rFonts w:eastAsia="Times New Roman" w:cs="Arial"/>
          <w:color w:val="000000"/>
          <w:lang w:val="en-US" w:eastAsia="nl-NL"/>
        </w:rPr>
        <w:t xml:space="preserve">. </w:t>
      </w:r>
    </w:p>
    <w:p w14:paraId="739003A4" w14:textId="77777777" w:rsidR="002E1577" w:rsidRPr="00BD3C52" w:rsidRDefault="00EC3E31" w:rsidP="00081E94">
      <w:pPr>
        <w:rPr>
          <w:lang w:val="en-US"/>
        </w:rPr>
      </w:pPr>
      <w:r>
        <w:rPr>
          <w:lang w:val="en-US"/>
        </w:rPr>
        <w:t xml:space="preserve">The idea of market failure in basic R&amp;D </w:t>
      </w:r>
      <w:r w:rsidR="00081E94">
        <w:rPr>
          <w:lang w:val="en-US"/>
        </w:rPr>
        <w:t xml:space="preserve">is also supported by a qualitative study </w:t>
      </w:r>
      <w:r>
        <w:rPr>
          <w:lang w:val="en-US"/>
        </w:rPr>
        <w:t xml:space="preserve">by </w:t>
      </w:r>
      <w:r w:rsidR="00050018">
        <w:rPr>
          <w:lang w:val="en-US"/>
        </w:rPr>
        <w:t>Markard &amp; Truffer (2006)</w:t>
      </w:r>
      <w:r w:rsidR="00081E94">
        <w:rPr>
          <w:lang w:val="en-US"/>
        </w:rPr>
        <w:t xml:space="preserve">. </w:t>
      </w:r>
      <w:r w:rsidR="00BD3C52">
        <w:rPr>
          <w:lang w:val="en-US"/>
        </w:rPr>
        <w:t xml:space="preserve">Their work </w:t>
      </w:r>
      <w:r w:rsidR="00BD3C52" w:rsidRPr="00F47EAB">
        <w:rPr>
          <w:lang w:val="en-US"/>
        </w:rPr>
        <w:t>addresses the question how market liberalization has altered the way innovations are handled in the electricity supply system</w:t>
      </w:r>
      <w:r w:rsidR="00BD3C52">
        <w:rPr>
          <w:lang w:val="en-US"/>
        </w:rPr>
        <w:t xml:space="preserve">. </w:t>
      </w:r>
      <w:r w:rsidR="00081E94">
        <w:rPr>
          <w:lang w:val="en-US"/>
        </w:rPr>
        <w:t xml:space="preserve">This is a qualitative research on the </w:t>
      </w:r>
      <w:r w:rsidR="00081E94" w:rsidRPr="00ED5F44">
        <w:rPr>
          <w:lang w:val="en-US"/>
        </w:rPr>
        <w:t>lock-in phenomena, the path-dependency of innovation and the notion of technological regimes, which guide innovation processes</w:t>
      </w:r>
      <w:r w:rsidR="00081E94">
        <w:rPr>
          <w:lang w:val="en-US"/>
        </w:rPr>
        <w:t xml:space="preserve">. Besides that the authors perform a case study on three radical innovations in the electricity sector. They </w:t>
      </w:r>
      <w:r w:rsidR="00081E94" w:rsidRPr="006E1225">
        <w:rPr>
          <w:rFonts w:eastAsia="Times New Roman" w:cs="Arial"/>
          <w:color w:val="000000"/>
          <w:lang w:val="en-US" w:eastAsia="nl-NL"/>
        </w:rPr>
        <w:t xml:space="preserve">find an effect of market liberalization on innovation in the electricity sector in at least two respects: the scope of variation and the focus of innovation management. </w:t>
      </w:r>
      <w:r w:rsidR="00050018">
        <w:rPr>
          <w:rFonts w:eastAsia="Times New Roman" w:cs="Arial"/>
          <w:color w:val="000000"/>
          <w:lang w:val="en-US" w:eastAsia="nl-NL"/>
        </w:rPr>
        <w:t>First, t</w:t>
      </w:r>
      <w:r w:rsidR="00081E94" w:rsidRPr="006E1225">
        <w:rPr>
          <w:rFonts w:eastAsia="Times New Roman" w:cs="Arial"/>
          <w:color w:val="000000"/>
          <w:lang w:val="en-US" w:eastAsia="nl-NL"/>
        </w:rPr>
        <w:t xml:space="preserve">he increased scope </w:t>
      </w:r>
      <w:r w:rsidR="009C6BCD">
        <w:rPr>
          <w:rFonts w:eastAsia="Times New Roman" w:cs="Arial"/>
          <w:color w:val="000000"/>
          <w:lang w:val="en-US" w:eastAsia="nl-NL"/>
        </w:rPr>
        <w:t>of innovation</w:t>
      </w:r>
      <w:r w:rsidR="00081E94" w:rsidRPr="006E1225">
        <w:rPr>
          <w:rFonts w:eastAsia="Times New Roman" w:cs="Arial"/>
          <w:color w:val="000000"/>
          <w:lang w:val="en-US" w:eastAsia="nl-NL"/>
        </w:rPr>
        <w:t xml:space="preserve"> may reduce path dependency, thus increase the likelihood of radical innovations to develop. </w:t>
      </w:r>
      <w:r w:rsidR="00081E94">
        <w:rPr>
          <w:rFonts w:eastAsia="Times New Roman" w:cs="Arial"/>
          <w:color w:val="000000"/>
          <w:lang w:val="en-US" w:eastAsia="nl-NL"/>
        </w:rPr>
        <w:t xml:space="preserve">Firms share less knowledge with one </w:t>
      </w:r>
      <w:r w:rsidR="00081E94">
        <w:rPr>
          <w:rFonts w:eastAsia="Times New Roman" w:cs="Arial"/>
          <w:color w:val="000000"/>
          <w:lang w:val="en-US" w:eastAsia="nl-NL"/>
        </w:rPr>
        <w:lastRenderedPageBreak/>
        <w:t xml:space="preserve">another, making imitation of innovations harder, therefore increasing the incentive to innovate. </w:t>
      </w:r>
      <w:r w:rsidR="00050018">
        <w:rPr>
          <w:rFonts w:eastAsia="Times New Roman" w:cs="Arial"/>
          <w:color w:val="000000"/>
          <w:lang w:val="en-US" w:eastAsia="nl-NL"/>
        </w:rPr>
        <w:t>Second, t</w:t>
      </w:r>
      <w:r w:rsidR="00081E94">
        <w:rPr>
          <w:rFonts w:eastAsia="Times New Roman" w:cs="Arial"/>
          <w:color w:val="000000"/>
          <w:lang w:val="en-US" w:eastAsia="nl-NL"/>
        </w:rPr>
        <w:t xml:space="preserve">he focus of innovation management switches from incremental, technology-oriented innovation to more radical, customer-oriented product innovations and organizational innovations. </w:t>
      </w:r>
    </w:p>
    <w:p w14:paraId="76E88EE7" w14:textId="77777777" w:rsidR="00FB57DF" w:rsidRDefault="002E1577" w:rsidP="00812908">
      <w:pPr>
        <w:rPr>
          <w:rFonts w:eastAsia="Times New Roman" w:cs="Arial"/>
          <w:color w:val="000000"/>
          <w:lang w:val="en-US" w:eastAsia="nl-NL"/>
        </w:rPr>
      </w:pPr>
      <w:r>
        <w:rPr>
          <w:rFonts w:eastAsia="Times New Roman" w:cs="Arial"/>
          <w:color w:val="000000"/>
          <w:lang w:val="en-US" w:eastAsia="nl-NL"/>
        </w:rPr>
        <w:t xml:space="preserve">Dooley (1998) finds the same. His major conclusion is that long term energy R&amp;D (and in particular cleaner, environmentally preferred energy supply R&amp;D) is unlikely to be supported by individual utilities in a competitive, deregulated utility market. </w:t>
      </w:r>
      <w:r w:rsidR="001432D0">
        <w:rPr>
          <w:rFonts w:eastAsia="Times New Roman" w:cs="Arial"/>
          <w:color w:val="000000"/>
          <w:lang w:val="en-US" w:eastAsia="nl-NL"/>
        </w:rPr>
        <w:t>On top of that, n</w:t>
      </w:r>
      <w:r>
        <w:rPr>
          <w:rFonts w:eastAsia="Times New Roman" w:cs="Arial"/>
          <w:color w:val="000000"/>
          <w:lang w:val="en-US" w:eastAsia="nl-NL"/>
        </w:rPr>
        <w:t xml:space="preserve">ations’ public R&amp;D </w:t>
      </w:r>
      <w:r w:rsidR="001432D0">
        <w:rPr>
          <w:rFonts w:eastAsia="Times New Roman" w:cs="Arial"/>
          <w:color w:val="000000"/>
          <w:lang w:val="en-US" w:eastAsia="nl-NL"/>
        </w:rPr>
        <w:t xml:space="preserve">support declined at a rate of 23%. These combined effects create concerns about the future of renewable </w:t>
      </w:r>
      <w:r w:rsidR="007E65FC">
        <w:rPr>
          <w:rFonts w:eastAsia="Times New Roman" w:cs="Arial"/>
          <w:color w:val="000000"/>
          <w:lang w:val="en-US" w:eastAsia="nl-NL"/>
        </w:rPr>
        <w:t>energy supply</w:t>
      </w:r>
      <w:r w:rsidR="001432D0">
        <w:rPr>
          <w:rFonts w:eastAsia="Times New Roman" w:cs="Arial"/>
          <w:color w:val="000000"/>
          <w:lang w:val="en-US" w:eastAsia="nl-NL"/>
        </w:rPr>
        <w:t>.</w:t>
      </w:r>
      <w:r w:rsidR="008E7C6E">
        <w:rPr>
          <w:rFonts w:eastAsia="Times New Roman" w:cs="Arial"/>
          <w:color w:val="000000"/>
          <w:lang w:val="en-US" w:eastAsia="nl-NL"/>
        </w:rPr>
        <w:t xml:space="preserve"> </w:t>
      </w:r>
    </w:p>
    <w:p w14:paraId="52BF3C83" w14:textId="4638A05E" w:rsidR="00812908" w:rsidRPr="00FB57DF" w:rsidRDefault="00FB57DF" w:rsidP="00812908">
      <w:pPr>
        <w:rPr>
          <w:rFonts w:eastAsia="Times New Roman" w:cs="Arial"/>
          <w:color w:val="000000"/>
          <w:lang w:val="en-US" w:eastAsia="nl-NL"/>
        </w:rPr>
      </w:pPr>
      <w:r>
        <w:rPr>
          <w:rFonts w:eastAsia="Times New Roman" w:cs="Arial"/>
          <w:color w:val="000000"/>
          <w:lang w:val="en-US" w:eastAsia="nl-NL"/>
        </w:rPr>
        <w:t>Electricity market liberalization is associated with increased entry in the product market</w:t>
      </w:r>
      <w:sdt>
        <w:sdtPr>
          <w:rPr>
            <w:rFonts w:eastAsia="Times New Roman" w:cs="Arial"/>
            <w:color w:val="000000"/>
            <w:lang w:val="en-US" w:eastAsia="nl-NL"/>
          </w:rPr>
          <w:id w:val="1705132062"/>
          <w:citation/>
        </w:sdtPr>
        <w:sdtEndPr/>
        <w:sdtContent>
          <w:r w:rsidR="00E46988">
            <w:rPr>
              <w:rFonts w:eastAsia="Times New Roman" w:cs="Arial"/>
              <w:color w:val="000000"/>
              <w:lang w:val="en-US" w:eastAsia="nl-NL"/>
            </w:rPr>
            <w:fldChar w:fldCharType="begin"/>
          </w:r>
          <w:r w:rsidR="00E46988" w:rsidRPr="00E46988">
            <w:rPr>
              <w:rFonts w:eastAsia="Times New Roman" w:cs="Arial"/>
              <w:color w:val="000000"/>
              <w:lang w:val="en-US" w:eastAsia="nl-NL"/>
            </w:rPr>
            <w:instrText xml:space="preserve"> CITATION Jos08 \l 1043 </w:instrText>
          </w:r>
          <w:r w:rsidR="00E46988">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(Joskow, 2008)</w:t>
          </w:r>
          <w:r w:rsidR="00E46988">
            <w:rPr>
              <w:rFonts w:eastAsia="Times New Roman" w:cs="Arial"/>
              <w:color w:val="000000"/>
              <w:lang w:val="en-US" w:eastAsia="nl-NL"/>
            </w:rPr>
            <w:fldChar w:fldCharType="end"/>
          </w:r>
        </w:sdtContent>
      </w:sdt>
      <w:r>
        <w:rPr>
          <w:rFonts w:eastAsia="Times New Roman" w:cs="Arial"/>
          <w:color w:val="000000"/>
          <w:lang w:val="en-US" w:eastAsia="nl-NL"/>
        </w:rPr>
        <w:t xml:space="preserve">. </w:t>
      </w:r>
      <w:r w:rsidR="00812908">
        <w:rPr>
          <w:lang w:val="en-US"/>
        </w:rPr>
        <w:t>Geroski (1995) summarized what empirically-minded economists know about entry</w:t>
      </w:r>
      <w:r w:rsidR="00092B35">
        <w:rPr>
          <w:lang w:val="en-US"/>
        </w:rPr>
        <w:t xml:space="preserve"> in general</w:t>
      </w:r>
      <w:r w:rsidR="00812908">
        <w:rPr>
          <w:lang w:val="en-US"/>
        </w:rPr>
        <w:t xml:space="preserve">. His literature review results in a list of stylized facts about entry. Entry barriers are high, high rates of entry are often associated with high rate of innovation and increases of efficiency. </w:t>
      </w:r>
      <w:r w:rsidR="00812908">
        <w:rPr>
          <w:rFonts w:eastAsia="Times New Roman" w:cs="Arial"/>
          <w:color w:val="000000"/>
          <w:lang w:val="en-US" w:eastAsia="nl-NL"/>
        </w:rPr>
        <w:t>Entry in newly deregulated industries encourages incumbents to drastically cut slack from their operations</w:t>
      </w:r>
      <w:r w:rsidR="00812908" w:rsidRPr="00081E94">
        <w:rPr>
          <w:i/>
          <w:lang w:val="en-US"/>
        </w:rPr>
        <w:t xml:space="preserve"> </w:t>
      </w:r>
      <w:sdt>
        <w:sdtPr>
          <w:rPr>
            <w:i/>
            <w:lang w:val="en-US"/>
          </w:rPr>
          <w:id w:val="-869531896"/>
          <w:citation/>
        </w:sdtPr>
        <w:sdtEndPr/>
        <w:sdtContent>
          <w:r w:rsidR="00812908" w:rsidRPr="00763647">
            <w:rPr>
              <w:i/>
              <w:lang w:val="en-US"/>
            </w:rPr>
            <w:fldChar w:fldCharType="begin"/>
          </w:r>
          <w:r w:rsidR="00812908" w:rsidRPr="00763647">
            <w:rPr>
              <w:rFonts w:eastAsia="Times New Roman" w:cs="Arial"/>
              <w:i/>
              <w:color w:val="000000"/>
              <w:lang w:val="en-US" w:eastAsia="nl-NL"/>
            </w:rPr>
            <w:instrText xml:space="preserve"> CITATION Ger95 \l 1043 </w:instrText>
          </w:r>
          <w:r w:rsidR="00812908" w:rsidRPr="00763647">
            <w:rPr>
              <w:i/>
              <w:lang w:val="en-US"/>
            </w:rPr>
            <w:fldChar w:fldCharType="separate"/>
          </w:r>
          <w:r w:rsidR="00B24268" w:rsidRPr="00B24268">
            <w:rPr>
              <w:rFonts w:eastAsia="Times New Roman" w:cs="Arial"/>
              <w:noProof/>
              <w:color w:val="000000"/>
              <w:lang w:val="en-US" w:eastAsia="nl-NL"/>
            </w:rPr>
            <w:t>(Geroski, 1995)</w:t>
          </w:r>
          <w:r w:rsidR="00812908" w:rsidRPr="00763647">
            <w:rPr>
              <w:i/>
              <w:lang w:val="en-US"/>
            </w:rPr>
            <w:fldChar w:fldCharType="end"/>
          </w:r>
        </w:sdtContent>
      </w:sdt>
      <w:r w:rsidR="00812908">
        <w:rPr>
          <w:rFonts w:eastAsia="Times New Roman" w:cs="Arial"/>
          <w:color w:val="000000"/>
          <w:lang w:val="en-US" w:eastAsia="nl-NL"/>
        </w:rPr>
        <w:t>.</w:t>
      </w:r>
    </w:p>
    <w:p w14:paraId="0D814C87" w14:textId="77777777" w:rsidR="00FB57DF" w:rsidRDefault="00FB57DF" w:rsidP="00FB57DF">
      <w:pPr>
        <w:rPr>
          <w:rFonts w:eastAsia="Times New Roman" w:cs="Arial"/>
          <w:color w:val="000000"/>
          <w:lang w:val="en-US" w:eastAsia="nl-NL"/>
        </w:rPr>
      </w:pPr>
      <w:r>
        <w:rPr>
          <w:lang w:val="en-US"/>
        </w:rPr>
        <w:t xml:space="preserve">The following section will describe how the effects of liberalization on innovation are heterogeneously for firms, industries and markets. Aghion et al (2009) investigate the effect of entry on incumbent innovation incentives and productivity. They analyze UK data of several industries on innovation (patenting) and entry. </w:t>
      </w:r>
      <w:r>
        <w:rPr>
          <w:rFonts w:eastAsia="Times New Roman" w:cs="Arial"/>
          <w:color w:val="000000"/>
          <w:lang w:val="en-US" w:eastAsia="nl-NL"/>
        </w:rPr>
        <w:t>They find a positive effect of entry on incumbent innovation for firms close to the technology frontier, and a negative effect for firms far from the technology frontier</w:t>
      </w:r>
      <w:r w:rsidRPr="00081E94">
        <w:rPr>
          <w:i/>
          <w:lang w:val="en-US"/>
        </w:rPr>
        <w:t xml:space="preserve"> </w:t>
      </w:r>
      <w:sdt>
        <w:sdtPr>
          <w:rPr>
            <w:i/>
            <w:lang w:val="en-US"/>
          </w:rPr>
          <w:id w:val="72245656"/>
          <w:citation/>
        </w:sdtPr>
        <w:sdtEndPr/>
        <w:sdtContent>
          <w:r w:rsidRPr="00763647">
            <w:rPr>
              <w:i/>
              <w:lang w:val="en-US"/>
            </w:rPr>
            <w:fldChar w:fldCharType="begin"/>
          </w:r>
          <w:r w:rsidRPr="00763647">
            <w:rPr>
              <w:i/>
              <w:lang w:val="en-US"/>
            </w:rPr>
            <w:instrText xml:space="preserve"> CITATION Agh09 \l 1043 </w:instrText>
          </w:r>
          <w:r w:rsidRPr="00763647">
            <w:rPr>
              <w:i/>
              <w:lang w:val="en-US"/>
            </w:rPr>
            <w:fldChar w:fldCharType="separate"/>
          </w:r>
          <w:r w:rsidR="00B24268" w:rsidRPr="00B24268">
            <w:rPr>
              <w:noProof/>
              <w:lang w:val="en-US"/>
            </w:rPr>
            <w:t>(Aghion, Blundell, Griffith, Howitt, &amp; Prantl, 2009)</w:t>
          </w:r>
          <w:r w:rsidRPr="00763647">
            <w:rPr>
              <w:i/>
              <w:lang w:val="en-US"/>
            </w:rPr>
            <w:fldChar w:fldCharType="end"/>
          </w:r>
        </w:sdtContent>
      </w:sdt>
    </w:p>
    <w:p w14:paraId="34618FD7" w14:textId="77777777" w:rsidR="008E7C6E" w:rsidRDefault="008E7C6E" w:rsidP="00FB57DF">
      <w:pPr>
        <w:rPr>
          <w:lang w:val="en-US"/>
        </w:rPr>
      </w:pPr>
      <w:r>
        <w:rPr>
          <w:lang w:val="en-US"/>
        </w:rPr>
        <w:t xml:space="preserve">We know that firms respond heterogeneously to changes in their environment regarding patenting. A firm is more likely to apply for patents if it is larger, has more innovation output (e.g. sales </w:t>
      </w:r>
      <w:r>
        <w:rPr>
          <w:lang w:val="en-US"/>
        </w:rPr>
        <w:lastRenderedPageBreak/>
        <w:t>of innovative products), has more R&amp;D collaboration agreements and operates in a high technology sector. Smaller firms have a smaller probability to patent due to patent cost and lack of information about the possibilities of the patent system</w:t>
      </w:r>
      <w:r w:rsidRPr="00081E94">
        <w:rPr>
          <w:i/>
          <w:lang w:val="en-US"/>
        </w:rPr>
        <w:t xml:space="preserve"> </w:t>
      </w:r>
      <w:sdt>
        <w:sdtPr>
          <w:rPr>
            <w:i/>
            <w:lang w:val="en-US"/>
          </w:rPr>
          <w:id w:val="1569380222"/>
          <w:citation/>
        </w:sdtPr>
        <w:sdtEndPr/>
        <w:sdtContent>
          <w:r w:rsidRPr="00763647">
            <w:rPr>
              <w:i/>
              <w:lang w:val="en-US"/>
            </w:rPr>
            <w:fldChar w:fldCharType="begin"/>
          </w:r>
          <w:r w:rsidRPr="00763647">
            <w:rPr>
              <w:i/>
              <w:lang w:val="en-US"/>
            </w:rPr>
            <w:instrText xml:space="preserve"> CITATION Bro99 \l 1043 </w:instrText>
          </w:r>
          <w:r w:rsidRPr="00763647">
            <w:rPr>
              <w:i/>
              <w:lang w:val="en-US"/>
            </w:rPr>
            <w:fldChar w:fldCharType="separate"/>
          </w:r>
          <w:r w:rsidR="00B24268" w:rsidRPr="00B24268">
            <w:rPr>
              <w:noProof/>
              <w:lang w:val="en-US"/>
            </w:rPr>
            <w:t>(Brouwer &amp; Kleinknecht, 1999)</w:t>
          </w:r>
          <w:r w:rsidRPr="00763647">
            <w:rPr>
              <w:i/>
              <w:lang w:val="en-US"/>
            </w:rPr>
            <w:fldChar w:fldCharType="end"/>
          </w:r>
        </w:sdtContent>
      </w:sdt>
      <w:r>
        <w:rPr>
          <w:lang w:val="en-US"/>
        </w:rPr>
        <w:t xml:space="preserve">. </w:t>
      </w:r>
    </w:p>
    <w:p w14:paraId="1DD7F8CF" w14:textId="77777777" w:rsidR="008E7C6E" w:rsidRDefault="008E7C6E" w:rsidP="008E7C6E">
      <w:pPr>
        <w:rPr>
          <w:lang w:val="en-US"/>
        </w:rPr>
      </w:pPr>
      <w:r>
        <w:rPr>
          <w:lang w:val="en-US"/>
        </w:rPr>
        <w:t xml:space="preserve">Large firms have an innovative advantage in industries which are capital-intensive, concentrated and advertising-intensive. Small firms tend to have an advantage in early stages of the life cycle, where the industry is innovative-intensive, where total innovation and the use of skilled labor play a large role </w:t>
      </w:r>
      <w:sdt>
        <w:sdtPr>
          <w:rPr>
            <w:lang w:val="en-US"/>
          </w:rPr>
          <w:id w:val="1198502506"/>
          <w:citation/>
        </w:sdtPr>
        <w:sdtEndPr/>
        <w:sdtContent>
          <w:r>
            <w:rPr>
              <w:lang w:val="en-US"/>
            </w:rPr>
            <w:fldChar w:fldCharType="begin"/>
          </w:r>
          <w:r w:rsidRPr="00E91479">
            <w:rPr>
              <w:lang w:val="en-US"/>
            </w:rPr>
            <w:instrText xml:space="preserve"> CITATION Acs87 \l 1043 </w:instrText>
          </w:r>
          <w:r>
            <w:rPr>
              <w:lang w:val="en-US"/>
            </w:rPr>
            <w:fldChar w:fldCharType="separate"/>
          </w:r>
          <w:r w:rsidR="00B24268" w:rsidRPr="00B24268">
            <w:rPr>
              <w:noProof/>
              <w:lang w:val="en-US"/>
            </w:rPr>
            <w:t>(Acs &amp; Audretsch, 1987)</w:t>
          </w:r>
          <w:r>
            <w:rPr>
              <w:lang w:val="en-US"/>
            </w:rPr>
            <w:fldChar w:fldCharType="end"/>
          </w:r>
        </w:sdtContent>
      </w:sdt>
      <w:r>
        <w:rPr>
          <w:lang w:val="en-US"/>
        </w:rPr>
        <w:t xml:space="preserve">. </w:t>
      </w:r>
    </w:p>
    <w:p w14:paraId="1CDF71F1" w14:textId="48B7D08A" w:rsidR="004D6C45" w:rsidRDefault="00EE7C16" w:rsidP="008E7C6E">
      <w:pPr>
        <w:rPr>
          <w:lang w:val="en-US"/>
        </w:rPr>
      </w:pPr>
      <w:r>
        <w:rPr>
          <w:lang w:val="en-US"/>
        </w:rPr>
        <w:t xml:space="preserve">To summarize, the literature identifies a market failure in basic R&amp;D, a switch from long-term (and in particular </w:t>
      </w:r>
      <w:r>
        <w:rPr>
          <w:rFonts w:eastAsia="Times New Roman" w:cs="Arial"/>
          <w:color w:val="000000"/>
          <w:lang w:val="en-US" w:eastAsia="nl-NL"/>
        </w:rPr>
        <w:t>cleaner, environmentally preferred energy supply R&amp;D) to more customer-oriented product- and organizational innovations.</w:t>
      </w:r>
    </w:p>
    <w:p w14:paraId="339D414B" w14:textId="77777777" w:rsidR="00E27261" w:rsidRDefault="00E27261" w:rsidP="008E7C6E">
      <w:pPr>
        <w:rPr>
          <w:lang w:val="en-US"/>
        </w:rPr>
      </w:pPr>
    </w:p>
    <w:p w14:paraId="046DA37C" w14:textId="77777777" w:rsidR="00F122C1" w:rsidRDefault="00993E3E" w:rsidP="00F122C1">
      <w:pPr>
        <w:pStyle w:val="Heading2"/>
        <w:rPr>
          <w:lang w:val="en-US" w:eastAsia="nl-NL"/>
        </w:rPr>
      </w:pPr>
      <w:bookmarkStart w:id="39" w:name="_Toc426898399"/>
      <w:bookmarkStart w:id="40" w:name="_Toc427657279"/>
      <w:r>
        <w:rPr>
          <w:lang w:val="en-US" w:eastAsia="nl-NL"/>
        </w:rPr>
        <w:t>Niche</w:t>
      </w:r>
      <w:bookmarkEnd w:id="39"/>
      <w:bookmarkEnd w:id="40"/>
    </w:p>
    <w:p w14:paraId="7D2577F4" w14:textId="77777777" w:rsidR="0008743A" w:rsidRPr="00B95511" w:rsidRDefault="00B95511" w:rsidP="00B95511">
      <w:pPr>
        <w:rPr>
          <w:lang w:val="en-US" w:eastAsia="nl-NL"/>
        </w:rPr>
      </w:pPr>
      <w:r>
        <w:rPr>
          <w:lang w:val="en-US" w:eastAsia="nl-NL"/>
        </w:rPr>
        <w:t xml:space="preserve">The results from previous work mentioned above do not answer a very relevant, under-exposed aspect of electricity market liberalization: the effect on renewable electricity innovation. </w:t>
      </w:r>
    </w:p>
    <w:p w14:paraId="2177B66A" w14:textId="77777777" w:rsidR="00F122C1" w:rsidRDefault="00F122C1" w:rsidP="00F122C1">
      <w:pPr>
        <w:pStyle w:val="Heading2"/>
        <w:rPr>
          <w:lang w:val="en-US" w:eastAsia="nl-NL"/>
        </w:rPr>
      </w:pPr>
      <w:bookmarkStart w:id="41" w:name="_Toc424733291"/>
      <w:bookmarkStart w:id="42" w:name="_Toc426898400"/>
      <w:bookmarkStart w:id="43" w:name="_Toc427657280"/>
      <w:r>
        <w:rPr>
          <w:lang w:val="en-US" w:eastAsia="nl-NL"/>
        </w:rPr>
        <w:t>Hypotheses</w:t>
      </w:r>
      <w:bookmarkEnd w:id="41"/>
      <w:bookmarkEnd w:id="42"/>
      <w:bookmarkEnd w:id="43"/>
    </w:p>
    <w:p w14:paraId="089DD435" w14:textId="77777777" w:rsidR="004B5125" w:rsidRPr="004E1F34" w:rsidRDefault="004B5125" w:rsidP="004B5125">
      <w:pPr>
        <w:rPr>
          <w:lang w:val="en-US"/>
        </w:rPr>
      </w:pPr>
      <w:r>
        <w:rPr>
          <w:lang w:val="en-US"/>
        </w:rPr>
        <w:t xml:space="preserve">CCGT (combined cycle gas turbine, a very efficient generator for electricity </w:t>
      </w:r>
      <w:r>
        <w:rPr>
          <w:i/>
          <w:lang w:val="en-US"/>
        </w:rPr>
        <w:t>and</w:t>
      </w:r>
      <w:r>
        <w:rPr>
          <w:lang w:val="en-US"/>
        </w:rPr>
        <w:t xml:space="preserve"> heat) was invented for the use in planes. Larger versions became more and more efficient in generating electricity. Such cross-industry innovation or knowledge-spillover is more productive (in terms of sales from innovative products) and more prevalent if a market has lower entry barriers </w:t>
      </w:r>
      <w:sdt>
        <w:sdtPr>
          <w:rPr>
            <w:lang w:val="en-US"/>
          </w:rPr>
          <w:id w:val="1893458149"/>
          <w:citation/>
        </w:sdtPr>
        <w:sdtEndPr/>
        <w:sdtContent>
          <w:r>
            <w:rPr>
              <w:lang w:val="en-US"/>
            </w:rPr>
            <w:fldChar w:fldCharType="begin"/>
          </w:r>
          <w:r w:rsidRPr="00A53557">
            <w:rPr>
              <w:lang w:val="en-US"/>
            </w:rPr>
            <w:instrText xml:space="preserve"> CITATION She97 \l 1043 </w:instrText>
          </w:r>
          <w:r>
            <w:rPr>
              <w:lang w:val="en-US"/>
            </w:rPr>
            <w:fldChar w:fldCharType="separate"/>
          </w:r>
          <w:r w:rsidR="00B24268" w:rsidRPr="00B24268">
            <w:rPr>
              <w:noProof/>
              <w:lang w:val="en-US"/>
            </w:rPr>
            <w:t>(Sheremata, 1997)</w:t>
          </w:r>
          <w:r>
            <w:rPr>
              <w:lang w:val="en-US"/>
            </w:rPr>
            <w:fldChar w:fldCharType="end"/>
          </w:r>
        </w:sdtContent>
      </w:sdt>
      <w:r>
        <w:rPr>
          <w:lang w:val="en-US"/>
        </w:rPr>
        <w:t xml:space="preserve">. The liberalization of the electricity sector opened up the possibility of </w:t>
      </w:r>
      <w:r w:rsidRPr="004E1F34">
        <w:rPr>
          <w:lang w:val="en-US"/>
        </w:rPr>
        <w:t xml:space="preserve">entry. Lower entry barriers to the electricity market are therefore also likely to lower entry barriers for renewable electricity innovation. </w:t>
      </w:r>
      <w:r w:rsidR="00D733C8">
        <w:rPr>
          <w:lang w:val="en-US"/>
        </w:rPr>
        <w:t>Electricity market liberalization is therefore likely to be associated with more entry in the renewable electricity innovation process.</w:t>
      </w:r>
    </w:p>
    <w:p w14:paraId="29E2A49C" w14:textId="77777777" w:rsidR="00490FAE" w:rsidRDefault="00685B42" w:rsidP="00490FAE">
      <w:pPr>
        <w:rPr>
          <w:lang w:val="en-US"/>
        </w:rPr>
      </w:pPr>
      <w:r>
        <w:rPr>
          <w:lang w:val="en-US"/>
        </w:rPr>
        <w:lastRenderedPageBreak/>
        <w:t>At the same time, Dooley (1998) states that in particular long term, environmentally preferred energy supply R&amp;D is unlikely to be conducted by individual firms in competitive markets. R&amp;D activity can be recognized as an innovative activity</w:t>
      </w:r>
      <w:sdt>
        <w:sdtPr>
          <w:rPr>
            <w:lang w:val="en-US"/>
          </w:rPr>
          <w:id w:val="-882712234"/>
          <w:citation/>
        </w:sdtPr>
        <w:sdtEndPr/>
        <w:sdtContent>
          <w:r>
            <w:rPr>
              <w:lang w:val="en-US"/>
            </w:rPr>
            <w:fldChar w:fldCharType="begin"/>
          </w:r>
          <w:r>
            <w:rPr>
              <w:lang w:val="en-US"/>
            </w:rPr>
            <w:instrText xml:space="preserve"> CITATION Pav82 \l 1033 </w:instrText>
          </w:r>
          <w:r>
            <w:rPr>
              <w:lang w:val="en-US"/>
            </w:rPr>
            <w:fldChar w:fldCharType="separate"/>
          </w:r>
          <w:r w:rsidR="00B24268">
            <w:rPr>
              <w:noProof/>
              <w:lang w:val="en-US"/>
            </w:rPr>
            <w:t xml:space="preserve"> (Pavitt, 1982)</w:t>
          </w:r>
          <w:r>
            <w:rPr>
              <w:lang w:val="en-US"/>
            </w:rPr>
            <w:fldChar w:fldCharType="end"/>
          </w:r>
        </w:sdtContent>
      </w:sdt>
      <w:r>
        <w:rPr>
          <w:lang w:val="en-US"/>
        </w:rPr>
        <w:t xml:space="preserve">. </w:t>
      </w:r>
      <w:r w:rsidR="00D733C8">
        <w:rPr>
          <w:lang w:val="en-US"/>
        </w:rPr>
        <w:t xml:space="preserve">This links R&amp;D to the renewable electricity innovation process. </w:t>
      </w:r>
      <w:r>
        <w:rPr>
          <w:lang w:val="en-US"/>
        </w:rPr>
        <w:t xml:space="preserve">The </w:t>
      </w:r>
      <w:r w:rsidR="00A16F65">
        <w:rPr>
          <w:lang w:val="en-US"/>
        </w:rPr>
        <w:t>electricity market</w:t>
      </w:r>
      <w:r>
        <w:rPr>
          <w:lang w:val="en-US"/>
        </w:rPr>
        <w:t xml:space="preserve"> </w:t>
      </w:r>
      <w:r w:rsidR="00D733C8">
        <w:rPr>
          <w:lang w:val="en-US"/>
        </w:rPr>
        <w:t>liberalization</w:t>
      </w:r>
      <w:r>
        <w:rPr>
          <w:lang w:val="en-US"/>
        </w:rPr>
        <w:t xml:space="preserve"> </w:t>
      </w:r>
      <w:r w:rsidR="00BC354C">
        <w:rPr>
          <w:lang w:val="en-US"/>
        </w:rPr>
        <w:t>increased competition</w:t>
      </w:r>
      <w:sdt>
        <w:sdtPr>
          <w:rPr>
            <w:lang w:val="en-US"/>
          </w:rPr>
          <w:id w:val="-1579820167"/>
          <w:citation/>
        </w:sdtPr>
        <w:sdtEndPr/>
        <w:sdtContent>
          <w:r w:rsidR="00BC354C">
            <w:rPr>
              <w:lang w:val="en-US"/>
            </w:rPr>
            <w:fldChar w:fldCharType="begin"/>
          </w:r>
          <w:r w:rsidR="00BC354C">
            <w:rPr>
              <w:lang w:val="en-US"/>
            </w:rPr>
            <w:instrText xml:space="preserve">CITATION Jam05 \t  \l 1033 </w:instrText>
          </w:r>
          <w:r w:rsidR="00BC354C">
            <w:rPr>
              <w:lang w:val="en-US"/>
            </w:rPr>
            <w:fldChar w:fldCharType="separate"/>
          </w:r>
          <w:r w:rsidR="00B24268">
            <w:rPr>
              <w:noProof/>
              <w:lang w:val="en-US"/>
            </w:rPr>
            <w:t xml:space="preserve"> (Jamesb &amp; Pollitt, 2005)</w:t>
          </w:r>
          <w:r w:rsidR="00BC354C">
            <w:rPr>
              <w:lang w:val="en-US"/>
            </w:rPr>
            <w:fldChar w:fldCharType="end"/>
          </w:r>
        </w:sdtContent>
      </w:sdt>
      <w:r>
        <w:rPr>
          <w:lang w:val="en-US"/>
        </w:rPr>
        <w:t xml:space="preserve">. </w:t>
      </w:r>
      <w:r w:rsidR="00BC354C">
        <w:rPr>
          <w:lang w:val="en-US"/>
        </w:rPr>
        <w:t xml:space="preserve">Hence, </w:t>
      </w:r>
      <w:r w:rsidR="00D733C8">
        <w:rPr>
          <w:lang w:val="en-US"/>
        </w:rPr>
        <w:t>electricity market liberalization is unlikely to be associated with more entry in the renewable electricity innovation process. The first hypothesis aims to test these conflicting theories:</w:t>
      </w:r>
    </w:p>
    <w:p w14:paraId="76D1C6B7" w14:textId="77777777" w:rsidR="00D733C8" w:rsidRDefault="00D733C8" w:rsidP="00D733C8">
      <w:pPr>
        <w:ind w:left="705"/>
        <w:rPr>
          <w:lang w:val="en-US"/>
        </w:rPr>
      </w:pPr>
      <w:r>
        <w:rPr>
          <w:lang w:val="en-US"/>
        </w:rPr>
        <w:t>Hypothesis 1</w:t>
      </w:r>
      <w:r w:rsidR="009E340F">
        <w:rPr>
          <w:lang w:val="en-US"/>
        </w:rPr>
        <w:t>a</w:t>
      </w:r>
      <w:r>
        <w:rPr>
          <w:lang w:val="en-US"/>
        </w:rPr>
        <w:t xml:space="preserve">: Electricity market liberalization is associated with </w:t>
      </w:r>
      <w:r w:rsidRPr="00092B35">
        <w:rPr>
          <w:u w:val="single"/>
          <w:lang w:val="en-US"/>
        </w:rPr>
        <w:t>more</w:t>
      </w:r>
      <w:r>
        <w:rPr>
          <w:lang w:val="en-US"/>
        </w:rPr>
        <w:t xml:space="preserve"> entry in the renewable electricity innovation process.</w:t>
      </w:r>
    </w:p>
    <w:p w14:paraId="68C156B6" w14:textId="77777777" w:rsidR="009E340F" w:rsidRDefault="009E340F" w:rsidP="009E340F">
      <w:pPr>
        <w:ind w:left="705"/>
        <w:rPr>
          <w:lang w:val="en-US"/>
        </w:rPr>
      </w:pPr>
      <w:r>
        <w:rPr>
          <w:lang w:val="en-US"/>
        </w:rPr>
        <w:t xml:space="preserve">Hypothesis 1b: Electricity market liberalization is associated with </w:t>
      </w:r>
      <w:r w:rsidRPr="00092B35">
        <w:rPr>
          <w:u w:val="single"/>
          <w:lang w:val="en-US"/>
        </w:rPr>
        <w:t>less</w:t>
      </w:r>
      <w:r>
        <w:rPr>
          <w:lang w:val="en-US"/>
        </w:rPr>
        <w:t xml:space="preserve"> entry in the renewable electricity innovation process.</w:t>
      </w:r>
    </w:p>
    <w:p w14:paraId="149AC6D1" w14:textId="77777777" w:rsidR="001D5196" w:rsidRDefault="004B5125" w:rsidP="001D5196">
      <w:pPr>
        <w:rPr>
          <w:rFonts w:eastAsia="Times New Roman" w:cs="Arial"/>
          <w:color w:val="000000"/>
          <w:lang w:val="en-US" w:eastAsia="nl-NL"/>
        </w:rPr>
      </w:pPr>
      <w:r w:rsidRPr="004E1F34">
        <w:rPr>
          <w:rFonts w:eastAsia="Times New Roman" w:cs="Arial"/>
          <w:color w:val="000000"/>
          <w:lang w:val="en-US" w:eastAsia="nl-NL"/>
        </w:rPr>
        <w:t xml:space="preserve">The association between electricity market liberalization and innovation can be further studied by looking at the development of the </w:t>
      </w:r>
      <w:r w:rsidR="00294717">
        <w:rPr>
          <w:rFonts w:eastAsia="Times New Roman" w:cs="Arial"/>
          <w:color w:val="000000"/>
          <w:lang w:val="en-US" w:eastAsia="nl-NL"/>
        </w:rPr>
        <w:t xml:space="preserve">quantity and </w:t>
      </w:r>
      <w:r w:rsidRPr="004E1F34">
        <w:rPr>
          <w:rFonts w:eastAsia="Times New Roman" w:cs="Arial"/>
          <w:color w:val="000000"/>
          <w:lang w:val="en-US" w:eastAsia="nl-NL"/>
        </w:rPr>
        <w:t xml:space="preserve">quality of innovative output. </w:t>
      </w:r>
      <w:r w:rsidR="00E51785">
        <w:rPr>
          <w:rFonts w:eastAsia="Times New Roman" w:cs="Arial"/>
          <w:color w:val="000000"/>
          <w:lang w:val="en-US" w:eastAsia="nl-NL"/>
        </w:rPr>
        <w:t xml:space="preserve">Innovative output is a measure of innovation, and therefore useful to study innovation. </w:t>
      </w:r>
      <w:r w:rsidR="00294717">
        <w:rPr>
          <w:rFonts w:eastAsia="Times New Roman" w:cs="Arial"/>
          <w:color w:val="000000"/>
          <w:lang w:val="en-US" w:eastAsia="nl-NL"/>
        </w:rPr>
        <w:t>A three-step argumentation links electricity market liberalization to quality of innovative output. First, patents can be seen as a measure of innovative output</w:t>
      </w:r>
      <w:sdt>
        <w:sdtPr>
          <w:rPr>
            <w:rFonts w:eastAsia="Times New Roman" w:cs="Arial"/>
            <w:color w:val="000000"/>
            <w:lang w:val="en-US" w:eastAsia="nl-NL"/>
          </w:rPr>
          <w:id w:val="585042949"/>
          <w:citation/>
        </w:sdtPr>
        <w:sdtEndPr/>
        <w:sdtContent>
          <w:r w:rsidR="00294717">
            <w:rPr>
              <w:rFonts w:eastAsia="Times New Roman" w:cs="Arial"/>
              <w:color w:val="000000"/>
              <w:lang w:val="en-US" w:eastAsia="nl-NL"/>
            </w:rPr>
            <w:fldChar w:fldCharType="begin"/>
          </w:r>
          <w:r w:rsidR="00294717">
            <w:rPr>
              <w:rFonts w:eastAsia="Times New Roman" w:cs="Arial"/>
              <w:color w:val="000000"/>
              <w:lang w:val="en-US" w:eastAsia="nl-NL"/>
            </w:rPr>
            <w:instrText xml:space="preserve"> CITATION Bro99 \l 1033 </w:instrText>
          </w:r>
          <w:r w:rsidR="00294717">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(Brouwer &amp; Kleinknecht, 1999)</w:t>
          </w:r>
          <w:r w:rsidR="00294717">
            <w:rPr>
              <w:rFonts w:eastAsia="Times New Roman" w:cs="Arial"/>
              <w:color w:val="000000"/>
              <w:lang w:val="en-US" w:eastAsia="nl-NL"/>
            </w:rPr>
            <w:fldChar w:fldCharType="end"/>
          </w:r>
        </w:sdtContent>
      </w:sdt>
      <w:r w:rsidR="00294717">
        <w:rPr>
          <w:rFonts w:eastAsia="Times New Roman" w:cs="Arial"/>
          <w:color w:val="000000"/>
          <w:lang w:val="en-US" w:eastAsia="nl-NL"/>
        </w:rPr>
        <w:t xml:space="preserve">. </w:t>
      </w:r>
      <w:r w:rsidR="001D5196">
        <w:rPr>
          <w:rFonts w:eastAsia="Times New Roman" w:cs="Arial"/>
          <w:color w:val="000000"/>
          <w:lang w:val="en-US" w:eastAsia="nl-NL"/>
        </w:rPr>
        <w:t>Patents vary enormously in their technological and economic importance, and the distribution of such “values” is extremely skewed</w:t>
      </w:r>
      <w:sdt>
        <w:sdtPr>
          <w:rPr>
            <w:rFonts w:eastAsia="Times New Roman" w:cs="Arial"/>
            <w:color w:val="000000"/>
            <w:lang w:val="en-US" w:eastAsia="nl-NL"/>
          </w:rPr>
          <w:id w:val="-301543125"/>
          <w:citation/>
        </w:sdtPr>
        <w:sdtEndPr/>
        <w:sdtContent>
          <w:r w:rsidR="001D5196">
            <w:rPr>
              <w:rFonts w:eastAsia="Times New Roman" w:cs="Arial"/>
              <w:color w:val="000000"/>
              <w:lang w:val="en-US" w:eastAsia="nl-NL"/>
            </w:rPr>
            <w:fldChar w:fldCharType="begin"/>
          </w:r>
          <w:r w:rsidR="001D5196">
            <w:rPr>
              <w:rFonts w:eastAsia="Times New Roman" w:cs="Arial"/>
              <w:color w:val="000000"/>
              <w:lang w:val="en-US" w:eastAsia="nl-NL"/>
            </w:rPr>
            <w:instrText xml:space="preserve"> CITATION Hal05 \l 1033 </w:instrText>
          </w:r>
          <w:r w:rsidR="001D5196">
            <w:rPr>
              <w:rFonts w:eastAsia="Times New Roman" w:cs="Arial"/>
              <w:color w:val="000000"/>
              <w:lang w:val="en-US" w:eastAsia="nl-NL"/>
            </w:rPr>
            <w:fldChar w:fldCharType="separate"/>
          </w:r>
          <w:r w:rsidR="00B24268">
            <w:rPr>
              <w:rFonts w:eastAsia="Times New Roman" w:cs="Arial"/>
              <w:noProof/>
              <w:color w:val="000000"/>
              <w:lang w:val="en-US" w:eastAsia="nl-NL"/>
            </w:rPr>
            <w:t xml:space="preserve"> </w:t>
          </w:r>
          <w:r w:rsidR="00B24268" w:rsidRPr="00B24268">
            <w:rPr>
              <w:rFonts w:eastAsia="Times New Roman" w:cs="Arial"/>
              <w:noProof/>
              <w:color w:val="000000"/>
              <w:lang w:val="en-US" w:eastAsia="nl-NL"/>
            </w:rPr>
            <w:t>(Hall, Jaffe, &amp; Trajtenberg, 2005)</w:t>
          </w:r>
          <w:r w:rsidR="001D5196">
            <w:rPr>
              <w:rFonts w:eastAsia="Times New Roman" w:cs="Arial"/>
              <w:color w:val="000000"/>
              <w:lang w:val="en-US" w:eastAsia="nl-NL"/>
            </w:rPr>
            <w:fldChar w:fldCharType="end"/>
          </w:r>
        </w:sdtContent>
      </w:sdt>
      <w:r w:rsidR="001D5196">
        <w:rPr>
          <w:rFonts w:eastAsia="Times New Roman" w:cs="Arial"/>
          <w:color w:val="000000"/>
          <w:lang w:val="en-US" w:eastAsia="nl-NL"/>
        </w:rPr>
        <w:t>. This makes it more important to analyze the value of patents, in order to make conclusions about innovation.</w:t>
      </w:r>
    </w:p>
    <w:p w14:paraId="10C9F20E" w14:textId="77777777" w:rsidR="001D5196" w:rsidRDefault="00294717" w:rsidP="001D5196">
      <w:pPr>
        <w:rPr>
          <w:lang w:val="en-US"/>
        </w:rPr>
      </w:pPr>
      <w:r>
        <w:rPr>
          <w:rFonts w:eastAsia="Times New Roman" w:cs="Arial"/>
          <w:color w:val="000000"/>
          <w:lang w:val="en-US" w:eastAsia="nl-NL"/>
        </w:rPr>
        <w:t xml:space="preserve">Second, a firms’ propensity to patent can be influenced by market structure. </w:t>
      </w:r>
      <w:r w:rsidR="001D5196" w:rsidRPr="004E1F34">
        <w:rPr>
          <w:lang w:val="en-US"/>
        </w:rPr>
        <w:t>Patents were designed to protect innovators from predators to copy their innovation. In practice however, patents can also be used to block or hinder competition. This is an incentive for especially large firms to hoard patents to protect against the risk of getting blocked</w:t>
      </w:r>
      <w:r w:rsidR="00F71214">
        <w:rPr>
          <w:lang w:val="en-US"/>
        </w:rPr>
        <w:t xml:space="preserve"> </w:t>
      </w:r>
      <w:sdt>
        <w:sdtPr>
          <w:rPr>
            <w:lang w:val="en-US"/>
          </w:rPr>
          <w:id w:val="1019198027"/>
          <w:citation/>
        </w:sdtPr>
        <w:sdtEndPr/>
        <w:sdtContent>
          <w:r w:rsidR="00F71214">
            <w:rPr>
              <w:lang w:val="en-US"/>
            </w:rPr>
            <w:fldChar w:fldCharType="begin"/>
          </w:r>
          <w:r w:rsidR="00F71214">
            <w:rPr>
              <w:lang w:val="en-US"/>
            </w:rPr>
            <w:instrText xml:space="preserve"> CITATION Bli06 \l 1033 </w:instrText>
          </w:r>
          <w:r w:rsidR="00F71214">
            <w:rPr>
              <w:lang w:val="en-US"/>
            </w:rPr>
            <w:fldChar w:fldCharType="separate"/>
          </w:r>
          <w:r w:rsidR="00B24268">
            <w:rPr>
              <w:noProof/>
              <w:lang w:val="en-US"/>
            </w:rPr>
            <w:t xml:space="preserve">(Blind, Edler, Frietsch, &amp; Schmoch, </w:t>
          </w:r>
          <w:r w:rsidR="00B24268">
            <w:rPr>
              <w:noProof/>
              <w:lang w:val="en-US"/>
            </w:rPr>
            <w:lastRenderedPageBreak/>
            <w:t>2006)</w:t>
          </w:r>
          <w:r w:rsidR="00F71214">
            <w:rPr>
              <w:lang w:val="en-US"/>
            </w:rPr>
            <w:fldChar w:fldCharType="end"/>
          </w:r>
        </w:sdtContent>
      </w:sdt>
      <w:r w:rsidR="001D5196" w:rsidRPr="004E1F34">
        <w:rPr>
          <w:lang w:val="en-US"/>
        </w:rPr>
        <w:t xml:space="preserve">. </w:t>
      </w:r>
      <w:r w:rsidR="001D5196" w:rsidRPr="001D5196">
        <w:rPr>
          <w:lang w:val="en-US"/>
        </w:rPr>
        <w:t xml:space="preserve"> </w:t>
      </w:r>
      <w:r w:rsidR="001D5196">
        <w:rPr>
          <w:lang w:val="en-US"/>
        </w:rPr>
        <w:t>I</w:t>
      </w:r>
      <w:r w:rsidR="001D5196" w:rsidRPr="004E1F34">
        <w:rPr>
          <w:lang w:val="en-US"/>
        </w:rPr>
        <w:t>f there is no (threat of) competition, there is less rea</w:t>
      </w:r>
      <w:r w:rsidR="001D5196">
        <w:rPr>
          <w:lang w:val="en-US"/>
        </w:rPr>
        <w:t>son to protect your inventions and to hoard patents. C</w:t>
      </w:r>
      <w:r w:rsidR="001D5196" w:rsidRPr="004E1F34">
        <w:rPr>
          <w:lang w:val="en-US"/>
        </w:rPr>
        <w:t>ompetition increases the incentive to hoard patents.</w:t>
      </w:r>
    </w:p>
    <w:p w14:paraId="2E57CA6B" w14:textId="77777777" w:rsidR="001D5196" w:rsidRDefault="001D5196" w:rsidP="001D5196">
      <w:pPr>
        <w:rPr>
          <w:lang w:val="en-US"/>
        </w:rPr>
      </w:pPr>
      <w:r>
        <w:rPr>
          <w:lang w:val="en-US"/>
        </w:rPr>
        <w:t xml:space="preserve">Third, </w:t>
      </w:r>
      <w:r w:rsidR="00FB7559">
        <w:rPr>
          <w:lang w:val="en-US"/>
        </w:rPr>
        <w:t>electricity market liberalization is associated with increased competition</w:t>
      </w:r>
      <w:sdt>
        <w:sdtPr>
          <w:rPr>
            <w:lang w:val="en-US"/>
          </w:rPr>
          <w:id w:val="413127005"/>
          <w:citation/>
        </w:sdtPr>
        <w:sdtEndPr/>
        <w:sdtContent>
          <w:r w:rsidR="00E46988">
            <w:rPr>
              <w:lang w:val="en-US"/>
            </w:rPr>
            <w:fldChar w:fldCharType="begin"/>
          </w:r>
          <w:r w:rsidR="00E46988" w:rsidRPr="00E46988">
            <w:rPr>
              <w:lang w:val="en-US"/>
            </w:rPr>
            <w:instrText xml:space="preserve"> CITATION Jos08 \l 1043 </w:instrText>
          </w:r>
          <w:r w:rsidR="00E46988">
            <w:rPr>
              <w:lang w:val="en-US"/>
            </w:rPr>
            <w:fldChar w:fldCharType="separate"/>
          </w:r>
          <w:r w:rsidR="00B24268">
            <w:rPr>
              <w:noProof/>
              <w:lang w:val="en-US"/>
            </w:rPr>
            <w:t xml:space="preserve"> </w:t>
          </w:r>
          <w:r w:rsidR="00B24268" w:rsidRPr="00B24268">
            <w:rPr>
              <w:noProof/>
              <w:lang w:val="en-US"/>
            </w:rPr>
            <w:t>(Joskow, 2008)</w:t>
          </w:r>
          <w:r w:rsidR="00E46988">
            <w:rPr>
              <w:lang w:val="en-US"/>
            </w:rPr>
            <w:fldChar w:fldCharType="end"/>
          </w:r>
        </w:sdtContent>
      </w:sdt>
      <w:r w:rsidR="00FB7559">
        <w:rPr>
          <w:lang w:val="en-US"/>
        </w:rPr>
        <w:t>. Therefore it is associated with increasing incentives to patent. Since patenting is a measure of innovative output, electricity market liberalization is linked to innovation. It is even possible to argue in which direction this association works. Before liberalization, companies and innovators did already patent some of their innovations. It makes sense to assume that they patented their most valuable inventions in terms of expected returns. If a firm patents more after liberalization, it will patent relatively more innovations with lower expected returns than it did before liberalization. This leads to hypothesis two:</w:t>
      </w:r>
    </w:p>
    <w:p w14:paraId="78FD41B6" w14:textId="77777777" w:rsidR="00FB7559" w:rsidRDefault="00FB7559" w:rsidP="001D5196">
      <w:pPr>
        <w:rPr>
          <w:lang w:val="en-US"/>
        </w:rPr>
      </w:pPr>
      <w:r>
        <w:rPr>
          <w:lang w:val="en-US"/>
        </w:rPr>
        <w:tab/>
      </w:r>
      <w:r w:rsidR="009E340F">
        <w:rPr>
          <w:lang w:val="en-US"/>
        </w:rPr>
        <w:t xml:space="preserve">Hypothesis 2: </w:t>
      </w:r>
      <w:r>
        <w:rPr>
          <w:lang w:val="en-US"/>
        </w:rPr>
        <w:t>Electricity market liberalization is associated with:</w:t>
      </w:r>
    </w:p>
    <w:p w14:paraId="26CED0F7" w14:textId="056D0F51" w:rsidR="00FB7559" w:rsidRDefault="00FB7559" w:rsidP="00FB7559">
      <w:pPr>
        <w:pStyle w:val="ListParagraph"/>
        <w:numPr>
          <w:ilvl w:val="0"/>
          <w:numId w:val="7"/>
        </w:numPr>
        <w:rPr>
          <w:lang w:val="en-US"/>
        </w:rPr>
      </w:pPr>
      <w:r>
        <w:rPr>
          <w:lang w:val="en-US"/>
        </w:rPr>
        <w:t xml:space="preserve">An increase in the quantity of </w:t>
      </w:r>
      <w:r w:rsidR="00092B35">
        <w:rPr>
          <w:lang w:val="en-US"/>
        </w:rPr>
        <w:t xml:space="preserve">renewable electricity </w:t>
      </w:r>
      <w:r>
        <w:rPr>
          <w:lang w:val="en-US"/>
        </w:rPr>
        <w:t>innovative output and</w:t>
      </w:r>
    </w:p>
    <w:p w14:paraId="6733524B" w14:textId="43F14FBF" w:rsidR="00FB7559" w:rsidRDefault="00FB7559" w:rsidP="00FB7559">
      <w:pPr>
        <w:pStyle w:val="ListParagraph"/>
        <w:numPr>
          <w:ilvl w:val="0"/>
          <w:numId w:val="7"/>
        </w:numPr>
        <w:rPr>
          <w:lang w:val="en-US"/>
        </w:rPr>
      </w:pPr>
      <w:r>
        <w:rPr>
          <w:lang w:val="en-US"/>
        </w:rPr>
        <w:t xml:space="preserve">A decrease in the quality of </w:t>
      </w:r>
      <w:r w:rsidR="00092B35">
        <w:rPr>
          <w:lang w:val="en-US"/>
        </w:rPr>
        <w:t xml:space="preserve">renewable electricity </w:t>
      </w:r>
      <w:r>
        <w:rPr>
          <w:lang w:val="en-US"/>
        </w:rPr>
        <w:t>innovative output.</w:t>
      </w:r>
    </w:p>
    <w:p w14:paraId="1C98D184" w14:textId="77777777" w:rsidR="00C333CF" w:rsidRDefault="00C333CF" w:rsidP="00C333CF">
      <w:pPr>
        <w:rPr>
          <w:lang w:val="en-US"/>
        </w:rPr>
      </w:pPr>
    </w:p>
    <w:p w14:paraId="412FEDCE" w14:textId="77777777" w:rsidR="00C333CF" w:rsidRDefault="00C333CF" w:rsidP="00C333CF">
      <w:pPr>
        <w:rPr>
          <w:lang w:val="en-US"/>
        </w:rPr>
      </w:pPr>
    </w:p>
    <w:p w14:paraId="66C2D7BF" w14:textId="77777777" w:rsidR="00C333CF" w:rsidRDefault="00C333CF" w:rsidP="00C333CF">
      <w:pPr>
        <w:rPr>
          <w:lang w:val="en-US"/>
        </w:rPr>
      </w:pPr>
    </w:p>
    <w:p w14:paraId="5BDB980C" w14:textId="77777777" w:rsidR="00C333CF" w:rsidRDefault="00C333CF" w:rsidP="00C333CF">
      <w:pPr>
        <w:rPr>
          <w:lang w:val="en-US"/>
        </w:rPr>
      </w:pPr>
    </w:p>
    <w:p w14:paraId="1264E026" w14:textId="77777777" w:rsidR="00C333CF" w:rsidRDefault="00C333CF" w:rsidP="00C333CF">
      <w:pPr>
        <w:rPr>
          <w:lang w:val="en-US"/>
        </w:rPr>
      </w:pPr>
    </w:p>
    <w:p w14:paraId="42F7D8D6" w14:textId="77777777" w:rsidR="00C333CF" w:rsidRDefault="00C333CF" w:rsidP="00C333CF">
      <w:pPr>
        <w:rPr>
          <w:lang w:val="en-US"/>
        </w:rPr>
      </w:pPr>
    </w:p>
    <w:p w14:paraId="39466B13" w14:textId="77777777" w:rsidR="00C333CF" w:rsidRDefault="00C333CF" w:rsidP="00C333CF">
      <w:pPr>
        <w:rPr>
          <w:lang w:val="en-US"/>
        </w:rPr>
      </w:pPr>
    </w:p>
    <w:p w14:paraId="5D868FDE" w14:textId="77777777" w:rsidR="00C333CF" w:rsidRDefault="00C333CF" w:rsidP="00C333CF">
      <w:pPr>
        <w:rPr>
          <w:lang w:val="en-US"/>
        </w:rPr>
      </w:pPr>
    </w:p>
    <w:p w14:paraId="0E68E6F4" w14:textId="77777777" w:rsidR="00E94AFE" w:rsidRDefault="00E94AFE" w:rsidP="00C333CF">
      <w:pPr>
        <w:rPr>
          <w:lang w:val="en-US"/>
        </w:rPr>
      </w:pPr>
    </w:p>
    <w:p w14:paraId="6970E047" w14:textId="77777777" w:rsidR="00E94AFE" w:rsidRDefault="00E94AFE" w:rsidP="00C333CF">
      <w:pPr>
        <w:rPr>
          <w:lang w:val="en-US"/>
        </w:rPr>
      </w:pPr>
    </w:p>
    <w:p w14:paraId="2A58E221" w14:textId="77777777" w:rsidR="00E94AFE" w:rsidRDefault="00E94AFE" w:rsidP="00C333CF">
      <w:pPr>
        <w:rPr>
          <w:lang w:val="en-US"/>
        </w:rPr>
      </w:pPr>
    </w:p>
    <w:p w14:paraId="36E8FAC9" w14:textId="77777777" w:rsidR="00F122C1" w:rsidRDefault="00AD53B9" w:rsidP="00F122C1">
      <w:pPr>
        <w:pStyle w:val="Heading1"/>
        <w:rPr>
          <w:lang w:val="en-US"/>
        </w:rPr>
      </w:pPr>
      <w:bookmarkStart w:id="44" w:name="_Toc424733292"/>
      <w:bookmarkStart w:id="45" w:name="_Toc426898401"/>
      <w:bookmarkStart w:id="46" w:name="_Toc427657281"/>
      <w:r>
        <w:rPr>
          <w:lang w:val="en-US"/>
        </w:rPr>
        <w:t xml:space="preserve">Chapter two: </w:t>
      </w:r>
      <w:r w:rsidR="00F122C1" w:rsidRPr="00A033C8">
        <w:rPr>
          <w:lang w:val="en-US"/>
        </w:rPr>
        <w:t>Methodology &amp; Data description</w:t>
      </w:r>
      <w:bookmarkEnd w:id="44"/>
      <w:bookmarkEnd w:id="45"/>
      <w:bookmarkEnd w:id="46"/>
    </w:p>
    <w:p w14:paraId="22E9CE4F" w14:textId="01E81F13" w:rsidR="006D24DE" w:rsidRDefault="006D24DE" w:rsidP="006D24DE">
      <w:pPr>
        <w:rPr>
          <w:lang w:val="en-US"/>
        </w:rPr>
      </w:pPr>
      <w:r>
        <w:rPr>
          <w:lang w:val="en-US"/>
        </w:rPr>
        <w:t>T</w:t>
      </w:r>
      <w:r w:rsidR="001E6B64">
        <w:rPr>
          <w:lang w:val="en-US"/>
        </w:rPr>
        <w:t xml:space="preserve">wo </w:t>
      </w:r>
      <w:r>
        <w:rPr>
          <w:lang w:val="en-US"/>
        </w:rPr>
        <w:t>main data sources will be used in this study. Data on electricity market liberalization comes from the International Regulation database</w:t>
      </w:r>
      <w:r w:rsidR="00E94AFE">
        <w:rPr>
          <w:rStyle w:val="FootnoteReference"/>
          <w:lang w:val="en-US"/>
        </w:rPr>
        <w:footnoteReference w:id="1"/>
      </w:r>
      <w:r>
        <w:rPr>
          <w:lang w:val="en-US"/>
        </w:rPr>
        <w:t>. Data on renewable electricity innovation</w:t>
      </w:r>
      <w:r w:rsidR="001E6B64">
        <w:rPr>
          <w:lang w:val="en-US"/>
        </w:rPr>
        <w:t xml:space="preserve"> comes from the Orbis database</w:t>
      </w:r>
      <w:r w:rsidR="00EA487B">
        <w:rPr>
          <w:rStyle w:val="FootnoteReference"/>
          <w:lang w:val="en-US"/>
        </w:rPr>
        <w:footnoteReference w:id="2"/>
      </w:r>
      <w:r w:rsidR="001E6B64">
        <w:rPr>
          <w:lang w:val="en-US"/>
        </w:rPr>
        <w:t xml:space="preserve">. </w:t>
      </w:r>
      <w:r>
        <w:rPr>
          <w:lang w:val="en-US"/>
        </w:rPr>
        <w:t xml:space="preserve">Both databases will be discussed in the sections below. After that, a brief description and some descriptive statistics of the variables used in this study will be provided. </w:t>
      </w:r>
    </w:p>
    <w:p w14:paraId="7E9C65A4" w14:textId="77777777" w:rsidR="00357E30" w:rsidRDefault="006D24DE" w:rsidP="00357E30">
      <w:pPr>
        <w:pStyle w:val="Heading4"/>
        <w:rPr>
          <w:lang w:val="en-US"/>
        </w:rPr>
      </w:pPr>
      <w:r>
        <w:rPr>
          <w:lang w:val="en-US"/>
        </w:rPr>
        <w:t>International Regulation database</w:t>
      </w:r>
    </w:p>
    <w:p w14:paraId="50F44694" w14:textId="5F91D399" w:rsidR="00C85D32" w:rsidRDefault="00293958" w:rsidP="00C85D32">
      <w:pPr>
        <w:rPr>
          <w:lang w:val="en-US"/>
        </w:rPr>
      </w:pPr>
      <w:r>
        <w:rPr>
          <w:lang w:val="en-US"/>
        </w:rPr>
        <w:t>The International Regulation database is a public available database from</w:t>
      </w:r>
      <w:r w:rsidR="00E31A50">
        <w:rPr>
          <w:lang w:val="en-US"/>
        </w:rPr>
        <w:t xml:space="preserve"> the </w:t>
      </w:r>
      <w:r w:rsidR="00E31A50" w:rsidRPr="00E31A50">
        <w:rPr>
          <w:lang w:val="en-US"/>
        </w:rPr>
        <w:t>Organization for Economic Co-operation and Development</w:t>
      </w:r>
      <w:r>
        <w:rPr>
          <w:lang w:val="en-US"/>
        </w:rPr>
        <w:t xml:space="preserve"> </w:t>
      </w:r>
      <w:r w:rsidR="00E31A50">
        <w:rPr>
          <w:lang w:val="en-US"/>
        </w:rPr>
        <w:t>(</w:t>
      </w:r>
      <w:r>
        <w:rPr>
          <w:lang w:val="en-US"/>
        </w:rPr>
        <w:t>OECD</w:t>
      </w:r>
      <w:r w:rsidR="00E31A50">
        <w:rPr>
          <w:lang w:val="en-US"/>
        </w:rPr>
        <w:t>)</w:t>
      </w:r>
      <w:r w:rsidR="003D7051">
        <w:rPr>
          <w:lang w:val="en-US"/>
        </w:rPr>
        <w:t xml:space="preserve">. Its purpose is to provide </w:t>
      </w:r>
      <w:r w:rsidR="00C77252">
        <w:rPr>
          <w:lang w:val="en-US"/>
        </w:rPr>
        <w:t>quantitative indicators for qualitative data on laws and regulation.</w:t>
      </w:r>
      <w:r>
        <w:rPr>
          <w:lang w:val="en-US"/>
        </w:rPr>
        <w:t xml:space="preserve"> </w:t>
      </w:r>
      <w:r w:rsidR="00C77252">
        <w:rPr>
          <w:lang w:val="en-US"/>
        </w:rPr>
        <w:t xml:space="preserve">The International Regulation database </w:t>
      </w:r>
      <w:r>
        <w:rPr>
          <w:lang w:val="en-US"/>
        </w:rPr>
        <w:t>provides product market regulation (PMR) indicators for several</w:t>
      </w:r>
      <w:r w:rsidR="00C85D32">
        <w:rPr>
          <w:lang w:val="en-US"/>
        </w:rPr>
        <w:t xml:space="preserve"> ranges</w:t>
      </w:r>
      <w:r>
        <w:rPr>
          <w:lang w:val="en-US"/>
        </w:rPr>
        <w:t>: economy-wide regulation, sector r</w:t>
      </w:r>
      <w:r w:rsidR="00C85D32">
        <w:rPr>
          <w:lang w:val="en-US"/>
        </w:rPr>
        <w:t>egulation, internet regulation and competition law and policy. The sector regulation dataset contains information about network sectors, retail trade and professional services. The network sectors are described in the ETCR (Energy, Transport and Telecommunications Regulation) indicator. The electricity sector is part of the energy sector. PMR indicator values are available for the electricity sector, taking into account all of the following: entry barriers, the vertical structure of the market, the market share of the dominant player(s), the presence of the state as a shareholder and the presence of regulatory controls</w:t>
      </w:r>
      <w:sdt>
        <w:sdtPr>
          <w:rPr>
            <w:lang w:val="en-US"/>
          </w:rPr>
          <w:id w:val="-94020267"/>
          <w:citation/>
        </w:sdtPr>
        <w:sdtEndPr/>
        <w:sdtContent>
          <w:r w:rsidR="00C85D32">
            <w:rPr>
              <w:lang w:val="en-US"/>
            </w:rPr>
            <w:fldChar w:fldCharType="begin"/>
          </w:r>
          <w:r w:rsidR="00C85D32" w:rsidRPr="00B95C97">
            <w:rPr>
              <w:lang w:val="en-US"/>
            </w:rPr>
            <w:instrText xml:space="preserve"> CITATION Cam15 \l 1043 </w:instrText>
          </w:r>
          <w:r w:rsidR="00C85D32">
            <w:rPr>
              <w:lang w:val="en-US"/>
            </w:rPr>
            <w:fldChar w:fldCharType="separate"/>
          </w:r>
          <w:r w:rsidR="00B24268">
            <w:rPr>
              <w:noProof/>
              <w:lang w:val="en-US"/>
            </w:rPr>
            <w:t xml:space="preserve"> </w:t>
          </w:r>
          <w:r w:rsidR="00B24268" w:rsidRPr="00B24268">
            <w:rPr>
              <w:noProof/>
              <w:lang w:val="en-US"/>
            </w:rPr>
            <w:t>(Cambini, Caviggioli, &amp; Scellato, 2015)</w:t>
          </w:r>
          <w:r w:rsidR="00C85D32">
            <w:rPr>
              <w:lang w:val="en-US"/>
            </w:rPr>
            <w:fldChar w:fldCharType="end"/>
          </w:r>
        </w:sdtContent>
      </w:sdt>
      <w:r w:rsidR="00C85D32">
        <w:rPr>
          <w:lang w:val="en-US"/>
        </w:rPr>
        <w:t xml:space="preserve">. The index and each of its components can take continuous values between 0 and 6, with higher values </w:t>
      </w:r>
      <w:r w:rsidR="00C85D32">
        <w:rPr>
          <w:lang w:val="en-US"/>
        </w:rPr>
        <w:lastRenderedPageBreak/>
        <w:t xml:space="preserve">indicating less openness. The data is collected in questionnaires in 2013, 2007, 2003 and 1998, and have been extensively checked by OECD and government experts. </w:t>
      </w:r>
      <w:r w:rsidR="00C77252">
        <w:rPr>
          <w:lang w:val="en-US"/>
        </w:rPr>
        <w:t>Yearly d</w:t>
      </w:r>
      <w:r w:rsidR="00C85D32">
        <w:rPr>
          <w:lang w:val="en-US"/>
        </w:rPr>
        <w:t>ata is available</w:t>
      </w:r>
      <w:r w:rsidR="00C77252">
        <w:rPr>
          <w:lang w:val="en-US"/>
        </w:rPr>
        <w:t xml:space="preserve"> from 1975 to 2013</w:t>
      </w:r>
      <w:r w:rsidR="00EA487B">
        <w:rPr>
          <w:rStyle w:val="FootnoteReference"/>
          <w:lang w:val="en-US"/>
        </w:rPr>
        <w:footnoteReference w:id="3"/>
      </w:r>
      <w:r w:rsidR="00C77252">
        <w:rPr>
          <w:lang w:val="en-US"/>
        </w:rPr>
        <w:t xml:space="preserve"> and covers 47</w:t>
      </w:r>
      <w:r w:rsidR="00C85D32">
        <w:rPr>
          <w:lang w:val="en-US"/>
        </w:rPr>
        <w:t xml:space="preserve"> countries</w:t>
      </w:r>
      <w:r w:rsidR="00E31A50">
        <w:rPr>
          <w:lang w:val="en-US"/>
        </w:rPr>
        <w:t>, of which 34 are</w:t>
      </w:r>
      <w:r w:rsidR="00C77252">
        <w:rPr>
          <w:lang w:val="en-US"/>
        </w:rPr>
        <w:t xml:space="preserve"> the</w:t>
      </w:r>
      <w:r w:rsidR="00E31A50">
        <w:rPr>
          <w:lang w:val="en-US"/>
        </w:rPr>
        <w:t xml:space="preserve"> </w:t>
      </w:r>
      <w:r w:rsidR="00394099">
        <w:rPr>
          <w:lang w:val="en-US"/>
        </w:rPr>
        <w:t xml:space="preserve">current </w:t>
      </w:r>
      <w:r w:rsidR="00E31A50">
        <w:rPr>
          <w:lang w:val="en-US"/>
        </w:rPr>
        <w:t>OECD members</w:t>
      </w:r>
      <w:sdt>
        <w:sdtPr>
          <w:rPr>
            <w:lang w:val="en-US"/>
          </w:rPr>
          <w:id w:val="-159784852"/>
          <w:citation/>
        </w:sdtPr>
        <w:sdtEndPr/>
        <w:sdtContent>
          <w:r w:rsidR="00C85D32">
            <w:rPr>
              <w:lang w:val="en-US"/>
            </w:rPr>
            <w:fldChar w:fldCharType="begin"/>
          </w:r>
          <w:r w:rsidR="00C85D32" w:rsidRPr="00357E30">
            <w:rPr>
              <w:lang w:val="en-US"/>
            </w:rPr>
            <w:instrText xml:space="preserve"> CITATION OEC15 \l 1043 </w:instrText>
          </w:r>
          <w:r w:rsidR="00C85D32">
            <w:rPr>
              <w:lang w:val="en-US"/>
            </w:rPr>
            <w:fldChar w:fldCharType="separate"/>
          </w:r>
          <w:r w:rsidR="00B24268">
            <w:rPr>
              <w:noProof/>
              <w:lang w:val="en-US"/>
            </w:rPr>
            <w:t xml:space="preserve"> </w:t>
          </w:r>
          <w:r w:rsidR="00B24268" w:rsidRPr="00B24268">
            <w:rPr>
              <w:noProof/>
              <w:lang w:val="en-US"/>
            </w:rPr>
            <w:t>(OECD, 2013)</w:t>
          </w:r>
          <w:r w:rsidR="00C85D32">
            <w:rPr>
              <w:lang w:val="en-US"/>
            </w:rPr>
            <w:fldChar w:fldCharType="end"/>
          </w:r>
        </w:sdtContent>
      </w:sdt>
      <w:r w:rsidR="00C85D32">
        <w:rPr>
          <w:lang w:val="en-US"/>
        </w:rPr>
        <w:t>.</w:t>
      </w:r>
      <w:r w:rsidR="00C77252">
        <w:rPr>
          <w:lang w:val="en-US"/>
        </w:rPr>
        <w:t xml:space="preserve"> The other 13</w:t>
      </w:r>
      <w:r w:rsidR="00394099">
        <w:rPr>
          <w:lang w:val="en-US"/>
        </w:rPr>
        <w:t xml:space="preserve"> countries are Brazil, Bulgaria, Canada, China, Croatia, Cyprus, India, Indonesia, Latvia, Lithuania, Malta, Romania and South Africa.  </w:t>
      </w:r>
    </w:p>
    <w:p w14:paraId="46447B4D" w14:textId="77777777" w:rsidR="00357E30" w:rsidRPr="00357E30" w:rsidRDefault="006D24DE" w:rsidP="00357E30">
      <w:pPr>
        <w:pStyle w:val="Heading4"/>
        <w:rPr>
          <w:lang w:val="en-US"/>
        </w:rPr>
      </w:pPr>
      <w:r>
        <w:rPr>
          <w:lang w:val="en-US"/>
        </w:rPr>
        <w:t>Orbis</w:t>
      </w:r>
      <w:r w:rsidR="00AD53B9">
        <w:rPr>
          <w:lang w:val="en-US"/>
        </w:rPr>
        <w:t xml:space="preserve"> database</w:t>
      </w:r>
    </w:p>
    <w:p w14:paraId="4C3B0327" w14:textId="77777777" w:rsidR="00357E30" w:rsidRDefault="00357E30" w:rsidP="00357E30">
      <w:pPr>
        <w:rPr>
          <w:lang w:val="en-US"/>
        </w:rPr>
      </w:pPr>
      <w:r>
        <w:rPr>
          <w:lang w:val="en-US"/>
        </w:rPr>
        <w:t xml:space="preserve">This study relies on </w:t>
      </w:r>
      <w:r w:rsidR="00A23821">
        <w:rPr>
          <w:lang w:val="en-US"/>
        </w:rPr>
        <w:t xml:space="preserve">patent </w:t>
      </w:r>
      <w:r>
        <w:rPr>
          <w:lang w:val="en-US"/>
        </w:rPr>
        <w:t xml:space="preserve">data from the Orbis database </w:t>
      </w:r>
      <w:sdt>
        <w:sdtPr>
          <w:rPr>
            <w:lang w:val="en-US"/>
          </w:rPr>
          <w:id w:val="-1539586497"/>
          <w:citation/>
        </w:sdtPr>
        <w:sdtEndPr/>
        <w:sdtContent>
          <w:r>
            <w:rPr>
              <w:lang w:val="en-US"/>
            </w:rPr>
            <w:fldChar w:fldCharType="begin"/>
          </w:r>
          <w:r w:rsidRPr="00D71F4C">
            <w:rPr>
              <w:lang w:val="en-US"/>
            </w:rPr>
            <w:instrText xml:space="preserve"> CITATION Bur15 \l 1043 </w:instrText>
          </w:r>
          <w:r>
            <w:rPr>
              <w:lang w:val="en-US"/>
            </w:rPr>
            <w:fldChar w:fldCharType="separate"/>
          </w:r>
          <w:r w:rsidR="00B24268" w:rsidRPr="00B24268">
            <w:rPr>
              <w:noProof/>
              <w:lang w:val="en-US"/>
            </w:rPr>
            <w:t>(Bureau van Dijk, 2015)</w:t>
          </w:r>
          <w:r>
            <w:rPr>
              <w:lang w:val="en-US"/>
            </w:rPr>
            <w:fldChar w:fldCharType="end"/>
          </w:r>
        </w:sdtContent>
      </w:sdt>
      <w:r>
        <w:rPr>
          <w:lang w:val="en-US"/>
        </w:rPr>
        <w:t xml:space="preserve">. The database contains information on companies, mergers &amp; acquisitions, reports and patents. The relevant data comes from the patent section. This section contains data on all patents filed to all national patent offices in Europe, to </w:t>
      </w:r>
      <w:r w:rsidR="00A23821">
        <w:rPr>
          <w:lang w:val="en-US"/>
        </w:rPr>
        <w:t xml:space="preserve">the </w:t>
      </w:r>
      <w:r>
        <w:rPr>
          <w:lang w:val="en-US"/>
        </w:rPr>
        <w:t>EPO</w:t>
      </w:r>
      <w:r w:rsidR="00A23821">
        <w:rPr>
          <w:lang w:val="en-US"/>
        </w:rPr>
        <w:t xml:space="preserve"> and to other patent offices in the world. </w:t>
      </w:r>
    </w:p>
    <w:p w14:paraId="0EF4C244" w14:textId="77777777" w:rsidR="00357E30" w:rsidRDefault="00357E30" w:rsidP="004C180F">
      <w:pPr>
        <w:rPr>
          <w:lang w:val="en-US"/>
        </w:rPr>
      </w:pPr>
      <w:r>
        <w:rPr>
          <w:lang w:val="en-US"/>
        </w:rPr>
        <w:t xml:space="preserve">Patent data are directly collected by the EPO. </w:t>
      </w:r>
      <w:r w:rsidR="006C0A1C">
        <w:rPr>
          <w:lang w:val="en-US"/>
        </w:rPr>
        <w:t xml:space="preserve">Companies and individuals can apply for a patent directly at the EPO. </w:t>
      </w:r>
      <w:r w:rsidR="004C180F">
        <w:rPr>
          <w:lang w:val="en-US"/>
        </w:rPr>
        <w:t xml:space="preserve">Inventions meet the requirements for patenting if it was not known to the public in any form, is not obvious to a person skilled in the art, and can be manufactured or used industrially. </w:t>
      </w:r>
      <w:r w:rsidR="00147B28">
        <w:rPr>
          <w:lang w:val="en-US"/>
        </w:rPr>
        <w:t xml:space="preserve">Patent applications can be filed at the European Patent Offices in Berlin, The Hague and Munich, or at the national patent office of a member’s country. All countries on the European continent are members of the EPO, including Turkey, Cyprus, Malta and Morocco. The process from application to grant has several stages. Once an invention is applied for a patent, the EPO starts the examination on filing and formal requirements. Next stage is a search relating to state of the art, which basically checks the innovativeness of the invention. This part of the process is completed within 18 months from application. </w:t>
      </w:r>
      <w:r w:rsidR="006D24DE">
        <w:rPr>
          <w:lang w:val="en-US"/>
        </w:rPr>
        <w:t>At this point, the application will be published.</w:t>
      </w:r>
      <w:r w:rsidR="00147B28">
        <w:rPr>
          <w:lang w:val="en-US"/>
        </w:rPr>
        <w:t xml:space="preserve"> After that, the examination of the application will take place. Other parties are allowed to take opposition to the application. Finally, the patent w</w:t>
      </w:r>
      <w:r w:rsidR="005C38B2">
        <w:rPr>
          <w:lang w:val="en-US"/>
        </w:rPr>
        <w:t>ill be granted after 24 months if it survives all stages</w:t>
      </w:r>
      <w:sdt>
        <w:sdtPr>
          <w:rPr>
            <w:lang w:val="en-US"/>
          </w:rPr>
          <w:id w:val="-14151585"/>
          <w:citation/>
        </w:sdtPr>
        <w:sdtEndPr/>
        <w:sdtContent>
          <w:r w:rsidR="00F71214">
            <w:rPr>
              <w:lang w:val="en-US"/>
            </w:rPr>
            <w:fldChar w:fldCharType="begin"/>
          </w:r>
          <w:r w:rsidR="00F71214">
            <w:rPr>
              <w:lang w:val="en-US"/>
            </w:rPr>
            <w:instrText xml:space="preserve"> CITATION Eur15 \l 1033 </w:instrText>
          </w:r>
          <w:r w:rsidR="00F71214">
            <w:rPr>
              <w:lang w:val="en-US"/>
            </w:rPr>
            <w:fldChar w:fldCharType="separate"/>
          </w:r>
          <w:r w:rsidR="00B24268">
            <w:rPr>
              <w:noProof/>
              <w:lang w:val="en-US"/>
            </w:rPr>
            <w:t xml:space="preserve"> (European Patent Office, 2015)</w:t>
          </w:r>
          <w:r w:rsidR="00F71214">
            <w:rPr>
              <w:lang w:val="en-US"/>
            </w:rPr>
            <w:fldChar w:fldCharType="end"/>
          </w:r>
        </w:sdtContent>
      </w:sdt>
      <w:r w:rsidR="005C38B2">
        <w:rPr>
          <w:lang w:val="en-US"/>
        </w:rPr>
        <w:t xml:space="preserve">. </w:t>
      </w:r>
    </w:p>
    <w:p w14:paraId="5ECD6F09" w14:textId="77777777" w:rsidR="00D21A11" w:rsidRDefault="005A4DE5" w:rsidP="005A4DE5">
      <w:pPr>
        <w:rPr>
          <w:lang w:val="en-US"/>
        </w:rPr>
      </w:pPr>
      <w:r>
        <w:rPr>
          <w:lang w:val="en-US"/>
        </w:rPr>
        <w:lastRenderedPageBreak/>
        <w:t xml:space="preserve">The Orbis database collects information from the EPO on the following relevant parameters: </w:t>
      </w:r>
      <w:r w:rsidR="00D21A11">
        <w:rPr>
          <w:lang w:val="en-US"/>
        </w:rPr>
        <w:t>patent grants</w:t>
      </w:r>
      <w:r>
        <w:rPr>
          <w:lang w:val="en-US"/>
        </w:rPr>
        <w:t xml:space="preserve">, </w:t>
      </w:r>
      <w:r w:rsidR="00D21A11">
        <w:rPr>
          <w:lang w:val="en-US"/>
        </w:rPr>
        <w:t>the</w:t>
      </w:r>
      <w:r>
        <w:rPr>
          <w:lang w:val="en-US"/>
        </w:rPr>
        <w:t xml:space="preserve"> date </w:t>
      </w:r>
      <w:r w:rsidR="00D21A11">
        <w:rPr>
          <w:lang w:val="en-US"/>
        </w:rPr>
        <w:t xml:space="preserve">at which </w:t>
      </w:r>
      <w:r>
        <w:rPr>
          <w:lang w:val="en-US"/>
        </w:rPr>
        <w:t xml:space="preserve">the patent application </w:t>
      </w:r>
      <w:r w:rsidR="00D21A11">
        <w:rPr>
          <w:lang w:val="en-US"/>
        </w:rPr>
        <w:t xml:space="preserve">is </w:t>
      </w:r>
      <w:r>
        <w:rPr>
          <w:lang w:val="en-US"/>
        </w:rPr>
        <w:t xml:space="preserve">published, the inventors’ and current owners’ country, </w:t>
      </w:r>
      <w:r w:rsidR="00D21A11">
        <w:rPr>
          <w:lang w:val="en-US"/>
        </w:rPr>
        <w:t xml:space="preserve">the inventor’s name, and </w:t>
      </w:r>
      <w:r>
        <w:rPr>
          <w:lang w:val="en-US"/>
        </w:rPr>
        <w:t>the number of citing and cited documents. EPO does not record the number of cite</w:t>
      </w:r>
      <w:r w:rsidR="00D21A11">
        <w:rPr>
          <w:lang w:val="en-US"/>
        </w:rPr>
        <w:t xml:space="preserve">d documents for granted patents. Each patent application can have multiple inventors and owners. Inventors and owners can both be private or business parties. </w:t>
      </w:r>
      <w:r w:rsidR="00877009">
        <w:rPr>
          <w:lang w:val="en-US"/>
        </w:rPr>
        <w:t xml:space="preserve">Most business parties in the Orbis database are linked to an identifier, the Bureau van Dijk Identifier (BvDID), named after the company that maintains the Orbis database. This identifier is constructed for </w:t>
      </w:r>
      <w:r w:rsidR="00372F90">
        <w:rPr>
          <w:lang w:val="en-US"/>
        </w:rPr>
        <w:t xml:space="preserve">all business </w:t>
      </w:r>
      <w:r w:rsidR="00877009">
        <w:rPr>
          <w:lang w:val="en-US"/>
        </w:rPr>
        <w:t xml:space="preserve">firms in the database, and allows to link patents to companies. </w:t>
      </w:r>
      <w:r w:rsidR="00372F90">
        <w:rPr>
          <w:lang w:val="en-US"/>
        </w:rPr>
        <w:t xml:space="preserve">Patent applications by universities, private parties and </w:t>
      </w:r>
      <w:r w:rsidR="00951231">
        <w:rPr>
          <w:lang w:val="en-US"/>
        </w:rPr>
        <w:t xml:space="preserve">other institution are not linked to this BvDID. </w:t>
      </w:r>
    </w:p>
    <w:p w14:paraId="0A299F4A" w14:textId="77777777" w:rsidR="00A16F65" w:rsidRDefault="00A16F65" w:rsidP="00A16F65">
      <w:pPr>
        <w:pStyle w:val="Heading2"/>
        <w:rPr>
          <w:lang w:val="en-US"/>
        </w:rPr>
      </w:pPr>
      <w:bookmarkStart w:id="47" w:name="_Toc424733296"/>
      <w:bookmarkStart w:id="48" w:name="_Toc426898402"/>
      <w:bookmarkStart w:id="49" w:name="_Toc427657282"/>
      <w:bookmarkStart w:id="50" w:name="_Toc424733295"/>
      <w:r>
        <w:rPr>
          <w:lang w:val="en-US"/>
        </w:rPr>
        <w:t>Measures</w:t>
      </w:r>
      <w:bookmarkEnd w:id="47"/>
      <w:bookmarkEnd w:id="48"/>
      <w:bookmarkEnd w:id="49"/>
    </w:p>
    <w:p w14:paraId="79D08663" w14:textId="77777777" w:rsidR="00203A00" w:rsidRDefault="00A16F65" w:rsidP="00A16F65">
      <w:pPr>
        <w:rPr>
          <w:lang w:val="en-US"/>
        </w:rPr>
      </w:pPr>
      <w:r>
        <w:rPr>
          <w:lang w:val="en-US"/>
        </w:rPr>
        <w:t xml:space="preserve">In this section will be described and explained what variables are used to test the hypotheses mentioned in the </w:t>
      </w:r>
      <w:r w:rsidR="00203A00">
        <w:rPr>
          <w:lang w:val="en-US"/>
        </w:rPr>
        <w:t xml:space="preserve">literature section. Five concepts </w:t>
      </w:r>
      <w:r w:rsidR="00951231">
        <w:rPr>
          <w:lang w:val="en-US"/>
        </w:rPr>
        <w:t>will</w:t>
      </w:r>
      <w:r w:rsidR="00203A00">
        <w:rPr>
          <w:lang w:val="en-US"/>
        </w:rPr>
        <w:t xml:space="preserve"> be operationalized: liberalization, renewable electricity innovation, entry, and the quality and quantity of innovative output. </w:t>
      </w:r>
    </w:p>
    <w:p w14:paraId="4FC0801F" w14:textId="77777777" w:rsidR="002371F5" w:rsidRDefault="002371F5" w:rsidP="002371F5">
      <w:pPr>
        <w:pStyle w:val="Heading4"/>
        <w:rPr>
          <w:lang w:val="en-US"/>
        </w:rPr>
      </w:pPr>
      <w:r>
        <w:rPr>
          <w:lang w:val="en-US"/>
        </w:rPr>
        <w:t>Liberalization</w:t>
      </w:r>
    </w:p>
    <w:p w14:paraId="26FFFE5A" w14:textId="77777777" w:rsidR="00FB57DF" w:rsidRDefault="003330D2" w:rsidP="004E4947">
      <w:pPr>
        <w:rPr>
          <w:lang w:val="en-US"/>
        </w:rPr>
      </w:pPr>
      <w:r>
        <w:rPr>
          <w:lang w:val="en-US"/>
        </w:rPr>
        <w:t>Electricity market liberalization has been captured in previous studies by the PMR index</w:t>
      </w:r>
      <w:sdt>
        <w:sdtPr>
          <w:rPr>
            <w:lang w:val="en-US"/>
          </w:rPr>
          <w:id w:val="1669973304"/>
          <w:citation/>
        </w:sdtPr>
        <w:sdtEndPr/>
        <w:sdtContent>
          <w:r w:rsidR="00951231">
            <w:rPr>
              <w:lang w:val="en-US"/>
            </w:rPr>
            <w:fldChar w:fldCharType="begin"/>
          </w:r>
          <w:r w:rsidR="00951231">
            <w:rPr>
              <w:lang w:val="en-US"/>
            </w:rPr>
            <w:instrText xml:space="preserve"> CITATION Cam15 \l 1033 </w:instrText>
          </w:r>
          <w:r w:rsidR="00951231">
            <w:rPr>
              <w:lang w:val="en-US"/>
            </w:rPr>
            <w:fldChar w:fldCharType="separate"/>
          </w:r>
          <w:r w:rsidR="00B24268">
            <w:rPr>
              <w:noProof/>
              <w:lang w:val="en-US"/>
            </w:rPr>
            <w:t xml:space="preserve"> (Cambini, Caviggioli, &amp; Scellato, 2015)</w:t>
          </w:r>
          <w:r w:rsidR="00951231">
            <w:rPr>
              <w:lang w:val="en-US"/>
            </w:rPr>
            <w:fldChar w:fldCharType="end"/>
          </w:r>
        </w:sdtContent>
      </w:sdt>
      <w:r w:rsidR="001C76F3">
        <w:rPr>
          <w:lang w:val="en-US"/>
        </w:rPr>
        <w:t>,</w:t>
      </w:r>
      <w:sdt>
        <w:sdtPr>
          <w:rPr>
            <w:lang w:val="en-US"/>
          </w:rPr>
          <w:id w:val="115500284"/>
          <w:citation/>
        </w:sdtPr>
        <w:sdtEndPr/>
        <w:sdtContent>
          <w:r w:rsidR="00951231">
            <w:rPr>
              <w:lang w:val="en-US"/>
            </w:rPr>
            <w:fldChar w:fldCharType="begin"/>
          </w:r>
          <w:r w:rsidR="00951231">
            <w:rPr>
              <w:lang w:val="en-US"/>
            </w:rPr>
            <w:instrText xml:space="preserve"> CITATION Nes14 \l 1033 </w:instrText>
          </w:r>
          <w:r w:rsidR="00951231">
            <w:rPr>
              <w:lang w:val="en-US"/>
            </w:rPr>
            <w:fldChar w:fldCharType="separate"/>
          </w:r>
          <w:r w:rsidR="00B24268">
            <w:rPr>
              <w:noProof/>
              <w:lang w:val="en-US"/>
            </w:rPr>
            <w:t xml:space="preserve"> (Nesta, Vona, &amp; Nicolli, 2014)</w:t>
          </w:r>
          <w:r w:rsidR="00951231">
            <w:rPr>
              <w:lang w:val="en-US"/>
            </w:rPr>
            <w:fldChar w:fldCharType="end"/>
          </w:r>
        </w:sdtContent>
      </w:sdt>
      <w:r w:rsidR="00951231">
        <w:rPr>
          <w:lang w:val="en-US"/>
        </w:rPr>
        <w:t>,</w:t>
      </w:r>
      <w:r w:rsidR="001C76F3">
        <w:rPr>
          <w:lang w:val="en-US"/>
        </w:rPr>
        <w:t xml:space="preserve"> interviews </w:t>
      </w:r>
      <w:sdt>
        <w:sdtPr>
          <w:rPr>
            <w:lang w:val="en-US"/>
          </w:rPr>
          <w:id w:val="512894621"/>
          <w:citation/>
        </w:sdtPr>
        <w:sdtEndPr/>
        <w:sdtContent>
          <w:r w:rsidR="001C76F3">
            <w:rPr>
              <w:lang w:val="en-US"/>
            </w:rPr>
            <w:fldChar w:fldCharType="begin"/>
          </w:r>
          <w:r w:rsidR="001C76F3">
            <w:rPr>
              <w:lang w:val="en-US"/>
            </w:rPr>
            <w:instrText xml:space="preserve">CITATION Mar04 \t  \l 1033 </w:instrText>
          </w:r>
          <w:r w:rsidR="001C76F3">
            <w:rPr>
              <w:lang w:val="en-US"/>
            </w:rPr>
            <w:fldChar w:fldCharType="separate"/>
          </w:r>
          <w:r w:rsidR="00B24268">
            <w:rPr>
              <w:noProof/>
              <w:lang w:val="en-US"/>
            </w:rPr>
            <w:t>(Markard, Truffer, &amp; Imboden, 2004)</w:t>
          </w:r>
          <w:r w:rsidR="001C76F3">
            <w:rPr>
              <w:lang w:val="en-US"/>
            </w:rPr>
            <w:fldChar w:fldCharType="end"/>
          </w:r>
        </w:sdtContent>
      </w:sdt>
      <w:r w:rsidR="00951231">
        <w:rPr>
          <w:lang w:val="en-US"/>
        </w:rPr>
        <w:t xml:space="preserve"> and renewable energy policies </w:t>
      </w:r>
      <w:sdt>
        <w:sdtPr>
          <w:rPr>
            <w:lang w:val="en-US"/>
          </w:rPr>
          <w:id w:val="-1251657031"/>
          <w:citation/>
        </w:sdtPr>
        <w:sdtEndPr/>
        <w:sdtContent>
          <w:r w:rsidR="00951231">
            <w:rPr>
              <w:lang w:val="en-US"/>
            </w:rPr>
            <w:fldChar w:fldCharType="begin"/>
          </w:r>
          <w:r w:rsidR="00951231">
            <w:rPr>
              <w:lang w:val="en-US"/>
            </w:rPr>
            <w:instrText xml:space="preserve"> CITATION Joh10 \l 1033 </w:instrText>
          </w:r>
          <w:r w:rsidR="00951231">
            <w:rPr>
              <w:lang w:val="en-US"/>
            </w:rPr>
            <w:fldChar w:fldCharType="separate"/>
          </w:r>
          <w:r w:rsidR="00B24268">
            <w:rPr>
              <w:noProof/>
              <w:lang w:val="en-US"/>
            </w:rPr>
            <w:t>(Johnstone, Haščič, &amp; Popp, 2010)</w:t>
          </w:r>
          <w:r w:rsidR="00951231">
            <w:rPr>
              <w:lang w:val="en-US"/>
            </w:rPr>
            <w:fldChar w:fldCharType="end"/>
          </w:r>
        </w:sdtContent>
      </w:sdt>
      <w:r w:rsidR="00951231">
        <w:rPr>
          <w:lang w:val="en-US"/>
        </w:rPr>
        <w:t xml:space="preserve">, </w:t>
      </w:r>
      <w:sdt>
        <w:sdtPr>
          <w:rPr>
            <w:lang w:val="en-US"/>
          </w:rPr>
          <w:id w:val="1754477319"/>
          <w:citation/>
        </w:sdtPr>
        <w:sdtEndPr/>
        <w:sdtContent>
          <w:r w:rsidR="00951231">
            <w:rPr>
              <w:lang w:val="en-US"/>
            </w:rPr>
            <w:fldChar w:fldCharType="begin"/>
          </w:r>
          <w:r w:rsidR="00951231">
            <w:rPr>
              <w:lang w:val="en-US"/>
            </w:rPr>
            <w:instrText xml:space="preserve"> CITATION Nes14 \l 1033 </w:instrText>
          </w:r>
          <w:r w:rsidR="00951231">
            <w:rPr>
              <w:lang w:val="en-US"/>
            </w:rPr>
            <w:fldChar w:fldCharType="separate"/>
          </w:r>
          <w:r w:rsidR="00B24268">
            <w:rPr>
              <w:noProof/>
              <w:lang w:val="en-US"/>
            </w:rPr>
            <w:t>(Nesta, Vona, &amp; Nicolli, 2014)</w:t>
          </w:r>
          <w:r w:rsidR="00951231">
            <w:rPr>
              <w:lang w:val="en-US"/>
            </w:rPr>
            <w:fldChar w:fldCharType="end"/>
          </w:r>
        </w:sdtContent>
      </w:sdt>
      <w:r>
        <w:rPr>
          <w:lang w:val="en-US"/>
        </w:rPr>
        <w:t xml:space="preserve">. In this study, electricity market liberalization is operationalized with the PMR index for the electricity sector, </w:t>
      </w:r>
      <w:r w:rsidR="00FB57DF">
        <w:rPr>
          <w:lang w:val="en-US"/>
        </w:rPr>
        <w:t xml:space="preserve">because it is a quantitative measure for a qualitative concept, specific for the electricity market, and in line with previous literature. </w:t>
      </w:r>
    </w:p>
    <w:p w14:paraId="45CD9B69" w14:textId="77777777" w:rsidR="002371F5" w:rsidRDefault="002371F5" w:rsidP="002371F5">
      <w:pPr>
        <w:pStyle w:val="Heading4"/>
        <w:rPr>
          <w:lang w:val="en-US"/>
        </w:rPr>
      </w:pPr>
      <w:r>
        <w:rPr>
          <w:lang w:val="en-US"/>
        </w:rPr>
        <w:t>Renewable electricity innovation</w:t>
      </w:r>
    </w:p>
    <w:p w14:paraId="7BCFE761" w14:textId="77777777" w:rsidR="008D22FE" w:rsidRDefault="008D22FE" w:rsidP="004E4947">
      <w:pPr>
        <w:rPr>
          <w:lang w:val="en-US"/>
        </w:rPr>
      </w:pPr>
      <w:r>
        <w:rPr>
          <w:lang w:val="en-US"/>
        </w:rPr>
        <w:t xml:space="preserve">Research on innovation generally uses two types of measures: input and output measures. An example of an input measure of innovation is R&amp;D investments, and an example of an output measure is patent applications. </w:t>
      </w:r>
      <w:r w:rsidR="008C1BAA">
        <w:rPr>
          <w:lang w:val="en-US"/>
        </w:rPr>
        <w:t xml:space="preserve">Secondary measures like the European Innovation Scoreboard </w:t>
      </w:r>
      <w:r w:rsidR="008C1BAA">
        <w:rPr>
          <w:lang w:val="en-US"/>
        </w:rPr>
        <w:lastRenderedPageBreak/>
        <w:t xml:space="preserve">are also available, making use of data on R&amp;D investments and the Community Innovation Survey. </w:t>
      </w:r>
    </w:p>
    <w:p w14:paraId="71EC6514" w14:textId="77777777" w:rsidR="003330D2" w:rsidRDefault="003330D2" w:rsidP="004E4947">
      <w:pPr>
        <w:rPr>
          <w:lang w:val="en-US"/>
        </w:rPr>
      </w:pPr>
      <w:r>
        <w:rPr>
          <w:lang w:val="en-US"/>
        </w:rPr>
        <w:t>Renewable electricity innovation has been captured in previous studies by</w:t>
      </w:r>
      <w:r w:rsidR="006A53A0">
        <w:rPr>
          <w:lang w:val="en-US"/>
        </w:rPr>
        <w:t xml:space="preserve"> </w:t>
      </w:r>
      <w:r w:rsidR="006705D8">
        <w:rPr>
          <w:lang w:val="en-US"/>
        </w:rPr>
        <w:t xml:space="preserve">patent selections </w:t>
      </w:r>
      <w:sdt>
        <w:sdtPr>
          <w:rPr>
            <w:lang w:val="en-US"/>
          </w:rPr>
          <w:id w:val="-580826446"/>
          <w:citation/>
        </w:sdtPr>
        <w:sdtEndPr/>
        <w:sdtContent>
          <w:r w:rsidR="006705D8">
            <w:rPr>
              <w:lang w:val="en-US"/>
            </w:rPr>
            <w:fldChar w:fldCharType="begin"/>
          </w:r>
          <w:r w:rsidR="006705D8" w:rsidRPr="006705D8">
            <w:rPr>
              <w:lang w:val="en-US"/>
            </w:rPr>
            <w:instrText xml:space="preserve"> CITATION Nes14 \l 1043 </w:instrText>
          </w:r>
          <w:r w:rsidR="006705D8">
            <w:rPr>
              <w:lang w:val="en-US"/>
            </w:rPr>
            <w:fldChar w:fldCharType="separate"/>
          </w:r>
          <w:r w:rsidR="00B24268" w:rsidRPr="00B24268">
            <w:rPr>
              <w:noProof/>
              <w:lang w:val="en-US"/>
            </w:rPr>
            <w:t>(Nesta, Vona, &amp; Nicolli, 2014)</w:t>
          </w:r>
          <w:r w:rsidR="006705D8">
            <w:rPr>
              <w:lang w:val="en-US"/>
            </w:rPr>
            <w:fldChar w:fldCharType="end"/>
          </w:r>
        </w:sdtContent>
      </w:sdt>
      <w:sdt>
        <w:sdtPr>
          <w:rPr>
            <w:lang w:val="en-US"/>
          </w:rPr>
          <w:id w:val="-319654933"/>
          <w:citation/>
        </w:sdtPr>
        <w:sdtEndPr/>
        <w:sdtContent>
          <w:r w:rsidR="006705D8">
            <w:rPr>
              <w:lang w:val="en-US"/>
            </w:rPr>
            <w:fldChar w:fldCharType="begin"/>
          </w:r>
          <w:r w:rsidR="006705D8" w:rsidRPr="006705D8">
            <w:rPr>
              <w:lang w:val="en-US"/>
            </w:rPr>
            <w:instrText xml:space="preserve"> CITATION Cam15 \l 1043 </w:instrText>
          </w:r>
          <w:r w:rsidR="006705D8">
            <w:rPr>
              <w:lang w:val="en-US"/>
            </w:rPr>
            <w:fldChar w:fldCharType="separate"/>
          </w:r>
          <w:r w:rsidR="00B24268">
            <w:rPr>
              <w:noProof/>
              <w:lang w:val="en-US"/>
            </w:rPr>
            <w:t xml:space="preserve"> </w:t>
          </w:r>
          <w:r w:rsidR="00B24268" w:rsidRPr="00B24268">
            <w:rPr>
              <w:noProof/>
              <w:lang w:val="en-US"/>
            </w:rPr>
            <w:t>(Cambini, Caviggioli, &amp; Scellato, 2015)</w:t>
          </w:r>
          <w:r w:rsidR="006705D8">
            <w:rPr>
              <w:lang w:val="en-US"/>
            </w:rPr>
            <w:fldChar w:fldCharType="end"/>
          </w:r>
        </w:sdtContent>
      </w:sdt>
      <w:sdt>
        <w:sdtPr>
          <w:rPr>
            <w:lang w:val="en-US"/>
          </w:rPr>
          <w:id w:val="-634557355"/>
          <w:citation/>
        </w:sdtPr>
        <w:sdtEndPr/>
        <w:sdtContent>
          <w:r w:rsidR="00475D13">
            <w:rPr>
              <w:lang w:val="en-US"/>
            </w:rPr>
            <w:fldChar w:fldCharType="begin"/>
          </w:r>
          <w:r w:rsidR="00475D13" w:rsidRPr="00475D13">
            <w:rPr>
              <w:lang w:val="en-US"/>
            </w:rPr>
            <w:instrText xml:space="preserve"> CITATION Joh10 \l 1043 </w:instrText>
          </w:r>
          <w:r w:rsidR="00475D13">
            <w:rPr>
              <w:lang w:val="en-US"/>
            </w:rPr>
            <w:fldChar w:fldCharType="separate"/>
          </w:r>
          <w:r w:rsidR="00B24268">
            <w:rPr>
              <w:noProof/>
              <w:lang w:val="en-US"/>
            </w:rPr>
            <w:t xml:space="preserve"> </w:t>
          </w:r>
          <w:r w:rsidR="00B24268" w:rsidRPr="00B24268">
            <w:rPr>
              <w:noProof/>
              <w:lang w:val="en-US"/>
            </w:rPr>
            <w:t>(Johnstone, Haščič, &amp; Popp, 2010)</w:t>
          </w:r>
          <w:r w:rsidR="00475D13">
            <w:rPr>
              <w:lang w:val="en-US"/>
            </w:rPr>
            <w:fldChar w:fldCharType="end"/>
          </w:r>
        </w:sdtContent>
      </w:sdt>
      <w:r w:rsidR="00475D13">
        <w:rPr>
          <w:lang w:val="en-US"/>
        </w:rPr>
        <w:t>.</w:t>
      </w:r>
      <w:r w:rsidR="006705D8">
        <w:rPr>
          <w:lang w:val="en-US"/>
        </w:rPr>
        <w:t xml:space="preserve"> </w:t>
      </w:r>
      <w:r w:rsidR="00475D13">
        <w:rPr>
          <w:lang w:val="en-US"/>
        </w:rPr>
        <w:t>This</w:t>
      </w:r>
      <w:r w:rsidR="004A6901">
        <w:rPr>
          <w:lang w:val="en-US"/>
        </w:rPr>
        <w:t xml:space="preserve"> study </w:t>
      </w:r>
      <w:r w:rsidR="00475D13">
        <w:rPr>
          <w:lang w:val="en-US"/>
        </w:rPr>
        <w:t>also captures</w:t>
      </w:r>
      <w:r w:rsidR="004A6901">
        <w:rPr>
          <w:lang w:val="en-US"/>
        </w:rPr>
        <w:t xml:space="preserve"> renewable electricity innovations based on patent selections. Every patent </w:t>
      </w:r>
      <w:r w:rsidR="001E6B64">
        <w:rPr>
          <w:lang w:val="en-US"/>
        </w:rPr>
        <w:t>application</w:t>
      </w:r>
      <w:r w:rsidR="004A6901">
        <w:rPr>
          <w:lang w:val="en-US"/>
        </w:rPr>
        <w:t xml:space="preserve"> gets labeled according to its field of</w:t>
      </w:r>
      <w:r w:rsidR="001E6B64">
        <w:rPr>
          <w:lang w:val="en-US"/>
        </w:rPr>
        <w:t xml:space="preserve"> technology</w:t>
      </w:r>
      <w:r w:rsidR="004A6901">
        <w:rPr>
          <w:lang w:val="en-US"/>
        </w:rPr>
        <w:t>, based on the World Intellectual Property Organization’s (WIPO) International Patent Classification (IPC)</w:t>
      </w:r>
      <w:r w:rsidR="001E6B64">
        <w:rPr>
          <w:lang w:val="en-US"/>
        </w:rPr>
        <w:t xml:space="preserve"> system</w:t>
      </w:r>
      <w:sdt>
        <w:sdtPr>
          <w:rPr>
            <w:lang w:val="en-US"/>
          </w:rPr>
          <w:id w:val="-1587374550"/>
          <w:citation/>
        </w:sdtPr>
        <w:sdtEndPr/>
        <w:sdtContent>
          <w:r w:rsidR="009467F8">
            <w:rPr>
              <w:lang w:val="en-US"/>
            </w:rPr>
            <w:fldChar w:fldCharType="begin"/>
          </w:r>
          <w:r w:rsidR="009467F8" w:rsidRPr="009467F8">
            <w:rPr>
              <w:lang w:val="en-US"/>
            </w:rPr>
            <w:instrText xml:space="preserve"> CITATION WIP15 \l 1043 </w:instrText>
          </w:r>
          <w:r w:rsidR="009467F8">
            <w:rPr>
              <w:lang w:val="en-US"/>
            </w:rPr>
            <w:fldChar w:fldCharType="separate"/>
          </w:r>
          <w:r w:rsidR="00B24268">
            <w:rPr>
              <w:noProof/>
              <w:lang w:val="en-US"/>
            </w:rPr>
            <w:t xml:space="preserve"> </w:t>
          </w:r>
          <w:r w:rsidR="00B24268" w:rsidRPr="00B24268">
            <w:rPr>
              <w:noProof/>
              <w:lang w:val="en-US"/>
            </w:rPr>
            <w:t>(WIPO, 2015)</w:t>
          </w:r>
          <w:r w:rsidR="009467F8">
            <w:rPr>
              <w:lang w:val="en-US"/>
            </w:rPr>
            <w:fldChar w:fldCharType="end"/>
          </w:r>
        </w:sdtContent>
      </w:sdt>
      <w:r w:rsidR="001E6B64">
        <w:rPr>
          <w:lang w:val="en-US"/>
        </w:rPr>
        <w:t>. The IPC system is organized in sections A-H, where for example section E covers Fixed Constructions, section G covers Physics and section H covers Electricity. Section H is subdivided in H01-H05 and H99, where for example H01 covers basic electric elements, and H02 covers Generation, Conversion, or Distribution of Electric power. All these subdivisions are further specified t</w:t>
      </w:r>
      <w:r w:rsidR="00CA0CF5">
        <w:rPr>
          <w:lang w:val="en-US"/>
        </w:rPr>
        <w:t xml:space="preserve">o fields of technology. A patent application can be labeled with multiple IPC codes. </w:t>
      </w:r>
    </w:p>
    <w:p w14:paraId="14EE9F63" w14:textId="1962F7D4" w:rsidR="00CA0CF5" w:rsidRDefault="00CA0CF5" w:rsidP="004E4947">
      <w:pPr>
        <w:rPr>
          <w:lang w:val="en-US"/>
        </w:rPr>
      </w:pPr>
      <w:r>
        <w:rPr>
          <w:lang w:val="en-US"/>
        </w:rPr>
        <w:t xml:space="preserve">These IPC codes can be used to select only those patents with at least one IPC code relating to renewable electricity innovation. </w:t>
      </w:r>
      <w:r w:rsidR="00CD1CC2">
        <w:rPr>
          <w:lang w:val="en-US"/>
        </w:rPr>
        <w:t>The relevant IPC codes are the same for this study as for previous research on renewable electricity</w:t>
      </w:r>
      <w:sdt>
        <w:sdtPr>
          <w:rPr>
            <w:lang w:val="en-US"/>
          </w:rPr>
          <w:id w:val="1513885844"/>
          <w:citation/>
        </w:sdtPr>
        <w:sdtEndPr/>
        <w:sdtContent>
          <w:r w:rsidR="00CD1CC2">
            <w:rPr>
              <w:lang w:val="en-US"/>
            </w:rPr>
            <w:fldChar w:fldCharType="begin"/>
          </w:r>
          <w:r w:rsidR="00CD1CC2" w:rsidRPr="00CD1CC2">
            <w:rPr>
              <w:lang w:val="en-US"/>
            </w:rPr>
            <w:instrText xml:space="preserve"> CITATION Joh10 \l 1043 </w:instrText>
          </w:r>
          <w:r w:rsidR="00CD1CC2">
            <w:rPr>
              <w:lang w:val="en-US"/>
            </w:rPr>
            <w:fldChar w:fldCharType="separate"/>
          </w:r>
          <w:r w:rsidR="00B24268">
            <w:rPr>
              <w:noProof/>
              <w:lang w:val="en-US"/>
            </w:rPr>
            <w:t xml:space="preserve"> </w:t>
          </w:r>
          <w:r w:rsidR="00B24268" w:rsidRPr="00B24268">
            <w:rPr>
              <w:noProof/>
              <w:lang w:val="en-US"/>
            </w:rPr>
            <w:t>(Johnstone, Haščič, &amp; Popp, 2010)</w:t>
          </w:r>
          <w:r w:rsidR="00CD1CC2">
            <w:rPr>
              <w:lang w:val="en-US"/>
            </w:rPr>
            <w:fldChar w:fldCharType="end"/>
          </w:r>
        </w:sdtContent>
      </w:sdt>
      <w:sdt>
        <w:sdtPr>
          <w:rPr>
            <w:lang w:val="en-US"/>
          </w:rPr>
          <w:id w:val="1635365567"/>
          <w:citation/>
        </w:sdtPr>
        <w:sdtEndPr/>
        <w:sdtContent>
          <w:r w:rsidR="00B319F9">
            <w:rPr>
              <w:lang w:val="en-US"/>
            </w:rPr>
            <w:fldChar w:fldCharType="begin"/>
          </w:r>
          <w:r w:rsidR="00B319F9" w:rsidRPr="00B319F9">
            <w:rPr>
              <w:lang w:val="en-US"/>
            </w:rPr>
            <w:instrText xml:space="preserve"> CITATION Nes14 \l 1043 </w:instrText>
          </w:r>
          <w:r w:rsidR="00B319F9">
            <w:rPr>
              <w:lang w:val="en-US"/>
            </w:rPr>
            <w:fldChar w:fldCharType="separate"/>
          </w:r>
          <w:r w:rsidR="00B24268">
            <w:rPr>
              <w:noProof/>
              <w:lang w:val="en-US"/>
            </w:rPr>
            <w:t xml:space="preserve"> </w:t>
          </w:r>
          <w:r w:rsidR="00B24268" w:rsidRPr="00B24268">
            <w:rPr>
              <w:noProof/>
              <w:lang w:val="en-US"/>
            </w:rPr>
            <w:t>(Nesta, Vona, &amp; Nicolli, 2014)</w:t>
          </w:r>
          <w:r w:rsidR="00B319F9">
            <w:rPr>
              <w:lang w:val="en-US"/>
            </w:rPr>
            <w:fldChar w:fldCharType="end"/>
          </w:r>
        </w:sdtContent>
      </w:sdt>
      <w:r w:rsidR="00CD1CC2">
        <w:rPr>
          <w:lang w:val="en-US"/>
        </w:rPr>
        <w:t>.</w:t>
      </w:r>
      <w:r w:rsidR="004647D7">
        <w:rPr>
          <w:lang w:val="en-US"/>
        </w:rPr>
        <w:t xml:space="preserve"> One of the main benefits of using IPC codes to select renewable electricity patents is the ease of selection. One problem is the risk of selecting patents that do have one of the relevant IPC codes, but in fact are not related to renewable electricity innovation. In this case, the search selects more patents than those related to renewable electricity innovation. </w:t>
      </w:r>
      <w:r w:rsidR="00543B0E">
        <w:rPr>
          <w:lang w:val="en-US"/>
        </w:rPr>
        <w:t xml:space="preserve">The patent office is responsible for assigning IPC codes to a patent application, and therefore this risk can be assumed to be non-substantial. </w:t>
      </w:r>
      <w:r w:rsidR="004647D7">
        <w:rPr>
          <w:lang w:val="en-US"/>
        </w:rPr>
        <w:t xml:space="preserve">At the same time, it is possible to miss innovations that are in fact related to renewable electricity innovation, but not recognized as </w:t>
      </w:r>
      <w:r w:rsidR="00C511D6">
        <w:rPr>
          <w:lang w:val="en-US"/>
        </w:rPr>
        <w:t xml:space="preserve">such by the patent office. </w:t>
      </w:r>
    </w:p>
    <w:p w14:paraId="21655AD4" w14:textId="77777777" w:rsidR="002371F5" w:rsidRDefault="002371F5" w:rsidP="002371F5">
      <w:pPr>
        <w:pStyle w:val="Heading4"/>
        <w:rPr>
          <w:lang w:val="en-US"/>
        </w:rPr>
      </w:pPr>
      <w:r>
        <w:rPr>
          <w:lang w:val="en-US"/>
        </w:rPr>
        <w:t>Entry</w:t>
      </w:r>
    </w:p>
    <w:p w14:paraId="485A43E4" w14:textId="77777777" w:rsidR="002371F5" w:rsidRDefault="00C121A6" w:rsidP="002371F5">
      <w:pPr>
        <w:rPr>
          <w:lang w:val="en-US"/>
        </w:rPr>
      </w:pPr>
      <w:r>
        <w:rPr>
          <w:lang w:val="en-US"/>
        </w:rPr>
        <w:t xml:space="preserve">As innovation is already a slippery concept, entry in innovation may seem even trickier to define and interpret. As mentioned in the literature section, the purpose of studying entry in renewable </w:t>
      </w:r>
      <w:r>
        <w:rPr>
          <w:lang w:val="en-US"/>
        </w:rPr>
        <w:lastRenderedPageBreak/>
        <w:t xml:space="preserve">electricity innovation is to test for two theories: knowledge spillovers increase renewable electricity innovation, and competition decreases it. </w:t>
      </w:r>
      <w:r w:rsidR="0004599D">
        <w:rPr>
          <w:lang w:val="en-US"/>
        </w:rPr>
        <w:t>It is beyond the scope of this study to disentangle these two effects if both exist. This study aims to determine the net result of liberalization on entry in the innovative process.</w:t>
      </w:r>
      <w:r w:rsidR="000D326C">
        <w:rPr>
          <w:lang w:val="en-US"/>
        </w:rPr>
        <w:t xml:space="preserve"> The following section will first define entry, and after that provide t</w:t>
      </w:r>
      <w:r w:rsidR="0084183D">
        <w:rPr>
          <w:lang w:val="en-US"/>
        </w:rPr>
        <w:t>wo</w:t>
      </w:r>
      <w:r w:rsidR="000D326C">
        <w:rPr>
          <w:lang w:val="en-US"/>
        </w:rPr>
        <w:t xml:space="preserve"> measures of entry in the renewable electricity innovation process.</w:t>
      </w:r>
    </w:p>
    <w:p w14:paraId="49EB699B" w14:textId="748A68C5" w:rsidR="00CB32B4" w:rsidRDefault="005438A2" w:rsidP="002371F5">
      <w:pPr>
        <w:rPr>
          <w:lang w:val="en-US"/>
        </w:rPr>
      </w:pPr>
      <w:r>
        <w:rPr>
          <w:lang w:val="en-US"/>
        </w:rPr>
        <w:t>In this study,</w:t>
      </w:r>
      <w:r w:rsidR="000D326C">
        <w:rPr>
          <w:lang w:val="en-US"/>
        </w:rPr>
        <w:t xml:space="preserve"> firms are defined to</w:t>
      </w:r>
      <w:r>
        <w:rPr>
          <w:lang w:val="en-US"/>
        </w:rPr>
        <w:t xml:space="preserve"> ent</w:t>
      </w:r>
      <w:r w:rsidR="000D326C">
        <w:rPr>
          <w:lang w:val="en-US"/>
        </w:rPr>
        <w:t xml:space="preserve">er </w:t>
      </w:r>
      <w:r>
        <w:rPr>
          <w:lang w:val="en-US"/>
        </w:rPr>
        <w:t>the renewable electricity innovation proces</w:t>
      </w:r>
      <w:r w:rsidR="000D326C">
        <w:rPr>
          <w:lang w:val="en-US"/>
        </w:rPr>
        <w:t xml:space="preserve">s if they file a patent application in the field of renewable electricity technology. </w:t>
      </w:r>
      <w:r w:rsidR="00B24268">
        <w:rPr>
          <w:lang w:val="en-US"/>
        </w:rPr>
        <w:t xml:space="preserve">It is unobservable when firms put effort in innovation. It is however probable that firms enter the renewable electricity innovation process when they put effort in it. Data on R&amp;D efforts is (limited) available, but even firms do not know if their innovative effort results in renewable electricity innovation. A definition of entry, based on output measures of innovation, is therefore much easier to quantify and defend. </w:t>
      </w:r>
      <w:r w:rsidR="0084183D">
        <w:rPr>
          <w:lang w:val="en-US"/>
        </w:rPr>
        <w:t xml:space="preserve">The first measure of entry is the total number of firms that file a patent application in a given year. </w:t>
      </w:r>
      <w:r w:rsidR="001545FC">
        <w:rPr>
          <w:lang w:val="en-US"/>
        </w:rPr>
        <w:t xml:space="preserve">An increase in the total number of firms that file a patent application indicates an increase in entry in the renewable electricity innovation. </w:t>
      </w:r>
      <w:r w:rsidR="0084183D">
        <w:rPr>
          <w:lang w:val="en-US"/>
        </w:rPr>
        <w:t xml:space="preserve">The second measure </w:t>
      </w:r>
      <w:r w:rsidR="00E554F1">
        <w:rPr>
          <w:lang w:val="en-US"/>
        </w:rPr>
        <w:t xml:space="preserve">of entry </w:t>
      </w:r>
      <w:r w:rsidR="0084183D">
        <w:rPr>
          <w:lang w:val="en-US"/>
        </w:rPr>
        <w:t xml:space="preserve">is the average number of patent applications per firm in a given year. </w:t>
      </w:r>
      <w:r w:rsidR="001545FC">
        <w:rPr>
          <w:lang w:val="en-US"/>
        </w:rPr>
        <w:t>An increase in the total number of firms that file a patent application could also be explained by an inc</w:t>
      </w:r>
      <w:r w:rsidR="00E554F1">
        <w:rPr>
          <w:lang w:val="en-US"/>
        </w:rPr>
        <w:t xml:space="preserve">rease of the total market size (e.g. total number of patent applications). An increase in the average number of patent applications indicates a relative decrease in entry, since the market size increases at a higher rate than the total number of firms in the market. </w:t>
      </w:r>
    </w:p>
    <w:p w14:paraId="673F28BC" w14:textId="77777777" w:rsidR="00B13B63" w:rsidRDefault="00B13B63" w:rsidP="00B13B63">
      <w:pPr>
        <w:pStyle w:val="Heading4"/>
        <w:rPr>
          <w:lang w:val="en-US"/>
        </w:rPr>
      </w:pPr>
      <w:r>
        <w:rPr>
          <w:lang w:val="en-US"/>
        </w:rPr>
        <w:t>Qua</w:t>
      </w:r>
      <w:r w:rsidR="00DE1A2A">
        <w:rPr>
          <w:lang w:val="en-US"/>
        </w:rPr>
        <w:t>nt</w:t>
      </w:r>
      <w:r>
        <w:rPr>
          <w:lang w:val="en-US"/>
        </w:rPr>
        <w:t>ity and Qua</w:t>
      </w:r>
      <w:r w:rsidR="00DE1A2A">
        <w:rPr>
          <w:lang w:val="en-US"/>
        </w:rPr>
        <w:t>li</w:t>
      </w:r>
      <w:r>
        <w:rPr>
          <w:lang w:val="en-US"/>
        </w:rPr>
        <w:t>ty of innovative output</w:t>
      </w:r>
    </w:p>
    <w:p w14:paraId="7D0AB4CC" w14:textId="77777777" w:rsidR="00DE1A2A" w:rsidRDefault="00DE1A2A" w:rsidP="00A16F65">
      <w:pPr>
        <w:rPr>
          <w:lang w:val="en-US"/>
        </w:rPr>
      </w:pPr>
      <w:r>
        <w:rPr>
          <w:lang w:val="en-US"/>
        </w:rPr>
        <w:t xml:space="preserve">The quantity of innovative output is easy to define as the total number of patent applications in a given year. The quality of patents </w:t>
      </w:r>
      <w:r w:rsidR="00E554F1">
        <w:rPr>
          <w:lang w:val="en-US"/>
        </w:rPr>
        <w:t xml:space="preserve">can be defined as the economic </w:t>
      </w:r>
      <w:r w:rsidR="00D56089">
        <w:rPr>
          <w:lang w:val="en-US"/>
        </w:rPr>
        <w:t>impact</w:t>
      </w:r>
      <w:r w:rsidR="00E554F1">
        <w:rPr>
          <w:lang w:val="en-US"/>
        </w:rPr>
        <w:t xml:space="preserve"> of a patent. </w:t>
      </w:r>
    </w:p>
    <w:p w14:paraId="1EC6E3A8" w14:textId="77777777" w:rsidR="00D56089" w:rsidRPr="00650FEB" w:rsidRDefault="00D56089" w:rsidP="00D56089">
      <w:pPr>
        <w:ind w:left="708"/>
        <w:rPr>
          <w:i/>
          <w:lang w:val="en-US"/>
        </w:rPr>
      </w:pPr>
      <w:r w:rsidRPr="00A77351">
        <w:rPr>
          <w:i/>
          <w:lang w:val="en-US"/>
        </w:rPr>
        <w:t>“Patents are a flawed measure (of innovative output); particularly since not all new innovations are patented and since patents differ in their economic impact”.</w:t>
      </w:r>
      <w:r>
        <w:rPr>
          <w:i/>
          <w:lang w:val="en-US"/>
        </w:rPr>
        <w:t xml:space="preserve"> </w:t>
      </w:r>
      <w:sdt>
        <w:sdtPr>
          <w:rPr>
            <w:i/>
            <w:lang w:val="en-US"/>
          </w:rPr>
          <w:id w:val="-491634890"/>
          <w:citation/>
        </w:sdtPr>
        <w:sdtEndPr/>
        <w:sdtContent>
          <w:r>
            <w:rPr>
              <w:i/>
              <w:lang w:val="en-US"/>
            </w:rPr>
            <w:fldChar w:fldCharType="begin"/>
          </w:r>
          <w:r w:rsidR="00EF7F28">
            <w:rPr>
              <w:i/>
              <w:lang w:val="en-US"/>
            </w:rPr>
            <w:instrText xml:space="preserve">CITATION Pak80 \p 5 \l 1043 </w:instrText>
          </w:r>
          <w:r>
            <w:rPr>
              <w:i/>
              <w:lang w:val="en-US"/>
            </w:rPr>
            <w:fldChar w:fldCharType="separate"/>
          </w:r>
          <w:r w:rsidR="00B24268" w:rsidRPr="00B24268">
            <w:rPr>
              <w:noProof/>
              <w:lang w:val="en-US"/>
            </w:rPr>
            <w:t>(Pakes &amp; Griliches, 1980, p. 5)</w:t>
          </w:r>
          <w:r>
            <w:rPr>
              <w:i/>
              <w:lang w:val="en-US"/>
            </w:rPr>
            <w:fldChar w:fldCharType="end"/>
          </w:r>
        </w:sdtContent>
      </w:sdt>
      <w:r w:rsidR="00EF7F28">
        <w:rPr>
          <w:i/>
          <w:lang w:val="en-US"/>
        </w:rPr>
        <w:t xml:space="preserve"> </w:t>
      </w:r>
    </w:p>
    <w:p w14:paraId="4F186D16" w14:textId="77777777" w:rsidR="00D56089" w:rsidRPr="00143A13" w:rsidRDefault="00D56089" w:rsidP="00D56089">
      <w:pPr>
        <w:rPr>
          <w:lang w:val="en-US"/>
        </w:rPr>
      </w:pPr>
      <w:r>
        <w:rPr>
          <w:lang w:val="en-US"/>
        </w:rPr>
        <w:lastRenderedPageBreak/>
        <w:t xml:space="preserve">One of the most powerful proxies of patent </w:t>
      </w:r>
      <w:r w:rsidR="00D57582">
        <w:rPr>
          <w:lang w:val="en-US"/>
        </w:rPr>
        <w:t>quality</w:t>
      </w:r>
      <w:r>
        <w:rPr>
          <w:lang w:val="en-US"/>
        </w:rPr>
        <w:t xml:space="preserve"> is patent litigation</w:t>
      </w:r>
      <w:sdt>
        <w:sdtPr>
          <w:rPr>
            <w:lang w:val="en-US"/>
          </w:rPr>
          <w:id w:val="1498454579"/>
          <w:citation/>
        </w:sdtPr>
        <w:sdtEndPr/>
        <w:sdtContent>
          <w:r>
            <w:rPr>
              <w:lang w:val="en-US"/>
            </w:rPr>
            <w:fldChar w:fldCharType="begin"/>
          </w:r>
          <w:r w:rsidRPr="002472FD">
            <w:rPr>
              <w:lang w:val="en-US"/>
            </w:rPr>
            <w:instrText xml:space="preserve"> CITATION All04 \l 1043 </w:instrText>
          </w:r>
          <w:r>
            <w:rPr>
              <w:lang w:val="en-US"/>
            </w:rPr>
            <w:fldChar w:fldCharType="separate"/>
          </w:r>
          <w:r w:rsidR="00B24268">
            <w:rPr>
              <w:noProof/>
              <w:lang w:val="en-US"/>
            </w:rPr>
            <w:t xml:space="preserve"> </w:t>
          </w:r>
          <w:r w:rsidR="00B24268" w:rsidRPr="00B24268">
            <w:rPr>
              <w:noProof/>
              <w:lang w:val="en-US"/>
            </w:rPr>
            <w:t>(Allison, Lemley, Moore, &amp; Trunkey, 2004)</w:t>
          </w:r>
          <w:r>
            <w:rPr>
              <w:lang w:val="en-US"/>
            </w:rPr>
            <w:fldChar w:fldCharType="end"/>
          </w:r>
        </w:sdtContent>
      </w:sdt>
      <w:r>
        <w:rPr>
          <w:lang w:val="en-US"/>
        </w:rPr>
        <w:t xml:space="preserve">. </w:t>
      </w:r>
      <w:r w:rsidR="00D57582">
        <w:rPr>
          <w:lang w:val="en-US"/>
        </w:rPr>
        <w:t>However, this proxy does not enter this study because it is too time consuming</w:t>
      </w:r>
      <w:r w:rsidR="00E611F4">
        <w:rPr>
          <w:lang w:val="en-US"/>
        </w:rPr>
        <w:t xml:space="preserve"> to study</w:t>
      </w:r>
      <w:r w:rsidR="00D57582">
        <w:rPr>
          <w:lang w:val="en-US"/>
        </w:rPr>
        <w:t>.</w:t>
      </w:r>
      <w:r w:rsidR="00AB6847">
        <w:rPr>
          <w:lang w:val="en-US"/>
        </w:rPr>
        <w:t xml:space="preserve"> Other measures of patent quality are patent family size (in how much </w:t>
      </w:r>
      <w:r w:rsidR="00E611F4">
        <w:rPr>
          <w:lang w:val="en-US"/>
        </w:rPr>
        <w:t>countries give</w:t>
      </w:r>
      <w:r w:rsidR="00AB6847">
        <w:rPr>
          <w:lang w:val="en-US"/>
        </w:rPr>
        <w:t xml:space="preserve"> the patent protection), </w:t>
      </w:r>
      <w:r w:rsidR="00E611F4">
        <w:rPr>
          <w:lang w:val="en-US"/>
        </w:rPr>
        <w:t xml:space="preserve">renewal fee payments, </w:t>
      </w:r>
      <w:r w:rsidR="00AB6847">
        <w:rPr>
          <w:lang w:val="en-US"/>
        </w:rPr>
        <w:t xml:space="preserve">patent </w:t>
      </w:r>
      <w:r w:rsidR="00E611F4">
        <w:rPr>
          <w:lang w:val="en-US"/>
        </w:rPr>
        <w:t>grants and patent citations</w:t>
      </w:r>
      <w:sdt>
        <w:sdtPr>
          <w:rPr>
            <w:lang w:val="en-US"/>
          </w:rPr>
          <w:id w:val="-414326930"/>
          <w:citation/>
        </w:sdtPr>
        <w:sdtEndPr/>
        <w:sdtContent>
          <w:r w:rsidR="00E611F4">
            <w:rPr>
              <w:lang w:val="en-US"/>
            </w:rPr>
            <w:fldChar w:fldCharType="begin"/>
          </w:r>
          <w:r w:rsidR="00E611F4" w:rsidRPr="00E611F4">
            <w:rPr>
              <w:lang w:val="en-US"/>
            </w:rPr>
            <w:instrText xml:space="preserve"> CITATION Har02 \l 1043 </w:instrText>
          </w:r>
          <w:r w:rsidR="00E611F4">
            <w:rPr>
              <w:lang w:val="en-US"/>
            </w:rPr>
            <w:fldChar w:fldCharType="separate"/>
          </w:r>
          <w:r w:rsidR="00B24268">
            <w:rPr>
              <w:noProof/>
              <w:lang w:val="en-US"/>
            </w:rPr>
            <w:t xml:space="preserve"> </w:t>
          </w:r>
          <w:r w:rsidR="00B24268" w:rsidRPr="00B24268">
            <w:rPr>
              <w:noProof/>
              <w:lang w:val="en-US"/>
            </w:rPr>
            <w:t>(Harhoff, Scherer, &amp; Vopel, 2002)</w:t>
          </w:r>
          <w:r w:rsidR="00E611F4">
            <w:rPr>
              <w:lang w:val="en-US"/>
            </w:rPr>
            <w:fldChar w:fldCharType="end"/>
          </w:r>
        </w:sdtContent>
      </w:sdt>
      <w:r w:rsidR="00E611F4">
        <w:rPr>
          <w:lang w:val="en-US"/>
        </w:rPr>
        <w:t xml:space="preserve">. This study relies on grants and citations. </w:t>
      </w:r>
    </w:p>
    <w:p w14:paraId="43BF7A59" w14:textId="77777777" w:rsidR="00772CC9" w:rsidRPr="002A6035" w:rsidRDefault="00772CC9" w:rsidP="00A16F65">
      <w:pPr>
        <w:rPr>
          <w:noProof/>
          <w:lang w:val="en-US" w:eastAsia="nl-NL"/>
        </w:rPr>
      </w:pPr>
    </w:p>
    <w:p w14:paraId="771DC2A6" w14:textId="66341DE9" w:rsidR="00A16F65" w:rsidRDefault="00033179" w:rsidP="00A16F65">
      <w:pPr>
        <w:rPr>
          <w:lang w:val="en-US"/>
        </w:rPr>
      </w:pPr>
      <w:r>
        <w:rPr>
          <w:noProof/>
          <w:lang w:val="en-GB" w:eastAsia="en-GB"/>
        </w:rPr>
        <mc:AlternateContent>
          <mc:Choice Requires="wps">
            <w:drawing>
              <wp:anchor distT="0" distB="0" distL="114300" distR="114300" simplePos="0" relativeHeight="251672576" behindDoc="0" locked="0" layoutInCell="1" allowOverlap="1" wp14:anchorId="786C6635" wp14:editId="7199F50A">
                <wp:simplePos x="0" y="0"/>
                <wp:positionH relativeFrom="column">
                  <wp:posOffset>38100</wp:posOffset>
                </wp:positionH>
                <wp:positionV relativeFrom="paragraph">
                  <wp:posOffset>3891280</wp:posOffset>
                </wp:positionV>
                <wp:extent cx="5468620" cy="6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468620" cy="635"/>
                        </a:xfrm>
                        <a:prstGeom prst="rect">
                          <a:avLst/>
                        </a:prstGeom>
                        <a:solidFill>
                          <a:prstClr val="white"/>
                        </a:solidFill>
                        <a:ln>
                          <a:noFill/>
                        </a:ln>
                        <a:effectLst/>
                      </wps:spPr>
                      <wps:txbx>
                        <w:txbxContent>
                          <w:p w14:paraId="4564DA41" w14:textId="562DA782" w:rsidR="00221BBB" w:rsidRPr="00033179" w:rsidRDefault="00221BBB" w:rsidP="00033179">
                            <w:pPr>
                              <w:pStyle w:val="Caption"/>
                              <w:rPr>
                                <w:noProof/>
                                <w:lang w:val="en-US"/>
                              </w:rPr>
                            </w:pPr>
                            <w:r w:rsidRPr="00033179">
                              <w:rPr>
                                <w:lang w:val="en-US"/>
                              </w:rPr>
                              <w:t xml:space="preserve">Figure </w:t>
                            </w:r>
                            <w:r>
                              <w:fldChar w:fldCharType="begin"/>
                            </w:r>
                            <w:r w:rsidRPr="00033179">
                              <w:rPr>
                                <w:lang w:val="en-US"/>
                              </w:rPr>
                              <w:instrText xml:space="preserve"> SEQ Figure \* ARABIC </w:instrText>
                            </w:r>
                            <w:r>
                              <w:fldChar w:fldCharType="separate"/>
                            </w:r>
                            <w:r>
                              <w:rPr>
                                <w:noProof/>
                                <w:lang w:val="en-US"/>
                              </w:rPr>
                              <w:t>1</w:t>
                            </w:r>
                            <w:r>
                              <w:fldChar w:fldCharType="end"/>
                            </w:r>
                            <w:r w:rsidRPr="00033179">
                              <w:rPr>
                                <w:lang w:val="en-US"/>
                              </w:rPr>
                              <w:t>: Inventions, patent applications, patent grants and the value of inventions. The darker area represents more valuable inventions</w:t>
                            </w:r>
                            <w:sdt>
                              <w:sdtPr>
                                <w:id w:val="1531298717"/>
                                <w:citation/>
                              </w:sdtPr>
                              <w:sdtEndPr/>
                              <w:sdtContent>
                                <w:r>
                                  <w:fldChar w:fldCharType="begin"/>
                                </w:r>
                                <w:r w:rsidRPr="00033179">
                                  <w:rPr>
                                    <w:lang w:val="en-US"/>
                                  </w:rPr>
                                  <w:instrText xml:space="preserve"> CITATION Gue00 \l 1043 </w:instrText>
                                </w:r>
                                <w:r>
                                  <w:fldChar w:fldCharType="separate"/>
                                </w:r>
                                <w:r w:rsidR="00B24268">
                                  <w:rPr>
                                    <w:noProof/>
                                    <w:lang w:val="en-US"/>
                                  </w:rPr>
                                  <w:t xml:space="preserve"> </w:t>
                                </w:r>
                                <w:r w:rsidR="00B24268" w:rsidRPr="00B24268">
                                  <w:rPr>
                                    <w:noProof/>
                                    <w:lang w:val="en-US"/>
                                  </w:rPr>
                                  <w:t>(Guellec &amp; Pottelsberghe de la Potterie, 2000)</w:t>
                                </w:r>
                                <w:r>
                                  <w:fldChar w:fldCharType="end"/>
                                </w:r>
                              </w:sdtContent>
                            </w:sdt>
                            <w:r w:rsidRPr="00033179">
                              <w:rPr>
                                <w:lang w:val="en-US"/>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86C6635" id="_x0000_t202" coordsize="21600,21600" o:spt="202" path="m,l,21600r21600,l21600,xe">
                <v:stroke joinstyle="miter"/>
                <v:path gradientshapeok="t" o:connecttype="rect"/>
              </v:shapetype>
              <v:shape id="Text Box 1" o:spid="_x0000_s1026" type="#_x0000_t202" style="position:absolute;left:0;text-align:left;margin-left:3pt;margin-top:306.4pt;width:430.6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" stroked="f">
                <v:textbox style="mso-fit-shape-to-text:t" inset="0,0,0,0">
                  <w:txbxContent>
                    <w:p w14:paraId="4564DA41" w14:textId="562DA782" w:rsidR="00221BBB" w:rsidRPr="00033179" w:rsidRDefault="00221BBB" w:rsidP="00033179">
                      <w:pPr>
                        <w:pStyle w:val="Caption"/>
                        <w:rPr>
                          <w:noProof/>
                          <w:lang w:val="en-US"/>
                        </w:rPr>
                      </w:pPr>
                      <w:r w:rsidRPr="00033179">
                        <w:rPr>
                          <w:lang w:val="en-US"/>
                        </w:rPr>
                        <w:t xml:space="preserve">Figure </w:t>
                      </w:r>
                      <w:r>
                        <w:fldChar w:fldCharType="begin"/>
                      </w:r>
                      <w:r w:rsidRPr="00033179">
                        <w:rPr>
                          <w:lang w:val="en-US"/>
                        </w:rPr>
                        <w:instrText xml:space="preserve"> SEQ Figure \* ARABIC </w:instrText>
                      </w:r>
                      <w:r>
                        <w:fldChar w:fldCharType="separate"/>
                      </w:r>
                      <w:r>
                        <w:rPr>
                          <w:noProof/>
                          <w:lang w:val="en-US"/>
                        </w:rPr>
                        <w:t>1</w:t>
                      </w:r>
                      <w:r>
                        <w:fldChar w:fldCharType="end"/>
                      </w:r>
                      <w:r w:rsidRPr="00033179">
                        <w:rPr>
                          <w:lang w:val="en-US"/>
                        </w:rPr>
                        <w:t>: Inventions, patent applications, patent grants and the value of inventions. The darker area represents more valuable inventions</w:t>
                      </w:r>
                      <w:sdt>
                        <w:sdtPr>
                          <w:id w:val="1531298717"/>
                          <w:citation/>
                        </w:sdtPr>
                        <w:sdtEndPr/>
                        <w:sdtContent>
                          <w:r>
                            <w:fldChar w:fldCharType="begin"/>
                          </w:r>
                          <w:r w:rsidRPr="00033179">
                            <w:rPr>
                              <w:lang w:val="en-US"/>
                            </w:rPr>
                            <w:instrText xml:space="preserve"> CITATION Gue00 \l 1043 </w:instrText>
                          </w:r>
                          <w:r>
                            <w:fldChar w:fldCharType="separate"/>
                          </w:r>
                          <w:r w:rsidR="00B24268">
                            <w:rPr>
                              <w:noProof/>
                              <w:lang w:val="en-US"/>
                            </w:rPr>
                            <w:t xml:space="preserve"> </w:t>
                          </w:r>
                          <w:r w:rsidR="00B24268" w:rsidRPr="00B24268">
                            <w:rPr>
                              <w:noProof/>
                              <w:lang w:val="en-US"/>
                            </w:rPr>
                            <w:t>(Guellec &amp; Pottelsberghe de la Potterie, 2000)</w:t>
                          </w:r>
                          <w:r>
                            <w:fldChar w:fldCharType="end"/>
                          </w:r>
                        </w:sdtContent>
                      </w:sdt>
                      <w:r w:rsidRPr="00033179">
                        <w:rPr>
                          <w:lang w:val="en-US"/>
                        </w:rPr>
                        <w:t xml:space="preserve">. </w:t>
                      </w:r>
                    </w:p>
                  </w:txbxContent>
                </v:textbox>
                <w10:wrap type="square"/>
              </v:shape>
            </w:pict>
          </mc:Fallback>
        </mc:AlternateContent>
      </w:r>
      <w:r w:rsidR="00475D13">
        <w:rPr>
          <w:noProof/>
          <w:lang w:val="en-GB" w:eastAsia="en-GB"/>
        </w:rPr>
        <w:drawing>
          <wp:anchor distT="0" distB="0" distL="114300" distR="114300" simplePos="0" relativeHeight="251669504" behindDoc="0" locked="0" layoutInCell="1" allowOverlap="1" wp14:anchorId="7166721C" wp14:editId="023481C7">
            <wp:simplePos x="0" y="0"/>
            <wp:positionH relativeFrom="column">
              <wp:posOffset>38100</wp:posOffset>
            </wp:positionH>
            <wp:positionV relativeFrom="paragraph">
              <wp:posOffset>1934210</wp:posOffset>
            </wp:positionV>
            <wp:extent cx="5468620" cy="1899920"/>
            <wp:effectExtent l="0" t="0" r="0" b="5080"/>
            <wp:wrapSquare wrapText="bothSides"/>
            <wp:docPr id="5" name="Picture 5" descr="http://ars.els-cdn.com/content/image/1-s2.0-S0165176500002652-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s.els-cdn.com/content/image/1-s2.0-S0165176500002652-gr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68620" cy="189992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F65">
        <w:rPr>
          <w:lang w:val="en-US"/>
        </w:rPr>
        <w:t>Whether a patent application gets granted or not, may say something about its value</w:t>
      </w:r>
      <w:r w:rsidR="00B13B63">
        <w:rPr>
          <w:lang w:val="en-US"/>
        </w:rPr>
        <w:t xml:space="preserve"> </w:t>
      </w:r>
      <w:sdt>
        <w:sdtPr>
          <w:rPr>
            <w:lang w:val="en-US"/>
          </w:rPr>
          <w:id w:val="-1602032988"/>
          <w:citation/>
        </w:sdtPr>
        <w:sdtEndPr/>
        <w:sdtContent>
          <w:r w:rsidR="00A16F65">
            <w:rPr>
              <w:lang w:val="en-US"/>
            </w:rPr>
            <w:fldChar w:fldCharType="begin"/>
          </w:r>
          <w:r w:rsidR="00A16F65" w:rsidRPr="001D6E6F">
            <w:rPr>
              <w:lang w:val="en-US"/>
            </w:rPr>
            <w:instrText xml:space="preserve"> CITATION Gue00 \l 1043 </w:instrText>
          </w:r>
          <w:r w:rsidR="00A16F65">
            <w:rPr>
              <w:lang w:val="en-US"/>
            </w:rPr>
            <w:fldChar w:fldCharType="separate"/>
          </w:r>
          <w:r w:rsidR="00B24268" w:rsidRPr="00B24268">
            <w:rPr>
              <w:noProof/>
              <w:lang w:val="en-US"/>
            </w:rPr>
            <w:t>(Guellec &amp; Pottelsberghe de la Potterie, 2000)</w:t>
          </w:r>
          <w:r w:rsidR="00A16F65">
            <w:rPr>
              <w:lang w:val="en-US"/>
            </w:rPr>
            <w:fldChar w:fldCharType="end"/>
          </w:r>
        </w:sdtContent>
      </w:sdt>
      <w:r w:rsidR="00A16F65">
        <w:rPr>
          <w:lang w:val="en-US"/>
        </w:rPr>
        <w:t xml:space="preserve">. Patent applications are made for a proportion of all inventions. Of these applications, a proportion is granted. High value inventions are more likely to be patented, and applications with high value are more likely to be granted. This makes patent grants a valuable proxy for a general analysis of the development of patent value over time, according to Guellec &amp; Pottelsberghe de la Potterie (2000). It is also worth noting that a proportion of the high value inventions are not patented. </w:t>
      </w:r>
    </w:p>
    <w:p w14:paraId="4BC15C74" w14:textId="77777777" w:rsidR="0056713A" w:rsidRDefault="00C633CC" w:rsidP="008C7117">
      <w:pPr>
        <w:rPr>
          <w:lang w:val="en-US"/>
        </w:rPr>
      </w:pPr>
      <w:r>
        <w:rPr>
          <w:lang w:val="en-US"/>
        </w:rPr>
        <w:t>With regards to patent citations, literature often makes a distinction between citations to other patents as prior art (backward citations) and citations by other patents (forward citations). Forward citations has the most explanatory power of the two</w:t>
      </w:r>
      <w:sdt>
        <w:sdtPr>
          <w:rPr>
            <w:lang w:val="en-US"/>
          </w:rPr>
          <w:id w:val="1505008383"/>
          <w:citation/>
        </w:sdtPr>
        <w:sdtEndPr/>
        <w:sdtContent>
          <w:r>
            <w:rPr>
              <w:lang w:val="en-US"/>
            </w:rPr>
            <w:fldChar w:fldCharType="begin"/>
          </w:r>
          <w:r w:rsidRPr="00C633CC">
            <w:rPr>
              <w:lang w:val="en-US"/>
            </w:rPr>
            <w:instrText xml:space="preserve"> CITATION Har02 \l 1043 </w:instrText>
          </w:r>
          <w:r>
            <w:rPr>
              <w:lang w:val="en-US"/>
            </w:rPr>
            <w:fldChar w:fldCharType="separate"/>
          </w:r>
          <w:r w:rsidR="00B24268">
            <w:rPr>
              <w:noProof/>
              <w:lang w:val="en-US"/>
            </w:rPr>
            <w:t xml:space="preserve"> </w:t>
          </w:r>
          <w:r w:rsidR="00B24268" w:rsidRPr="00B24268">
            <w:rPr>
              <w:noProof/>
              <w:lang w:val="en-US"/>
            </w:rPr>
            <w:t>(Harhoff, Scherer, &amp; Vopel, 2002)</w:t>
          </w:r>
          <w:r>
            <w:rPr>
              <w:lang w:val="en-US"/>
            </w:rPr>
            <w:fldChar w:fldCharType="end"/>
          </w:r>
        </w:sdtContent>
      </w:sdt>
      <w:r>
        <w:rPr>
          <w:lang w:val="en-US"/>
        </w:rPr>
        <w:t>.</w:t>
      </w:r>
      <w:r w:rsidR="00812908">
        <w:rPr>
          <w:lang w:val="en-US"/>
        </w:rPr>
        <w:t xml:space="preserve"> In</w:t>
      </w:r>
      <w:r w:rsidR="00DA7DF0">
        <w:rPr>
          <w:lang w:val="en-US"/>
        </w:rPr>
        <w:t xml:space="preserve"> this work, forward citations are used as one measure for patent quality.</w:t>
      </w:r>
    </w:p>
    <w:p w14:paraId="00B0D591" w14:textId="25990C25" w:rsidR="00033179" w:rsidRDefault="0056713A" w:rsidP="00033179">
      <w:pPr>
        <w:rPr>
          <w:lang w:val="en-US"/>
        </w:rPr>
      </w:pPr>
      <w:r>
        <w:rPr>
          <w:lang w:val="en-US"/>
        </w:rPr>
        <w:t>Electricity consumption in the European region (EU28) is used as control variable</w:t>
      </w:r>
      <w:r w:rsidR="00033179">
        <w:rPr>
          <w:lang w:val="en-US"/>
        </w:rPr>
        <w:t xml:space="preserve"> to </w:t>
      </w:r>
      <w:r w:rsidR="00805CE6">
        <w:rPr>
          <w:lang w:val="en-US"/>
        </w:rPr>
        <w:t>weigh for the total size of the electricity market</w:t>
      </w:r>
      <w:sdt>
        <w:sdtPr>
          <w:rPr>
            <w:lang w:val="en-US"/>
          </w:rPr>
          <w:id w:val="1989583025"/>
          <w:citation/>
        </w:sdtPr>
        <w:sdtEndPr/>
        <w:sdtContent>
          <w:r>
            <w:rPr>
              <w:lang w:val="en-US"/>
            </w:rPr>
            <w:fldChar w:fldCharType="begin"/>
          </w:r>
          <w:r w:rsidRPr="0056713A">
            <w:rPr>
              <w:lang w:val="en-US"/>
            </w:rPr>
            <w:instrText xml:space="preserve"> CITATION Eur151 \l 1043 </w:instrText>
          </w:r>
          <w:r>
            <w:rPr>
              <w:lang w:val="en-US"/>
            </w:rPr>
            <w:fldChar w:fldCharType="separate"/>
          </w:r>
          <w:r w:rsidR="00B24268">
            <w:rPr>
              <w:noProof/>
              <w:lang w:val="en-US"/>
            </w:rPr>
            <w:t xml:space="preserve"> </w:t>
          </w:r>
          <w:r w:rsidR="00B24268" w:rsidRPr="00B24268">
            <w:rPr>
              <w:noProof/>
              <w:lang w:val="en-US"/>
            </w:rPr>
            <w:t>(Eurostat, 2015)</w:t>
          </w:r>
          <w:r>
            <w:rPr>
              <w:lang w:val="en-US"/>
            </w:rPr>
            <w:fldChar w:fldCharType="end"/>
          </w:r>
        </w:sdtContent>
      </w:sdt>
      <w:r>
        <w:rPr>
          <w:lang w:val="en-US"/>
        </w:rPr>
        <w:t xml:space="preserve">. </w:t>
      </w:r>
      <w:bookmarkStart w:id="51" w:name="_Toc426898403"/>
      <w:r w:rsidR="00DF1385">
        <w:rPr>
          <w:lang w:val="en-US"/>
        </w:rPr>
        <w:t xml:space="preserve">Table 2 provides an overview of all variables in the dataset, a description of the variables and a reference to their respective sources. </w:t>
      </w:r>
    </w:p>
    <w:p w14:paraId="54D61F4D" w14:textId="1AFDD24D" w:rsidR="00F122C1" w:rsidRDefault="00F122C1" w:rsidP="00033179">
      <w:pPr>
        <w:pStyle w:val="Heading3"/>
        <w:rPr>
          <w:lang w:val="en-US"/>
        </w:rPr>
      </w:pPr>
      <w:bookmarkStart w:id="52" w:name="_Toc427657283"/>
      <w:r>
        <w:rPr>
          <w:lang w:val="en-US"/>
        </w:rPr>
        <w:lastRenderedPageBreak/>
        <w:t>Sample description</w:t>
      </w:r>
      <w:bookmarkEnd w:id="50"/>
      <w:bookmarkEnd w:id="51"/>
      <w:bookmarkEnd w:id="52"/>
    </w:p>
    <w:p w14:paraId="357BB0A1" w14:textId="77777777" w:rsidR="00173D07" w:rsidRPr="00173D07" w:rsidRDefault="00173D07" w:rsidP="00173D07">
      <w:pPr>
        <w:rPr>
          <w:lang w:val="en-US"/>
        </w:rPr>
      </w:pPr>
      <w:r>
        <w:rPr>
          <w:lang w:val="en-US"/>
        </w:rPr>
        <w:t>This section will give an impression of the dataset</w:t>
      </w:r>
      <w:r w:rsidR="005739A3">
        <w:rPr>
          <w:lang w:val="en-US"/>
        </w:rPr>
        <w:t>s</w:t>
      </w:r>
      <w:r>
        <w:rPr>
          <w:lang w:val="en-US"/>
        </w:rPr>
        <w:t xml:space="preserve"> used in this study. First, it will describe the characteristics and a summary of the Product Market Regulation (PMR) index. Second, it will discuss the patent dataset, providing summary statistics and a discussion of the measures mentioned in the previous section.</w:t>
      </w:r>
    </w:p>
    <w:p w14:paraId="6533DA4A" w14:textId="77777777" w:rsidR="00173D07" w:rsidRPr="00173D07" w:rsidRDefault="003662A0" w:rsidP="00173D07">
      <w:pPr>
        <w:pStyle w:val="Heading4"/>
        <w:rPr>
          <w:lang w:val="en-US"/>
        </w:rPr>
      </w:pPr>
      <w:r>
        <w:rPr>
          <w:lang w:val="en-US"/>
        </w:rPr>
        <w:t>PMR index</w:t>
      </w:r>
    </w:p>
    <w:p w14:paraId="114A45DE" w14:textId="6480E36F" w:rsidR="0008743A" w:rsidRDefault="00683CD0" w:rsidP="00725FB4">
      <w:pPr>
        <w:rPr>
          <w:lang w:val="en-US"/>
        </w:rPr>
      </w:pPr>
      <w:r>
        <w:rPr>
          <w:lang w:val="en-US"/>
        </w:rPr>
        <w:t>For the PMR index</w:t>
      </w:r>
      <w:r w:rsidR="00C333CF">
        <w:rPr>
          <w:lang w:val="en-US"/>
        </w:rPr>
        <w:t xml:space="preserve"> (table </w:t>
      </w:r>
      <w:r w:rsidR="00F95156">
        <w:rPr>
          <w:lang w:val="en-US"/>
        </w:rPr>
        <w:t>1</w:t>
      </w:r>
      <w:r w:rsidR="00E22075">
        <w:rPr>
          <w:lang w:val="en-US"/>
        </w:rPr>
        <w:t>)</w:t>
      </w:r>
      <w:r>
        <w:rPr>
          <w:lang w:val="en-US"/>
        </w:rPr>
        <w:t xml:space="preserve">, most countries start in the 80’s with a low degree of openness (PMR index score </w:t>
      </w:r>
      <w:r w:rsidR="00667051">
        <w:rPr>
          <w:lang w:val="en-US"/>
        </w:rPr>
        <w:t xml:space="preserve">~6). </w:t>
      </w:r>
      <w:r w:rsidR="00BA1B24">
        <w:rPr>
          <w:lang w:val="en-US"/>
        </w:rPr>
        <w:t xml:space="preserve">Data for Croatia, Cyprus, Latvia, Lithuania and Romania is only available for 2013. </w:t>
      </w:r>
      <w:r w:rsidR="00725FB4">
        <w:rPr>
          <w:lang w:val="en-US"/>
        </w:rPr>
        <w:t xml:space="preserve">The low degree of public ownership in Germany (index score of 3.0 from 1975 to 1996) is the reason for the lower PMR index score of 5.0. </w:t>
      </w:r>
      <w:r w:rsidR="006A3D4E">
        <w:rPr>
          <w:lang w:val="en-US"/>
        </w:rPr>
        <w:t>The same holds for Belgium, which has a public ownership index score of 1.73 from 1975 to 1998</w:t>
      </w:r>
      <w:r w:rsidR="00B51460">
        <w:rPr>
          <w:lang w:val="en-US"/>
        </w:rPr>
        <w:t xml:space="preserve">, and for Norway, with a public ownership index score of 4.5 from 1975 to 2013. United Kingdom has an entry index score of 5.0 from 1975 to 1989. Beside these exceptions, all countries start on this index with the lowest degree of openness, with a score of 6.0. Index scores start to fall in the 90’s. UK, Spain, Sweden and Norway take the lead, followed by almost all other countries before 2000. Iceland, </w:t>
      </w:r>
      <w:r w:rsidR="00F2780F">
        <w:rPr>
          <w:lang w:val="en-US"/>
        </w:rPr>
        <w:t>Slovak</w:t>
      </w:r>
      <w:r w:rsidR="00B51460">
        <w:rPr>
          <w:lang w:val="en-US"/>
        </w:rPr>
        <w:t xml:space="preserve"> Republic, Slovenia, </w:t>
      </w:r>
      <w:r w:rsidR="00F2780F">
        <w:rPr>
          <w:lang w:val="en-US"/>
        </w:rPr>
        <w:t xml:space="preserve">Greece and Poland are the latest market reformers. </w:t>
      </w:r>
    </w:p>
    <w:p w14:paraId="69670839" w14:textId="73FB5459" w:rsidR="004A541A" w:rsidRDefault="00CD021E" w:rsidP="004A541A">
      <w:pPr>
        <w:rPr>
          <w:lang w:val="en-US"/>
        </w:rPr>
      </w:pPr>
      <w:r>
        <w:rPr>
          <w:noProof/>
          <w:lang w:val="en-GB" w:eastAsia="en-GB"/>
        </w:rPr>
        <w:lastRenderedPageBreak/>
        <mc:AlternateContent>
          <mc:Choice Requires="wps">
            <w:drawing>
              <wp:anchor distT="0" distB="0" distL="114300" distR="114300" simplePos="0" relativeHeight="251674624" behindDoc="0" locked="0" layoutInCell="1" allowOverlap="1" wp14:anchorId="0BDFCCAD" wp14:editId="23BBC385">
                <wp:simplePos x="0" y="0"/>
                <wp:positionH relativeFrom="column">
                  <wp:posOffset>-61595</wp:posOffset>
                </wp:positionH>
                <wp:positionV relativeFrom="paragraph">
                  <wp:posOffset>7342505</wp:posOffset>
                </wp:positionV>
                <wp:extent cx="5581650"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581650" cy="635"/>
                        </a:xfrm>
                        <a:prstGeom prst="rect">
                          <a:avLst/>
                        </a:prstGeom>
                        <a:solidFill>
                          <a:prstClr val="white"/>
                        </a:solidFill>
                        <a:ln>
                          <a:noFill/>
                        </a:ln>
                        <a:effectLst/>
                      </wps:spPr>
                      <wps:txbx>
                        <w:txbxContent>
                          <w:p w14:paraId="31ADCF6D" w14:textId="12C29F1A" w:rsidR="00221BBB" w:rsidRPr="00CD021E" w:rsidRDefault="00221BBB" w:rsidP="00CD021E">
                            <w:pPr>
                              <w:pStyle w:val="Caption"/>
                              <w:rPr>
                                <w:noProof/>
                                <w:lang w:val="en-US"/>
                              </w:rPr>
                            </w:pPr>
                            <w:r w:rsidRPr="00CD021E">
                              <w:rPr>
                                <w:lang w:val="en-US"/>
                              </w:rPr>
                              <w:t xml:space="preserve">Table </w:t>
                            </w:r>
                            <w:r>
                              <w:rPr>
                                <w:lang w:val="en-US"/>
                              </w:rPr>
                              <w:fldChar w:fldCharType="begin"/>
                            </w:r>
                            <w:r>
                              <w:rPr>
                                <w:lang w:val="en-US"/>
                              </w:rPr>
                              <w:instrText xml:space="preserve"> SEQ Table \* ARABIC </w:instrText>
                            </w:r>
                            <w:r>
                              <w:rPr>
                                <w:lang w:val="en-US"/>
                              </w:rPr>
                              <w:fldChar w:fldCharType="separate"/>
                            </w:r>
                            <w:r>
                              <w:rPr>
                                <w:noProof/>
                                <w:lang w:val="en-US"/>
                              </w:rPr>
                              <w:t>1</w:t>
                            </w:r>
                            <w:r>
                              <w:rPr>
                                <w:lang w:val="en-US"/>
                              </w:rPr>
                              <w:fldChar w:fldCharType="end"/>
                            </w:r>
                            <w:r w:rsidRPr="00CD021E">
                              <w:rPr>
                                <w:lang w:val="en-US"/>
                              </w:rPr>
                              <w:t>: PMR index for the electricity sec</w:t>
                            </w:r>
                            <w:r>
                              <w:rPr>
                                <w:lang w:val="en-US"/>
                              </w:rPr>
                              <w:t xml:space="preserve">tor, </w:t>
                            </w:r>
                            <w:r w:rsidRPr="00CD021E">
                              <w:rPr>
                                <w:lang w:val="en-US"/>
                              </w:rPr>
                              <w:t>per country</w:t>
                            </w:r>
                            <w:r>
                              <w:rPr>
                                <w:lang w:val="en-US"/>
                              </w:rPr>
                              <w:t xml:space="preserve"> from 1975 to 2013</w:t>
                            </w:r>
                            <w:r w:rsidRPr="00CD021E">
                              <w:rPr>
                                <w:lang w:val="en-US"/>
                              </w:rPr>
                              <w:t xml:space="preserve"> </w:t>
                            </w:r>
                            <w:sdt>
                              <w:sdtPr>
                                <w:rPr>
                                  <w:lang w:val="en-US"/>
                                </w:rPr>
                                <w:id w:val="-318115938"/>
                                <w:citation/>
                              </w:sdtPr>
                              <w:sdtEndPr/>
                              <w:sdtContent>
                                <w:r>
                                  <w:rPr>
                                    <w:lang w:val="en-US"/>
                                  </w:rPr>
                                  <w:fldChar w:fldCharType="begin"/>
                                </w:r>
                                <w:r w:rsidRPr="00CD021E">
                                  <w:rPr>
                                    <w:lang w:val="en-US"/>
                                  </w:rPr>
                                  <w:instrText xml:space="preserve"> CITATION OEC15 \l 1043 </w:instrText>
                                </w:r>
                                <w:r>
                                  <w:rPr>
                                    <w:lang w:val="en-US"/>
                                  </w:rPr>
                                  <w:fldChar w:fldCharType="separate"/>
                                </w:r>
                                <w:r w:rsidR="00B24268" w:rsidRPr="00B24268">
                                  <w:rPr>
                                    <w:noProof/>
                                    <w:lang w:val="en-US"/>
                                  </w:rPr>
                                  <w:t>(OECD, 2013)</w:t>
                                </w:r>
                                <w:r>
                                  <w:rPr>
                                    <w:lang w:val="en-US"/>
                                  </w:rPr>
                                  <w:fldChar w:fldCharType="end"/>
                                </w:r>
                              </w:sdtContent>
                            </w:sdt>
                            <w:r w:rsidRPr="00CD021E">
                              <w:rPr>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BDFCCAD" id="Text Box 6" o:spid="_x0000_s1027" type="#_x0000_t202" style="position:absolute;left:0;text-align:left;margin-left:-4.85pt;margin-top:578.15pt;width:439.5pt;height:.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" stroked="f">
                <v:textbox style="mso-fit-shape-to-text:t" inset="0,0,0,0">
                  <w:txbxContent>
                    <w:p w14:paraId="31ADCF6D" w14:textId="12C29F1A" w:rsidR="00221BBB" w:rsidRPr="00CD021E" w:rsidRDefault="00221BBB" w:rsidP="00CD021E">
                      <w:pPr>
                        <w:pStyle w:val="Caption"/>
                        <w:rPr>
                          <w:noProof/>
                          <w:lang w:val="en-US"/>
                        </w:rPr>
                      </w:pPr>
                      <w:r w:rsidRPr="00CD021E">
                        <w:rPr>
                          <w:lang w:val="en-US"/>
                        </w:rPr>
                        <w:t xml:space="preserve">Table </w:t>
                      </w:r>
                      <w:r>
                        <w:rPr>
                          <w:lang w:val="en-US"/>
                        </w:rPr>
                        <w:fldChar w:fldCharType="begin"/>
                      </w:r>
                      <w:r>
                        <w:rPr>
                          <w:lang w:val="en-US"/>
                        </w:rPr>
                        <w:instrText xml:space="preserve"> SEQ Table \* ARABIC </w:instrText>
                      </w:r>
                      <w:r>
                        <w:rPr>
                          <w:lang w:val="en-US"/>
                        </w:rPr>
                        <w:fldChar w:fldCharType="separate"/>
                      </w:r>
                      <w:r>
                        <w:rPr>
                          <w:noProof/>
                          <w:lang w:val="en-US"/>
                        </w:rPr>
                        <w:t>1</w:t>
                      </w:r>
                      <w:r>
                        <w:rPr>
                          <w:lang w:val="en-US"/>
                        </w:rPr>
                        <w:fldChar w:fldCharType="end"/>
                      </w:r>
                      <w:r w:rsidRPr="00CD021E">
                        <w:rPr>
                          <w:lang w:val="en-US"/>
                        </w:rPr>
                        <w:t>: PMR index for the electricity sec</w:t>
                      </w:r>
                      <w:r>
                        <w:rPr>
                          <w:lang w:val="en-US"/>
                        </w:rPr>
                        <w:t xml:space="preserve">tor, </w:t>
                      </w:r>
                      <w:r w:rsidRPr="00CD021E">
                        <w:rPr>
                          <w:lang w:val="en-US"/>
                        </w:rPr>
                        <w:t>per country</w:t>
                      </w:r>
                      <w:r>
                        <w:rPr>
                          <w:lang w:val="en-US"/>
                        </w:rPr>
                        <w:t xml:space="preserve"> from 1975 to 2013</w:t>
                      </w:r>
                      <w:r w:rsidRPr="00CD021E">
                        <w:rPr>
                          <w:lang w:val="en-US"/>
                        </w:rPr>
                        <w:t xml:space="preserve"> </w:t>
                      </w:r>
                      <w:sdt>
                        <w:sdtPr>
                          <w:rPr>
                            <w:lang w:val="en-US"/>
                          </w:rPr>
                          <w:id w:val="-318115938"/>
                          <w:citation/>
                        </w:sdtPr>
                        <w:sdtEndPr/>
                        <w:sdtContent>
                          <w:r>
                            <w:rPr>
                              <w:lang w:val="en-US"/>
                            </w:rPr>
                            <w:fldChar w:fldCharType="begin"/>
                          </w:r>
                          <w:r w:rsidRPr="00CD021E">
                            <w:rPr>
                              <w:lang w:val="en-US"/>
                            </w:rPr>
                            <w:instrText xml:space="preserve"> CITATION OEC15 \l 1043 </w:instrText>
                          </w:r>
                          <w:r>
                            <w:rPr>
                              <w:lang w:val="en-US"/>
                            </w:rPr>
                            <w:fldChar w:fldCharType="separate"/>
                          </w:r>
                          <w:r w:rsidR="00B24268" w:rsidRPr="00B24268">
                            <w:rPr>
                              <w:noProof/>
                              <w:lang w:val="en-US"/>
                            </w:rPr>
                            <w:t>(OECD, 2013)</w:t>
                          </w:r>
                          <w:r>
                            <w:rPr>
                              <w:lang w:val="en-US"/>
                            </w:rPr>
                            <w:fldChar w:fldCharType="end"/>
                          </w:r>
                        </w:sdtContent>
                      </w:sdt>
                      <w:r w:rsidRPr="00CD021E">
                        <w:rPr>
                          <w:lang w:val="en-US"/>
                        </w:rPr>
                        <w:t>.</w:t>
                      </w:r>
                    </w:p>
                  </w:txbxContent>
                </v:textbox>
                <w10:wrap type="square"/>
              </v:shape>
            </w:pict>
          </mc:Fallback>
        </mc:AlternateContent>
      </w:r>
      <w:r w:rsidR="0020296E" w:rsidRPr="00357E30">
        <w:rPr>
          <w:noProof/>
          <w:lang w:val="en-GB" w:eastAsia="en-GB"/>
        </w:rPr>
        <w:drawing>
          <wp:anchor distT="0" distB="0" distL="114300" distR="114300" simplePos="0" relativeHeight="251666432" behindDoc="1" locked="0" layoutInCell="1" allowOverlap="1" wp14:anchorId="33636E75" wp14:editId="0307E89C">
            <wp:simplePos x="0" y="0"/>
            <wp:positionH relativeFrom="column">
              <wp:posOffset>-61595</wp:posOffset>
            </wp:positionH>
            <wp:positionV relativeFrom="paragraph">
              <wp:posOffset>275590</wp:posOffset>
            </wp:positionV>
            <wp:extent cx="5581650" cy="7009765"/>
            <wp:effectExtent l="0" t="0" r="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1650" cy="700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F2780F">
        <w:rPr>
          <w:lang w:val="en-US"/>
        </w:rPr>
        <w:t xml:space="preserve">There is one example where the index score </w:t>
      </w:r>
      <w:r w:rsidR="003F2095">
        <w:rPr>
          <w:lang w:val="en-US"/>
        </w:rPr>
        <w:t>increased after a temporary de</w:t>
      </w:r>
      <w:r w:rsidR="003662A0">
        <w:rPr>
          <w:lang w:val="en-US"/>
        </w:rPr>
        <w:t>crease</w:t>
      </w:r>
      <w:r w:rsidR="00F2780F">
        <w:rPr>
          <w:lang w:val="en-US"/>
        </w:rPr>
        <w:t xml:space="preserve">. In Luxembourg, the index score is below 3.0 in 2006-2009 (below 2.5 only in 2007 and 2008), and above 3.0 in 2010-2013. This effect is </w:t>
      </w:r>
      <w:r w:rsidR="003F2095">
        <w:rPr>
          <w:lang w:val="en-US"/>
        </w:rPr>
        <w:t>entirely</w:t>
      </w:r>
      <w:r w:rsidR="00F2780F">
        <w:rPr>
          <w:lang w:val="en-US"/>
        </w:rPr>
        <w:t xml:space="preserve"> caused by a change in </w:t>
      </w:r>
      <w:r w:rsidR="003F2095">
        <w:rPr>
          <w:lang w:val="en-US"/>
        </w:rPr>
        <w:t xml:space="preserve">the </w:t>
      </w:r>
      <w:r w:rsidR="00F2780F">
        <w:rPr>
          <w:lang w:val="en-US"/>
        </w:rPr>
        <w:t xml:space="preserve">market structure indicator. This indicator is constructed </w:t>
      </w:r>
      <w:r w:rsidR="003F2095">
        <w:rPr>
          <w:lang w:val="en-US"/>
        </w:rPr>
        <w:t xml:space="preserve">with </w:t>
      </w:r>
      <w:r w:rsidR="003662A0">
        <w:rPr>
          <w:lang w:val="en-US"/>
        </w:rPr>
        <w:t>the following three questions: “</w:t>
      </w:r>
      <w:r w:rsidR="00F2780F" w:rsidRPr="00F2780F">
        <w:rPr>
          <w:lang w:val="en-US"/>
        </w:rPr>
        <w:t>What is the market share of the</w:t>
      </w:r>
      <w:r w:rsidR="004A541A">
        <w:rPr>
          <w:lang w:val="en-US"/>
        </w:rPr>
        <w:t xml:space="preserve"> la</w:t>
      </w:r>
      <w:r w:rsidR="003662A0">
        <w:rPr>
          <w:lang w:val="en-US"/>
        </w:rPr>
        <w:t xml:space="preserve">rgest company in the sector for each of the following: electricity generation, supply and import?” </w:t>
      </w:r>
      <w:r w:rsidR="004A541A">
        <w:rPr>
          <w:lang w:val="en-US"/>
        </w:rPr>
        <w:t xml:space="preserve">For each of these questions, there are only </w:t>
      </w:r>
      <w:r w:rsidR="003662A0">
        <w:rPr>
          <w:lang w:val="en-US"/>
        </w:rPr>
        <w:t xml:space="preserve">four </w:t>
      </w:r>
      <w:r w:rsidR="004A541A">
        <w:rPr>
          <w:lang w:val="en-US"/>
        </w:rPr>
        <w:t xml:space="preserve">possible answers: Smaller than 50%, between 50% and 90%, greater than 90%, or sector does not exist. In the case of Luxembourg, the answers for supply and import in 2008 were ‘smaller than 50%’, and in 2013 ‘between 50% and 90%’. </w:t>
      </w:r>
      <w:r w:rsidR="003F2095">
        <w:rPr>
          <w:lang w:val="en-US"/>
        </w:rPr>
        <w:t>This indicates a decrease in market openness, and therefore an increase in the PMR index score.</w:t>
      </w:r>
    </w:p>
    <w:p w14:paraId="30B363DA" w14:textId="77777777" w:rsidR="003662A0" w:rsidRDefault="00357E30" w:rsidP="003662A0">
      <w:pPr>
        <w:pStyle w:val="Heading4"/>
        <w:rPr>
          <w:lang w:val="en-US"/>
        </w:rPr>
      </w:pPr>
      <w:r>
        <w:rPr>
          <w:lang w:val="en-US"/>
        </w:rPr>
        <w:t>Patents</w:t>
      </w:r>
    </w:p>
    <w:p w14:paraId="6D0A604F" w14:textId="77777777" w:rsidR="005739A3" w:rsidRDefault="005739A3" w:rsidP="005739A3">
      <w:pPr>
        <w:rPr>
          <w:lang w:val="en-US"/>
        </w:rPr>
      </w:pPr>
      <w:r>
        <w:rPr>
          <w:lang w:val="en-US"/>
        </w:rPr>
        <w:t xml:space="preserve">The parameters related to entry and patent quality will be discussed after a </w:t>
      </w:r>
      <w:r w:rsidR="00B112C7">
        <w:rPr>
          <w:lang w:val="en-US"/>
        </w:rPr>
        <w:t xml:space="preserve">brief </w:t>
      </w:r>
      <w:r>
        <w:rPr>
          <w:lang w:val="en-US"/>
        </w:rPr>
        <w:t>description of the patent dataset.</w:t>
      </w:r>
    </w:p>
    <w:p w14:paraId="421DA6CB" w14:textId="5DB72B80" w:rsidR="00C86D9C" w:rsidRDefault="00E463D1" w:rsidP="009B25D6">
      <w:pPr>
        <w:rPr>
          <w:lang w:val="en-US"/>
        </w:rPr>
      </w:pPr>
      <w:r>
        <w:rPr>
          <w:noProof/>
          <w:lang w:val="en-GB" w:eastAsia="en-GB"/>
        </w:rPr>
        <w:lastRenderedPageBreak/>
        <mc:AlternateContent>
          <mc:Choice Requires="wps">
            <w:drawing>
              <wp:anchor distT="0" distB="0" distL="114300" distR="114300" simplePos="0" relativeHeight="251678720" behindDoc="0" locked="0" layoutInCell="1" allowOverlap="1" wp14:anchorId="570CB6D9" wp14:editId="1DCF8B82">
                <wp:simplePos x="0" y="0"/>
                <wp:positionH relativeFrom="column">
                  <wp:posOffset>8255</wp:posOffset>
                </wp:positionH>
                <wp:positionV relativeFrom="paragraph">
                  <wp:posOffset>5028565</wp:posOffset>
                </wp:positionV>
                <wp:extent cx="5581650" cy="635"/>
                <wp:effectExtent l="0" t="0" r="0" b="0"/>
                <wp:wrapTight wrapText="bothSides">
                  <wp:wrapPolygon edited="0">
                    <wp:start x="0" y="0"/>
                    <wp:lineTo x="0" y="21600"/>
                    <wp:lineTo x="21600" y="21600"/>
                    <wp:lineTo x="21600" y="0"/>
                  </wp:wrapPolygon>
                </wp:wrapTight>
                <wp:docPr id="9" name="Text Box 9"/>
                <wp:cNvGraphicFramePr/>
                <a:graphic xmlns:a="http://schemas.openxmlformats.org/drawingml/2006/main">
                  <a:graphicData uri="http://schemas.microsoft.com/office/word/2010/wordprocessingShape">
                    <wps:wsp>
                      <wps:cNvSpPr txBox="1"/>
                      <wps:spPr>
                        <a:xfrm>
                          <a:off x="0" y="0"/>
                          <a:ext cx="5581650" cy="635"/>
                        </a:xfrm>
                        <a:prstGeom prst="rect">
                          <a:avLst/>
                        </a:prstGeom>
                        <a:solidFill>
                          <a:prstClr val="white"/>
                        </a:solidFill>
                        <a:ln>
                          <a:noFill/>
                        </a:ln>
                        <a:effectLst/>
                      </wps:spPr>
                      <wps:txbx>
                        <w:txbxContent>
                          <w:p w14:paraId="1D5E82D2" w14:textId="438E3A4A" w:rsidR="00221BBB" w:rsidRPr="00E463D1" w:rsidRDefault="00221BBB" w:rsidP="00E463D1">
                            <w:pPr>
                              <w:pStyle w:val="Caption"/>
                              <w:rPr>
                                <w:noProof/>
                                <w:lang w:val="en-US"/>
                              </w:rPr>
                            </w:pPr>
                            <w:r w:rsidRPr="00E463D1">
                              <w:rPr>
                                <w:lang w:val="en-US"/>
                              </w:rPr>
                              <w:t xml:space="preserve">Figure </w:t>
                            </w:r>
                            <w:r>
                              <w:fldChar w:fldCharType="begin"/>
                            </w:r>
                            <w:r w:rsidRPr="00E463D1">
                              <w:rPr>
                                <w:lang w:val="en-US"/>
                              </w:rPr>
                              <w:instrText xml:space="preserve"> SEQ Figure \* ARABIC </w:instrText>
                            </w:r>
                            <w:r>
                              <w:fldChar w:fldCharType="separate"/>
                            </w:r>
                            <w:r w:rsidRPr="00E463D1">
                              <w:rPr>
                                <w:noProof/>
                                <w:lang w:val="en-US"/>
                              </w:rPr>
                              <w:t>2</w:t>
                            </w:r>
                            <w:r>
                              <w:fldChar w:fldCharType="end"/>
                            </w:r>
                            <w:r w:rsidRPr="00E463D1">
                              <w:rPr>
                                <w:lang w:val="en-US"/>
                              </w:rPr>
                              <w:t>: Trend in applications (left axis), grants (left axis) and PMR indicator value (right axis, inverted scale) from 1990 to 2013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70CB6D9" id="Text Box 9" o:spid="_x0000_s1028" type="#_x0000_t202" style="position:absolute;left:0;text-align:left;margin-left:.65pt;margin-top:395.95pt;width:439.5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" stroked="f">
                <v:textbox style="mso-fit-shape-to-text:t" inset="0,0,0,0">
                  <w:txbxContent>
                    <w:p w14:paraId="1D5E82D2" w14:textId="438E3A4A" w:rsidR="00221BBB" w:rsidRPr="00E463D1" w:rsidRDefault="00221BBB" w:rsidP="00E463D1">
                      <w:pPr>
                        <w:pStyle w:val="Caption"/>
                        <w:rPr>
                          <w:noProof/>
                          <w:lang w:val="en-US"/>
                        </w:rPr>
                      </w:pPr>
                      <w:r w:rsidRPr="00E463D1">
                        <w:rPr>
                          <w:lang w:val="en-US"/>
                        </w:rPr>
                        <w:t xml:space="preserve">Figure </w:t>
                      </w:r>
                      <w:r>
                        <w:fldChar w:fldCharType="begin"/>
                      </w:r>
                      <w:r w:rsidRPr="00E463D1">
                        <w:rPr>
                          <w:lang w:val="en-US"/>
                        </w:rPr>
                        <w:instrText xml:space="preserve"> SEQ Figure \* ARABIC </w:instrText>
                      </w:r>
                      <w:r>
                        <w:fldChar w:fldCharType="separate"/>
                      </w:r>
                      <w:r w:rsidRPr="00E463D1">
                        <w:rPr>
                          <w:noProof/>
                          <w:lang w:val="en-US"/>
                        </w:rPr>
                        <w:t>2</w:t>
                      </w:r>
                      <w:r>
                        <w:fldChar w:fldCharType="end"/>
                      </w:r>
                      <w:r w:rsidRPr="00E463D1">
                        <w:rPr>
                          <w:lang w:val="en-US"/>
                        </w:rPr>
                        <w:t>: Trend in applications (left axis), grants (left axis) and PMR indicator value (right axis, inverted scale) from 1990 to 2013</w:t>
                      </w:r>
                    </w:p>
                  </w:txbxContent>
                </v:textbox>
                <w10:wrap type="tight"/>
              </v:shape>
            </w:pict>
          </mc:Fallback>
        </mc:AlternateContent>
      </w:r>
      <w:r>
        <w:rPr>
          <w:noProof/>
          <w:lang w:val="en-GB" w:eastAsia="en-GB"/>
        </w:rPr>
        <w:drawing>
          <wp:anchor distT="0" distB="0" distL="114300" distR="114300" simplePos="0" relativeHeight="251676672" behindDoc="1" locked="0" layoutInCell="1" allowOverlap="1" wp14:anchorId="45244299" wp14:editId="6667BA86">
            <wp:simplePos x="0" y="0"/>
            <wp:positionH relativeFrom="column">
              <wp:posOffset>8255</wp:posOffset>
            </wp:positionH>
            <wp:positionV relativeFrom="paragraph">
              <wp:posOffset>2573020</wp:posOffset>
            </wp:positionV>
            <wp:extent cx="5581650" cy="2398395"/>
            <wp:effectExtent l="0" t="0" r="0" b="1905"/>
            <wp:wrapTight wrapText="bothSides">
              <wp:wrapPolygon edited="0">
                <wp:start x="0" y="0"/>
                <wp:lineTo x="0" y="21446"/>
                <wp:lineTo x="21526" y="21446"/>
                <wp:lineTo x="2152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1650" cy="2398395"/>
                    </a:xfrm>
                    <a:prstGeom prst="rect">
                      <a:avLst/>
                    </a:prstGeom>
                    <a:noFill/>
                  </pic:spPr>
                </pic:pic>
              </a:graphicData>
            </a:graphic>
            <wp14:sizeRelH relativeFrom="page">
              <wp14:pctWidth>0</wp14:pctWidth>
            </wp14:sizeRelH>
            <wp14:sizeRelV relativeFrom="page">
              <wp14:pctHeight>0</wp14:pctHeight>
            </wp14:sizeRelV>
          </wp:anchor>
        </w:drawing>
      </w:r>
      <w:r w:rsidR="005739A3">
        <w:rPr>
          <w:lang w:val="en-US"/>
        </w:rPr>
        <w:t>The patent dataset contains 29980 patent app</w:t>
      </w:r>
      <w:r w:rsidR="004B0905">
        <w:rPr>
          <w:lang w:val="en-US"/>
        </w:rPr>
        <w:t xml:space="preserve">lications from 1990 to 2014. </w:t>
      </w:r>
      <w:r w:rsidR="00364DD1">
        <w:rPr>
          <w:lang w:val="en-US"/>
        </w:rPr>
        <w:t>The data contains information on inventor’s country.</w:t>
      </w:r>
      <w:r w:rsidR="00C86D9C" w:rsidRPr="00C86D9C">
        <w:rPr>
          <w:lang w:val="en-US"/>
        </w:rPr>
        <w:t xml:space="preserve"> </w:t>
      </w:r>
      <w:r w:rsidR="00C86D9C">
        <w:rPr>
          <w:lang w:val="en-US"/>
        </w:rPr>
        <w:t xml:space="preserve">Every patent has on average 1.1 inventors. In cases where the EPO mentions more than one inventor, only the first mentioned inventor enters the dataset. This allows assigning patents to countries, and avoids double counting of patents when they are assigned to countries. </w:t>
      </w:r>
      <w:r w:rsidR="00364DD1">
        <w:rPr>
          <w:lang w:val="en-US"/>
        </w:rPr>
        <w:t xml:space="preserve">The top 10 inventor’s countries are Germany, Japan, United States, Denmark, United Kingdom, France, Italy, Spain, the Netherlands and Switzerland. These count for 79% of all patent applications. 7.5% of all patent applications have no information available for inventor country. </w:t>
      </w:r>
      <w:r w:rsidR="00C86D9C">
        <w:rPr>
          <w:lang w:val="en-US"/>
        </w:rPr>
        <w:t>The figure below shows the overall trend o</w:t>
      </w:r>
      <w:r w:rsidR="009F7CB6">
        <w:rPr>
          <w:lang w:val="en-US"/>
        </w:rPr>
        <w:t>f</w:t>
      </w:r>
      <w:r w:rsidR="00C86D9C">
        <w:rPr>
          <w:lang w:val="en-US"/>
        </w:rPr>
        <w:t xml:space="preserve"> the number of patent applications and grants from 1990 to 2013</w:t>
      </w:r>
      <w:r w:rsidR="00C86D9C">
        <w:rPr>
          <w:rStyle w:val="FootnoteReference"/>
          <w:lang w:val="en-US"/>
        </w:rPr>
        <w:footnoteReference w:id="4"/>
      </w:r>
      <w:r w:rsidR="00C86D9C">
        <w:rPr>
          <w:lang w:val="en-US"/>
        </w:rPr>
        <w:t xml:space="preserve">. </w:t>
      </w:r>
      <w:r w:rsidR="00DF1385">
        <w:rPr>
          <w:lang w:val="en-US"/>
        </w:rPr>
        <w:t>An increase in the value of Avg.PMR indicates an increase in market openness</w:t>
      </w:r>
      <w:r>
        <w:rPr>
          <w:lang w:val="en-US"/>
        </w:rPr>
        <w:t>. This</w:t>
      </w:r>
      <w:r w:rsidR="00DF1385">
        <w:rPr>
          <w:lang w:val="en-US"/>
        </w:rPr>
        <w:t xml:space="preserve"> figure shows clearly </w:t>
      </w:r>
      <w:r>
        <w:rPr>
          <w:lang w:val="en-US"/>
        </w:rPr>
        <w:t>that</w:t>
      </w:r>
      <w:r w:rsidR="00DF1385">
        <w:rPr>
          <w:lang w:val="en-US"/>
        </w:rPr>
        <w:t xml:space="preserve"> </w:t>
      </w:r>
      <w:r>
        <w:rPr>
          <w:lang w:val="en-US"/>
        </w:rPr>
        <w:t>an increase in market openness precedes an increase in the total number of patent applications.</w:t>
      </w:r>
    </w:p>
    <w:p w14:paraId="26F3EA85" w14:textId="2FC0285C" w:rsidR="00312663" w:rsidRDefault="00E463D1" w:rsidP="00C86D9C">
      <w:pPr>
        <w:rPr>
          <w:lang w:val="en-US"/>
        </w:rPr>
      </w:pPr>
      <w:r w:rsidRPr="00DF1385">
        <w:rPr>
          <w:noProof/>
          <w:lang w:val="en-GB" w:eastAsia="en-GB"/>
        </w:rPr>
        <w:lastRenderedPageBreak/>
        <w:drawing>
          <wp:anchor distT="0" distB="0" distL="114300" distR="114300" simplePos="0" relativeHeight="251675648" behindDoc="0" locked="0" layoutInCell="1" allowOverlap="1" wp14:anchorId="0387B049" wp14:editId="53ABFE83">
            <wp:simplePos x="0" y="0"/>
            <wp:positionH relativeFrom="column">
              <wp:posOffset>-3286760</wp:posOffset>
            </wp:positionH>
            <wp:positionV relativeFrom="paragraph">
              <wp:posOffset>3081020</wp:posOffset>
            </wp:positionV>
            <wp:extent cx="9385300" cy="2805430"/>
            <wp:effectExtent l="0" t="5715" r="635"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9385300" cy="280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B112C7">
        <w:rPr>
          <w:lang w:val="en-US"/>
        </w:rPr>
        <w:t>Entry can be extracted from the BvDID dat</w:t>
      </w:r>
      <w:r w:rsidR="00EF7667">
        <w:rPr>
          <w:lang w:val="en-US"/>
        </w:rPr>
        <w:t>a. Over the years, on average 73</w:t>
      </w:r>
      <w:r w:rsidR="00B112C7">
        <w:rPr>
          <w:lang w:val="en-US"/>
        </w:rPr>
        <w:t>% of the patent applications have data available on current owners BvDID</w:t>
      </w:r>
      <w:r w:rsidR="00EF7667">
        <w:rPr>
          <w:lang w:val="en-US"/>
        </w:rPr>
        <w:t>; 81% for granted patents, 70% for non-granted patent applications.</w:t>
      </w:r>
      <w:r w:rsidR="00B112C7">
        <w:rPr>
          <w:lang w:val="en-US"/>
        </w:rPr>
        <w:t xml:space="preserve"> Note that there is no data available on </w:t>
      </w:r>
      <w:r w:rsidR="00EF7667">
        <w:rPr>
          <w:lang w:val="en-US"/>
        </w:rPr>
        <w:t xml:space="preserve">inventors’ BvDID. </w:t>
      </w:r>
      <w:r w:rsidR="007E682C">
        <w:rPr>
          <w:lang w:val="en-US"/>
        </w:rPr>
        <w:t xml:space="preserve">Patent quality is related to grants and citations. </w:t>
      </w:r>
      <w:r w:rsidR="00AE368A">
        <w:rPr>
          <w:lang w:val="en-US"/>
        </w:rPr>
        <w:t>21.8% of the patent applications have been granted</w:t>
      </w:r>
      <w:r w:rsidR="00C86D9C">
        <w:rPr>
          <w:lang w:val="en-US"/>
        </w:rPr>
        <w:t xml:space="preserve"> (standard deviation of 5.9%)</w:t>
      </w:r>
      <w:r w:rsidR="00AE368A">
        <w:rPr>
          <w:lang w:val="en-US"/>
        </w:rPr>
        <w:t xml:space="preserve">. </w:t>
      </w:r>
      <w:r w:rsidR="00C86D9C">
        <w:rPr>
          <w:lang w:val="en-US"/>
        </w:rPr>
        <w:t xml:space="preserve">21% of the patent applications get cited (6373 applications), with a total number of 29042 citations to these patents. Each cited patent application gets on average 4.5 citations (standard deviation of 6.1, minimum of 1 and maximum of 95); every patent application gets on average 0.97 citations. </w:t>
      </w:r>
    </w:p>
    <w:p w14:paraId="00EB33AD" w14:textId="77777777" w:rsidR="00F122C1" w:rsidRDefault="00F122C1" w:rsidP="00F122C1">
      <w:pPr>
        <w:pStyle w:val="Heading2"/>
        <w:rPr>
          <w:lang w:val="en-US"/>
        </w:rPr>
      </w:pPr>
      <w:bookmarkStart w:id="53" w:name="_Toc424733297"/>
      <w:bookmarkStart w:id="54" w:name="_Toc426898404"/>
      <w:bookmarkStart w:id="55" w:name="_Toc427657284"/>
      <w:r>
        <w:rPr>
          <w:lang w:val="en-US"/>
        </w:rPr>
        <w:t>Data analysis techniques</w:t>
      </w:r>
      <w:bookmarkEnd w:id="53"/>
      <w:bookmarkEnd w:id="54"/>
      <w:bookmarkEnd w:id="55"/>
    </w:p>
    <w:p w14:paraId="0D52CD2B" w14:textId="51DF2243" w:rsidR="008B7C16" w:rsidRDefault="00441B78" w:rsidP="00441B78">
      <w:pPr>
        <w:rPr>
          <w:lang w:val="en-US"/>
        </w:rPr>
      </w:pPr>
      <w:r>
        <w:rPr>
          <w:lang w:val="en-US"/>
        </w:rPr>
        <w:t xml:space="preserve">Patent counts have the specific property that it is </w:t>
      </w:r>
      <w:r>
        <w:rPr>
          <w:i/>
          <w:lang w:val="en-US"/>
        </w:rPr>
        <w:t>count</w:t>
      </w:r>
      <w:r>
        <w:rPr>
          <w:lang w:val="en-US"/>
        </w:rPr>
        <w:t xml:space="preserve"> (non-negative integer) data. The variable </w:t>
      </w:r>
      <w:r w:rsidRPr="00441B78">
        <w:rPr>
          <w:i/>
          <w:lang w:val="en-US"/>
        </w:rPr>
        <w:t>total number of firms</w:t>
      </w:r>
      <w:r>
        <w:rPr>
          <w:lang w:val="en-US"/>
        </w:rPr>
        <w:t xml:space="preserve"> (hypothesis 1) has the same property, following a Poisson distribution</w:t>
      </w:r>
      <w:sdt>
        <w:sdtPr>
          <w:rPr>
            <w:lang w:val="en-US"/>
          </w:rPr>
          <w:id w:val="-1137559390"/>
          <w:citation/>
        </w:sdtPr>
        <w:sdtEndPr/>
        <w:sdtContent>
          <w:r>
            <w:rPr>
              <w:lang w:val="en-US"/>
            </w:rPr>
            <w:fldChar w:fldCharType="begin"/>
          </w:r>
          <w:r w:rsidRPr="00441B78">
            <w:rPr>
              <w:lang w:val="en-US"/>
            </w:rPr>
            <w:instrText xml:space="preserve"> CITATION Hau841 \l 1043 </w:instrText>
          </w:r>
          <w:r>
            <w:rPr>
              <w:lang w:val="en-US"/>
            </w:rPr>
            <w:fldChar w:fldCharType="separate"/>
          </w:r>
          <w:r w:rsidR="00B24268">
            <w:rPr>
              <w:noProof/>
              <w:lang w:val="en-US"/>
            </w:rPr>
            <w:t xml:space="preserve"> </w:t>
          </w:r>
          <w:r w:rsidR="00B24268" w:rsidRPr="00B24268">
            <w:rPr>
              <w:noProof/>
              <w:lang w:val="en-US"/>
            </w:rPr>
            <w:t>(Hausman, Hall, &amp; Griliches, 1984)</w:t>
          </w:r>
          <w:r>
            <w:rPr>
              <w:lang w:val="en-US"/>
            </w:rPr>
            <w:fldChar w:fldCharType="end"/>
          </w:r>
        </w:sdtContent>
      </w:sdt>
      <w:r>
        <w:rPr>
          <w:lang w:val="en-US"/>
        </w:rPr>
        <w:t xml:space="preserve">. </w:t>
      </w:r>
      <w:r w:rsidR="00DE68E4">
        <w:rPr>
          <w:lang w:val="en-US"/>
        </w:rPr>
        <w:t xml:space="preserve">The appropriate data analysis technique is a special case of the general linear model, the Poisson regression. </w:t>
      </w:r>
      <w:r w:rsidR="008B7C16">
        <w:rPr>
          <w:lang w:val="en-US"/>
        </w:rPr>
        <w:t>Models with d</w:t>
      </w:r>
      <w:r w:rsidR="006830F0">
        <w:rPr>
          <w:lang w:val="en-US"/>
        </w:rPr>
        <w:t xml:space="preserve">ependent variables like </w:t>
      </w:r>
      <w:r w:rsidR="006830F0">
        <w:rPr>
          <w:i/>
          <w:lang w:val="en-US"/>
        </w:rPr>
        <w:t xml:space="preserve">average number of citations (AvgCitations) </w:t>
      </w:r>
      <w:r w:rsidR="006830F0">
        <w:rPr>
          <w:lang w:val="en-US"/>
        </w:rPr>
        <w:t>can be estimated</w:t>
      </w:r>
      <w:r w:rsidR="001653BC">
        <w:rPr>
          <w:lang w:val="en-US"/>
        </w:rPr>
        <w:t xml:space="preserve"> with the least squares method, because the dep</w:t>
      </w:r>
      <w:r w:rsidR="00142C35">
        <w:rPr>
          <w:lang w:val="en-US"/>
        </w:rPr>
        <w:t>endent variable is</w:t>
      </w:r>
      <w:r w:rsidR="008B7C16">
        <w:rPr>
          <w:lang w:val="en-US"/>
        </w:rPr>
        <w:t xml:space="preserve"> not limited. </w:t>
      </w:r>
    </w:p>
    <w:p w14:paraId="16CCBC2F" w14:textId="10BB2CDD" w:rsidR="00BA6FEE" w:rsidRDefault="008B7C16" w:rsidP="00441B78">
      <w:pPr>
        <w:rPr>
          <w:lang w:val="en-US"/>
        </w:rPr>
      </w:pPr>
      <w:r>
        <w:rPr>
          <w:lang w:val="en-US"/>
        </w:rPr>
        <w:t>Hypothesis one will be tested with three dependent variables</w:t>
      </w:r>
      <w:r w:rsidR="00BA6FEE">
        <w:rPr>
          <w:lang w:val="en-US"/>
        </w:rPr>
        <w:t>, each dependent variable in a separate model</w:t>
      </w:r>
      <w:r>
        <w:rPr>
          <w:lang w:val="en-US"/>
        </w:rPr>
        <w:t>: total number of companies that (co)filed a patent application at the EPO</w:t>
      </w:r>
      <w:r w:rsidR="00BA6FEE">
        <w:rPr>
          <w:lang w:val="en-US"/>
        </w:rPr>
        <w:t>,</w:t>
      </w:r>
      <w:r>
        <w:rPr>
          <w:lang w:val="en-US"/>
        </w:rPr>
        <w:t xml:space="preserve"> average number of patent applications per firm, </w:t>
      </w:r>
      <w:r w:rsidR="00BA6FEE">
        <w:rPr>
          <w:lang w:val="en-US"/>
        </w:rPr>
        <w:t xml:space="preserve">and the logarithm of the total number of companies that </w:t>
      </w:r>
      <w:r w:rsidR="00BA6FEE">
        <w:rPr>
          <w:lang w:val="en-US"/>
        </w:rPr>
        <w:lastRenderedPageBreak/>
        <w:t xml:space="preserve">(co)filed a patent application at the EPO. Hypothesis two will be tested with </w:t>
      </w:r>
      <w:r w:rsidR="003B2C56">
        <w:rPr>
          <w:lang w:val="en-US"/>
        </w:rPr>
        <w:t xml:space="preserve">seven </w:t>
      </w:r>
      <w:r w:rsidR="00BA6FEE">
        <w:rPr>
          <w:lang w:val="en-US"/>
        </w:rPr>
        <w:t xml:space="preserve">models, each with one of the following dependent variables: the total number of granted patent applications at the EPO, the percentage of patent applications that got granted, the log of the total number of granted patent applications at the EPO, the total number of forward citations, the </w:t>
      </w:r>
      <w:r w:rsidR="003B2C56">
        <w:rPr>
          <w:lang w:val="en-US"/>
        </w:rPr>
        <w:t xml:space="preserve">average number of citations relative to the total number of applications, the log of the total number of citations, and finally the log of the total number of applications. A variant with one-year lagged independent variables will be estimated for all models as well. For all models, the independent variables are </w:t>
      </w:r>
      <w:r w:rsidR="00105E3B">
        <w:rPr>
          <w:lang w:val="en-US"/>
        </w:rPr>
        <w:t>the average PMR score of all European countries, the log of the total electricity consumption in the European Union and a constant (intercept). An extra model will be estimated for hypothesis one with regards to average number of patent applications per firm. This model adds the log of the total number of applications to the EPO, to adjust for possible trends in the propensity to patent</w:t>
      </w:r>
      <w:r w:rsidR="00105E3B">
        <w:rPr>
          <w:rStyle w:val="FootnoteReference"/>
          <w:lang w:val="en-US"/>
        </w:rPr>
        <w:footnoteReference w:id="5"/>
      </w:r>
      <w:r w:rsidR="00105E3B">
        <w:rPr>
          <w:lang w:val="en-US"/>
        </w:rPr>
        <w:t xml:space="preserve">. </w:t>
      </w:r>
    </w:p>
    <w:p w14:paraId="339CB016" w14:textId="77777777" w:rsidR="00105E3B" w:rsidRDefault="00105E3B" w:rsidP="00441B78">
      <w:pPr>
        <w:rPr>
          <w:lang w:val="en-US"/>
        </w:rPr>
      </w:pPr>
    </w:p>
    <w:p w14:paraId="1D1C1B74" w14:textId="77777777" w:rsidR="00105E3B" w:rsidRDefault="00105E3B" w:rsidP="00441B78">
      <w:pPr>
        <w:rPr>
          <w:lang w:val="en-US"/>
        </w:rPr>
      </w:pPr>
    </w:p>
    <w:p w14:paraId="5A55F45A" w14:textId="77777777" w:rsidR="00105E3B" w:rsidRDefault="00105E3B" w:rsidP="00441B78">
      <w:pPr>
        <w:rPr>
          <w:lang w:val="en-US"/>
        </w:rPr>
      </w:pPr>
    </w:p>
    <w:p w14:paraId="2E8BF7EA" w14:textId="77777777" w:rsidR="00105E3B" w:rsidRDefault="00105E3B" w:rsidP="00441B78">
      <w:pPr>
        <w:rPr>
          <w:lang w:val="en-US"/>
        </w:rPr>
      </w:pPr>
    </w:p>
    <w:p w14:paraId="4AB28FF8" w14:textId="77777777" w:rsidR="00105E3B" w:rsidRDefault="00105E3B" w:rsidP="00441B78">
      <w:pPr>
        <w:rPr>
          <w:lang w:val="en-US"/>
        </w:rPr>
      </w:pPr>
    </w:p>
    <w:p w14:paraId="3F49ED44" w14:textId="77777777" w:rsidR="00105E3B" w:rsidRDefault="00105E3B" w:rsidP="00441B78">
      <w:pPr>
        <w:rPr>
          <w:lang w:val="en-US"/>
        </w:rPr>
      </w:pPr>
    </w:p>
    <w:p w14:paraId="1220312F" w14:textId="77777777" w:rsidR="00105E3B" w:rsidRDefault="00105E3B" w:rsidP="00441B78">
      <w:pPr>
        <w:rPr>
          <w:lang w:val="en-US"/>
        </w:rPr>
      </w:pPr>
    </w:p>
    <w:p w14:paraId="780B85A1" w14:textId="77777777" w:rsidR="00105E3B" w:rsidRDefault="00105E3B" w:rsidP="00441B78">
      <w:pPr>
        <w:rPr>
          <w:lang w:val="en-US"/>
        </w:rPr>
      </w:pPr>
    </w:p>
    <w:p w14:paraId="6D125C1C" w14:textId="77777777" w:rsidR="00105E3B" w:rsidRDefault="00105E3B" w:rsidP="00441B78">
      <w:pPr>
        <w:rPr>
          <w:lang w:val="en-US"/>
        </w:rPr>
      </w:pPr>
    </w:p>
    <w:p w14:paraId="74648A4A" w14:textId="77777777" w:rsidR="00105E3B" w:rsidRDefault="00105E3B" w:rsidP="00441B78">
      <w:pPr>
        <w:rPr>
          <w:lang w:val="en-US"/>
        </w:rPr>
      </w:pPr>
    </w:p>
    <w:p w14:paraId="501A3D48" w14:textId="77777777" w:rsidR="00105E3B" w:rsidRDefault="00105E3B" w:rsidP="00441B78">
      <w:pPr>
        <w:rPr>
          <w:lang w:val="en-US"/>
        </w:rPr>
      </w:pPr>
    </w:p>
    <w:p w14:paraId="19ADCB80" w14:textId="77777777" w:rsidR="00105E3B" w:rsidRDefault="00105E3B" w:rsidP="00441B78">
      <w:pPr>
        <w:rPr>
          <w:lang w:val="en-US"/>
        </w:rPr>
      </w:pPr>
    </w:p>
    <w:p w14:paraId="3B64A6E5" w14:textId="77777777" w:rsidR="00105E3B" w:rsidRDefault="00105E3B" w:rsidP="00441B78">
      <w:pPr>
        <w:rPr>
          <w:lang w:val="en-US"/>
        </w:rPr>
      </w:pPr>
    </w:p>
    <w:p w14:paraId="1F637E47" w14:textId="77777777" w:rsidR="00105E3B" w:rsidRDefault="00105E3B" w:rsidP="00441B78">
      <w:pPr>
        <w:rPr>
          <w:lang w:val="en-US"/>
        </w:rPr>
      </w:pPr>
    </w:p>
    <w:p w14:paraId="01C68616" w14:textId="77777777" w:rsidR="006830F0" w:rsidRDefault="00312663" w:rsidP="006830F0">
      <w:pPr>
        <w:pStyle w:val="Heading1"/>
        <w:rPr>
          <w:lang w:val="en-US"/>
        </w:rPr>
      </w:pPr>
      <w:bookmarkStart w:id="56" w:name="_Toc424733298"/>
      <w:bookmarkStart w:id="57" w:name="_Toc426898405"/>
      <w:bookmarkStart w:id="58" w:name="_Toc427657285"/>
      <w:r>
        <w:rPr>
          <w:lang w:val="en-US"/>
        </w:rPr>
        <w:t xml:space="preserve">Chapter three: </w:t>
      </w:r>
      <w:r w:rsidR="006830F0">
        <w:rPr>
          <w:lang w:val="en-US"/>
        </w:rPr>
        <w:t>Results</w:t>
      </w:r>
      <w:bookmarkEnd w:id="56"/>
      <w:bookmarkEnd w:id="57"/>
      <w:bookmarkEnd w:id="58"/>
    </w:p>
    <w:p w14:paraId="3812A65A" w14:textId="77777777" w:rsidR="00D9667A" w:rsidRDefault="004F3FE7" w:rsidP="00441B78">
      <w:pPr>
        <w:rPr>
          <w:lang w:val="en-US"/>
        </w:rPr>
      </w:pPr>
      <w:r>
        <w:rPr>
          <w:lang w:val="en-US"/>
        </w:rPr>
        <w:t xml:space="preserve">This section reports the models and econometric results of the analysis. </w:t>
      </w:r>
    </w:p>
    <w:p w14:paraId="3E84A98D" w14:textId="378DFE10" w:rsidR="004F3FE7" w:rsidRDefault="004F3FE7" w:rsidP="00441B78">
      <w:pPr>
        <w:rPr>
          <w:lang w:val="en-US"/>
        </w:rPr>
      </w:pPr>
      <w:r>
        <w:rPr>
          <w:lang w:val="en-US"/>
        </w:rPr>
        <w:t xml:space="preserve">The first model estimates the effect of changes in openness of the </w:t>
      </w:r>
      <w:r w:rsidR="00092B35">
        <w:rPr>
          <w:lang w:val="en-US"/>
        </w:rPr>
        <w:t xml:space="preserve">electricity </w:t>
      </w:r>
      <w:r>
        <w:rPr>
          <w:lang w:val="en-US"/>
        </w:rPr>
        <w:t>market</w:t>
      </w:r>
      <w:r w:rsidR="00747463">
        <w:rPr>
          <w:lang w:val="en-US"/>
        </w:rPr>
        <w:t>,</w:t>
      </w:r>
      <w:r>
        <w:rPr>
          <w:lang w:val="en-US"/>
        </w:rPr>
        <w:t xml:space="preserve"> proxied by the PMR index</w:t>
      </w:r>
      <w:r w:rsidR="00747463">
        <w:rPr>
          <w:lang w:val="en-US"/>
        </w:rPr>
        <w:t>,</w:t>
      </w:r>
      <w:r>
        <w:rPr>
          <w:lang w:val="en-US"/>
        </w:rPr>
        <w:t xml:space="preserve"> on the total number of companies </w:t>
      </w:r>
      <w:r w:rsidR="00092B35" w:rsidRPr="00092B35">
        <w:rPr>
          <w:lang w:val="en-US"/>
        </w:rPr>
        <w:t xml:space="preserve">that filed a patent application </w:t>
      </w:r>
      <w:r w:rsidR="00C333CF">
        <w:rPr>
          <w:lang w:val="en-US"/>
        </w:rPr>
        <w:t xml:space="preserve">in the field of renewable electricity </w:t>
      </w:r>
      <w:r>
        <w:rPr>
          <w:lang w:val="en-US"/>
        </w:rPr>
        <w:t xml:space="preserve">in Europe. </w:t>
      </w:r>
      <w:r w:rsidR="00747463">
        <w:rPr>
          <w:lang w:val="en-US"/>
        </w:rPr>
        <w:t xml:space="preserve">The data provides the PMR indices per country. The index for Europe is the average of the national indices (see figure 1). </w:t>
      </w:r>
      <w:r w:rsidR="000D6277">
        <w:rPr>
          <w:lang w:val="en-US"/>
        </w:rPr>
        <w:t>The model specification is the following:</w:t>
      </w:r>
    </w:p>
    <w:p w14:paraId="026956C6" w14:textId="77777777" w:rsidR="000D6277" w:rsidRPr="00093B4D" w:rsidRDefault="000D6277" w:rsidP="00441B78">
      <w:pPr>
        <w:rPr>
          <w:rFonts w:eastAsiaTheme="minorEastAsia"/>
          <w:lang w:val="en-US"/>
        </w:rPr>
      </w:pPr>
      <m:oMathPara>
        <m:oMath>
          <m:r>
            <w:rPr>
              <w:rFonts w:ascii="Cambria Math" w:hAnsi="Cambria Math"/>
              <w:lang w:val="en-US"/>
            </w:rPr>
            <m:t xml:space="preserve">NumberOfCompanies=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0</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m:t>
              </m:r>
            </m:sub>
          </m:sSub>
          <m:sSub>
            <m:sSubPr>
              <m:ctrlPr>
                <w:rPr>
                  <w:rFonts w:ascii="Cambria Math" w:hAnsi="Cambria Math"/>
                  <w:i/>
                  <w:lang w:val="en-US"/>
                </w:rPr>
              </m:ctrlPr>
            </m:sSubPr>
            <m:e>
              <m:d>
                <m:dPr>
                  <m:ctrlPr>
                    <w:rPr>
                      <w:rFonts w:ascii="Cambria Math" w:hAnsi="Cambria Math"/>
                      <w:i/>
                      <w:lang w:val="en-US"/>
                    </w:rPr>
                  </m:ctrlPr>
                </m:dPr>
                <m:e>
                  <m:r>
                    <w:rPr>
                      <w:rFonts w:ascii="Cambria Math" w:hAnsi="Cambria Math"/>
                      <w:lang w:val="en-US"/>
                    </w:rPr>
                    <m:t>PMR Index</m:t>
                  </m:r>
                </m:e>
              </m:d>
            </m:e>
            <m:sub>
              <m:r>
                <w:rPr>
                  <w:rFonts w:ascii="Cambria Math" w:hAnsi="Cambria Math"/>
                  <w:lang w:val="en-US"/>
                </w:rPr>
                <m:t>t</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m:t>
              </m:r>
            </m:sub>
          </m:sSub>
          <m:sSub>
            <m:sSubPr>
              <m:ctrlPr>
                <w:rPr>
                  <w:rFonts w:ascii="Cambria Math" w:hAnsi="Cambria Math"/>
                  <w:i/>
                  <w:lang w:val="en-US"/>
                </w:rPr>
              </m:ctrlPr>
            </m:sSubPr>
            <m:e>
              <m:r>
                <w:rPr>
                  <w:rFonts w:ascii="Cambria Math" w:hAnsi="Cambria Math"/>
                  <w:lang w:val="en-US"/>
                </w:rPr>
                <m:t>(logConsumption)</m:t>
              </m:r>
            </m:e>
            <m:sub>
              <m:r>
                <w:rPr>
                  <w:rFonts w:ascii="Cambria Math" w:hAnsi="Cambria Math"/>
                  <w:lang w:val="en-US"/>
                </w:rPr>
                <m:t>t</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t</m:t>
              </m:r>
            </m:sub>
          </m:sSub>
          <m:r>
            <w:rPr>
              <w:rFonts w:ascii="Cambria Math" w:hAnsi="Cambria Math"/>
              <w:lang w:val="en-US"/>
            </w:rPr>
            <m:t xml:space="preserve"> </m:t>
          </m:r>
        </m:oMath>
      </m:oMathPara>
    </w:p>
    <w:p w14:paraId="1E32A786" w14:textId="0F97E5E0" w:rsidR="00093B4D" w:rsidRDefault="00093B4D" w:rsidP="00441B78">
      <w:pPr>
        <w:rPr>
          <w:rFonts w:eastAsiaTheme="minorEastAsia"/>
          <w:lang w:val="en-US"/>
        </w:rPr>
      </w:pPr>
      <w:r>
        <w:rPr>
          <w:rFonts w:eastAsiaTheme="minorEastAsia"/>
          <w:lang w:val="en-US"/>
        </w:rPr>
        <w:t xml:space="preserve">where t=1, 2 … </w:t>
      </w:r>
      <w:r w:rsidR="00C333CF">
        <w:rPr>
          <w:rFonts w:eastAsiaTheme="minorEastAsia"/>
          <w:lang w:val="en-US"/>
        </w:rPr>
        <w:t xml:space="preserve">t </w:t>
      </w:r>
      <w:r>
        <w:rPr>
          <w:rFonts w:eastAsiaTheme="minorEastAsia"/>
          <w:lang w:val="en-US"/>
        </w:rPr>
        <w:t xml:space="preserve">represent the years, </w:t>
      </w:r>
      <w:r>
        <w:rPr>
          <w:rFonts w:eastAsiaTheme="minorEastAsia" w:cs="Arial"/>
          <w:lang w:val="en-US"/>
        </w:rPr>
        <w:t>β</w:t>
      </w:r>
      <w:r>
        <w:rPr>
          <w:rFonts w:eastAsiaTheme="minorEastAsia"/>
          <w:vertAlign w:val="subscript"/>
          <w:lang w:val="en-US"/>
        </w:rPr>
        <w:t>0</w:t>
      </w:r>
      <w:r>
        <w:rPr>
          <w:rFonts w:eastAsiaTheme="minorEastAsia"/>
          <w:lang w:val="en-US"/>
        </w:rPr>
        <w:t xml:space="preserve"> is the intercept, and </w:t>
      </w:r>
      <w:r>
        <w:rPr>
          <w:rFonts w:eastAsiaTheme="minorEastAsia" w:cs="Arial"/>
          <w:lang w:val="en-US"/>
        </w:rPr>
        <w:t>β</w:t>
      </w:r>
      <w:r>
        <w:rPr>
          <w:rFonts w:eastAsiaTheme="minorEastAsia"/>
          <w:vertAlign w:val="subscript"/>
          <w:lang w:val="en-US"/>
        </w:rPr>
        <w:t>1</w:t>
      </w:r>
      <w:r w:rsidR="009F0CAA">
        <w:rPr>
          <w:rFonts w:eastAsiaTheme="minorEastAsia"/>
          <w:lang w:val="en-US"/>
        </w:rPr>
        <w:t xml:space="preserve"> and </w:t>
      </w:r>
      <w:r w:rsidR="009F0CAA">
        <w:rPr>
          <w:rFonts w:eastAsiaTheme="minorEastAsia" w:cs="Arial"/>
          <w:lang w:val="en-US"/>
        </w:rPr>
        <w:t>β</w:t>
      </w:r>
      <w:r w:rsidR="009F0CAA">
        <w:rPr>
          <w:rFonts w:eastAsiaTheme="minorEastAsia"/>
          <w:vertAlign w:val="subscript"/>
          <w:lang w:val="en-US"/>
        </w:rPr>
        <w:t xml:space="preserve">2 </w:t>
      </w:r>
      <w:r w:rsidR="009F0CAA">
        <w:rPr>
          <w:rFonts w:eastAsiaTheme="minorEastAsia"/>
          <w:lang w:val="en-US"/>
        </w:rPr>
        <w:t>are the regression coefficients.</w:t>
      </w:r>
      <w:r w:rsidR="00312663">
        <w:rPr>
          <w:rFonts w:eastAsiaTheme="minorEastAsia"/>
          <w:lang w:val="en-US"/>
        </w:rPr>
        <w:t xml:space="preserve"> </w:t>
      </w:r>
      <w:r w:rsidR="00221BBB">
        <w:rPr>
          <w:rFonts w:eastAsiaTheme="minorEastAsia"/>
          <w:lang w:val="en-US"/>
        </w:rPr>
        <w:t xml:space="preserve">Table 3 summarizes the estimates for the models used to test the first hypothesis. Note that the model specification for model 5 and 6 is the following: </w:t>
      </w:r>
    </w:p>
    <w:p w14:paraId="07D37E68" w14:textId="7E57259E" w:rsidR="00E72BC7" w:rsidRPr="00E72BC7" w:rsidRDefault="00221BBB" w:rsidP="00441B78">
      <w:pPr>
        <w:rPr>
          <w:rFonts w:eastAsiaTheme="minorEastAsia"/>
          <w:lang w:val="en-US"/>
        </w:rPr>
      </w:pPr>
      <m:oMathPara>
        <m:oMath>
          <m:r>
            <w:rPr>
              <w:rFonts w:ascii="Cambria Math" w:hAnsi="Cambria Math"/>
              <w:lang w:val="en-US"/>
            </w:rPr>
            <m:t>NumberOfCompanies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0</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m:t>
              </m:r>
            </m:sub>
          </m:sSub>
          <m:sSub>
            <m:sSubPr>
              <m:ctrlPr>
                <w:rPr>
                  <w:rFonts w:ascii="Cambria Math" w:hAnsi="Cambria Math"/>
                  <w:i/>
                  <w:lang w:val="en-US"/>
                </w:rPr>
              </m:ctrlPr>
            </m:sSubPr>
            <m:e>
              <m:d>
                <m:dPr>
                  <m:ctrlPr>
                    <w:rPr>
                      <w:rFonts w:ascii="Cambria Math" w:hAnsi="Cambria Math"/>
                      <w:i/>
                      <w:lang w:val="en-US"/>
                    </w:rPr>
                  </m:ctrlPr>
                </m:dPr>
                <m:e>
                  <m:r>
                    <w:rPr>
                      <w:rFonts w:ascii="Cambria Math" w:hAnsi="Cambria Math"/>
                      <w:lang w:val="en-US"/>
                    </w:rPr>
                    <m:t>PMR Index</m:t>
                  </m:r>
                </m:e>
              </m:d>
            </m:e>
            <m:sub>
              <m:r>
                <w:rPr>
                  <w:rFonts w:ascii="Cambria Math" w:hAnsi="Cambria Math"/>
                  <w:lang w:val="en-US"/>
                </w:rPr>
                <m:t>t</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m:t>
              </m:r>
            </m:sub>
          </m:sSub>
          <m:sSub>
            <m:sSubPr>
              <m:ctrlPr>
                <w:rPr>
                  <w:rFonts w:ascii="Cambria Math" w:hAnsi="Cambria Math"/>
                  <w:i/>
                  <w:lang w:val="en-US"/>
                </w:rPr>
              </m:ctrlPr>
            </m:sSubPr>
            <m:e>
              <m:d>
                <m:dPr>
                  <m:ctrlPr>
                    <w:rPr>
                      <w:rFonts w:ascii="Cambria Math" w:hAnsi="Cambria Math"/>
                      <w:i/>
                      <w:lang w:val="en-US"/>
                    </w:rPr>
                  </m:ctrlPr>
                </m:dPr>
                <m:e>
                  <m:r>
                    <w:rPr>
                      <w:rFonts w:ascii="Cambria Math" w:hAnsi="Cambria Math"/>
                      <w:lang w:val="en-US"/>
                    </w:rPr>
                    <m:t>logConsumption</m:t>
                  </m:r>
                </m:e>
              </m:d>
            </m:e>
            <m:sub>
              <m:r>
                <w:rPr>
                  <w:rFonts w:ascii="Cambria Math" w:hAnsi="Cambria Math"/>
                  <w:lang w:val="en-US"/>
                </w:rPr>
                <m:t>t</m:t>
              </m:r>
            </m:sub>
          </m:sSub>
          <m:r>
            <w:rPr>
              <w:rFonts w:ascii="Cambria Math" w:hAnsi="Cambria Math"/>
              <w:lang w:val="en-US"/>
            </w:rPr>
            <m:t>+</m:t>
          </m:r>
        </m:oMath>
      </m:oMathPara>
    </w:p>
    <w:p w14:paraId="1F5D5C11" w14:textId="769DC2FD" w:rsidR="00221BBB" w:rsidRPr="00221BBB" w:rsidRDefault="00C55BBE" w:rsidP="00441B78">
      <w:pPr>
        <w:rPr>
          <w:rFonts w:eastAsiaTheme="minorEastAsia"/>
          <w:lang w:val="en-US"/>
        </w:rPr>
      </w:pPr>
      <m:oMathPara>
        <m:oMath>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3</m:t>
                  </m:r>
                </m:sub>
              </m:sSub>
              <m:r>
                <w:rPr>
                  <w:rFonts w:ascii="Cambria Math" w:hAnsi="Cambria Math"/>
                  <w:lang w:val="en-US"/>
                </w:rPr>
                <m:t>(logTotalApplications)</m:t>
              </m:r>
            </m:e>
            <m:sub>
              <m:r>
                <w:rPr>
                  <w:rFonts w:ascii="Cambria Math" w:hAnsi="Cambria Math"/>
                  <w:lang w:val="en-US"/>
                </w:rPr>
                <m:t>t</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t</m:t>
              </m:r>
            </m:sub>
          </m:sSub>
        </m:oMath>
      </m:oMathPara>
    </w:p>
    <w:p w14:paraId="6E84A443" w14:textId="36EBD35B" w:rsidR="00221BBB" w:rsidRPr="00E72BC7" w:rsidRDefault="00E72BC7" w:rsidP="00441B78">
      <w:pPr>
        <w:rPr>
          <w:rFonts w:eastAsiaTheme="minorEastAsia"/>
          <w:i/>
          <w:lang w:val="en-US"/>
        </w:rPr>
      </w:pPr>
      <w:r>
        <w:rPr>
          <w:rFonts w:eastAsiaTheme="minorEastAsia"/>
          <w:lang w:val="en-US"/>
        </w:rPr>
        <w:t xml:space="preserve">where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3</m:t>
            </m:r>
          </m:sub>
        </m:sSub>
      </m:oMath>
      <w:r>
        <w:rPr>
          <w:rFonts w:eastAsiaTheme="minorEastAsia"/>
          <w:lang w:val="en-US"/>
        </w:rPr>
        <w:t xml:space="preserve"> is the regression coefficient for the parameter </w:t>
      </w:r>
      <w:r>
        <w:rPr>
          <w:rFonts w:eastAsiaTheme="minorEastAsia"/>
          <w:i/>
          <w:lang w:val="en-US"/>
        </w:rPr>
        <w:t>logTotalApplications.</w:t>
      </w:r>
    </w:p>
    <w:tbl>
      <w:tblPr>
        <w:tblW w:w="9060" w:type="dxa"/>
        <w:tblInd w:w="55" w:type="dxa"/>
        <w:tblCellMar>
          <w:left w:w="70" w:type="dxa"/>
          <w:right w:w="70" w:type="dxa"/>
        </w:tblCellMar>
        <w:tblLook w:val="04A0" w:firstRow="1" w:lastRow="0" w:firstColumn="1" w:lastColumn="0" w:noHBand="0" w:noVBand="1"/>
      </w:tblPr>
      <w:tblGrid>
        <w:gridCol w:w="1700"/>
        <w:gridCol w:w="920"/>
        <w:gridCol w:w="920"/>
        <w:gridCol w:w="920"/>
        <w:gridCol w:w="920"/>
        <w:gridCol w:w="920"/>
        <w:gridCol w:w="920"/>
        <w:gridCol w:w="920"/>
        <w:gridCol w:w="920"/>
      </w:tblGrid>
      <w:tr w:rsidR="001B3F45" w:rsidRPr="001B3F45" w14:paraId="48C47B91" w14:textId="77777777" w:rsidTr="001B3F45">
        <w:trPr>
          <w:trHeight w:val="2415"/>
        </w:trPr>
        <w:tc>
          <w:tcPr>
            <w:tcW w:w="1700" w:type="dxa"/>
            <w:tcBorders>
              <w:top w:val="single" w:sz="4" w:space="0" w:color="auto"/>
              <w:left w:val="single" w:sz="4" w:space="0" w:color="auto"/>
              <w:bottom w:val="nil"/>
              <w:right w:val="nil"/>
            </w:tcBorders>
            <w:shd w:val="clear" w:color="auto" w:fill="auto"/>
            <w:noWrap/>
            <w:vAlign w:val="bottom"/>
            <w:hideMark/>
          </w:tcPr>
          <w:p w14:paraId="4CD1730F"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lastRenderedPageBreak/>
              <w:t>Dependent variable</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1A37DB6C"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NumberOfCompanies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6BE970F5"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NumberOfCompanies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759F6614"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AvgBusinessApplications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7F1C0FDD"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AvgBusinessApplications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72998233"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AvgBusinessApplications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0624D48B"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AvgBusinessApplications</w:t>
            </w:r>
          </w:p>
        </w:tc>
        <w:tc>
          <w:tcPr>
            <w:tcW w:w="920" w:type="dxa"/>
            <w:tcBorders>
              <w:top w:val="single" w:sz="4" w:space="0" w:color="auto"/>
              <w:left w:val="nil"/>
              <w:bottom w:val="single" w:sz="4" w:space="0" w:color="auto"/>
              <w:right w:val="nil"/>
            </w:tcBorders>
            <w:shd w:val="clear" w:color="auto" w:fill="auto"/>
            <w:noWrap/>
            <w:textDirection w:val="btLr"/>
            <w:vAlign w:val="bottom"/>
            <w:hideMark/>
          </w:tcPr>
          <w:p w14:paraId="4DFA8F45"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LogNumberOfCompanies</w:t>
            </w:r>
          </w:p>
        </w:tc>
        <w:tc>
          <w:tcPr>
            <w:tcW w:w="920"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20571B71" w14:textId="77777777" w:rsidR="001B3F45" w:rsidRPr="001B3F45" w:rsidRDefault="001B3F45" w:rsidP="00AB2B0F">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LogNumberOfCompanies</w:t>
            </w:r>
          </w:p>
        </w:tc>
      </w:tr>
      <w:tr w:rsidR="001B3F45" w:rsidRPr="001B3F45" w14:paraId="1B019709" w14:textId="77777777" w:rsidTr="001B3F45">
        <w:trPr>
          <w:trHeight w:val="300"/>
        </w:trPr>
        <w:tc>
          <w:tcPr>
            <w:tcW w:w="1700" w:type="dxa"/>
            <w:tcBorders>
              <w:top w:val="single" w:sz="4" w:space="0" w:color="auto"/>
              <w:left w:val="single" w:sz="4" w:space="0" w:color="auto"/>
              <w:bottom w:val="nil"/>
              <w:right w:val="nil"/>
            </w:tcBorders>
            <w:shd w:val="clear" w:color="auto" w:fill="auto"/>
            <w:noWrap/>
            <w:vAlign w:val="bottom"/>
            <w:hideMark/>
          </w:tcPr>
          <w:p w14:paraId="34C54863"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Model</w:t>
            </w:r>
          </w:p>
        </w:tc>
        <w:tc>
          <w:tcPr>
            <w:tcW w:w="920" w:type="dxa"/>
            <w:tcBorders>
              <w:top w:val="nil"/>
              <w:left w:val="nil"/>
              <w:bottom w:val="nil"/>
              <w:right w:val="nil"/>
            </w:tcBorders>
            <w:shd w:val="clear" w:color="auto" w:fill="auto"/>
            <w:noWrap/>
            <w:vAlign w:val="bottom"/>
            <w:hideMark/>
          </w:tcPr>
          <w:p w14:paraId="0F76C83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w:t>
            </w:r>
          </w:p>
        </w:tc>
        <w:tc>
          <w:tcPr>
            <w:tcW w:w="920" w:type="dxa"/>
            <w:tcBorders>
              <w:top w:val="nil"/>
              <w:left w:val="nil"/>
              <w:bottom w:val="nil"/>
              <w:right w:val="nil"/>
            </w:tcBorders>
            <w:shd w:val="clear" w:color="auto" w:fill="auto"/>
            <w:noWrap/>
            <w:vAlign w:val="bottom"/>
            <w:hideMark/>
          </w:tcPr>
          <w:p w14:paraId="5AEBE668"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w:t>
            </w:r>
          </w:p>
        </w:tc>
        <w:tc>
          <w:tcPr>
            <w:tcW w:w="920" w:type="dxa"/>
            <w:tcBorders>
              <w:top w:val="nil"/>
              <w:left w:val="nil"/>
              <w:bottom w:val="nil"/>
              <w:right w:val="nil"/>
            </w:tcBorders>
            <w:shd w:val="clear" w:color="auto" w:fill="auto"/>
            <w:noWrap/>
            <w:vAlign w:val="bottom"/>
            <w:hideMark/>
          </w:tcPr>
          <w:p w14:paraId="26F30A5C"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3</w:t>
            </w:r>
          </w:p>
        </w:tc>
        <w:tc>
          <w:tcPr>
            <w:tcW w:w="920" w:type="dxa"/>
            <w:tcBorders>
              <w:top w:val="nil"/>
              <w:left w:val="nil"/>
              <w:bottom w:val="nil"/>
              <w:right w:val="nil"/>
            </w:tcBorders>
            <w:shd w:val="clear" w:color="auto" w:fill="auto"/>
            <w:noWrap/>
            <w:vAlign w:val="bottom"/>
            <w:hideMark/>
          </w:tcPr>
          <w:p w14:paraId="54E13872"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4</w:t>
            </w:r>
          </w:p>
        </w:tc>
        <w:tc>
          <w:tcPr>
            <w:tcW w:w="920" w:type="dxa"/>
            <w:tcBorders>
              <w:top w:val="nil"/>
              <w:left w:val="nil"/>
              <w:bottom w:val="nil"/>
              <w:right w:val="nil"/>
            </w:tcBorders>
            <w:shd w:val="clear" w:color="auto" w:fill="auto"/>
            <w:noWrap/>
            <w:vAlign w:val="bottom"/>
            <w:hideMark/>
          </w:tcPr>
          <w:p w14:paraId="5F3F6320"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5</w:t>
            </w:r>
          </w:p>
        </w:tc>
        <w:tc>
          <w:tcPr>
            <w:tcW w:w="920" w:type="dxa"/>
            <w:tcBorders>
              <w:top w:val="nil"/>
              <w:left w:val="nil"/>
              <w:bottom w:val="nil"/>
              <w:right w:val="nil"/>
            </w:tcBorders>
            <w:shd w:val="clear" w:color="auto" w:fill="auto"/>
            <w:noWrap/>
            <w:vAlign w:val="bottom"/>
            <w:hideMark/>
          </w:tcPr>
          <w:p w14:paraId="1DCAAA2E"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6</w:t>
            </w:r>
          </w:p>
        </w:tc>
        <w:tc>
          <w:tcPr>
            <w:tcW w:w="920" w:type="dxa"/>
            <w:tcBorders>
              <w:top w:val="nil"/>
              <w:left w:val="nil"/>
              <w:bottom w:val="nil"/>
              <w:right w:val="nil"/>
            </w:tcBorders>
            <w:shd w:val="clear" w:color="auto" w:fill="auto"/>
            <w:noWrap/>
            <w:vAlign w:val="bottom"/>
            <w:hideMark/>
          </w:tcPr>
          <w:p w14:paraId="02EF5B3D"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7</w:t>
            </w:r>
          </w:p>
        </w:tc>
        <w:tc>
          <w:tcPr>
            <w:tcW w:w="920" w:type="dxa"/>
            <w:tcBorders>
              <w:top w:val="nil"/>
              <w:left w:val="nil"/>
              <w:bottom w:val="nil"/>
              <w:right w:val="single" w:sz="4" w:space="0" w:color="auto"/>
            </w:tcBorders>
            <w:shd w:val="clear" w:color="auto" w:fill="auto"/>
            <w:noWrap/>
            <w:vAlign w:val="bottom"/>
            <w:hideMark/>
          </w:tcPr>
          <w:p w14:paraId="338BF34D"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8</w:t>
            </w:r>
          </w:p>
        </w:tc>
      </w:tr>
      <w:tr w:rsidR="001B3F45" w:rsidRPr="001B3F45" w14:paraId="349DF639" w14:textId="77777777" w:rsidTr="001B3F45">
        <w:trPr>
          <w:trHeight w:val="300"/>
        </w:trPr>
        <w:tc>
          <w:tcPr>
            <w:tcW w:w="1700" w:type="dxa"/>
            <w:tcBorders>
              <w:top w:val="single" w:sz="4" w:space="0" w:color="auto"/>
              <w:left w:val="single" w:sz="4" w:space="0" w:color="auto"/>
              <w:bottom w:val="nil"/>
              <w:right w:val="nil"/>
            </w:tcBorders>
            <w:shd w:val="clear" w:color="auto" w:fill="auto"/>
            <w:noWrap/>
            <w:vAlign w:val="bottom"/>
            <w:hideMark/>
          </w:tcPr>
          <w:p w14:paraId="270BF862"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Statistical Method</w:t>
            </w:r>
          </w:p>
        </w:tc>
        <w:tc>
          <w:tcPr>
            <w:tcW w:w="920" w:type="dxa"/>
            <w:tcBorders>
              <w:top w:val="single" w:sz="4" w:space="0" w:color="auto"/>
              <w:left w:val="nil"/>
              <w:bottom w:val="nil"/>
              <w:right w:val="nil"/>
            </w:tcBorders>
            <w:shd w:val="clear" w:color="auto" w:fill="auto"/>
            <w:noWrap/>
            <w:vAlign w:val="bottom"/>
            <w:hideMark/>
          </w:tcPr>
          <w:p w14:paraId="11447F5A"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Count</w:t>
            </w:r>
          </w:p>
        </w:tc>
        <w:tc>
          <w:tcPr>
            <w:tcW w:w="920" w:type="dxa"/>
            <w:tcBorders>
              <w:top w:val="single" w:sz="4" w:space="0" w:color="auto"/>
              <w:left w:val="nil"/>
              <w:bottom w:val="nil"/>
              <w:right w:val="nil"/>
            </w:tcBorders>
            <w:shd w:val="clear" w:color="auto" w:fill="auto"/>
            <w:noWrap/>
            <w:vAlign w:val="bottom"/>
            <w:hideMark/>
          </w:tcPr>
          <w:p w14:paraId="0BD65892"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Count</w:t>
            </w:r>
          </w:p>
        </w:tc>
        <w:tc>
          <w:tcPr>
            <w:tcW w:w="920" w:type="dxa"/>
            <w:tcBorders>
              <w:top w:val="single" w:sz="4" w:space="0" w:color="auto"/>
              <w:left w:val="nil"/>
              <w:bottom w:val="nil"/>
              <w:right w:val="nil"/>
            </w:tcBorders>
            <w:shd w:val="clear" w:color="auto" w:fill="auto"/>
            <w:noWrap/>
            <w:vAlign w:val="bottom"/>
            <w:hideMark/>
          </w:tcPr>
          <w:p w14:paraId="39108758"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c>
          <w:tcPr>
            <w:tcW w:w="920" w:type="dxa"/>
            <w:tcBorders>
              <w:top w:val="single" w:sz="4" w:space="0" w:color="auto"/>
              <w:left w:val="nil"/>
              <w:bottom w:val="nil"/>
              <w:right w:val="nil"/>
            </w:tcBorders>
            <w:shd w:val="clear" w:color="auto" w:fill="auto"/>
            <w:noWrap/>
            <w:vAlign w:val="bottom"/>
            <w:hideMark/>
          </w:tcPr>
          <w:p w14:paraId="4A251E8C"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c>
          <w:tcPr>
            <w:tcW w:w="920" w:type="dxa"/>
            <w:tcBorders>
              <w:top w:val="single" w:sz="4" w:space="0" w:color="auto"/>
              <w:left w:val="nil"/>
              <w:bottom w:val="nil"/>
              <w:right w:val="nil"/>
            </w:tcBorders>
            <w:shd w:val="clear" w:color="auto" w:fill="auto"/>
            <w:noWrap/>
            <w:vAlign w:val="bottom"/>
            <w:hideMark/>
          </w:tcPr>
          <w:p w14:paraId="0D11CA10"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c>
          <w:tcPr>
            <w:tcW w:w="920" w:type="dxa"/>
            <w:tcBorders>
              <w:top w:val="single" w:sz="4" w:space="0" w:color="auto"/>
              <w:left w:val="nil"/>
              <w:bottom w:val="nil"/>
              <w:right w:val="nil"/>
            </w:tcBorders>
            <w:shd w:val="clear" w:color="auto" w:fill="auto"/>
            <w:noWrap/>
            <w:vAlign w:val="bottom"/>
            <w:hideMark/>
          </w:tcPr>
          <w:p w14:paraId="7E817C2F"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c>
          <w:tcPr>
            <w:tcW w:w="920" w:type="dxa"/>
            <w:tcBorders>
              <w:top w:val="single" w:sz="4" w:space="0" w:color="auto"/>
              <w:left w:val="nil"/>
              <w:bottom w:val="nil"/>
              <w:right w:val="nil"/>
            </w:tcBorders>
            <w:shd w:val="clear" w:color="auto" w:fill="auto"/>
            <w:noWrap/>
            <w:vAlign w:val="bottom"/>
            <w:hideMark/>
          </w:tcPr>
          <w:p w14:paraId="48861601"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c>
          <w:tcPr>
            <w:tcW w:w="920" w:type="dxa"/>
            <w:tcBorders>
              <w:top w:val="single" w:sz="4" w:space="0" w:color="auto"/>
              <w:left w:val="nil"/>
              <w:bottom w:val="nil"/>
              <w:right w:val="single" w:sz="4" w:space="0" w:color="auto"/>
            </w:tcBorders>
            <w:shd w:val="clear" w:color="auto" w:fill="auto"/>
            <w:noWrap/>
            <w:vAlign w:val="bottom"/>
            <w:hideMark/>
          </w:tcPr>
          <w:p w14:paraId="5B06F2D0"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OLS</w:t>
            </w:r>
          </w:p>
        </w:tc>
      </w:tr>
      <w:tr w:rsidR="001B3F45" w:rsidRPr="001B3F45" w14:paraId="1111E4A5"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2AFBA853"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Number of Lags</w:t>
            </w:r>
          </w:p>
        </w:tc>
        <w:tc>
          <w:tcPr>
            <w:tcW w:w="920" w:type="dxa"/>
            <w:tcBorders>
              <w:top w:val="nil"/>
              <w:left w:val="nil"/>
              <w:bottom w:val="nil"/>
              <w:right w:val="nil"/>
            </w:tcBorders>
            <w:shd w:val="clear" w:color="auto" w:fill="auto"/>
            <w:noWrap/>
            <w:vAlign w:val="bottom"/>
            <w:hideMark/>
          </w:tcPr>
          <w:p w14:paraId="137533CC"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1250E311"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w:t>
            </w:r>
          </w:p>
        </w:tc>
        <w:tc>
          <w:tcPr>
            <w:tcW w:w="920" w:type="dxa"/>
            <w:tcBorders>
              <w:top w:val="nil"/>
              <w:left w:val="nil"/>
              <w:bottom w:val="nil"/>
              <w:right w:val="nil"/>
            </w:tcBorders>
            <w:shd w:val="clear" w:color="auto" w:fill="auto"/>
            <w:noWrap/>
            <w:vAlign w:val="bottom"/>
            <w:hideMark/>
          </w:tcPr>
          <w:p w14:paraId="4423C15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ABE03D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w:t>
            </w:r>
          </w:p>
        </w:tc>
        <w:tc>
          <w:tcPr>
            <w:tcW w:w="920" w:type="dxa"/>
            <w:tcBorders>
              <w:top w:val="nil"/>
              <w:left w:val="nil"/>
              <w:bottom w:val="nil"/>
              <w:right w:val="nil"/>
            </w:tcBorders>
            <w:shd w:val="clear" w:color="auto" w:fill="auto"/>
            <w:noWrap/>
            <w:vAlign w:val="bottom"/>
            <w:hideMark/>
          </w:tcPr>
          <w:p w14:paraId="56A6675C"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48D811DB"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w:t>
            </w:r>
          </w:p>
        </w:tc>
        <w:tc>
          <w:tcPr>
            <w:tcW w:w="920" w:type="dxa"/>
            <w:tcBorders>
              <w:top w:val="nil"/>
              <w:left w:val="nil"/>
              <w:bottom w:val="nil"/>
              <w:right w:val="nil"/>
            </w:tcBorders>
            <w:shd w:val="clear" w:color="auto" w:fill="auto"/>
            <w:noWrap/>
            <w:vAlign w:val="bottom"/>
            <w:hideMark/>
          </w:tcPr>
          <w:p w14:paraId="2431EBC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single" w:sz="4" w:space="0" w:color="auto"/>
            </w:tcBorders>
            <w:shd w:val="clear" w:color="auto" w:fill="auto"/>
            <w:noWrap/>
            <w:vAlign w:val="bottom"/>
            <w:hideMark/>
          </w:tcPr>
          <w:p w14:paraId="2A30113C"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w:t>
            </w:r>
          </w:p>
        </w:tc>
      </w:tr>
      <w:tr w:rsidR="001B3F45" w:rsidRPr="001B3F45" w14:paraId="7AC31E94"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767D4A1B"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AvgPMR</w:t>
            </w:r>
          </w:p>
        </w:tc>
        <w:tc>
          <w:tcPr>
            <w:tcW w:w="920" w:type="dxa"/>
            <w:tcBorders>
              <w:top w:val="nil"/>
              <w:left w:val="nil"/>
              <w:bottom w:val="nil"/>
              <w:right w:val="nil"/>
            </w:tcBorders>
            <w:shd w:val="clear" w:color="auto" w:fill="auto"/>
            <w:noWrap/>
            <w:vAlign w:val="bottom"/>
            <w:hideMark/>
          </w:tcPr>
          <w:p w14:paraId="3F90E88B" w14:textId="0ED6A256"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3535E45A" w14:textId="5B1E8579"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-0,82</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6F8631F3" w14:textId="3CF350B1"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-0,25</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A372EA4" w14:textId="3F07D46F"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-0,37</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2050AB2" w14:textId="0E49A5EA"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0,27</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1677FC3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0,01</w:t>
            </w:r>
          </w:p>
        </w:tc>
        <w:tc>
          <w:tcPr>
            <w:tcW w:w="920" w:type="dxa"/>
            <w:tcBorders>
              <w:top w:val="nil"/>
              <w:left w:val="nil"/>
              <w:bottom w:val="nil"/>
              <w:right w:val="nil"/>
            </w:tcBorders>
            <w:shd w:val="clear" w:color="auto" w:fill="auto"/>
            <w:noWrap/>
            <w:vAlign w:val="bottom"/>
            <w:hideMark/>
          </w:tcPr>
          <w:p w14:paraId="1413DAF9" w14:textId="039C6772"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-0,71</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single" w:sz="4" w:space="0" w:color="auto"/>
            </w:tcBorders>
            <w:shd w:val="clear" w:color="auto" w:fill="auto"/>
            <w:noWrap/>
            <w:vAlign w:val="bottom"/>
            <w:hideMark/>
          </w:tcPr>
          <w:p w14:paraId="58C438C7" w14:textId="06748FEB"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-0,66</w:t>
            </w:r>
            <w:r w:rsidR="00AB2B0F">
              <w:rPr>
                <w:rFonts w:ascii="Calibri" w:eastAsia="Times New Roman" w:hAnsi="Calibri" w:cs="Times New Roman"/>
                <w:color w:val="000000"/>
                <w:sz w:val="20"/>
                <w:szCs w:val="20"/>
                <w:lang w:eastAsia="nl-NL"/>
              </w:rPr>
              <w:t>***</w:t>
            </w:r>
          </w:p>
        </w:tc>
      </w:tr>
      <w:tr w:rsidR="001B3F45" w:rsidRPr="001B3F45" w14:paraId="253801E3"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2A79105F"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 </w:t>
            </w:r>
          </w:p>
        </w:tc>
        <w:tc>
          <w:tcPr>
            <w:tcW w:w="920" w:type="dxa"/>
            <w:tcBorders>
              <w:top w:val="nil"/>
              <w:left w:val="nil"/>
              <w:bottom w:val="nil"/>
              <w:right w:val="nil"/>
            </w:tcBorders>
            <w:shd w:val="clear" w:color="auto" w:fill="auto"/>
            <w:noWrap/>
            <w:vAlign w:val="bottom"/>
            <w:hideMark/>
          </w:tcPr>
          <w:p w14:paraId="0175E90D" w14:textId="110B5811"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0,04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237A57B7" w14:textId="523B5D5D"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0,03</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2783BF9B" w14:textId="36CC80D9"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45A5E2A" w14:textId="3544D993"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0,13</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19DB199C" w14:textId="310C89F9"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572352D" w14:textId="6A140212"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0,18</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96EC3B9" w14:textId="508151D1"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0,13</w:t>
            </w:r>
            <w:r>
              <w:rPr>
                <w:rFonts w:ascii="Calibri" w:eastAsia="Times New Roman" w:hAnsi="Calibri" w:cs="Times New Roman"/>
                <w:color w:val="000000"/>
                <w:sz w:val="20"/>
                <w:szCs w:val="20"/>
                <w:lang w:eastAsia="nl-NL"/>
              </w:rPr>
              <w:t>)</w:t>
            </w:r>
          </w:p>
        </w:tc>
        <w:tc>
          <w:tcPr>
            <w:tcW w:w="920" w:type="dxa"/>
            <w:tcBorders>
              <w:top w:val="nil"/>
              <w:left w:val="nil"/>
              <w:bottom w:val="nil"/>
              <w:right w:val="single" w:sz="4" w:space="0" w:color="auto"/>
            </w:tcBorders>
            <w:shd w:val="clear" w:color="auto" w:fill="auto"/>
            <w:noWrap/>
            <w:vAlign w:val="bottom"/>
            <w:hideMark/>
          </w:tcPr>
          <w:p w14:paraId="79574D28" w14:textId="273AD9E0"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0,11</w:t>
            </w:r>
            <w:r>
              <w:rPr>
                <w:rFonts w:ascii="Calibri" w:eastAsia="Times New Roman" w:hAnsi="Calibri" w:cs="Times New Roman"/>
                <w:color w:val="000000"/>
                <w:sz w:val="20"/>
                <w:szCs w:val="20"/>
                <w:lang w:eastAsia="nl-NL"/>
              </w:rPr>
              <w:t>)</w:t>
            </w:r>
          </w:p>
        </w:tc>
      </w:tr>
      <w:tr w:rsidR="001B3F45" w:rsidRPr="001B3F45" w14:paraId="02A32FCF"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70AD378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logConsumption</w:t>
            </w:r>
          </w:p>
        </w:tc>
        <w:tc>
          <w:tcPr>
            <w:tcW w:w="920" w:type="dxa"/>
            <w:tcBorders>
              <w:top w:val="nil"/>
              <w:left w:val="nil"/>
              <w:bottom w:val="nil"/>
              <w:right w:val="nil"/>
            </w:tcBorders>
            <w:shd w:val="clear" w:color="auto" w:fill="auto"/>
            <w:noWrap/>
            <w:vAlign w:val="bottom"/>
            <w:hideMark/>
          </w:tcPr>
          <w:p w14:paraId="40393779" w14:textId="7F0FF75B"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-5,32</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6E120495" w14:textId="22916621"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-4,97</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4446A9FC"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-0,47</w:t>
            </w:r>
          </w:p>
        </w:tc>
        <w:tc>
          <w:tcPr>
            <w:tcW w:w="920" w:type="dxa"/>
            <w:tcBorders>
              <w:top w:val="nil"/>
              <w:left w:val="nil"/>
              <w:bottom w:val="nil"/>
              <w:right w:val="nil"/>
            </w:tcBorders>
            <w:shd w:val="clear" w:color="auto" w:fill="auto"/>
            <w:noWrap/>
            <w:vAlign w:val="bottom"/>
            <w:hideMark/>
          </w:tcPr>
          <w:p w14:paraId="65F40B13"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-1,75</w:t>
            </w:r>
          </w:p>
        </w:tc>
        <w:tc>
          <w:tcPr>
            <w:tcW w:w="920" w:type="dxa"/>
            <w:tcBorders>
              <w:top w:val="nil"/>
              <w:left w:val="nil"/>
              <w:bottom w:val="nil"/>
              <w:right w:val="nil"/>
            </w:tcBorders>
            <w:shd w:val="clear" w:color="auto" w:fill="auto"/>
            <w:noWrap/>
            <w:vAlign w:val="bottom"/>
            <w:hideMark/>
          </w:tcPr>
          <w:p w14:paraId="5E59D2A2" w14:textId="3A6EB928"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2,50</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36F27EEC"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0,27</w:t>
            </w:r>
          </w:p>
        </w:tc>
        <w:tc>
          <w:tcPr>
            <w:tcW w:w="920" w:type="dxa"/>
            <w:tcBorders>
              <w:top w:val="nil"/>
              <w:left w:val="nil"/>
              <w:bottom w:val="nil"/>
              <w:right w:val="nil"/>
            </w:tcBorders>
            <w:shd w:val="clear" w:color="auto" w:fill="auto"/>
            <w:noWrap/>
            <w:vAlign w:val="bottom"/>
            <w:hideMark/>
          </w:tcPr>
          <w:p w14:paraId="0FFBF70F" w14:textId="22392CB3"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-3,67</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single" w:sz="4" w:space="0" w:color="auto"/>
            </w:tcBorders>
            <w:shd w:val="clear" w:color="auto" w:fill="auto"/>
            <w:noWrap/>
            <w:vAlign w:val="bottom"/>
            <w:hideMark/>
          </w:tcPr>
          <w:p w14:paraId="5041AD53" w14:textId="40C1E963"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-2,97</w:t>
            </w:r>
            <w:r w:rsidR="00AB2B0F">
              <w:rPr>
                <w:rFonts w:ascii="Calibri" w:eastAsia="Times New Roman" w:hAnsi="Calibri" w:cs="Times New Roman"/>
                <w:color w:val="000000"/>
                <w:sz w:val="20"/>
                <w:szCs w:val="20"/>
                <w:lang w:eastAsia="nl-NL"/>
              </w:rPr>
              <w:t>*</w:t>
            </w:r>
          </w:p>
        </w:tc>
      </w:tr>
      <w:tr w:rsidR="001B3F45" w:rsidRPr="001B3F45" w14:paraId="5AF8E2A9"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496DC5D5"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 </w:t>
            </w:r>
          </w:p>
        </w:tc>
        <w:tc>
          <w:tcPr>
            <w:tcW w:w="920" w:type="dxa"/>
            <w:tcBorders>
              <w:top w:val="nil"/>
              <w:left w:val="nil"/>
              <w:bottom w:val="nil"/>
              <w:right w:val="nil"/>
            </w:tcBorders>
            <w:shd w:val="clear" w:color="auto" w:fill="auto"/>
            <w:noWrap/>
            <w:vAlign w:val="bottom"/>
            <w:hideMark/>
          </w:tcPr>
          <w:p w14:paraId="134B479D" w14:textId="0285AEF4"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0,50</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4A07043D" w14:textId="4A63A39B"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0,49</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A3A6677" w14:textId="694A04DC"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1,84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7D798F96" w14:textId="162501A6"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1,70</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3B865BB6" w14:textId="025398F7"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1,41</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2C793673" w14:textId="51BB03D2"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1,64</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412AB1BE" w14:textId="0B8BA453"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1,70</w:t>
            </w:r>
            <w:r>
              <w:rPr>
                <w:rFonts w:ascii="Calibri" w:eastAsia="Times New Roman" w:hAnsi="Calibri" w:cs="Times New Roman"/>
                <w:color w:val="000000"/>
                <w:sz w:val="20"/>
                <w:szCs w:val="20"/>
                <w:lang w:eastAsia="nl-NL"/>
              </w:rPr>
              <w:t>)</w:t>
            </w:r>
          </w:p>
        </w:tc>
        <w:tc>
          <w:tcPr>
            <w:tcW w:w="920" w:type="dxa"/>
            <w:tcBorders>
              <w:top w:val="nil"/>
              <w:left w:val="nil"/>
              <w:bottom w:val="nil"/>
              <w:right w:val="single" w:sz="4" w:space="0" w:color="auto"/>
            </w:tcBorders>
            <w:shd w:val="clear" w:color="auto" w:fill="auto"/>
            <w:noWrap/>
            <w:vAlign w:val="bottom"/>
            <w:hideMark/>
          </w:tcPr>
          <w:p w14:paraId="1DF1A94E" w14:textId="320E1A39"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1,45</w:t>
            </w:r>
            <w:r>
              <w:rPr>
                <w:rFonts w:ascii="Calibri" w:eastAsia="Times New Roman" w:hAnsi="Calibri" w:cs="Times New Roman"/>
                <w:color w:val="000000"/>
                <w:sz w:val="20"/>
                <w:szCs w:val="20"/>
                <w:lang w:eastAsia="nl-NL"/>
              </w:rPr>
              <w:t>)</w:t>
            </w:r>
          </w:p>
        </w:tc>
      </w:tr>
      <w:tr w:rsidR="001B3F45" w:rsidRPr="001B3F45" w14:paraId="7960B53C" w14:textId="77777777" w:rsidTr="001B3F45">
        <w:trPr>
          <w:trHeight w:val="300"/>
        </w:trPr>
        <w:tc>
          <w:tcPr>
            <w:tcW w:w="2620" w:type="dxa"/>
            <w:gridSpan w:val="2"/>
            <w:tcBorders>
              <w:top w:val="nil"/>
              <w:left w:val="single" w:sz="4" w:space="0" w:color="auto"/>
              <w:bottom w:val="nil"/>
              <w:right w:val="nil"/>
            </w:tcBorders>
            <w:shd w:val="clear" w:color="auto" w:fill="auto"/>
            <w:noWrap/>
            <w:vAlign w:val="bottom"/>
            <w:hideMark/>
          </w:tcPr>
          <w:p w14:paraId="191C589F"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logTotalApplications</w:t>
            </w:r>
          </w:p>
        </w:tc>
        <w:tc>
          <w:tcPr>
            <w:tcW w:w="920" w:type="dxa"/>
            <w:tcBorders>
              <w:top w:val="nil"/>
              <w:left w:val="nil"/>
              <w:bottom w:val="nil"/>
              <w:right w:val="nil"/>
            </w:tcBorders>
            <w:shd w:val="clear" w:color="auto" w:fill="auto"/>
            <w:noWrap/>
            <w:vAlign w:val="bottom"/>
            <w:hideMark/>
          </w:tcPr>
          <w:p w14:paraId="6F807C76"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F33BD9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6EFE2EE3"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859A829" w14:textId="44C20162"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0,62</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129503BD" w14:textId="6A234B96"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0,53</w:t>
            </w:r>
            <w:r w:rsidR="00AB2B0F">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79BD3123"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single" w:sz="4" w:space="0" w:color="auto"/>
            </w:tcBorders>
            <w:shd w:val="clear" w:color="auto" w:fill="auto"/>
            <w:noWrap/>
            <w:vAlign w:val="bottom"/>
            <w:hideMark/>
          </w:tcPr>
          <w:p w14:paraId="6A1316DB"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 </w:t>
            </w:r>
          </w:p>
        </w:tc>
      </w:tr>
      <w:tr w:rsidR="001B3F45" w:rsidRPr="001B3F45" w14:paraId="0FCB5728"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0E15AB4C"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 </w:t>
            </w:r>
          </w:p>
        </w:tc>
        <w:tc>
          <w:tcPr>
            <w:tcW w:w="920" w:type="dxa"/>
            <w:tcBorders>
              <w:top w:val="nil"/>
              <w:left w:val="nil"/>
              <w:bottom w:val="nil"/>
              <w:right w:val="nil"/>
            </w:tcBorders>
            <w:shd w:val="clear" w:color="auto" w:fill="auto"/>
            <w:noWrap/>
            <w:vAlign w:val="bottom"/>
            <w:hideMark/>
          </w:tcPr>
          <w:p w14:paraId="705936AF"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993BAA2"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36B916D"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70B6BB64"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nil"/>
            </w:tcBorders>
            <w:shd w:val="clear" w:color="auto" w:fill="auto"/>
            <w:noWrap/>
            <w:vAlign w:val="bottom"/>
            <w:hideMark/>
          </w:tcPr>
          <w:p w14:paraId="2D3FDF65" w14:textId="3A14F544"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0,13</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0669E71C" w14:textId="3BC4CB81" w:rsidR="001B3F45" w:rsidRPr="001B3F45" w:rsidRDefault="00AB2B0F" w:rsidP="001B3F45">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001B3F45" w:rsidRPr="001B3F45">
              <w:rPr>
                <w:rFonts w:ascii="Calibri" w:eastAsia="Times New Roman" w:hAnsi="Calibri" w:cs="Times New Roman"/>
                <w:color w:val="000000"/>
                <w:sz w:val="20"/>
                <w:szCs w:val="20"/>
                <w:lang w:eastAsia="nl-NL"/>
              </w:rPr>
              <w:t>0,19</w:t>
            </w:r>
            <w:r>
              <w:rPr>
                <w:rFonts w:ascii="Calibri" w:eastAsia="Times New Roman" w:hAnsi="Calibri" w:cs="Times New Roman"/>
                <w:color w:val="000000"/>
                <w:sz w:val="20"/>
                <w:szCs w:val="20"/>
                <w:lang w:eastAsia="nl-NL"/>
              </w:rPr>
              <w:t>)</w:t>
            </w:r>
          </w:p>
        </w:tc>
        <w:tc>
          <w:tcPr>
            <w:tcW w:w="920" w:type="dxa"/>
            <w:tcBorders>
              <w:top w:val="nil"/>
              <w:left w:val="nil"/>
              <w:bottom w:val="nil"/>
              <w:right w:val="nil"/>
            </w:tcBorders>
            <w:shd w:val="clear" w:color="auto" w:fill="auto"/>
            <w:noWrap/>
            <w:vAlign w:val="bottom"/>
            <w:hideMark/>
          </w:tcPr>
          <w:p w14:paraId="27D3C03D"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p>
        </w:tc>
        <w:tc>
          <w:tcPr>
            <w:tcW w:w="920" w:type="dxa"/>
            <w:tcBorders>
              <w:top w:val="nil"/>
              <w:left w:val="nil"/>
              <w:bottom w:val="nil"/>
              <w:right w:val="single" w:sz="4" w:space="0" w:color="auto"/>
            </w:tcBorders>
            <w:shd w:val="clear" w:color="auto" w:fill="auto"/>
            <w:noWrap/>
            <w:vAlign w:val="bottom"/>
            <w:hideMark/>
          </w:tcPr>
          <w:p w14:paraId="0182BE4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 </w:t>
            </w:r>
          </w:p>
        </w:tc>
      </w:tr>
      <w:tr w:rsidR="001B3F45" w:rsidRPr="001B3F45" w14:paraId="231E0AEB"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06DB6271"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(McFadden) Rsq</w:t>
            </w:r>
          </w:p>
        </w:tc>
        <w:tc>
          <w:tcPr>
            <w:tcW w:w="920" w:type="dxa"/>
            <w:tcBorders>
              <w:top w:val="nil"/>
              <w:left w:val="nil"/>
              <w:bottom w:val="nil"/>
              <w:right w:val="nil"/>
            </w:tcBorders>
            <w:shd w:val="clear" w:color="auto" w:fill="auto"/>
            <w:noWrap/>
            <w:vAlign w:val="bottom"/>
            <w:hideMark/>
          </w:tcPr>
          <w:p w14:paraId="295C3DEA"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0,85</w:t>
            </w:r>
          </w:p>
        </w:tc>
        <w:tc>
          <w:tcPr>
            <w:tcW w:w="920" w:type="dxa"/>
            <w:tcBorders>
              <w:top w:val="nil"/>
              <w:left w:val="nil"/>
              <w:bottom w:val="nil"/>
              <w:right w:val="nil"/>
            </w:tcBorders>
            <w:shd w:val="clear" w:color="auto" w:fill="auto"/>
            <w:noWrap/>
            <w:vAlign w:val="bottom"/>
            <w:hideMark/>
          </w:tcPr>
          <w:p w14:paraId="52C00652"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0,91</w:t>
            </w:r>
          </w:p>
        </w:tc>
        <w:tc>
          <w:tcPr>
            <w:tcW w:w="920" w:type="dxa"/>
            <w:tcBorders>
              <w:top w:val="nil"/>
              <w:left w:val="nil"/>
              <w:bottom w:val="nil"/>
              <w:right w:val="nil"/>
            </w:tcBorders>
            <w:shd w:val="clear" w:color="auto" w:fill="auto"/>
            <w:noWrap/>
            <w:vAlign w:val="bottom"/>
            <w:hideMark/>
          </w:tcPr>
          <w:p w14:paraId="2BBF64D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0,76</w:t>
            </w:r>
          </w:p>
        </w:tc>
        <w:tc>
          <w:tcPr>
            <w:tcW w:w="920" w:type="dxa"/>
            <w:tcBorders>
              <w:top w:val="nil"/>
              <w:left w:val="nil"/>
              <w:bottom w:val="nil"/>
              <w:right w:val="nil"/>
            </w:tcBorders>
            <w:shd w:val="clear" w:color="auto" w:fill="auto"/>
            <w:noWrap/>
            <w:vAlign w:val="bottom"/>
            <w:hideMark/>
          </w:tcPr>
          <w:p w14:paraId="688CADF3"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0,80</w:t>
            </w:r>
          </w:p>
        </w:tc>
        <w:tc>
          <w:tcPr>
            <w:tcW w:w="920" w:type="dxa"/>
            <w:tcBorders>
              <w:top w:val="nil"/>
              <w:left w:val="nil"/>
              <w:bottom w:val="nil"/>
              <w:right w:val="nil"/>
            </w:tcBorders>
            <w:shd w:val="clear" w:color="auto" w:fill="auto"/>
            <w:noWrap/>
            <w:vAlign w:val="bottom"/>
            <w:hideMark/>
          </w:tcPr>
          <w:p w14:paraId="77FA2A4D"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0,89</w:t>
            </w:r>
          </w:p>
        </w:tc>
        <w:tc>
          <w:tcPr>
            <w:tcW w:w="920" w:type="dxa"/>
            <w:tcBorders>
              <w:top w:val="nil"/>
              <w:left w:val="nil"/>
              <w:bottom w:val="nil"/>
              <w:right w:val="nil"/>
            </w:tcBorders>
            <w:shd w:val="clear" w:color="auto" w:fill="auto"/>
            <w:noWrap/>
            <w:vAlign w:val="bottom"/>
            <w:hideMark/>
          </w:tcPr>
          <w:p w14:paraId="5335C2CF"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0,86</w:t>
            </w:r>
          </w:p>
        </w:tc>
        <w:tc>
          <w:tcPr>
            <w:tcW w:w="920" w:type="dxa"/>
            <w:tcBorders>
              <w:top w:val="nil"/>
              <w:left w:val="nil"/>
              <w:bottom w:val="nil"/>
              <w:right w:val="nil"/>
            </w:tcBorders>
            <w:shd w:val="clear" w:color="auto" w:fill="auto"/>
            <w:noWrap/>
            <w:vAlign w:val="bottom"/>
            <w:hideMark/>
          </w:tcPr>
          <w:p w14:paraId="507F5C56"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0,94</w:t>
            </w:r>
          </w:p>
        </w:tc>
        <w:tc>
          <w:tcPr>
            <w:tcW w:w="920" w:type="dxa"/>
            <w:tcBorders>
              <w:top w:val="nil"/>
              <w:left w:val="nil"/>
              <w:bottom w:val="nil"/>
              <w:right w:val="single" w:sz="4" w:space="0" w:color="auto"/>
            </w:tcBorders>
            <w:shd w:val="clear" w:color="auto" w:fill="auto"/>
            <w:noWrap/>
            <w:vAlign w:val="bottom"/>
            <w:hideMark/>
          </w:tcPr>
          <w:p w14:paraId="4106209D"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0,96</w:t>
            </w:r>
          </w:p>
        </w:tc>
      </w:tr>
      <w:tr w:rsidR="001B3F45" w:rsidRPr="001B3F45" w14:paraId="68A6DD89" w14:textId="77777777" w:rsidTr="001B3F45">
        <w:trPr>
          <w:trHeight w:val="300"/>
        </w:trPr>
        <w:tc>
          <w:tcPr>
            <w:tcW w:w="1700" w:type="dxa"/>
            <w:tcBorders>
              <w:top w:val="nil"/>
              <w:left w:val="single" w:sz="4" w:space="0" w:color="auto"/>
              <w:bottom w:val="nil"/>
              <w:right w:val="nil"/>
            </w:tcBorders>
            <w:shd w:val="clear" w:color="auto" w:fill="auto"/>
            <w:noWrap/>
            <w:vAlign w:val="bottom"/>
            <w:hideMark/>
          </w:tcPr>
          <w:p w14:paraId="529591B7"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Adj Rsq</w:t>
            </w:r>
          </w:p>
        </w:tc>
        <w:tc>
          <w:tcPr>
            <w:tcW w:w="920" w:type="dxa"/>
            <w:tcBorders>
              <w:top w:val="nil"/>
              <w:left w:val="nil"/>
              <w:bottom w:val="nil"/>
              <w:right w:val="nil"/>
            </w:tcBorders>
            <w:shd w:val="clear" w:color="auto" w:fill="auto"/>
            <w:noWrap/>
            <w:vAlign w:val="bottom"/>
            <w:hideMark/>
          </w:tcPr>
          <w:p w14:paraId="4F040A1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0,88</w:t>
            </w:r>
          </w:p>
        </w:tc>
        <w:tc>
          <w:tcPr>
            <w:tcW w:w="920" w:type="dxa"/>
            <w:tcBorders>
              <w:top w:val="nil"/>
              <w:left w:val="nil"/>
              <w:bottom w:val="nil"/>
              <w:right w:val="nil"/>
            </w:tcBorders>
            <w:shd w:val="clear" w:color="auto" w:fill="auto"/>
            <w:noWrap/>
            <w:vAlign w:val="bottom"/>
            <w:hideMark/>
          </w:tcPr>
          <w:p w14:paraId="69043B25"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0,91</w:t>
            </w:r>
          </w:p>
        </w:tc>
        <w:tc>
          <w:tcPr>
            <w:tcW w:w="920" w:type="dxa"/>
            <w:tcBorders>
              <w:top w:val="nil"/>
              <w:left w:val="nil"/>
              <w:bottom w:val="nil"/>
              <w:right w:val="nil"/>
            </w:tcBorders>
            <w:shd w:val="clear" w:color="auto" w:fill="auto"/>
            <w:noWrap/>
            <w:vAlign w:val="bottom"/>
            <w:hideMark/>
          </w:tcPr>
          <w:p w14:paraId="625DE104"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0,74</w:t>
            </w:r>
          </w:p>
        </w:tc>
        <w:tc>
          <w:tcPr>
            <w:tcW w:w="920" w:type="dxa"/>
            <w:tcBorders>
              <w:top w:val="nil"/>
              <w:left w:val="nil"/>
              <w:bottom w:val="nil"/>
              <w:right w:val="nil"/>
            </w:tcBorders>
            <w:shd w:val="clear" w:color="auto" w:fill="auto"/>
            <w:noWrap/>
            <w:vAlign w:val="bottom"/>
            <w:hideMark/>
          </w:tcPr>
          <w:p w14:paraId="468E49D8"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0,78</w:t>
            </w:r>
          </w:p>
        </w:tc>
        <w:tc>
          <w:tcPr>
            <w:tcW w:w="920" w:type="dxa"/>
            <w:tcBorders>
              <w:top w:val="nil"/>
              <w:left w:val="nil"/>
              <w:bottom w:val="nil"/>
              <w:right w:val="nil"/>
            </w:tcBorders>
            <w:shd w:val="clear" w:color="auto" w:fill="auto"/>
            <w:noWrap/>
            <w:vAlign w:val="bottom"/>
            <w:hideMark/>
          </w:tcPr>
          <w:p w14:paraId="5BB3B2D1"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0,87</w:t>
            </w:r>
          </w:p>
        </w:tc>
        <w:tc>
          <w:tcPr>
            <w:tcW w:w="920" w:type="dxa"/>
            <w:tcBorders>
              <w:top w:val="nil"/>
              <w:left w:val="nil"/>
              <w:bottom w:val="nil"/>
              <w:right w:val="nil"/>
            </w:tcBorders>
            <w:shd w:val="clear" w:color="auto" w:fill="auto"/>
            <w:noWrap/>
            <w:vAlign w:val="bottom"/>
            <w:hideMark/>
          </w:tcPr>
          <w:p w14:paraId="17DFE37B"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0,83</w:t>
            </w:r>
          </w:p>
        </w:tc>
        <w:tc>
          <w:tcPr>
            <w:tcW w:w="920" w:type="dxa"/>
            <w:tcBorders>
              <w:top w:val="nil"/>
              <w:left w:val="nil"/>
              <w:bottom w:val="nil"/>
              <w:right w:val="nil"/>
            </w:tcBorders>
            <w:shd w:val="clear" w:color="auto" w:fill="auto"/>
            <w:noWrap/>
            <w:vAlign w:val="bottom"/>
            <w:hideMark/>
          </w:tcPr>
          <w:p w14:paraId="03269A36"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0,94</w:t>
            </w:r>
          </w:p>
        </w:tc>
        <w:tc>
          <w:tcPr>
            <w:tcW w:w="920" w:type="dxa"/>
            <w:tcBorders>
              <w:top w:val="nil"/>
              <w:left w:val="nil"/>
              <w:bottom w:val="nil"/>
              <w:right w:val="single" w:sz="4" w:space="0" w:color="auto"/>
            </w:tcBorders>
            <w:shd w:val="clear" w:color="auto" w:fill="auto"/>
            <w:noWrap/>
            <w:vAlign w:val="bottom"/>
            <w:hideMark/>
          </w:tcPr>
          <w:p w14:paraId="7AF6C9C1"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0,95</w:t>
            </w:r>
          </w:p>
        </w:tc>
      </w:tr>
      <w:tr w:rsidR="001B3F45" w:rsidRPr="001B3F45" w14:paraId="02E69465" w14:textId="77777777" w:rsidTr="001B3F45">
        <w:trPr>
          <w:trHeight w:val="300"/>
        </w:trPr>
        <w:tc>
          <w:tcPr>
            <w:tcW w:w="1700" w:type="dxa"/>
            <w:tcBorders>
              <w:top w:val="single" w:sz="4" w:space="0" w:color="auto"/>
              <w:left w:val="single" w:sz="4" w:space="0" w:color="auto"/>
              <w:bottom w:val="single" w:sz="4" w:space="0" w:color="auto"/>
              <w:right w:val="nil"/>
            </w:tcBorders>
            <w:shd w:val="clear" w:color="auto" w:fill="auto"/>
            <w:noWrap/>
            <w:vAlign w:val="bottom"/>
            <w:hideMark/>
          </w:tcPr>
          <w:p w14:paraId="648DBB3E" w14:textId="77777777" w:rsidR="001B3F45" w:rsidRPr="001B3F45" w:rsidRDefault="001B3F45" w:rsidP="001B3F45">
            <w:pPr>
              <w:spacing w:after="0" w:line="240" w:lineRule="auto"/>
              <w:jc w:val="lef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Obs.</w:t>
            </w:r>
          </w:p>
        </w:tc>
        <w:tc>
          <w:tcPr>
            <w:tcW w:w="920" w:type="dxa"/>
            <w:tcBorders>
              <w:top w:val="single" w:sz="4" w:space="0" w:color="auto"/>
              <w:left w:val="nil"/>
              <w:bottom w:val="single" w:sz="4" w:space="0" w:color="auto"/>
              <w:right w:val="nil"/>
            </w:tcBorders>
            <w:shd w:val="clear" w:color="auto" w:fill="auto"/>
            <w:noWrap/>
            <w:vAlign w:val="bottom"/>
            <w:hideMark/>
          </w:tcPr>
          <w:p w14:paraId="2C5517A3"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24</w:t>
            </w:r>
          </w:p>
        </w:tc>
        <w:tc>
          <w:tcPr>
            <w:tcW w:w="920" w:type="dxa"/>
            <w:tcBorders>
              <w:top w:val="single" w:sz="4" w:space="0" w:color="auto"/>
              <w:left w:val="nil"/>
              <w:bottom w:val="single" w:sz="4" w:space="0" w:color="auto"/>
              <w:right w:val="nil"/>
            </w:tcBorders>
            <w:shd w:val="clear" w:color="auto" w:fill="auto"/>
            <w:noWrap/>
            <w:vAlign w:val="bottom"/>
            <w:hideMark/>
          </w:tcPr>
          <w:p w14:paraId="57788116"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23</w:t>
            </w:r>
          </w:p>
        </w:tc>
        <w:tc>
          <w:tcPr>
            <w:tcW w:w="920" w:type="dxa"/>
            <w:tcBorders>
              <w:top w:val="single" w:sz="4" w:space="0" w:color="auto"/>
              <w:left w:val="nil"/>
              <w:bottom w:val="single" w:sz="4" w:space="0" w:color="auto"/>
              <w:right w:val="nil"/>
            </w:tcBorders>
            <w:shd w:val="clear" w:color="auto" w:fill="auto"/>
            <w:noWrap/>
            <w:vAlign w:val="bottom"/>
            <w:hideMark/>
          </w:tcPr>
          <w:p w14:paraId="44FCFDA9"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24</w:t>
            </w:r>
          </w:p>
        </w:tc>
        <w:tc>
          <w:tcPr>
            <w:tcW w:w="920" w:type="dxa"/>
            <w:tcBorders>
              <w:top w:val="single" w:sz="4" w:space="0" w:color="auto"/>
              <w:left w:val="nil"/>
              <w:bottom w:val="single" w:sz="4" w:space="0" w:color="auto"/>
              <w:right w:val="nil"/>
            </w:tcBorders>
            <w:shd w:val="clear" w:color="auto" w:fill="auto"/>
            <w:noWrap/>
            <w:vAlign w:val="bottom"/>
            <w:hideMark/>
          </w:tcPr>
          <w:p w14:paraId="389C1FFA"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23</w:t>
            </w:r>
          </w:p>
        </w:tc>
        <w:tc>
          <w:tcPr>
            <w:tcW w:w="920" w:type="dxa"/>
            <w:tcBorders>
              <w:top w:val="single" w:sz="4" w:space="0" w:color="auto"/>
              <w:left w:val="nil"/>
              <w:bottom w:val="single" w:sz="4" w:space="0" w:color="auto"/>
              <w:right w:val="nil"/>
            </w:tcBorders>
            <w:shd w:val="clear" w:color="auto" w:fill="auto"/>
            <w:noWrap/>
            <w:vAlign w:val="bottom"/>
            <w:hideMark/>
          </w:tcPr>
          <w:p w14:paraId="58837CA8"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24</w:t>
            </w:r>
          </w:p>
        </w:tc>
        <w:tc>
          <w:tcPr>
            <w:tcW w:w="920" w:type="dxa"/>
            <w:tcBorders>
              <w:top w:val="single" w:sz="4" w:space="0" w:color="auto"/>
              <w:left w:val="nil"/>
              <w:bottom w:val="single" w:sz="4" w:space="0" w:color="auto"/>
              <w:right w:val="nil"/>
            </w:tcBorders>
            <w:shd w:val="clear" w:color="auto" w:fill="auto"/>
            <w:noWrap/>
            <w:vAlign w:val="bottom"/>
            <w:hideMark/>
          </w:tcPr>
          <w:p w14:paraId="475213C5"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23</w:t>
            </w:r>
          </w:p>
        </w:tc>
        <w:tc>
          <w:tcPr>
            <w:tcW w:w="920" w:type="dxa"/>
            <w:tcBorders>
              <w:top w:val="single" w:sz="4" w:space="0" w:color="auto"/>
              <w:left w:val="nil"/>
              <w:bottom w:val="single" w:sz="4" w:space="0" w:color="auto"/>
              <w:right w:val="nil"/>
            </w:tcBorders>
            <w:shd w:val="clear" w:color="auto" w:fill="auto"/>
            <w:noWrap/>
            <w:vAlign w:val="bottom"/>
            <w:hideMark/>
          </w:tcPr>
          <w:p w14:paraId="32CD4522" w14:textId="77777777" w:rsidR="001B3F45" w:rsidRPr="001B3F45" w:rsidRDefault="001B3F45" w:rsidP="001B3F45">
            <w:pPr>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24</w:t>
            </w:r>
          </w:p>
        </w:tc>
        <w:tc>
          <w:tcPr>
            <w:tcW w:w="920" w:type="dxa"/>
            <w:tcBorders>
              <w:top w:val="single" w:sz="4" w:space="0" w:color="auto"/>
              <w:left w:val="nil"/>
              <w:bottom w:val="single" w:sz="4" w:space="0" w:color="auto"/>
              <w:right w:val="single" w:sz="4" w:space="0" w:color="auto"/>
            </w:tcBorders>
            <w:shd w:val="clear" w:color="auto" w:fill="auto"/>
            <w:noWrap/>
            <w:vAlign w:val="bottom"/>
            <w:hideMark/>
          </w:tcPr>
          <w:p w14:paraId="07E1F7A8" w14:textId="77777777" w:rsidR="001B3F45" w:rsidRPr="001B3F45" w:rsidRDefault="001B3F45" w:rsidP="00AB2B0F">
            <w:pPr>
              <w:keepNext/>
              <w:spacing w:after="0" w:line="240" w:lineRule="auto"/>
              <w:jc w:val="right"/>
              <w:rPr>
                <w:rFonts w:ascii="Calibri" w:eastAsia="Times New Roman" w:hAnsi="Calibri" w:cs="Times New Roman"/>
                <w:color w:val="000000"/>
                <w:sz w:val="20"/>
                <w:szCs w:val="20"/>
                <w:lang w:eastAsia="nl-NL"/>
              </w:rPr>
            </w:pPr>
            <w:r w:rsidRPr="001B3F45">
              <w:rPr>
                <w:rFonts w:ascii="Calibri" w:eastAsia="Times New Roman" w:hAnsi="Calibri" w:cs="Times New Roman"/>
                <w:color w:val="000000"/>
                <w:sz w:val="20"/>
                <w:szCs w:val="20"/>
                <w:lang w:eastAsia="nl-NL"/>
              </w:rPr>
              <w:t>23</w:t>
            </w:r>
          </w:p>
        </w:tc>
      </w:tr>
    </w:tbl>
    <w:p w14:paraId="21CD2A59" w14:textId="0F496D46" w:rsidR="00221F04" w:rsidRPr="00AB2B0F" w:rsidRDefault="00AB2B0F" w:rsidP="00AB2B0F">
      <w:pPr>
        <w:pStyle w:val="Caption"/>
        <w:rPr>
          <w:rFonts w:eastAsiaTheme="minorEastAsia"/>
          <w:lang w:val="en-US"/>
        </w:rPr>
      </w:pPr>
      <w:r w:rsidRPr="00AB2B0F">
        <w:rPr>
          <w:lang w:val="en-US"/>
        </w:rPr>
        <w:t xml:space="preserve">Table 3: Summary </w:t>
      </w:r>
      <w:r w:rsidR="00742E5C">
        <w:rPr>
          <w:lang w:val="en-US"/>
        </w:rPr>
        <w:t>of the estimates for model 1-8</w:t>
      </w:r>
      <w:r w:rsidRPr="00AB2B0F">
        <w:rPr>
          <w:lang w:val="en-US"/>
        </w:rPr>
        <w:t>. Significance levels: *10% **5% ***1%. Standard errors in parenthesis</w:t>
      </w:r>
    </w:p>
    <w:p w14:paraId="6BAE4454" w14:textId="719E81D8" w:rsidR="003F0B20" w:rsidRDefault="005C3B6D" w:rsidP="00441B78">
      <w:pPr>
        <w:rPr>
          <w:rFonts w:eastAsiaTheme="minorEastAsia"/>
          <w:lang w:val="en-US"/>
        </w:rPr>
      </w:pPr>
      <w:r>
        <w:rPr>
          <w:rFonts w:eastAsiaTheme="minorEastAsia"/>
          <w:lang w:val="en-US"/>
        </w:rPr>
        <w:t>A similar setup will be followed for the second hypothesis. This tim</w:t>
      </w:r>
      <w:r w:rsidR="00F04B92">
        <w:rPr>
          <w:rFonts w:eastAsiaTheme="minorEastAsia"/>
          <w:lang w:val="en-US"/>
        </w:rPr>
        <w:t>e,</w:t>
      </w:r>
      <w:r w:rsidR="00B505BC">
        <w:rPr>
          <w:rFonts w:eastAsiaTheme="minorEastAsia"/>
          <w:lang w:val="en-US"/>
        </w:rPr>
        <w:t xml:space="preserve"> 14</w:t>
      </w:r>
      <w:r w:rsidR="00F04B92">
        <w:rPr>
          <w:rFonts w:eastAsiaTheme="minorEastAsia"/>
          <w:lang w:val="en-US"/>
        </w:rPr>
        <w:t xml:space="preserve"> models will be estimated. Model </w:t>
      </w:r>
      <w:r w:rsidR="00B505BC">
        <w:rPr>
          <w:rFonts w:eastAsiaTheme="minorEastAsia"/>
          <w:lang w:val="en-US"/>
        </w:rPr>
        <w:t>9-14</w:t>
      </w:r>
      <w:r w:rsidR="00F04B92">
        <w:rPr>
          <w:rFonts w:eastAsiaTheme="minorEastAsia"/>
          <w:lang w:val="en-US"/>
        </w:rPr>
        <w:t xml:space="preserve"> test the effect of changes in market openness, proxied by the PMR i</w:t>
      </w:r>
      <w:r w:rsidR="00B505BC">
        <w:rPr>
          <w:rFonts w:eastAsiaTheme="minorEastAsia"/>
          <w:lang w:val="en-US"/>
        </w:rPr>
        <w:t>ndex, on patent grants. Model 15-20</w:t>
      </w:r>
      <w:r w:rsidR="00F04B92">
        <w:rPr>
          <w:rFonts w:eastAsiaTheme="minorEastAsia"/>
          <w:lang w:val="en-US"/>
        </w:rPr>
        <w:t xml:space="preserve"> test the effect of changes in market openness on patent citations. </w:t>
      </w:r>
      <w:r w:rsidR="00B505BC">
        <w:rPr>
          <w:rFonts w:eastAsiaTheme="minorEastAsia"/>
          <w:lang w:val="en-US"/>
        </w:rPr>
        <w:t>Model 21 and 22 test the effect of changes in market openness on the quantity of innovative output, proxied by the total number of patent applications.</w:t>
      </w:r>
    </w:p>
    <w:tbl>
      <w:tblPr>
        <w:tblW w:w="7580" w:type="dxa"/>
        <w:tblInd w:w="55" w:type="dxa"/>
        <w:tblCellMar>
          <w:left w:w="70" w:type="dxa"/>
          <w:right w:w="70" w:type="dxa"/>
        </w:tblCellMar>
        <w:tblLook w:val="04A0" w:firstRow="1" w:lastRow="0" w:firstColumn="1" w:lastColumn="0" w:noHBand="0" w:noVBand="1"/>
      </w:tblPr>
      <w:tblGrid>
        <w:gridCol w:w="1820"/>
        <w:gridCol w:w="960"/>
        <w:gridCol w:w="960"/>
        <w:gridCol w:w="960"/>
        <w:gridCol w:w="960"/>
        <w:gridCol w:w="960"/>
        <w:gridCol w:w="960"/>
      </w:tblGrid>
      <w:tr w:rsidR="00742E5C" w:rsidRPr="00742E5C" w14:paraId="69C5B3A1" w14:textId="77777777" w:rsidTr="00742E5C">
        <w:trPr>
          <w:trHeight w:val="1080"/>
        </w:trPr>
        <w:tc>
          <w:tcPr>
            <w:tcW w:w="1820" w:type="dxa"/>
            <w:tcBorders>
              <w:top w:val="single" w:sz="4" w:space="0" w:color="auto"/>
              <w:left w:val="single" w:sz="4" w:space="0" w:color="auto"/>
              <w:bottom w:val="nil"/>
              <w:right w:val="nil"/>
            </w:tcBorders>
            <w:shd w:val="clear" w:color="auto" w:fill="auto"/>
            <w:noWrap/>
            <w:vAlign w:val="bottom"/>
            <w:hideMark/>
          </w:tcPr>
          <w:p w14:paraId="6A92262F"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Dependent variable</w:t>
            </w:r>
          </w:p>
        </w:tc>
        <w:tc>
          <w:tcPr>
            <w:tcW w:w="960" w:type="dxa"/>
            <w:tcBorders>
              <w:top w:val="single" w:sz="4" w:space="0" w:color="auto"/>
              <w:left w:val="nil"/>
              <w:bottom w:val="single" w:sz="4" w:space="0" w:color="auto"/>
              <w:right w:val="nil"/>
            </w:tcBorders>
            <w:shd w:val="clear" w:color="auto" w:fill="auto"/>
            <w:noWrap/>
            <w:textDirection w:val="btLr"/>
            <w:vAlign w:val="bottom"/>
            <w:hideMark/>
          </w:tcPr>
          <w:p w14:paraId="03CFBBE9"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TotalGrants</w:t>
            </w:r>
          </w:p>
        </w:tc>
        <w:tc>
          <w:tcPr>
            <w:tcW w:w="960" w:type="dxa"/>
            <w:tcBorders>
              <w:top w:val="single" w:sz="4" w:space="0" w:color="auto"/>
              <w:left w:val="nil"/>
              <w:bottom w:val="single" w:sz="4" w:space="0" w:color="auto"/>
              <w:right w:val="nil"/>
            </w:tcBorders>
            <w:shd w:val="clear" w:color="auto" w:fill="auto"/>
            <w:noWrap/>
            <w:textDirection w:val="btLr"/>
            <w:vAlign w:val="bottom"/>
            <w:hideMark/>
          </w:tcPr>
          <w:p w14:paraId="53687D29"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TotalGrants</w:t>
            </w:r>
          </w:p>
        </w:tc>
        <w:tc>
          <w:tcPr>
            <w:tcW w:w="960" w:type="dxa"/>
            <w:tcBorders>
              <w:top w:val="single" w:sz="4" w:space="0" w:color="auto"/>
              <w:left w:val="nil"/>
              <w:bottom w:val="single" w:sz="4" w:space="0" w:color="auto"/>
              <w:right w:val="nil"/>
            </w:tcBorders>
            <w:shd w:val="clear" w:color="auto" w:fill="auto"/>
            <w:noWrap/>
            <w:textDirection w:val="btLr"/>
            <w:vAlign w:val="bottom"/>
            <w:hideMark/>
          </w:tcPr>
          <w:p w14:paraId="6A966B7A"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AvgGrants</w:t>
            </w:r>
          </w:p>
        </w:tc>
        <w:tc>
          <w:tcPr>
            <w:tcW w:w="960" w:type="dxa"/>
            <w:tcBorders>
              <w:top w:val="single" w:sz="4" w:space="0" w:color="auto"/>
              <w:left w:val="nil"/>
              <w:bottom w:val="single" w:sz="4" w:space="0" w:color="auto"/>
              <w:right w:val="nil"/>
            </w:tcBorders>
            <w:shd w:val="clear" w:color="auto" w:fill="auto"/>
            <w:noWrap/>
            <w:textDirection w:val="btLr"/>
            <w:vAlign w:val="bottom"/>
            <w:hideMark/>
          </w:tcPr>
          <w:p w14:paraId="27A62281"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AvgGrants</w:t>
            </w:r>
          </w:p>
        </w:tc>
        <w:tc>
          <w:tcPr>
            <w:tcW w:w="960" w:type="dxa"/>
            <w:tcBorders>
              <w:top w:val="single" w:sz="4" w:space="0" w:color="auto"/>
              <w:left w:val="nil"/>
              <w:bottom w:val="single" w:sz="4" w:space="0" w:color="auto"/>
              <w:right w:val="nil"/>
            </w:tcBorders>
            <w:shd w:val="clear" w:color="auto" w:fill="auto"/>
            <w:noWrap/>
            <w:textDirection w:val="btLr"/>
            <w:vAlign w:val="bottom"/>
            <w:hideMark/>
          </w:tcPr>
          <w:p w14:paraId="2B867A05"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LogGrants</w:t>
            </w:r>
          </w:p>
        </w:tc>
        <w:tc>
          <w:tcPr>
            <w:tcW w:w="960"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6103CC69"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LogGrants</w:t>
            </w:r>
          </w:p>
        </w:tc>
      </w:tr>
      <w:tr w:rsidR="00742E5C" w:rsidRPr="00742E5C" w14:paraId="3E24139C" w14:textId="77777777" w:rsidTr="00742E5C">
        <w:trPr>
          <w:trHeight w:val="300"/>
        </w:trPr>
        <w:tc>
          <w:tcPr>
            <w:tcW w:w="1820" w:type="dxa"/>
            <w:tcBorders>
              <w:top w:val="single" w:sz="4" w:space="0" w:color="auto"/>
              <w:left w:val="single" w:sz="4" w:space="0" w:color="auto"/>
              <w:bottom w:val="nil"/>
              <w:right w:val="nil"/>
            </w:tcBorders>
            <w:shd w:val="clear" w:color="auto" w:fill="auto"/>
            <w:noWrap/>
            <w:vAlign w:val="bottom"/>
            <w:hideMark/>
          </w:tcPr>
          <w:p w14:paraId="60891F5F"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Model</w:t>
            </w:r>
          </w:p>
        </w:tc>
        <w:tc>
          <w:tcPr>
            <w:tcW w:w="960" w:type="dxa"/>
            <w:tcBorders>
              <w:top w:val="nil"/>
              <w:left w:val="nil"/>
              <w:bottom w:val="nil"/>
              <w:right w:val="nil"/>
            </w:tcBorders>
            <w:shd w:val="clear" w:color="auto" w:fill="auto"/>
            <w:noWrap/>
            <w:vAlign w:val="bottom"/>
            <w:hideMark/>
          </w:tcPr>
          <w:p w14:paraId="07857155"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9</w:t>
            </w:r>
          </w:p>
        </w:tc>
        <w:tc>
          <w:tcPr>
            <w:tcW w:w="960" w:type="dxa"/>
            <w:tcBorders>
              <w:top w:val="nil"/>
              <w:left w:val="nil"/>
              <w:bottom w:val="nil"/>
              <w:right w:val="nil"/>
            </w:tcBorders>
            <w:shd w:val="clear" w:color="auto" w:fill="auto"/>
            <w:noWrap/>
            <w:vAlign w:val="bottom"/>
            <w:hideMark/>
          </w:tcPr>
          <w:p w14:paraId="255979F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10</w:t>
            </w:r>
          </w:p>
        </w:tc>
        <w:tc>
          <w:tcPr>
            <w:tcW w:w="960" w:type="dxa"/>
            <w:tcBorders>
              <w:top w:val="nil"/>
              <w:left w:val="nil"/>
              <w:bottom w:val="nil"/>
              <w:right w:val="nil"/>
            </w:tcBorders>
            <w:shd w:val="clear" w:color="auto" w:fill="auto"/>
            <w:noWrap/>
            <w:vAlign w:val="bottom"/>
            <w:hideMark/>
          </w:tcPr>
          <w:p w14:paraId="74A9838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11</w:t>
            </w:r>
          </w:p>
        </w:tc>
        <w:tc>
          <w:tcPr>
            <w:tcW w:w="960" w:type="dxa"/>
            <w:tcBorders>
              <w:top w:val="nil"/>
              <w:left w:val="nil"/>
              <w:bottom w:val="nil"/>
              <w:right w:val="nil"/>
            </w:tcBorders>
            <w:shd w:val="clear" w:color="auto" w:fill="auto"/>
            <w:noWrap/>
            <w:vAlign w:val="bottom"/>
            <w:hideMark/>
          </w:tcPr>
          <w:p w14:paraId="26288B3F"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12</w:t>
            </w:r>
          </w:p>
        </w:tc>
        <w:tc>
          <w:tcPr>
            <w:tcW w:w="960" w:type="dxa"/>
            <w:tcBorders>
              <w:top w:val="nil"/>
              <w:left w:val="nil"/>
              <w:bottom w:val="nil"/>
              <w:right w:val="nil"/>
            </w:tcBorders>
            <w:shd w:val="clear" w:color="auto" w:fill="auto"/>
            <w:noWrap/>
            <w:vAlign w:val="bottom"/>
            <w:hideMark/>
          </w:tcPr>
          <w:p w14:paraId="7C72AD4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13</w:t>
            </w:r>
          </w:p>
        </w:tc>
        <w:tc>
          <w:tcPr>
            <w:tcW w:w="960" w:type="dxa"/>
            <w:tcBorders>
              <w:top w:val="nil"/>
              <w:left w:val="nil"/>
              <w:bottom w:val="nil"/>
              <w:right w:val="single" w:sz="4" w:space="0" w:color="auto"/>
            </w:tcBorders>
            <w:shd w:val="clear" w:color="auto" w:fill="auto"/>
            <w:noWrap/>
            <w:vAlign w:val="bottom"/>
            <w:hideMark/>
          </w:tcPr>
          <w:p w14:paraId="566D6763"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14</w:t>
            </w:r>
          </w:p>
        </w:tc>
      </w:tr>
      <w:tr w:rsidR="00742E5C" w:rsidRPr="00742E5C" w14:paraId="76B2172B" w14:textId="77777777" w:rsidTr="00742E5C">
        <w:trPr>
          <w:trHeight w:val="300"/>
        </w:trPr>
        <w:tc>
          <w:tcPr>
            <w:tcW w:w="1820" w:type="dxa"/>
            <w:tcBorders>
              <w:top w:val="single" w:sz="4" w:space="0" w:color="auto"/>
              <w:left w:val="single" w:sz="4" w:space="0" w:color="auto"/>
              <w:bottom w:val="nil"/>
              <w:right w:val="nil"/>
            </w:tcBorders>
            <w:shd w:val="clear" w:color="auto" w:fill="auto"/>
            <w:noWrap/>
            <w:vAlign w:val="bottom"/>
            <w:hideMark/>
          </w:tcPr>
          <w:p w14:paraId="09112EED"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Statistical Method</w:t>
            </w:r>
          </w:p>
        </w:tc>
        <w:tc>
          <w:tcPr>
            <w:tcW w:w="960" w:type="dxa"/>
            <w:tcBorders>
              <w:top w:val="single" w:sz="4" w:space="0" w:color="auto"/>
              <w:left w:val="nil"/>
              <w:bottom w:val="nil"/>
              <w:right w:val="nil"/>
            </w:tcBorders>
            <w:shd w:val="clear" w:color="auto" w:fill="auto"/>
            <w:noWrap/>
            <w:vAlign w:val="bottom"/>
            <w:hideMark/>
          </w:tcPr>
          <w:p w14:paraId="7341F91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Count</w:t>
            </w:r>
          </w:p>
        </w:tc>
        <w:tc>
          <w:tcPr>
            <w:tcW w:w="960" w:type="dxa"/>
            <w:tcBorders>
              <w:top w:val="single" w:sz="4" w:space="0" w:color="auto"/>
              <w:left w:val="nil"/>
              <w:bottom w:val="nil"/>
              <w:right w:val="nil"/>
            </w:tcBorders>
            <w:shd w:val="clear" w:color="auto" w:fill="auto"/>
            <w:noWrap/>
            <w:vAlign w:val="bottom"/>
            <w:hideMark/>
          </w:tcPr>
          <w:p w14:paraId="44FE9E28"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Count</w:t>
            </w:r>
          </w:p>
        </w:tc>
        <w:tc>
          <w:tcPr>
            <w:tcW w:w="960" w:type="dxa"/>
            <w:tcBorders>
              <w:top w:val="single" w:sz="4" w:space="0" w:color="auto"/>
              <w:left w:val="nil"/>
              <w:bottom w:val="nil"/>
              <w:right w:val="nil"/>
            </w:tcBorders>
            <w:shd w:val="clear" w:color="auto" w:fill="auto"/>
            <w:noWrap/>
            <w:vAlign w:val="bottom"/>
            <w:hideMark/>
          </w:tcPr>
          <w:p w14:paraId="77064F73"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OLS</w:t>
            </w:r>
          </w:p>
        </w:tc>
        <w:tc>
          <w:tcPr>
            <w:tcW w:w="960" w:type="dxa"/>
            <w:tcBorders>
              <w:top w:val="single" w:sz="4" w:space="0" w:color="auto"/>
              <w:left w:val="nil"/>
              <w:bottom w:val="nil"/>
              <w:right w:val="nil"/>
            </w:tcBorders>
            <w:shd w:val="clear" w:color="auto" w:fill="auto"/>
            <w:noWrap/>
            <w:vAlign w:val="bottom"/>
            <w:hideMark/>
          </w:tcPr>
          <w:p w14:paraId="4822F6B2"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OLS</w:t>
            </w:r>
          </w:p>
        </w:tc>
        <w:tc>
          <w:tcPr>
            <w:tcW w:w="960" w:type="dxa"/>
            <w:tcBorders>
              <w:top w:val="single" w:sz="4" w:space="0" w:color="auto"/>
              <w:left w:val="nil"/>
              <w:bottom w:val="nil"/>
              <w:right w:val="nil"/>
            </w:tcBorders>
            <w:shd w:val="clear" w:color="auto" w:fill="auto"/>
            <w:noWrap/>
            <w:vAlign w:val="bottom"/>
            <w:hideMark/>
          </w:tcPr>
          <w:p w14:paraId="005EF7B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OLS</w:t>
            </w:r>
          </w:p>
        </w:tc>
        <w:tc>
          <w:tcPr>
            <w:tcW w:w="960" w:type="dxa"/>
            <w:tcBorders>
              <w:top w:val="single" w:sz="4" w:space="0" w:color="auto"/>
              <w:left w:val="nil"/>
              <w:bottom w:val="nil"/>
              <w:right w:val="single" w:sz="4" w:space="0" w:color="auto"/>
            </w:tcBorders>
            <w:shd w:val="clear" w:color="auto" w:fill="auto"/>
            <w:noWrap/>
            <w:vAlign w:val="bottom"/>
            <w:hideMark/>
          </w:tcPr>
          <w:p w14:paraId="5650D96D"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OLS</w:t>
            </w:r>
          </w:p>
        </w:tc>
      </w:tr>
      <w:tr w:rsidR="00742E5C" w:rsidRPr="00742E5C" w14:paraId="792829B4"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292FBC6A"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Number of Lags</w:t>
            </w:r>
          </w:p>
        </w:tc>
        <w:tc>
          <w:tcPr>
            <w:tcW w:w="960" w:type="dxa"/>
            <w:tcBorders>
              <w:top w:val="nil"/>
              <w:left w:val="nil"/>
              <w:bottom w:val="nil"/>
              <w:right w:val="nil"/>
            </w:tcBorders>
            <w:shd w:val="clear" w:color="auto" w:fill="auto"/>
            <w:noWrap/>
            <w:vAlign w:val="bottom"/>
            <w:hideMark/>
          </w:tcPr>
          <w:p w14:paraId="275C08A6"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nil"/>
            </w:tcBorders>
            <w:shd w:val="clear" w:color="auto" w:fill="auto"/>
            <w:noWrap/>
            <w:vAlign w:val="bottom"/>
            <w:hideMark/>
          </w:tcPr>
          <w:p w14:paraId="10C48F7D"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w:t>
            </w:r>
          </w:p>
        </w:tc>
        <w:tc>
          <w:tcPr>
            <w:tcW w:w="960" w:type="dxa"/>
            <w:tcBorders>
              <w:top w:val="nil"/>
              <w:left w:val="nil"/>
              <w:bottom w:val="nil"/>
              <w:right w:val="nil"/>
            </w:tcBorders>
            <w:shd w:val="clear" w:color="auto" w:fill="auto"/>
            <w:noWrap/>
            <w:vAlign w:val="bottom"/>
            <w:hideMark/>
          </w:tcPr>
          <w:p w14:paraId="5FC17750"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nil"/>
            </w:tcBorders>
            <w:shd w:val="clear" w:color="auto" w:fill="auto"/>
            <w:noWrap/>
            <w:vAlign w:val="bottom"/>
            <w:hideMark/>
          </w:tcPr>
          <w:p w14:paraId="1C0B2E27"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w:t>
            </w:r>
          </w:p>
        </w:tc>
        <w:tc>
          <w:tcPr>
            <w:tcW w:w="960" w:type="dxa"/>
            <w:tcBorders>
              <w:top w:val="nil"/>
              <w:left w:val="nil"/>
              <w:bottom w:val="nil"/>
              <w:right w:val="nil"/>
            </w:tcBorders>
            <w:shd w:val="clear" w:color="auto" w:fill="auto"/>
            <w:noWrap/>
            <w:vAlign w:val="bottom"/>
            <w:hideMark/>
          </w:tcPr>
          <w:p w14:paraId="73F64BD5"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single" w:sz="4" w:space="0" w:color="auto"/>
            </w:tcBorders>
            <w:shd w:val="clear" w:color="auto" w:fill="auto"/>
            <w:noWrap/>
            <w:vAlign w:val="bottom"/>
            <w:hideMark/>
          </w:tcPr>
          <w:p w14:paraId="4AC81706"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1</w:t>
            </w:r>
          </w:p>
        </w:tc>
      </w:tr>
      <w:tr w:rsidR="00742E5C" w:rsidRPr="00742E5C" w14:paraId="14166B41"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14D4C725"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AvgPMR</w:t>
            </w:r>
          </w:p>
        </w:tc>
        <w:tc>
          <w:tcPr>
            <w:tcW w:w="960" w:type="dxa"/>
            <w:tcBorders>
              <w:top w:val="nil"/>
              <w:left w:val="nil"/>
              <w:bottom w:val="nil"/>
              <w:right w:val="nil"/>
            </w:tcBorders>
            <w:shd w:val="clear" w:color="auto" w:fill="auto"/>
            <w:noWrap/>
            <w:vAlign w:val="bottom"/>
            <w:hideMark/>
          </w:tcPr>
          <w:p w14:paraId="41E88785" w14:textId="3D772AC0"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-0,39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0A3D22F" w14:textId="1FAFD4B4"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-0,65</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7C318E2" w14:textId="377FC5C6"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0,09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29E7EB4"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0,04</w:t>
            </w:r>
          </w:p>
        </w:tc>
        <w:tc>
          <w:tcPr>
            <w:tcW w:w="960" w:type="dxa"/>
            <w:tcBorders>
              <w:top w:val="nil"/>
              <w:left w:val="nil"/>
              <w:bottom w:val="nil"/>
              <w:right w:val="nil"/>
            </w:tcBorders>
            <w:shd w:val="clear" w:color="auto" w:fill="auto"/>
            <w:noWrap/>
            <w:vAlign w:val="bottom"/>
            <w:hideMark/>
          </w:tcPr>
          <w:p w14:paraId="656F88BE" w14:textId="3BD3023D"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-0,37</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02DDDA90" w14:textId="2909B8AD"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-0,61</w:t>
            </w:r>
            <w:r>
              <w:rPr>
                <w:rFonts w:ascii="Calibri" w:eastAsia="Times New Roman" w:hAnsi="Calibri" w:cs="Times New Roman"/>
                <w:color w:val="000000"/>
                <w:sz w:val="20"/>
                <w:szCs w:val="20"/>
                <w:lang w:eastAsia="nl-NL"/>
              </w:rPr>
              <w:t>***</w:t>
            </w:r>
          </w:p>
        </w:tc>
      </w:tr>
      <w:tr w:rsidR="00742E5C" w:rsidRPr="00742E5C" w14:paraId="7E46EE78"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3B1D6526"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 </w:t>
            </w:r>
          </w:p>
        </w:tc>
        <w:tc>
          <w:tcPr>
            <w:tcW w:w="960" w:type="dxa"/>
            <w:tcBorders>
              <w:top w:val="nil"/>
              <w:left w:val="nil"/>
              <w:bottom w:val="nil"/>
              <w:right w:val="nil"/>
            </w:tcBorders>
            <w:shd w:val="clear" w:color="auto" w:fill="auto"/>
            <w:noWrap/>
            <w:vAlign w:val="bottom"/>
            <w:hideMark/>
          </w:tcPr>
          <w:p w14:paraId="71BE26B0" w14:textId="45F8D8C3"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0,04</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26DF1D82" w14:textId="05996D82"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0,04</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587BC989" w14:textId="3C903F8F"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0,03</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FEF6749" w14:textId="1BA24566"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0,04</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3E5A1F2E" w14:textId="19D8805E"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0,20</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226B0260" w14:textId="131AA3CB"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0,17</w:t>
            </w:r>
            <w:r>
              <w:rPr>
                <w:rFonts w:ascii="Calibri" w:eastAsia="Times New Roman" w:hAnsi="Calibri" w:cs="Times New Roman"/>
                <w:color w:val="000000"/>
                <w:sz w:val="20"/>
                <w:szCs w:val="20"/>
                <w:lang w:eastAsia="nl-NL"/>
              </w:rPr>
              <w:t>)</w:t>
            </w:r>
          </w:p>
        </w:tc>
      </w:tr>
      <w:tr w:rsidR="00742E5C" w:rsidRPr="00742E5C" w14:paraId="22729DC7"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02376A62"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logConsumption</w:t>
            </w:r>
          </w:p>
        </w:tc>
        <w:tc>
          <w:tcPr>
            <w:tcW w:w="960" w:type="dxa"/>
            <w:tcBorders>
              <w:top w:val="nil"/>
              <w:left w:val="nil"/>
              <w:bottom w:val="nil"/>
              <w:right w:val="nil"/>
            </w:tcBorders>
            <w:shd w:val="clear" w:color="auto" w:fill="auto"/>
            <w:noWrap/>
            <w:vAlign w:val="bottom"/>
            <w:hideMark/>
          </w:tcPr>
          <w:p w14:paraId="22F8DD96"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-0,14</w:t>
            </w:r>
          </w:p>
        </w:tc>
        <w:tc>
          <w:tcPr>
            <w:tcW w:w="960" w:type="dxa"/>
            <w:tcBorders>
              <w:top w:val="nil"/>
              <w:left w:val="nil"/>
              <w:bottom w:val="nil"/>
              <w:right w:val="nil"/>
            </w:tcBorders>
            <w:shd w:val="clear" w:color="auto" w:fill="auto"/>
            <w:noWrap/>
            <w:vAlign w:val="bottom"/>
            <w:hideMark/>
          </w:tcPr>
          <w:p w14:paraId="40598EDF" w14:textId="63C7BDE3"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-3,65</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46CAE783" w14:textId="74FE8881"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0,81</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1207902"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0,07</w:t>
            </w:r>
          </w:p>
        </w:tc>
        <w:tc>
          <w:tcPr>
            <w:tcW w:w="960" w:type="dxa"/>
            <w:tcBorders>
              <w:top w:val="nil"/>
              <w:left w:val="nil"/>
              <w:bottom w:val="nil"/>
              <w:right w:val="nil"/>
            </w:tcBorders>
            <w:shd w:val="clear" w:color="auto" w:fill="auto"/>
            <w:noWrap/>
            <w:vAlign w:val="bottom"/>
            <w:hideMark/>
          </w:tcPr>
          <w:p w14:paraId="05CF3B9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-0,35</w:t>
            </w:r>
          </w:p>
        </w:tc>
        <w:tc>
          <w:tcPr>
            <w:tcW w:w="960" w:type="dxa"/>
            <w:tcBorders>
              <w:top w:val="nil"/>
              <w:left w:val="nil"/>
              <w:bottom w:val="nil"/>
              <w:right w:val="single" w:sz="4" w:space="0" w:color="auto"/>
            </w:tcBorders>
            <w:shd w:val="clear" w:color="auto" w:fill="auto"/>
            <w:noWrap/>
            <w:vAlign w:val="bottom"/>
            <w:hideMark/>
          </w:tcPr>
          <w:p w14:paraId="7A2CC446"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-3,48</w:t>
            </w:r>
          </w:p>
        </w:tc>
      </w:tr>
      <w:tr w:rsidR="00742E5C" w:rsidRPr="00742E5C" w14:paraId="1B5A6479"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221BA7F2"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 </w:t>
            </w:r>
          </w:p>
        </w:tc>
        <w:tc>
          <w:tcPr>
            <w:tcW w:w="960" w:type="dxa"/>
            <w:tcBorders>
              <w:top w:val="nil"/>
              <w:left w:val="nil"/>
              <w:bottom w:val="nil"/>
              <w:right w:val="nil"/>
            </w:tcBorders>
            <w:shd w:val="clear" w:color="auto" w:fill="auto"/>
            <w:noWrap/>
            <w:vAlign w:val="bottom"/>
            <w:hideMark/>
          </w:tcPr>
          <w:p w14:paraId="1A06C1CA" w14:textId="2B15B24A"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0,62</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04511D1" w14:textId="25219F36"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0,61</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44C93194" w14:textId="23E1F0E0"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0,42</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57FCC82" w14:textId="64395A66"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0,49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42D59DF3" w14:textId="53797DFF"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2,71</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18193D89" w14:textId="0FF74C26"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742E5C">
              <w:rPr>
                <w:rFonts w:ascii="Calibri" w:eastAsia="Times New Roman" w:hAnsi="Calibri" w:cs="Times New Roman"/>
                <w:color w:val="000000"/>
                <w:sz w:val="20"/>
                <w:szCs w:val="20"/>
                <w:lang w:eastAsia="nl-NL"/>
              </w:rPr>
              <w:t>2,25</w:t>
            </w:r>
            <w:r>
              <w:rPr>
                <w:rFonts w:ascii="Calibri" w:eastAsia="Times New Roman" w:hAnsi="Calibri" w:cs="Times New Roman"/>
                <w:color w:val="000000"/>
                <w:sz w:val="20"/>
                <w:szCs w:val="20"/>
                <w:lang w:eastAsia="nl-NL"/>
              </w:rPr>
              <w:t>)</w:t>
            </w:r>
          </w:p>
        </w:tc>
      </w:tr>
      <w:tr w:rsidR="00742E5C" w:rsidRPr="00742E5C" w14:paraId="18BD1356"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75CD362B"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(McFadden) Rsq</w:t>
            </w:r>
          </w:p>
        </w:tc>
        <w:tc>
          <w:tcPr>
            <w:tcW w:w="960" w:type="dxa"/>
            <w:tcBorders>
              <w:top w:val="nil"/>
              <w:left w:val="nil"/>
              <w:bottom w:val="nil"/>
              <w:right w:val="nil"/>
            </w:tcBorders>
            <w:shd w:val="clear" w:color="auto" w:fill="auto"/>
            <w:noWrap/>
            <w:vAlign w:val="bottom"/>
            <w:hideMark/>
          </w:tcPr>
          <w:p w14:paraId="5CA40302"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0,70</w:t>
            </w:r>
          </w:p>
        </w:tc>
        <w:tc>
          <w:tcPr>
            <w:tcW w:w="960" w:type="dxa"/>
            <w:tcBorders>
              <w:top w:val="nil"/>
              <w:left w:val="nil"/>
              <w:bottom w:val="nil"/>
              <w:right w:val="nil"/>
            </w:tcBorders>
            <w:shd w:val="clear" w:color="auto" w:fill="auto"/>
            <w:noWrap/>
            <w:vAlign w:val="bottom"/>
            <w:hideMark/>
          </w:tcPr>
          <w:p w14:paraId="1B145971"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0,77</w:t>
            </w:r>
          </w:p>
        </w:tc>
        <w:tc>
          <w:tcPr>
            <w:tcW w:w="960" w:type="dxa"/>
            <w:tcBorders>
              <w:top w:val="nil"/>
              <w:left w:val="nil"/>
              <w:bottom w:val="nil"/>
              <w:right w:val="nil"/>
            </w:tcBorders>
            <w:shd w:val="clear" w:color="auto" w:fill="auto"/>
            <w:noWrap/>
            <w:vAlign w:val="bottom"/>
            <w:hideMark/>
          </w:tcPr>
          <w:p w14:paraId="76B8053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0,62</w:t>
            </w:r>
          </w:p>
        </w:tc>
        <w:tc>
          <w:tcPr>
            <w:tcW w:w="960" w:type="dxa"/>
            <w:tcBorders>
              <w:top w:val="nil"/>
              <w:left w:val="nil"/>
              <w:bottom w:val="nil"/>
              <w:right w:val="nil"/>
            </w:tcBorders>
            <w:shd w:val="clear" w:color="auto" w:fill="auto"/>
            <w:noWrap/>
            <w:vAlign w:val="bottom"/>
            <w:hideMark/>
          </w:tcPr>
          <w:p w14:paraId="0CADD00D"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0,51</w:t>
            </w:r>
          </w:p>
        </w:tc>
        <w:tc>
          <w:tcPr>
            <w:tcW w:w="960" w:type="dxa"/>
            <w:tcBorders>
              <w:top w:val="nil"/>
              <w:left w:val="nil"/>
              <w:bottom w:val="nil"/>
              <w:right w:val="nil"/>
            </w:tcBorders>
            <w:shd w:val="clear" w:color="auto" w:fill="auto"/>
            <w:noWrap/>
            <w:vAlign w:val="bottom"/>
            <w:hideMark/>
          </w:tcPr>
          <w:p w14:paraId="031342F1"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0,80</w:t>
            </w:r>
          </w:p>
        </w:tc>
        <w:tc>
          <w:tcPr>
            <w:tcW w:w="960" w:type="dxa"/>
            <w:tcBorders>
              <w:top w:val="nil"/>
              <w:left w:val="nil"/>
              <w:bottom w:val="nil"/>
              <w:right w:val="single" w:sz="4" w:space="0" w:color="auto"/>
            </w:tcBorders>
            <w:shd w:val="clear" w:color="auto" w:fill="auto"/>
            <w:noWrap/>
            <w:vAlign w:val="bottom"/>
            <w:hideMark/>
          </w:tcPr>
          <w:p w14:paraId="14FBBE37"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0,86</w:t>
            </w:r>
          </w:p>
        </w:tc>
      </w:tr>
      <w:tr w:rsidR="00742E5C" w:rsidRPr="00742E5C" w14:paraId="151190C4" w14:textId="77777777" w:rsidTr="00742E5C">
        <w:trPr>
          <w:trHeight w:val="300"/>
        </w:trPr>
        <w:tc>
          <w:tcPr>
            <w:tcW w:w="1820" w:type="dxa"/>
            <w:tcBorders>
              <w:top w:val="nil"/>
              <w:left w:val="single" w:sz="4" w:space="0" w:color="auto"/>
              <w:bottom w:val="nil"/>
              <w:right w:val="nil"/>
            </w:tcBorders>
            <w:shd w:val="clear" w:color="auto" w:fill="auto"/>
            <w:noWrap/>
            <w:vAlign w:val="bottom"/>
            <w:hideMark/>
          </w:tcPr>
          <w:p w14:paraId="289B7C12"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Adj Rsq</w:t>
            </w:r>
          </w:p>
        </w:tc>
        <w:tc>
          <w:tcPr>
            <w:tcW w:w="960" w:type="dxa"/>
            <w:tcBorders>
              <w:top w:val="nil"/>
              <w:left w:val="nil"/>
              <w:bottom w:val="nil"/>
              <w:right w:val="nil"/>
            </w:tcBorders>
            <w:shd w:val="clear" w:color="auto" w:fill="auto"/>
            <w:noWrap/>
            <w:vAlign w:val="bottom"/>
            <w:hideMark/>
          </w:tcPr>
          <w:p w14:paraId="6FF3905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0,69</w:t>
            </w:r>
          </w:p>
        </w:tc>
        <w:tc>
          <w:tcPr>
            <w:tcW w:w="960" w:type="dxa"/>
            <w:tcBorders>
              <w:top w:val="nil"/>
              <w:left w:val="nil"/>
              <w:bottom w:val="nil"/>
              <w:right w:val="nil"/>
            </w:tcBorders>
            <w:shd w:val="clear" w:color="auto" w:fill="auto"/>
            <w:noWrap/>
            <w:vAlign w:val="bottom"/>
            <w:hideMark/>
          </w:tcPr>
          <w:p w14:paraId="6DF600BF"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0,77</w:t>
            </w:r>
          </w:p>
        </w:tc>
        <w:tc>
          <w:tcPr>
            <w:tcW w:w="960" w:type="dxa"/>
            <w:tcBorders>
              <w:top w:val="nil"/>
              <w:left w:val="nil"/>
              <w:bottom w:val="nil"/>
              <w:right w:val="nil"/>
            </w:tcBorders>
            <w:shd w:val="clear" w:color="auto" w:fill="auto"/>
            <w:noWrap/>
            <w:vAlign w:val="bottom"/>
            <w:hideMark/>
          </w:tcPr>
          <w:p w14:paraId="11878BD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0,59</w:t>
            </w:r>
          </w:p>
        </w:tc>
        <w:tc>
          <w:tcPr>
            <w:tcW w:w="960" w:type="dxa"/>
            <w:tcBorders>
              <w:top w:val="nil"/>
              <w:left w:val="nil"/>
              <w:bottom w:val="nil"/>
              <w:right w:val="nil"/>
            </w:tcBorders>
            <w:shd w:val="clear" w:color="auto" w:fill="auto"/>
            <w:noWrap/>
            <w:vAlign w:val="bottom"/>
            <w:hideMark/>
          </w:tcPr>
          <w:p w14:paraId="180B57BF"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0,46</w:t>
            </w:r>
          </w:p>
        </w:tc>
        <w:tc>
          <w:tcPr>
            <w:tcW w:w="960" w:type="dxa"/>
            <w:tcBorders>
              <w:top w:val="nil"/>
              <w:left w:val="nil"/>
              <w:bottom w:val="nil"/>
              <w:right w:val="nil"/>
            </w:tcBorders>
            <w:shd w:val="clear" w:color="auto" w:fill="auto"/>
            <w:noWrap/>
            <w:vAlign w:val="bottom"/>
            <w:hideMark/>
          </w:tcPr>
          <w:p w14:paraId="0632022C"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0,78</w:t>
            </w:r>
          </w:p>
        </w:tc>
        <w:tc>
          <w:tcPr>
            <w:tcW w:w="960" w:type="dxa"/>
            <w:tcBorders>
              <w:top w:val="nil"/>
              <w:left w:val="nil"/>
              <w:bottom w:val="nil"/>
              <w:right w:val="single" w:sz="4" w:space="0" w:color="auto"/>
            </w:tcBorders>
            <w:shd w:val="clear" w:color="auto" w:fill="auto"/>
            <w:noWrap/>
            <w:vAlign w:val="bottom"/>
            <w:hideMark/>
          </w:tcPr>
          <w:p w14:paraId="478A05E9"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0,85</w:t>
            </w:r>
          </w:p>
        </w:tc>
      </w:tr>
      <w:tr w:rsidR="00742E5C" w:rsidRPr="00742E5C" w14:paraId="0179DA26" w14:textId="77777777" w:rsidTr="00742E5C">
        <w:trPr>
          <w:trHeight w:val="300"/>
        </w:trPr>
        <w:tc>
          <w:tcPr>
            <w:tcW w:w="1820" w:type="dxa"/>
            <w:tcBorders>
              <w:top w:val="single" w:sz="4" w:space="0" w:color="auto"/>
              <w:left w:val="single" w:sz="4" w:space="0" w:color="auto"/>
              <w:bottom w:val="single" w:sz="4" w:space="0" w:color="auto"/>
              <w:right w:val="nil"/>
            </w:tcBorders>
            <w:shd w:val="clear" w:color="auto" w:fill="auto"/>
            <w:noWrap/>
            <w:vAlign w:val="bottom"/>
            <w:hideMark/>
          </w:tcPr>
          <w:p w14:paraId="5DEB6FDD" w14:textId="77777777" w:rsidR="00742E5C" w:rsidRPr="00742E5C" w:rsidRDefault="00742E5C" w:rsidP="00742E5C">
            <w:pPr>
              <w:spacing w:after="0" w:line="240" w:lineRule="auto"/>
              <w:jc w:val="lef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lastRenderedPageBreak/>
              <w:t>Obs.</w:t>
            </w:r>
          </w:p>
        </w:tc>
        <w:tc>
          <w:tcPr>
            <w:tcW w:w="960" w:type="dxa"/>
            <w:tcBorders>
              <w:top w:val="single" w:sz="4" w:space="0" w:color="auto"/>
              <w:left w:val="nil"/>
              <w:bottom w:val="single" w:sz="4" w:space="0" w:color="auto"/>
              <w:right w:val="nil"/>
            </w:tcBorders>
            <w:shd w:val="clear" w:color="auto" w:fill="auto"/>
            <w:noWrap/>
            <w:vAlign w:val="bottom"/>
            <w:hideMark/>
          </w:tcPr>
          <w:p w14:paraId="2C2F681F"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24</w:t>
            </w:r>
          </w:p>
        </w:tc>
        <w:tc>
          <w:tcPr>
            <w:tcW w:w="960" w:type="dxa"/>
            <w:tcBorders>
              <w:top w:val="single" w:sz="4" w:space="0" w:color="auto"/>
              <w:left w:val="nil"/>
              <w:bottom w:val="single" w:sz="4" w:space="0" w:color="auto"/>
              <w:right w:val="nil"/>
            </w:tcBorders>
            <w:shd w:val="clear" w:color="auto" w:fill="auto"/>
            <w:noWrap/>
            <w:vAlign w:val="bottom"/>
            <w:hideMark/>
          </w:tcPr>
          <w:p w14:paraId="31BA4A4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23</w:t>
            </w:r>
          </w:p>
        </w:tc>
        <w:tc>
          <w:tcPr>
            <w:tcW w:w="960" w:type="dxa"/>
            <w:tcBorders>
              <w:top w:val="single" w:sz="4" w:space="0" w:color="auto"/>
              <w:left w:val="nil"/>
              <w:bottom w:val="single" w:sz="4" w:space="0" w:color="auto"/>
              <w:right w:val="nil"/>
            </w:tcBorders>
            <w:shd w:val="clear" w:color="auto" w:fill="auto"/>
            <w:noWrap/>
            <w:vAlign w:val="bottom"/>
            <w:hideMark/>
          </w:tcPr>
          <w:p w14:paraId="52BF3CAF"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24</w:t>
            </w:r>
          </w:p>
        </w:tc>
        <w:tc>
          <w:tcPr>
            <w:tcW w:w="960" w:type="dxa"/>
            <w:tcBorders>
              <w:top w:val="single" w:sz="4" w:space="0" w:color="auto"/>
              <w:left w:val="nil"/>
              <w:bottom w:val="single" w:sz="4" w:space="0" w:color="auto"/>
              <w:right w:val="nil"/>
            </w:tcBorders>
            <w:shd w:val="clear" w:color="auto" w:fill="auto"/>
            <w:noWrap/>
            <w:vAlign w:val="bottom"/>
            <w:hideMark/>
          </w:tcPr>
          <w:p w14:paraId="0D87F1B3"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23</w:t>
            </w:r>
          </w:p>
        </w:tc>
        <w:tc>
          <w:tcPr>
            <w:tcW w:w="960" w:type="dxa"/>
            <w:tcBorders>
              <w:top w:val="single" w:sz="4" w:space="0" w:color="auto"/>
              <w:left w:val="nil"/>
              <w:bottom w:val="single" w:sz="4" w:space="0" w:color="auto"/>
              <w:right w:val="nil"/>
            </w:tcBorders>
            <w:shd w:val="clear" w:color="auto" w:fill="auto"/>
            <w:noWrap/>
            <w:vAlign w:val="bottom"/>
            <w:hideMark/>
          </w:tcPr>
          <w:p w14:paraId="335017A0" w14:textId="77777777" w:rsidR="00742E5C" w:rsidRPr="00742E5C" w:rsidRDefault="00742E5C" w:rsidP="00742E5C">
            <w:pPr>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2A7266D" w14:textId="77777777" w:rsidR="00742E5C" w:rsidRPr="00742E5C" w:rsidRDefault="00742E5C" w:rsidP="00742E5C">
            <w:pPr>
              <w:keepNext/>
              <w:spacing w:after="0" w:line="240" w:lineRule="auto"/>
              <w:jc w:val="right"/>
              <w:rPr>
                <w:rFonts w:ascii="Calibri" w:eastAsia="Times New Roman" w:hAnsi="Calibri" w:cs="Times New Roman"/>
                <w:color w:val="000000"/>
                <w:sz w:val="20"/>
                <w:szCs w:val="20"/>
                <w:lang w:eastAsia="nl-NL"/>
              </w:rPr>
            </w:pPr>
            <w:r w:rsidRPr="00742E5C">
              <w:rPr>
                <w:rFonts w:ascii="Calibri" w:eastAsia="Times New Roman" w:hAnsi="Calibri" w:cs="Times New Roman"/>
                <w:color w:val="000000"/>
                <w:sz w:val="20"/>
                <w:szCs w:val="20"/>
                <w:lang w:eastAsia="nl-NL"/>
              </w:rPr>
              <w:t>23</w:t>
            </w:r>
          </w:p>
        </w:tc>
      </w:tr>
    </w:tbl>
    <w:p w14:paraId="17804C25" w14:textId="5A732B1A" w:rsidR="003F0B20" w:rsidRPr="00742E5C" w:rsidRDefault="00742E5C" w:rsidP="00742E5C">
      <w:pPr>
        <w:pStyle w:val="Caption"/>
        <w:rPr>
          <w:rFonts w:eastAsiaTheme="minorEastAsia"/>
          <w:lang w:val="en-US"/>
        </w:rPr>
      </w:pPr>
      <w:r w:rsidRPr="00742E5C">
        <w:rPr>
          <w:lang w:val="en-US"/>
        </w:rPr>
        <w:t>Table 4: Summary</w:t>
      </w:r>
      <w:r>
        <w:rPr>
          <w:lang w:val="en-US"/>
        </w:rPr>
        <w:t xml:space="preserve"> of the estimates for model 9-14.</w:t>
      </w:r>
      <w:r w:rsidRPr="00AB2B0F">
        <w:rPr>
          <w:lang w:val="en-US"/>
        </w:rPr>
        <w:t>Significance levels: *10% **5% ***1%. Standard errors in parenthesis</w:t>
      </w:r>
    </w:p>
    <w:tbl>
      <w:tblPr>
        <w:tblW w:w="9340" w:type="dxa"/>
        <w:tblInd w:w="55" w:type="dxa"/>
        <w:tblCellMar>
          <w:left w:w="70" w:type="dxa"/>
          <w:right w:w="70" w:type="dxa"/>
        </w:tblCellMar>
        <w:tblLook w:val="04A0" w:firstRow="1" w:lastRow="0" w:firstColumn="1" w:lastColumn="0" w:noHBand="0" w:noVBand="1"/>
      </w:tblPr>
      <w:tblGrid>
        <w:gridCol w:w="1660"/>
        <w:gridCol w:w="960"/>
        <w:gridCol w:w="960"/>
        <w:gridCol w:w="960"/>
        <w:gridCol w:w="960"/>
        <w:gridCol w:w="960"/>
        <w:gridCol w:w="960"/>
        <w:gridCol w:w="960"/>
        <w:gridCol w:w="960"/>
      </w:tblGrid>
      <w:tr w:rsidR="005B5507" w:rsidRPr="005B5507" w14:paraId="4DA77B0E" w14:textId="77777777" w:rsidTr="005B5507">
        <w:trPr>
          <w:trHeight w:val="1875"/>
        </w:trPr>
        <w:tc>
          <w:tcPr>
            <w:tcW w:w="1660" w:type="dxa"/>
            <w:tcBorders>
              <w:top w:val="single" w:sz="4" w:space="0" w:color="auto"/>
              <w:left w:val="single" w:sz="4" w:space="0" w:color="auto"/>
              <w:bottom w:val="nil"/>
              <w:right w:val="nil"/>
            </w:tcBorders>
            <w:shd w:val="clear" w:color="auto" w:fill="auto"/>
            <w:noWrap/>
            <w:vAlign w:val="bottom"/>
            <w:hideMark/>
          </w:tcPr>
          <w:p w14:paraId="680436EE"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Dependent variable</w:t>
            </w:r>
          </w:p>
        </w:tc>
        <w:tc>
          <w:tcPr>
            <w:tcW w:w="960" w:type="dxa"/>
            <w:tcBorders>
              <w:top w:val="single" w:sz="4" w:space="0" w:color="auto"/>
              <w:left w:val="nil"/>
              <w:bottom w:val="nil"/>
              <w:right w:val="nil"/>
            </w:tcBorders>
            <w:shd w:val="clear" w:color="auto" w:fill="auto"/>
            <w:noWrap/>
            <w:textDirection w:val="btLr"/>
            <w:vAlign w:val="bottom"/>
            <w:hideMark/>
          </w:tcPr>
          <w:p w14:paraId="04BC39E8"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TotalCitations</w:t>
            </w:r>
          </w:p>
        </w:tc>
        <w:tc>
          <w:tcPr>
            <w:tcW w:w="960" w:type="dxa"/>
            <w:tcBorders>
              <w:top w:val="single" w:sz="4" w:space="0" w:color="auto"/>
              <w:left w:val="nil"/>
              <w:bottom w:val="nil"/>
              <w:right w:val="nil"/>
            </w:tcBorders>
            <w:shd w:val="clear" w:color="auto" w:fill="auto"/>
            <w:noWrap/>
            <w:textDirection w:val="btLr"/>
            <w:vAlign w:val="bottom"/>
            <w:hideMark/>
          </w:tcPr>
          <w:p w14:paraId="44062CE8"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TotalCitations</w:t>
            </w:r>
          </w:p>
        </w:tc>
        <w:tc>
          <w:tcPr>
            <w:tcW w:w="960" w:type="dxa"/>
            <w:tcBorders>
              <w:top w:val="single" w:sz="4" w:space="0" w:color="auto"/>
              <w:left w:val="nil"/>
              <w:bottom w:val="nil"/>
              <w:right w:val="nil"/>
            </w:tcBorders>
            <w:shd w:val="clear" w:color="auto" w:fill="auto"/>
            <w:noWrap/>
            <w:textDirection w:val="btLr"/>
            <w:vAlign w:val="bottom"/>
            <w:hideMark/>
          </w:tcPr>
          <w:p w14:paraId="3BF59FE4"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AvgCitations</w:t>
            </w:r>
          </w:p>
        </w:tc>
        <w:tc>
          <w:tcPr>
            <w:tcW w:w="960" w:type="dxa"/>
            <w:tcBorders>
              <w:top w:val="single" w:sz="4" w:space="0" w:color="auto"/>
              <w:left w:val="nil"/>
              <w:bottom w:val="nil"/>
              <w:right w:val="nil"/>
            </w:tcBorders>
            <w:shd w:val="clear" w:color="auto" w:fill="auto"/>
            <w:noWrap/>
            <w:textDirection w:val="btLr"/>
            <w:vAlign w:val="bottom"/>
            <w:hideMark/>
          </w:tcPr>
          <w:p w14:paraId="5903BEF9"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AvgCitations</w:t>
            </w:r>
          </w:p>
        </w:tc>
        <w:tc>
          <w:tcPr>
            <w:tcW w:w="960" w:type="dxa"/>
            <w:tcBorders>
              <w:top w:val="single" w:sz="4" w:space="0" w:color="auto"/>
              <w:left w:val="nil"/>
              <w:bottom w:val="nil"/>
              <w:right w:val="nil"/>
            </w:tcBorders>
            <w:shd w:val="clear" w:color="auto" w:fill="auto"/>
            <w:noWrap/>
            <w:textDirection w:val="btLr"/>
            <w:vAlign w:val="bottom"/>
            <w:hideMark/>
          </w:tcPr>
          <w:p w14:paraId="7FC24BCB"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LogCitations</w:t>
            </w:r>
          </w:p>
        </w:tc>
        <w:tc>
          <w:tcPr>
            <w:tcW w:w="960" w:type="dxa"/>
            <w:tcBorders>
              <w:top w:val="single" w:sz="4" w:space="0" w:color="auto"/>
              <w:left w:val="nil"/>
              <w:bottom w:val="nil"/>
              <w:right w:val="nil"/>
            </w:tcBorders>
            <w:shd w:val="clear" w:color="auto" w:fill="auto"/>
            <w:noWrap/>
            <w:textDirection w:val="btLr"/>
            <w:vAlign w:val="bottom"/>
            <w:hideMark/>
          </w:tcPr>
          <w:p w14:paraId="5BE295D1"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LogCitations</w:t>
            </w:r>
          </w:p>
        </w:tc>
        <w:tc>
          <w:tcPr>
            <w:tcW w:w="960" w:type="dxa"/>
            <w:tcBorders>
              <w:top w:val="single" w:sz="4" w:space="0" w:color="auto"/>
              <w:left w:val="nil"/>
              <w:bottom w:val="nil"/>
              <w:right w:val="nil"/>
            </w:tcBorders>
            <w:shd w:val="clear" w:color="auto" w:fill="auto"/>
            <w:noWrap/>
            <w:textDirection w:val="btLr"/>
            <w:vAlign w:val="bottom"/>
            <w:hideMark/>
          </w:tcPr>
          <w:p w14:paraId="1E9A627F"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LogTotalApplications</w:t>
            </w:r>
          </w:p>
        </w:tc>
        <w:tc>
          <w:tcPr>
            <w:tcW w:w="960" w:type="dxa"/>
            <w:tcBorders>
              <w:top w:val="single" w:sz="4" w:space="0" w:color="auto"/>
              <w:left w:val="nil"/>
              <w:bottom w:val="nil"/>
              <w:right w:val="single" w:sz="4" w:space="0" w:color="auto"/>
            </w:tcBorders>
            <w:shd w:val="clear" w:color="auto" w:fill="auto"/>
            <w:noWrap/>
            <w:textDirection w:val="btLr"/>
            <w:vAlign w:val="bottom"/>
            <w:hideMark/>
          </w:tcPr>
          <w:p w14:paraId="23C1675F"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LogTotalApplications</w:t>
            </w:r>
          </w:p>
        </w:tc>
      </w:tr>
      <w:tr w:rsidR="005B5507" w:rsidRPr="005B5507" w14:paraId="451CD537" w14:textId="77777777" w:rsidTr="005B5507">
        <w:trPr>
          <w:trHeight w:val="300"/>
        </w:trPr>
        <w:tc>
          <w:tcPr>
            <w:tcW w:w="1660" w:type="dxa"/>
            <w:tcBorders>
              <w:top w:val="single" w:sz="4" w:space="0" w:color="auto"/>
              <w:left w:val="single" w:sz="4" w:space="0" w:color="auto"/>
              <w:bottom w:val="single" w:sz="4" w:space="0" w:color="auto"/>
              <w:right w:val="nil"/>
            </w:tcBorders>
            <w:shd w:val="clear" w:color="auto" w:fill="auto"/>
            <w:noWrap/>
            <w:vAlign w:val="bottom"/>
            <w:hideMark/>
          </w:tcPr>
          <w:p w14:paraId="2D28B63B"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Model</w:t>
            </w:r>
          </w:p>
        </w:tc>
        <w:tc>
          <w:tcPr>
            <w:tcW w:w="960" w:type="dxa"/>
            <w:tcBorders>
              <w:top w:val="single" w:sz="4" w:space="0" w:color="auto"/>
              <w:left w:val="nil"/>
              <w:bottom w:val="single" w:sz="4" w:space="0" w:color="auto"/>
              <w:right w:val="nil"/>
            </w:tcBorders>
            <w:shd w:val="clear" w:color="auto" w:fill="auto"/>
            <w:noWrap/>
            <w:vAlign w:val="bottom"/>
            <w:hideMark/>
          </w:tcPr>
          <w:p w14:paraId="0DE3CFBA"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15</w:t>
            </w:r>
          </w:p>
        </w:tc>
        <w:tc>
          <w:tcPr>
            <w:tcW w:w="960" w:type="dxa"/>
            <w:tcBorders>
              <w:top w:val="single" w:sz="4" w:space="0" w:color="auto"/>
              <w:left w:val="nil"/>
              <w:bottom w:val="single" w:sz="4" w:space="0" w:color="auto"/>
              <w:right w:val="nil"/>
            </w:tcBorders>
            <w:shd w:val="clear" w:color="auto" w:fill="auto"/>
            <w:noWrap/>
            <w:vAlign w:val="bottom"/>
            <w:hideMark/>
          </w:tcPr>
          <w:p w14:paraId="77A4C153"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16</w:t>
            </w:r>
          </w:p>
        </w:tc>
        <w:tc>
          <w:tcPr>
            <w:tcW w:w="960" w:type="dxa"/>
            <w:tcBorders>
              <w:top w:val="single" w:sz="4" w:space="0" w:color="auto"/>
              <w:left w:val="nil"/>
              <w:bottom w:val="single" w:sz="4" w:space="0" w:color="auto"/>
              <w:right w:val="nil"/>
            </w:tcBorders>
            <w:shd w:val="clear" w:color="auto" w:fill="auto"/>
            <w:noWrap/>
            <w:vAlign w:val="bottom"/>
            <w:hideMark/>
          </w:tcPr>
          <w:p w14:paraId="0699742F"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17</w:t>
            </w:r>
          </w:p>
        </w:tc>
        <w:tc>
          <w:tcPr>
            <w:tcW w:w="960" w:type="dxa"/>
            <w:tcBorders>
              <w:top w:val="single" w:sz="4" w:space="0" w:color="auto"/>
              <w:left w:val="nil"/>
              <w:bottom w:val="single" w:sz="4" w:space="0" w:color="auto"/>
              <w:right w:val="nil"/>
            </w:tcBorders>
            <w:shd w:val="clear" w:color="auto" w:fill="auto"/>
            <w:noWrap/>
            <w:vAlign w:val="bottom"/>
            <w:hideMark/>
          </w:tcPr>
          <w:p w14:paraId="480AD942"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18</w:t>
            </w:r>
          </w:p>
        </w:tc>
        <w:tc>
          <w:tcPr>
            <w:tcW w:w="960" w:type="dxa"/>
            <w:tcBorders>
              <w:top w:val="single" w:sz="4" w:space="0" w:color="auto"/>
              <w:left w:val="nil"/>
              <w:bottom w:val="single" w:sz="4" w:space="0" w:color="auto"/>
              <w:right w:val="nil"/>
            </w:tcBorders>
            <w:shd w:val="clear" w:color="auto" w:fill="auto"/>
            <w:noWrap/>
            <w:vAlign w:val="bottom"/>
            <w:hideMark/>
          </w:tcPr>
          <w:p w14:paraId="633D9CEE"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19</w:t>
            </w:r>
          </w:p>
        </w:tc>
        <w:tc>
          <w:tcPr>
            <w:tcW w:w="960" w:type="dxa"/>
            <w:tcBorders>
              <w:top w:val="single" w:sz="4" w:space="0" w:color="auto"/>
              <w:left w:val="nil"/>
              <w:bottom w:val="single" w:sz="4" w:space="0" w:color="auto"/>
              <w:right w:val="nil"/>
            </w:tcBorders>
            <w:shd w:val="clear" w:color="auto" w:fill="auto"/>
            <w:noWrap/>
            <w:vAlign w:val="bottom"/>
            <w:hideMark/>
          </w:tcPr>
          <w:p w14:paraId="4DBA3C23"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20</w:t>
            </w:r>
          </w:p>
        </w:tc>
        <w:tc>
          <w:tcPr>
            <w:tcW w:w="960" w:type="dxa"/>
            <w:tcBorders>
              <w:top w:val="single" w:sz="4" w:space="0" w:color="auto"/>
              <w:left w:val="nil"/>
              <w:bottom w:val="single" w:sz="4" w:space="0" w:color="auto"/>
              <w:right w:val="nil"/>
            </w:tcBorders>
            <w:shd w:val="clear" w:color="auto" w:fill="auto"/>
            <w:vAlign w:val="bottom"/>
            <w:hideMark/>
          </w:tcPr>
          <w:p w14:paraId="7CA1F735"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C95AD0E"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22</w:t>
            </w:r>
          </w:p>
        </w:tc>
      </w:tr>
      <w:tr w:rsidR="005B5507" w:rsidRPr="005B5507" w14:paraId="41972934"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7E2C84CE"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Statistical Method</w:t>
            </w:r>
          </w:p>
        </w:tc>
        <w:tc>
          <w:tcPr>
            <w:tcW w:w="960" w:type="dxa"/>
            <w:tcBorders>
              <w:top w:val="nil"/>
              <w:left w:val="nil"/>
              <w:bottom w:val="nil"/>
              <w:right w:val="nil"/>
            </w:tcBorders>
            <w:shd w:val="clear" w:color="auto" w:fill="auto"/>
            <w:noWrap/>
            <w:vAlign w:val="bottom"/>
            <w:hideMark/>
          </w:tcPr>
          <w:p w14:paraId="0CEFCD46"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Count</w:t>
            </w:r>
          </w:p>
        </w:tc>
        <w:tc>
          <w:tcPr>
            <w:tcW w:w="960" w:type="dxa"/>
            <w:tcBorders>
              <w:top w:val="nil"/>
              <w:left w:val="nil"/>
              <w:bottom w:val="nil"/>
              <w:right w:val="nil"/>
            </w:tcBorders>
            <w:shd w:val="clear" w:color="auto" w:fill="auto"/>
            <w:noWrap/>
            <w:vAlign w:val="bottom"/>
            <w:hideMark/>
          </w:tcPr>
          <w:p w14:paraId="66A2A269"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Count</w:t>
            </w:r>
          </w:p>
        </w:tc>
        <w:tc>
          <w:tcPr>
            <w:tcW w:w="960" w:type="dxa"/>
            <w:tcBorders>
              <w:top w:val="nil"/>
              <w:left w:val="nil"/>
              <w:bottom w:val="nil"/>
              <w:right w:val="nil"/>
            </w:tcBorders>
            <w:shd w:val="clear" w:color="auto" w:fill="auto"/>
            <w:noWrap/>
            <w:vAlign w:val="bottom"/>
            <w:hideMark/>
          </w:tcPr>
          <w:p w14:paraId="083D87E4"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c>
          <w:tcPr>
            <w:tcW w:w="960" w:type="dxa"/>
            <w:tcBorders>
              <w:top w:val="nil"/>
              <w:left w:val="nil"/>
              <w:bottom w:val="nil"/>
              <w:right w:val="nil"/>
            </w:tcBorders>
            <w:shd w:val="clear" w:color="auto" w:fill="auto"/>
            <w:noWrap/>
            <w:vAlign w:val="bottom"/>
            <w:hideMark/>
          </w:tcPr>
          <w:p w14:paraId="3B92DEF7"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c>
          <w:tcPr>
            <w:tcW w:w="960" w:type="dxa"/>
            <w:tcBorders>
              <w:top w:val="nil"/>
              <w:left w:val="nil"/>
              <w:bottom w:val="nil"/>
              <w:right w:val="nil"/>
            </w:tcBorders>
            <w:shd w:val="clear" w:color="auto" w:fill="auto"/>
            <w:noWrap/>
            <w:vAlign w:val="bottom"/>
            <w:hideMark/>
          </w:tcPr>
          <w:p w14:paraId="0C8078DC"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c>
          <w:tcPr>
            <w:tcW w:w="960" w:type="dxa"/>
            <w:tcBorders>
              <w:top w:val="nil"/>
              <w:left w:val="nil"/>
              <w:bottom w:val="nil"/>
              <w:right w:val="nil"/>
            </w:tcBorders>
            <w:shd w:val="clear" w:color="auto" w:fill="auto"/>
            <w:noWrap/>
            <w:vAlign w:val="bottom"/>
            <w:hideMark/>
          </w:tcPr>
          <w:p w14:paraId="37A93C35"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c>
          <w:tcPr>
            <w:tcW w:w="960" w:type="dxa"/>
            <w:tcBorders>
              <w:top w:val="nil"/>
              <w:left w:val="nil"/>
              <w:bottom w:val="nil"/>
              <w:right w:val="nil"/>
            </w:tcBorders>
            <w:shd w:val="clear" w:color="auto" w:fill="auto"/>
            <w:noWrap/>
            <w:vAlign w:val="bottom"/>
            <w:hideMark/>
          </w:tcPr>
          <w:p w14:paraId="72777E24"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c>
          <w:tcPr>
            <w:tcW w:w="960" w:type="dxa"/>
            <w:tcBorders>
              <w:top w:val="nil"/>
              <w:left w:val="nil"/>
              <w:bottom w:val="nil"/>
              <w:right w:val="single" w:sz="4" w:space="0" w:color="auto"/>
            </w:tcBorders>
            <w:shd w:val="clear" w:color="auto" w:fill="auto"/>
            <w:noWrap/>
            <w:vAlign w:val="bottom"/>
            <w:hideMark/>
          </w:tcPr>
          <w:p w14:paraId="6D2F1074"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OLS</w:t>
            </w:r>
          </w:p>
        </w:tc>
      </w:tr>
      <w:tr w:rsidR="005B5507" w:rsidRPr="005B5507" w14:paraId="0A13DAA9"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5F147B7E"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Number of Lags</w:t>
            </w:r>
          </w:p>
        </w:tc>
        <w:tc>
          <w:tcPr>
            <w:tcW w:w="960" w:type="dxa"/>
            <w:tcBorders>
              <w:top w:val="nil"/>
              <w:left w:val="nil"/>
              <w:bottom w:val="nil"/>
              <w:right w:val="nil"/>
            </w:tcBorders>
            <w:shd w:val="clear" w:color="auto" w:fill="auto"/>
            <w:noWrap/>
            <w:vAlign w:val="bottom"/>
            <w:hideMark/>
          </w:tcPr>
          <w:p w14:paraId="2FD2752E"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nil"/>
            </w:tcBorders>
            <w:shd w:val="clear" w:color="auto" w:fill="auto"/>
            <w:noWrap/>
            <w:vAlign w:val="bottom"/>
            <w:hideMark/>
          </w:tcPr>
          <w:p w14:paraId="37E62879"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w:t>
            </w:r>
          </w:p>
        </w:tc>
        <w:tc>
          <w:tcPr>
            <w:tcW w:w="960" w:type="dxa"/>
            <w:tcBorders>
              <w:top w:val="nil"/>
              <w:left w:val="nil"/>
              <w:bottom w:val="nil"/>
              <w:right w:val="nil"/>
            </w:tcBorders>
            <w:shd w:val="clear" w:color="auto" w:fill="auto"/>
            <w:noWrap/>
            <w:vAlign w:val="bottom"/>
            <w:hideMark/>
          </w:tcPr>
          <w:p w14:paraId="13AB7DBB"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nil"/>
            </w:tcBorders>
            <w:shd w:val="clear" w:color="auto" w:fill="auto"/>
            <w:noWrap/>
            <w:vAlign w:val="bottom"/>
            <w:hideMark/>
          </w:tcPr>
          <w:p w14:paraId="35032542"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w:t>
            </w:r>
          </w:p>
        </w:tc>
        <w:tc>
          <w:tcPr>
            <w:tcW w:w="960" w:type="dxa"/>
            <w:tcBorders>
              <w:top w:val="nil"/>
              <w:left w:val="nil"/>
              <w:bottom w:val="nil"/>
              <w:right w:val="nil"/>
            </w:tcBorders>
            <w:shd w:val="clear" w:color="auto" w:fill="auto"/>
            <w:noWrap/>
            <w:vAlign w:val="bottom"/>
            <w:hideMark/>
          </w:tcPr>
          <w:p w14:paraId="54B922E7"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nil"/>
            </w:tcBorders>
            <w:shd w:val="clear" w:color="auto" w:fill="auto"/>
            <w:noWrap/>
            <w:vAlign w:val="bottom"/>
            <w:hideMark/>
          </w:tcPr>
          <w:p w14:paraId="5D7CCE29"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w:t>
            </w:r>
          </w:p>
        </w:tc>
        <w:tc>
          <w:tcPr>
            <w:tcW w:w="960" w:type="dxa"/>
            <w:tcBorders>
              <w:top w:val="nil"/>
              <w:left w:val="nil"/>
              <w:bottom w:val="nil"/>
              <w:right w:val="nil"/>
            </w:tcBorders>
            <w:shd w:val="clear" w:color="auto" w:fill="auto"/>
            <w:noWrap/>
            <w:vAlign w:val="bottom"/>
            <w:hideMark/>
          </w:tcPr>
          <w:p w14:paraId="17FDD75C"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p>
        </w:tc>
        <w:tc>
          <w:tcPr>
            <w:tcW w:w="960" w:type="dxa"/>
            <w:tcBorders>
              <w:top w:val="nil"/>
              <w:left w:val="nil"/>
              <w:bottom w:val="nil"/>
              <w:right w:val="single" w:sz="4" w:space="0" w:color="auto"/>
            </w:tcBorders>
            <w:shd w:val="clear" w:color="auto" w:fill="auto"/>
            <w:noWrap/>
            <w:vAlign w:val="bottom"/>
            <w:hideMark/>
          </w:tcPr>
          <w:p w14:paraId="003B9D72"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w:t>
            </w:r>
          </w:p>
        </w:tc>
      </w:tr>
      <w:tr w:rsidR="005B5507" w:rsidRPr="005B5507" w14:paraId="0B5256B0"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36B83A5F"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AvgPMR</w:t>
            </w:r>
          </w:p>
        </w:tc>
        <w:tc>
          <w:tcPr>
            <w:tcW w:w="960" w:type="dxa"/>
            <w:tcBorders>
              <w:top w:val="nil"/>
              <w:left w:val="nil"/>
              <w:bottom w:val="nil"/>
              <w:right w:val="nil"/>
            </w:tcBorders>
            <w:shd w:val="clear" w:color="auto" w:fill="auto"/>
            <w:noWrap/>
            <w:vAlign w:val="bottom"/>
            <w:hideMark/>
          </w:tcPr>
          <w:p w14:paraId="54A42079" w14:textId="65D4CB50"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0,67</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377EA7EF" w14:textId="504ABBEF"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0,94</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0FD5DD5" w14:textId="2A3B5EEE"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1,07</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63057E55" w14:textId="4CD1EEF9"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1,13</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64CC676E" w14:textId="706A24D3"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1,18</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0A8DE06" w14:textId="13B0651B"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1,78</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vAlign w:val="bottom"/>
            <w:hideMark/>
          </w:tcPr>
          <w:p w14:paraId="395A57B5" w14:textId="77389675"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-0,84</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59E39830"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-0.82***</w:t>
            </w:r>
          </w:p>
        </w:tc>
      </w:tr>
      <w:tr w:rsidR="005B5507" w:rsidRPr="005B5507" w14:paraId="0424DA5D"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70D44AF7"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 </w:t>
            </w:r>
          </w:p>
        </w:tc>
        <w:tc>
          <w:tcPr>
            <w:tcW w:w="960" w:type="dxa"/>
            <w:tcBorders>
              <w:top w:val="nil"/>
              <w:left w:val="nil"/>
              <w:bottom w:val="nil"/>
              <w:right w:val="nil"/>
            </w:tcBorders>
            <w:shd w:val="clear" w:color="auto" w:fill="auto"/>
            <w:noWrap/>
            <w:vAlign w:val="bottom"/>
            <w:hideMark/>
          </w:tcPr>
          <w:p w14:paraId="1B4CEC4E" w14:textId="355324B5"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0,02</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1122880" w14:textId="04210A65"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0,02</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60A8B13B" w14:textId="2CE26B55"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0,27</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42A412A7" w14:textId="77836A4C"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0,23</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2B6C71ED" w14:textId="01E55D01"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0,61</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A5B6218" w14:textId="09DEA58A"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0,56</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vAlign w:val="bottom"/>
            <w:hideMark/>
          </w:tcPr>
          <w:p w14:paraId="1ECF1A1F" w14:textId="2323152D"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0,16</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0A29E437" w14:textId="7F9591B6"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0.13</w:t>
            </w:r>
            <w:r>
              <w:rPr>
                <w:rFonts w:ascii="Calibri" w:eastAsia="Times New Roman" w:hAnsi="Calibri" w:cs="Times New Roman"/>
                <w:color w:val="000000"/>
                <w:sz w:val="20"/>
                <w:szCs w:val="20"/>
                <w:lang w:eastAsia="nl-NL"/>
              </w:rPr>
              <w:t>)</w:t>
            </w:r>
          </w:p>
        </w:tc>
      </w:tr>
      <w:tr w:rsidR="005B5507" w:rsidRPr="005B5507" w14:paraId="2160DD6E"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14D9E719"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logConsumption</w:t>
            </w:r>
          </w:p>
        </w:tc>
        <w:tc>
          <w:tcPr>
            <w:tcW w:w="960" w:type="dxa"/>
            <w:tcBorders>
              <w:top w:val="nil"/>
              <w:left w:val="nil"/>
              <w:bottom w:val="nil"/>
              <w:right w:val="nil"/>
            </w:tcBorders>
            <w:shd w:val="clear" w:color="auto" w:fill="auto"/>
            <w:noWrap/>
            <w:vAlign w:val="bottom"/>
            <w:hideMark/>
          </w:tcPr>
          <w:p w14:paraId="06835E3C" w14:textId="2F88B2AD"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10,30</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8C2E774" w14:textId="5E18971D"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13,49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68364E2A" w14:textId="42B5A042"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8,20</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0661995F" w14:textId="2CC9AEFC"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8,97</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69458B81" w14:textId="3313A512"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15,75</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2C05C455" w14:textId="71236DCF"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23,06</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vAlign w:val="bottom"/>
            <w:hideMark/>
          </w:tcPr>
          <w:p w14:paraId="7449BD01" w14:textId="50F0F4DF"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-4,8</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4BE4BE2F"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-4.47**</w:t>
            </w:r>
          </w:p>
        </w:tc>
      </w:tr>
      <w:tr w:rsidR="005B5507" w:rsidRPr="005B5507" w14:paraId="0C3C47FD"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1C1B7BF6"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 </w:t>
            </w:r>
          </w:p>
        </w:tc>
        <w:tc>
          <w:tcPr>
            <w:tcW w:w="960" w:type="dxa"/>
            <w:tcBorders>
              <w:top w:val="nil"/>
              <w:left w:val="nil"/>
              <w:bottom w:val="nil"/>
              <w:right w:val="nil"/>
            </w:tcBorders>
            <w:shd w:val="clear" w:color="auto" w:fill="auto"/>
            <w:noWrap/>
            <w:vAlign w:val="bottom"/>
            <w:hideMark/>
          </w:tcPr>
          <w:p w14:paraId="656F4C47" w14:textId="3C15D1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0,31</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9CE3DAB" w14:textId="3A8ED0DC"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0,03</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7820CF51" w14:textId="5ECBC6F0"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3,59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DBE3C8E" w14:textId="54835B23"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3,09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2625DD3E" w14:textId="5A3D2844"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8,19</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noWrap/>
            <w:vAlign w:val="bottom"/>
            <w:hideMark/>
          </w:tcPr>
          <w:p w14:paraId="15A55C35" w14:textId="385D3B1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7,53</w:t>
            </w:r>
            <w:r>
              <w:rPr>
                <w:rFonts w:ascii="Calibri" w:eastAsia="Times New Roman" w:hAnsi="Calibri" w:cs="Times New Roman"/>
                <w:color w:val="000000"/>
                <w:sz w:val="20"/>
                <w:szCs w:val="20"/>
                <w:lang w:eastAsia="nl-NL"/>
              </w:rPr>
              <w:t>)</w:t>
            </w:r>
          </w:p>
        </w:tc>
        <w:tc>
          <w:tcPr>
            <w:tcW w:w="960" w:type="dxa"/>
            <w:tcBorders>
              <w:top w:val="nil"/>
              <w:left w:val="nil"/>
              <w:bottom w:val="nil"/>
              <w:right w:val="nil"/>
            </w:tcBorders>
            <w:shd w:val="clear" w:color="auto" w:fill="auto"/>
            <w:vAlign w:val="bottom"/>
            <w:hideMark/>
          </w:tcPr>
          <w:p w14:paraId="03CF1814" w14:textId="730DA13C"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2,19</w:t>
            </w:r>
            <w:r>
              <w:rPr>
                <w:rFonts w:ascii="Calibri" w:eastAsia="Times New Roman" w:hAnsi="Calibri" w:cs="Times New Roman"/>
                <w:color w:val="000000"/>
                <w:sz w:val="20"/>
                <w:szCs w:val="20"/>
                <w:lang w:eastAsia="nl-NL"/>
              </w:rPr>
              <w:t>)</w:t>
            </w:r>
          </w:p>
        </w:tc>
        <w:tc>
          <w:tcPr>
            <w:tcW w:w="960" w:type="dxa"/>
            <w:tcBorders>
              <w:top w:val="nil"/>
              <w:left w:val="nil"/>
              <w:bottom w:val="nil"/>
              <w:right w:val="single" w:sz="4" w:space="0" w:color="auto"/>
            </w:tcBorders>
            <w:shd w:val="clear" w:color="auto" w:fill="auto"/>
            <w:noWrap/>
            <w:vAlign w:val="bottom"/>
            <w:hideMark/>
          </w:tcPr>
          <w:p w14:paraId="3ADB5AEF" w14:textId="37CA9DB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t>
            </w:r>
            <w:r w:rsidRPr="005B5507">
              <w:rPr>
                <w:rFonts w:ascii="Calibri" w:eastAsia="Times New Roman" w:hAnsi="Calibri" w:cs="Times New Roman"/>
                <w:color w:val="000000"/>
                <w:sz w:val="20"/>
                <w:szCs w:val="20"/>
                <w:lang w:eastAsia="nl-NL"/>
              </w:rPr>
              <w:t>1.70</w:t>
            </w:r>
            <w:r>
              <w:rPr>
                <w:rFonts w:ascii="Calibri" w:eastAsia="Times New Roman" w:hAnsi="Calibri" w:cs="Times New Roman"/>
                <w:color w:val="000000"/>
                <w:sz w:val="20"/>
                <w:szCs w:val="20"/>
                <w:lang w:eastAsia="nl-NL"/>
              </w:rPr>
              <w:t>)</w:t>
            </w:r>
          </w:p>
        </w:tc>
      </w:tr>
      <w:tr w:rsidR="005B5507" w:rsidRPr="005B5507" w14:paraId="3FFE61CB" w14:textId="77777777" w:rsidTr="005B5507">
        <w:trPr>
          <w:trHeight w:val="300"/>
        </w:trPr>
        <w:tc>
          <w:tcPr>
            <w:tcW w:w="1660" w:type="dxa"/>
            <w:tcBorders>
              <w:top w:val="nil"/>
              <w:left w:val="single" w:sz="4" w:space="0" w:color="auto"/>
              <w:bottom w:val="nil"/>
              <w:right w:val="nil"/>
            </w:tcBorders>
            <w:shd w:val="clear" w:color="auto" w:fill="auto"/>
            <w:noWrap/>
            <w:vAlign w:val="bottom"/>
            <w:hideMark/>
          </w:tcPr>
          <w:p w14:paraId="7FA25B1F"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(McFadden) Rsq</w:t>
            </w:r>
          </w:p>
        </w:tc>
        <w:tc>
          <w:tcPr>
            <w:tcW w:w="960" w:type="dxa"/>
            <w:tcBorders>
              <w:top w:val="nil"/>
              <w:left w:val="nil"/>
              <w:bottom w:val="nil"/>
              <w:right w:val="nil"/>
            </w:tcBorders>
            <w:shd w:val="clear" w:color="auto" w:fill="auto"/>
            <w:noWrap/>
            <w:vAlign w:val="bottom"/>
            <w:hideMark/>
          </w:tcPr>
          <w:p w14:paraId="128EA688"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0,25</w:t>
            </w:r>
          </w:p>
        </w:tc>
        <w:tc>
          <w:tcPr>
            <w:tcW w:w="960" w:type="dxa"/>
            <w:tcBorders>
              <w:top w:val="nil"/>
              <w:left w:val="nil"/>
              <w:bottom w:val="nil"/>
              <w:right w:val="nil"/>
            </w:tcBorders>
            <w:shd w:val="clear" w:color="auto" w:fill="auto"/>
            <w:noWrap/>
            <w:vAlign w:val="bottom"/>
            <w:hideMark/>
          </w:tcPr>
          <w:p w14:paraId="05976309"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0,34</w:t>
            </w:r>
          </w:p>
        </w:tc>
        <w:tc>
          <w:tcPr>
            <w:tcW w:w="960" w:type="dxa"/>
            <w:tcBorders>
              <w:top w:val="nil"/>
              <w:left w:val="nil"/>
              <w:bottom w:val="nil"/>
              <w:right w:val="nil"/>
            </w:tcBorders>
            <w:shd w:val="clear" w:color="auto" w:fill="auto"/>
            <w:noWrap/>
            <w:vAlign w:val="bottom"/>
            <w:hideMark/>
          </w:tcPr>
          <w:p w14:paraId="1BBF0984"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0,81</w:t>
            </w:r>
          </w:p>
        </w:tc>
        <w:tc>
          <w:tcPr>
            <w:tcW w:w="960" w:type="dxa"/>
            <w:tcBorders>
              <w:top w:val="nil"/>
              <w:left w:val="nil"/>
              <w:bottom w:val="nil"/>
              <w:right w:val="nil"/>
            </w:tcBorders>
            <w:shd w:val="clear" w:color="auto" w:fill="auto"/>
            <w:noWrap/>
            <w:vAlign w:val="bottom"/>
            <w:hideMark/>
          </w:tcPr>
          <w:p w14:paraId="0ADCDE1B"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0,86</w:t>
            </w:r>
          </w:p>
        </w:tc>
        <w:tc>
          <w:tcPr>
            <w:tcW w:w="960" w:type="dxa"/>
            <w:tcBorders>
              <w:top w:val="nil"/>
              <w:left w:val="nil"/>
              <w:bottom w:val="nil"/>
              <w:right w:val="nil"/>
            </w:tcBorders>
            <w:shd w:val="clear" w:color="auto" w:fill="auto"/>
            <w:noWrap/>
            <w:vAlign w:val="bottom"/>
            <w:hideMark/>
          </w:tcPr>
          <w:p w14:paraId="56415A6B"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0,15</w:t>
            </w:r>
          </w:p>
        </w:tc>
        <w:tc>
          <w:tcPr>
            <w:tcW w:w="960" w:type="dxa"/>
            <w:tcBorders>
              <w:top w:val="nil"/>
              <w:left w:val="nil"/>
              <w:bottom w:val="nil"/>
              <w:right w:val="nil"/>
            </w:tcBorders>
            <w:shd w:val="clear" w:color="auto" w:fill="auto"/>
            <w:noWrap/>
            <w:vAlign w:val="bottom"/>
            <w:hideMark/>
          </w:tcPr>
          <w:p w14:paraId="2436A5F2"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0,33</w:t>
            </w:r>
          </w:p>
        </w:tc>
        <w:tc>
          <w:tcPr>
            <w:tcW w:w="960" w:type="dxa"/>
            <w:tcBorders>
              <w:top w:val="nil"/>
              <w:left w:val="nil"/>
              <w:bottom w:val="nil"/>
              <w:right w:val="nil"/>
            </w:tcBorders>
            <w:shd w:val="clear" w:color="auto" w:fill="auto"/>
            <w:vAlign w:val="bottom"/>
            <w:hideMark/>
          </w:tcPr>
          <w:p w14:paraId="5F88FE0B"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0,92</w:t>
            </w:r>
          </w:p>
        </w:tc>
        <w:tc>
          <w:tcPr>
            <w:tcW w:w="960" w:type="dxa"/>
            <w:tcBorders>
              <w:top w:val="nil"/>
              <w:left w:val="nil"/>
              <w:bottom w:val="nil"/>
              <w:right w:val="single" w:sz="4" w:space="0" w:color="auto"/>
            </w:tcBorders>
            <w:shd w:val="clear" w:color="auto" w:fill="auto"/>
            <w:noWrap/>
            <w:vAlign w:val="bottom"/>
            <w:hideMark/>
          </w:tcPr>
          <w:p w14:paraId="2586D0A0"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0.95</w:t>
            </w:r>
          </w:p>
        </w:tc>
      </w:tr>
      <w:tr w:rsidR="005B5507" w:rsidRPr="005B5507" w14:paraId="0EC7A623" w14:textId="77777777" w:rsidTr="005B5507">
        <w:trPr>
          <w:trHeight w:val="300"/>
        </w:trPr>
        <w:tc>
          <w:tcPr>
            <w:tcW w:w="1660" w:type="dxa"/>
            <w:tcBorders>
              <w:top w:val="nil"/>
              <w:left w:val="single" w:sz="4" w:space="0" w:color="auto"/>
              <w:bottom w:val="single" w:sz="4" w:space="0" w:color="auto"/>
              <w:right w:val="nil"/>
            </w:tcBorders>
            <w:shd w:val="clear" w:color="auto" w:fill="auto"/>
            <w:noWrap/>
            <w:vAlign w:val="bottom"/>
            <w:hideMark/>
          </w:tcPr>
          <w:p w14:paraId="1CFA7028"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Adj Rsq</w:t>
            </w:r>
          </w:p>
        </w:tc>
        <w:tc>
          <w:tcPr>
            <w:tcW w:w="960" w:type="dxa"/>
            <w:tcBorders>
              <w:top w:val="nil"/>
              <w:left w:val="nil"/>
              <w:bottom w:val="single" w:sz="4" w:space="0" w:color="auto"/>
              <w:right w:val="nil"/>
            </w:tcBorders>
            <w:shd w:val="clear" w:color="auto" w:fill="auto"/>
            <w:noWrap/>
            <w:vAlign w:val="bottom"/>
            <w:hideMark/>
          </w:tcPr>
          <w:p w14:paraId="4EAD65FA"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0,24</w:t>
            </w:r>
          </w:p>
        </w:tc>
        <w:tc>
          <w:tcPr>
            <w:tcW w:w="960" w:type="dxa"/>
            <w:tcBorders>
              <w:top w:val="nil"/>
              <w:left w:val="nil"/>
              <w:bottom w:val="single" w:sz="4" w:space="0" w:color="auto"/>
              <w:right w:val="nil"/>
            </w:tcBorders>
            <w:shd w:val="clear" w:color="auto" w:fill="auto"/>
            <w:noWrap/>
            <w:vAlign w:val="bottom"/>
            <w:hideMark/>
          </w:tcPr>
          <w:p w14:paraId="6D2E118B"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0,34</w:t>
            </w:r>
          </w:p>
        </w:tc>
        <w:tc>
          <w:tcPr>
            <w:tcW w:w="960" w:type="dxa"/>
            <w:tcBorders>
              <w:top w:val="nil"/>
              <w:left w:val="nil"/>
              <w:bottom w:val="single" w:sz="4" w:space="0" w:color="auto"/>
              <w:right w:val="nil"/>
            </w:tcBorders>
            <w:shd w:val="clear" w:color="auto" w:fill="auto"/>
            <w:noWrap/>
            <w:vAlign w:val="bottom"/>
            <w:hideMark/>
          </w:tcPr>
          <w:p w14:paraId="1B63E6A7"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0,79</w:t>
            </w:r>
          </w:p>
        </w:tc>
        <w:tc>
          <w:tcPr>
            <w:tcW w:w="960" w:type="dxa"/>
            <w:tcBorders>
              <w:top w:val="nil"/>
              <w:left w:val="nil"/>
              <w:bottom w:val="single" w:sz="4" w:space="0" w:color="auto"/>
              <w:right w:val="nil"/>
            </w:tcBorders>
            <w:shd w:val="clear" w:color="auto" w:fill="auto"/>
            <w:noWrap/>
            <w:vAlign w:val="bottom"/>
            <w:hideMark/>
          </w:tcPr>
          <w:p w14:paraId="62945089"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0,85</w:t>
            </w:r>
          </w:p>
        </w:tc>
        <w:tc>
          <w:tcPr>
            <w:tcW w:w="960" w:type="dxa"/>
            <w:tcBorders>
              <w:top w:val="nil"/>
              <w:left w:val="nil"/>
              <w:bottom w:val="single" w:sz="4" w:space="0" w:color="auto"/>
              <w:right w:val="nil"/>
            </w:tcBorders>
            <w:shd w:val="clear" w:color="auto" w:fill="auto"/>
            <w:noWrap/>
            <w:vAlign w:val="bottom"/>
            <w:hideMark/>
          </w:tcPr>
          <w:p w14:paraId="6EE276A0"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0,07</w:t>
            </w:r>
          </w:p>
        </w:tc>
        <w:tc>
          <w:tcPr>
            <w:tcW w:w="960" w:type="dxa"/>
            <w:tcBorders>
              <w:top w:val="nil"/>
              <w:left w:val="nil"/>
              <w:bottom w:val="single" w:sz="4" w:space="0" w:color="auto"/>
              <w:right w:val="nil"/>
            </w:tcBorders>
            <w:shd w:val="clear" w:color="auto" w:fill="auto"/>
            <w:noWrap/>
            <w:vAlign w:val="bottom"/>
            <w:hideMark/>
          </w:tcPr>
          <w:p w14:paraId="00EDD6AF"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0,27</w:t>
            </w:r>
          </w:p>
        </w:tc>
        <w:tc>
          <w:tcPr>
            <w:tcW w:w="960" w:type="dxa"/>
            <w:tcBorders>
              <w:top w:val="nil"/>
              <w:left w:val="nil"/>
              <w:bottom w:val="single" w:sz="4" w:space="0" w:color="auto"/>
              <w:right w:val="nil"/>
            </w:tcBorders>
            <w:shd w:val="clear" w:color="auto" w:fill="auto"/>
            <w:vAlign w:val="bottom"/>
            <w:hideMark/>
          </w:tcPr>
          <w:p w14:paraId="3F51A31C"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0,92</w:t>
            </w:r>
          </w:p>
        </w:tc>
        <w:tc>
          <w:tcPr>
            <w:tcW w:w="960" w:type="dxa"/>
            <w:tcBorders>
              <w:top w:val="nil"/>
              <w:left w:val="nil"/>
              <w:bottom w:val="single" w:sz="4" w:space="0" w:color="auto"/>
              <w:right w:val="single" w:sz="4" w:space="0" w:color="auto"/>
            </w:tcBorders>
            <w:shd w:val="clear" w:color="auto" w:fill="auto"/>
            <w:noWrap/>
            <w:vAlign w:val="bottom"/>
            <w:hideMark/>
          </w:tcPr>
          <w:p w14:paraId="39EB311B"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0.95</w:t>
            </w:r>
          </w:p>
        </w:tc>
      </w:tr>
      <w:tr w:rsidR="005B5507" w:rsidRPr="005B5507" w14:paraId="2044D30E" w14:textId="77777777" w:rsidTr="005B5507">
        <w:trPr>
          <w:trHeight w:val="300"/>
        </w:trPr>
        <w:tc>
          <w:tcPr>
            <w:tcW w:w="1660" w:type="dxa"/>
            <w:tcBorders>
              <w:top w:val="nil"/>
              <w:left w:val="single" w:sz="4" w:space="0" w:color="auto"/>
              <w:bottom w:val="single" w:sz="4" w:space="0" w:color="auto"/>
              <w:right w:val="nil"/>
            </w:tcBorders>
            <w:shd w:val="clear" w:color="auto" w:fill="auto"/>
            <w:noWrap/>
            <w:vAlign w:val="bottom"/>
            <w:hideMark/>
          </w:tcPr>
          <w:p w14:paraId="1C3D5194" w14:textId="77777777" w:rsidR="005B5507" w:rsidRPr="005B5507" w:rsidRDefault="005B5507" w:rsidP="005B5507">
            <w:pPr>
              <w:spacing w:after="0" w:line="240" w:lineRule="auto"/>
              <w:jc w:val="lef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Obs.</w:t>
            </w:r>
          </w:p>
        </w:tc>
        <w:tc>
          <w:tcPr>
            <w:tcW w:w="960" w:type="dxa"/>
            <w:tcBorders>
              <w:top w:val="nil"/>
              <w:left w:val="nil"/>
              <w:bottom w:val="single" w:sz="4" w:space="0" w:color="auto"/>
              <w:right w:val="nil"/>
            </w:tcBorders>
            <w:shd w:val="clear" w:color="auto" w:fill="auto"/>
            <w:noWrap/>
            <w:vAlign w:val="bottom"/>
            <w:hideMark/>
          </w:tcPr>
          <w:p w14:paraId="776F4B77"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24</w:t>
            </w:r>
          </w:p>
        </w:tc>
        <w:tc>
          <w:tcPr>
            <w:tcW w:w="960" w:type="dxa"/>
            <w:tcBorders>
              <w:top w:val="nil"/>
              <w:left w:val="nil"/>
              <w:bottom w:val="single" w:sz="4" w:space="0" w:color="auto"/>
              <w:right w:val="nil"/>
            </w:tcBorders>
            <w:shd w:val="clear" w:color="auto" w:fill="auto"/>
            <w:noWrap/>
            <w:vAlign w:val="bottom"/>
            <w:hideMark/>
          </w:tcPr>
          <w:p w14:paraId="03AF16FC"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23</w:t>
            </w:r>
          </w:p>
        </w:tc>
        <w:tc>
          <w:tcPr>
            <w:tcW w:w="960" w:type="dxa"/>
            <w:tcBorders>
              <w:top w:val="nil"/>
              <w:left w:val="nil"/>
              <w:bottom w:val="single" w:sz="4" w:space="0" w:color="auto"/>
              <w:right w:val="nil"/>
            </w:tcBorders>
            <w:shd w:val="clear" w:color="auto" w:fill="auto"/>
            <w:noWrap/>
            <w:vAlign w:val="bottom"/>
            <w:hideMark/>
          </w:tcPr>
          <w:p w14:paraId="6F1173AC"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24</w:t>
            </w:r>
          </w:p>
        </w:tc>
        <w:tc>
          <w:tcPr>
            <w:tcW w:w="960" w:type="dxa"/>
            <w:tcBorders>
              <w:top w:val="nil"/>
              <w:left w:val="nil"/>
              <w:bottom w:val="single" w:sz="4" w:space="0" w:color="auto"/>
              <w:right w:val="nil"/>
            </w:tcBorders>
            <w:shd w:val="clear" w:color="auto" w:fill="auto"/>
            <w:noWrap/>
            <w:vAlign w:val="bottom"/>
            <w:hideMark/>
          </w:tcPr>
          <w:p w14:paraId="0B8F7B2F"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23</w:t>
            </w:r>
          </w:p>
        </w:tc>
        <w:tc>
          <w:tcPr>
            <w:tcW w:w="960" w:type="dxa"/>
            <w:tcBorders>
              <w:top w:val="nil"/>
              <w:left w:val="nil"/>
              <w:bottom w:val="single" w:sz="4" w:space="0" w:color="auto"/>
              <w:right w:val="nil"/>
            </w:tcBorders>
            <w:shd w:val="clear" w:color="auto" w:fill="auto"/>
            <w:noWrap/>
            <w:vAlign w:val="bottom"/>
            <w:hideMark/>
          </w:tcPr>
          <w:p w14:paraId="1A756A8E"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24</w:t>
            </w:r>
          </w:p>
        </w:tc>
        <w:tc>
          <w:tcPr>
            <w:tcW w:w="960" w:type="dxa"/>
            <w:tcBorders>
              <w:top w:val="nil"/>
              <w:left w:val="nil"/>
              <w:bottom w:val="single" w:sz="4" w:space="0" w:color="auto"/>
              <w:right w:val="nil"/>
            </w:tcBorders>
            <w:shd w:val="clear" w:color="auto" w:fill="auto"/>
            <w:noWrap/>
            <w:vAlign w:val="bottom"/>
            <w:hideMark/>
          </w:tcPr>
          <w:p w14:paraId="25859112"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23</w:t>
            </w:r>
          </w:p>
        </w:tc>
        <w:tc>
          <w:tcPr>
            <w:tcW w:w="960" w:type="dxa"/>
            <w:tcBorders>
              <w:top w:val="nil"/>
              <w:left w:val="nil"/>
              <w:bottom w:val="single" w:sz="4" w:space="0" w:color="auto"/>
              <w:right w:val="nil"/>
            </w:tcBorders>
            <w:shd w:val="clear" w:color="auto" w:fill="auto"/>
            <w:noWrap/>
            <w:vAlign w:val="bottom"/>
            <w:hideMark/>
          </w:tcPr>
          <w:p w14:paraId="101B1DF5" w14:textId="77777777" w:rsidR="005B5507" w:rsidRPr="005B5507" w:rsidRDefault="005B5507" w:rsidP="005B5507">
            <w:pPr>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24</w:t>
            </w:r>
          </w:p>
        </w:tc>
        <w:tc>
          <w:tcPr>
            <w:tcW w:w="960" w:type="dxa"/>
            <w:tcBorders>
              <w:top w:val="nil"/>
              <w:left w:val="nil"/>
              <w:bottom w:val="single" w:sz="4" w:space="0" w:color="auto"/>
              <w:right w:val="single" w:sz="4" w:space="0" w:color="auto"/>
            </w:tcBorders>
            <w:shd w:val="clear" w:color="auto" w:fill="auto"/>
            <w:noWrap/>
            <w:vAlign w:val="bottom"/>
            <w:hideMark/>
          </w:tcPr>
          <w:p w14:paraId="7B58FF3D" w14:textId="77777777" w:rsidR="005B5507" w:rsidRPr="005B5507" w:rsidRDefault="005B5507" w:rsidP="005B5507">
            <w:pPr>
              <w:keepNext/>
              <w:spacing w:after="0" w:line="240" w:lineRule="auto"/>
              <w:jc w:val="right"/>
              <w:rPr>
                <w:rFonts w:ascii="Calibri" w:eastAsia="Times New Roman" w:hAnsi="Calibri" w:cs="Times New Roman"/>
                <w:color w:val="000000"/>
                <w:sz w:val="20"/>
                <w:szCs w:val="20"/>
                <w:lang w:eastAsia="nl-NL"/>
              </w:rPr>
            </w:pPr>
            <w:r w:rsidRPr="005B5507">
              <w:rPr>
                <w:rFonts w:ascii="Calibri" w:eastAsia="Times New Roman" w:hAnsi="Calibri" w:cs="Times New Roman"/>
                <w:color w:val="000000"/>
                <w:sz w:val="20"/>
                <w:szCs w:val="20"/>
                <w:lang w:eastAsia="nl-NL"/>
              </w:rPr>
              <w:t>23</w:t>
            </w:r>
          </w:p>
        </w:tc>
      </w:tr>
    </w:tbl>
    <w:p w14:paraId="7552F5AB" w14:textId="5AED8A05" w:rsidR="005B5507" w:rsidRPr="00742E5C" w:rsidRDefault="005B5507" w:rsidP="005B5507">
      <w:pPr>
        <w:pStyle w:val="Caption"/>
        <w:rPr>
          <w:rFonts w:eastAsiaTheme="minorEastAsia"/>
          <w:lang w:val="en-US"/>
        </w:rPr>
      </w:pPr>
      <w:r w:rsidRPr="00742E5C">
        <w:rPr>
          <w:lang w:val="en-US"/>
        </w:rPr>
        <w:t xml:space="preserve">Table </w:t>
      </w:r>
      <w:r>
        <w:rPr>
          <w:lang w:val="en-US"/>
        </w:rPr>
        <w:t>5</w:t>
      </w:r>
      <w:r w:rsidRPr="00742E5C">
        <w:rPr>
          <w:lang w:val="en-US"/>
        </w:rPr>
        <w:t>: Summary</w:t>
      </w:r>
      <w:r>
        <w:rPr>
          <w:lang w:val="en-US"/>
        </w:rPr>
        <w:t xml:space="preserve"> of the estimates for model 9-14.</w:t>
      </w:r>
      <w:r w:rsidRPr="00AB2B0F">
        <w:rPr>
          <w:lang w:val="en-US"/>
        </w:rPr>
        <w:t>Significance levels: *10% **5% ***1%. Standard errors in parenthesis</w:t>
      </w:r>
    </w:p>
    <w:tbl>
      <w:tblPr>
        <w:tblW w:w="8580" w:type="dxa"/>
        <w:tblInd w:w="55" w:type="dxa"/>
        <w:tblCellMar>
          <w:left w:w="70" w:type="dxa"/>
          <w:right w:w="70" w:type="dxa"/>
        </w:tblCellMar>
        <w:tblLook w:val="04A0" w:firstRow="1" w:lastRow="0" w:firstColumn="1" w:lastColumn="0" w:noHBand="0" w:noVBand="1"/>
      </w:tblPr>
      <w:tblGrid>
        <w:gridCol w:w="1820"/>
        <w:gridCol w:w="970"/>
        <w:gridCol w:w="960"/>
        <w:gridCol w:w="960"/>
        <w:gridCol w:w="970"/>
        <w:gridCol w:w="960"/>
        <w:gridCol w:w="970"/>
        <w:gridCol w:w="970"/>
      </w:tblGrid>
      <w:tr w:rsidR="00475D13" w:rsidRPr="00F04B92" w14:paraId="3BD4FE2C" w14:textId="77777777" w:rsidTr="00475D13">
        <w:trPr>
          <w:trHeight w:val="300"/>
        </w:trPr>
        <w:tc>
          <w:tcPr>
            <w:tcW w:w="1820" w:type="dxa"/>
            <w:tcBorders>
              <w:top w:val="nil"/>
              <w:left w:val="nil"/>
              <w:bottom w:val="nil"/>
              <w:right w:val="nil"/>
            </w:tcBorders>
            <w:shd w:val="clear" w:color="auto" w:fill="auto"/>
            <w:noWrap/>
            <w:vAlign w:val="bottom"/>
            <w:hideMark/>
          </w:tcPr>
          <w:p w14:paraId="7C49E0D0" w14:textId="77777777" w:rsidR="00475D13" w:rsidRPr="00F04B92" w:rsidRDefault="00475D13" w:rsidP="005B5507">
            <w:pPr>
              <w:spacing w:line="276" w:lineRule="auto"/>
              <w:jc w:val="left"/>
              <w:rPr>
                <w:rFonts w:ascii="Calibri" w:eastAsia="Times New Roman" w:hAnsi="Calibri" w:cs="Times New Roman"/>
                <w:color w:val="000000"/>
                <w:lang w:eastAsia="nl-NL"/>
              </w:rPr>
            </w:pPr>
          </w:p>
        </w:tc>
        <w:tc>
          <w:tcPr>
            <w:tcW w:w="970" w:type="dxa"/>
            <w:tcBorders>
              <w:top w:val="nil"/>
              <w:left w:val="nil"/>
              <w:bottom w:val="nil"/>
              <w:right w:val="nil"/>
            </w:tcBorders>
            <w:shd w:val="clear" w:color="auto" w:fill="auto"/>
            <w:noWrap/>
            <w:vAlign w:val="bottom"/>
            <w:hideMark/>
          </w:tcPr>
          <w:p w14:paraId="39427E94"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14:paraId="46FEC6B6"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14:paraId="371A10E1"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70" w:type="dxa"/>
            <w:tcBorders>
              <w:top w:val="nil"/>
              <w:left w:val="nil"/>
              <w:bottom w:val="nil"/>
              <w:right w:val="nil"/>
            </w:tcBorders>
            <w:shd w:val="clear" w:color="auto" w:fill="auto"/>
            <w:noWrap/>
            <w:vAlign w:val="bottom"/>
            <w:hideMark/>
          </w:tcPr>
          <w:p w14:paraId="7E065CA1"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14:paraId="551C84F9"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70" w:type="dxa"/>
            <w:tcBorders>
              <w:top w:val="nil"/>
              <w:left w:val="nil"/>
              <w:bottom w:val="nil"/>
              <w:right w:val="nil"/>
            </w:tcBorders>
            <w:shd w:val="clear" w:color="auto" w:fill="auto"/>
            <w:noWrap/>
            <w:vAlign w:val="bottom"/>
            <w:hideMark/>
          </w:tcPr>
          <w:p w14:paraId="4226214B" w14:textId="77777777" w:rsidR="00475D13" w:rsidRPr="00F04B92" w:rsidRDefault="00475D13" w:rsidP="00F04B92">
            <w:pPr>
              <w:spacing w:after="0" w:line="240" w:lineRule="auto"/>
              <w:rPr>
                <w:rFonts w:ascii="Calibri" w:eastAsia="Times New Roman" w:hAnsi="Calibri" w:cs="Times New Roman"/>
                <w:color w:val="000000"/>
                <w:lang w:eastAsia="nl-NL"/>
              </w:rPr>
            </w:pPr>
          </w:p>
        </w:tc>
        <w:tc>
          <w:tcPr>
            <w:tcW w:w="970" w:type="dxa"/>
            <w:tcBorders>
              <w:top w:val="nil"/>
              <w:left w:val="nil"/>
              <w:bottom w:val="nil"/>
              <w:right w:val="nil"/>
            </w:tcBorders>
          </w:tcPr>
          <w:p w14:paraId="4BD8161C" w14:textId="77777777" w:rsidR="00475D13" w:rsidRPr="00F04B92" w:rsidRDefault="00475D13" w:rsidP="00F04B92">
            <w:pPr>
              <w:spacing w:after="0" w:line="240" w:lineRule="auto"/>
              <w:rPr>
                <w:rFonts w:ascii="Calibri" w:eastAsia="Times New Roman" w:hAnsi="Calibri" w:cs="Times New Roman"/>
                <w:color w:val="000000"/>
                <w:lang w:eastAsia="nl-NL"/>
              </w:rPr>
            </w:pPr>
          </w:p>
        </w:tc>
      </w:tr>
    </w:tbl>
    <w:p w14:paraId="7527BB31" w14:textId="6439D6DD" w:rsidR="005C3B6D" w:rsidRPr="0008743A" w:rsidRDefault="00344555" w:rsidP="0008743A">
      <w:pPr>
        <w:rPr>
          <w:lang w:val="en-US" w:eastAsia="nl-NL"/>
        </w:rPr>
      </w:pPr>
      <w:r>
        <w:rPr>
          <w:lang w:val="en-US" w:eastAsia="nl-NL"/>
        </w:rPr>
        <w:t>The estimates indicate a</w:t>
      </w:r>
      <w:r w:rsidR="00221BBB">
        <w:rPr>
          <w:lang w:val="en-US" w:eastAsia="nl-NL"/>
        </w:rPr>
        <w:t>n overall</w:t>
      </w:r>
      <w:r>
        <w:rPr>
          <w:lang w:val="en-US" w:eastAsia="nl-NL"/>
        </w:rPr>
        <w:t xml:space="preserve"> negative and significant association between the PMR index and the entry</w:t>
      </w:r>
      <w:r w:rsidR="000F740B">
        <w:rPr>
          <w:lang w:val="en-US" w:eastAsia="nl-NL"/>
        </w:rPr>
        <w:t xml:space="preserve"> and grants</w:t>
      </w:r>
      <w:r>
        <w:rPr>
          <w:lang w:val="en-US" w:eastAsia="nl-NL"/>
        </w:rPr>
        <w:t xml:space="preserve"> measures</w:t>
      </w:r>
      <w:r w:rsidR="00B505BC">
        <w:rPr>
          <w:lang w:val="en-US" w:eastAsia="nl-NL"/>
        </w:rPr>
        <w:t>, except model 5 and 6</w:t>
      </w:r>
      <w:r w:rsidR="00DA7DF0">
        <w:rPr>
          <w:lang w:val="en-US" w:eastAsia="nl-NL"/>
        </w:rPr>
        <w:t>, which indicate a positive association between the PMR index and the average number of business applications</w:t>
      </w:r>
      <w:r>
        <w:rPr>
          <w:lang w:val="en-US" w:eastAsia="nl-NL"/>
        </w:rPr>
        <w:t>. The values of the (adjusted) R-squared indicate that a high proportion of the variance in the entry</w:t>
      </w:r>
      <w:r w:rsidR="000F740B">
        <w:rPr>
          <w:lang w:val="en-US" w:eastAsia="nl-NL"/>
        </w:rPr>
        <w:t xml:space="preserve"> and grants</w:t>
      </w:r>
      <w:r>
        <w:rPr>
          <w:lang w:val="en-US" w:eastAsia="nl-NL"/>
        </w:rPr>
        <w:t xml:space="preserve"> measures can be explained with the models. Further, the estimates indicate a </w:t>
      </w:r>
      <w:r w:rsidR="000F740B">
        <w:rPr>
          <w:lang w:val="en-US" w:eastAsia="nl-NL"/>
        </w:rPr>
        <w:t>positive</w:t>
      </w:r>
      <w:r>
        <w:rPr>
          <w:lang w:val="en-US" w:eastAsia="nl-NL"/>
        </w:rPr>
        <w:t xml:space="preserve"> and significant association between the PMR index and </w:t>
      </w:r>
      <w:r w:rsidR="000F740B">
        <w:rPr>
          <w:lang w:val="en-US" w:eastAsia="nl-NL"/>
        </w:rPr>
        <w:t xml:space="preserve">patent citations. Here, the values of the (adjusted) R-squared indicate that a low proportion of the variance in the citation measures can be explained with the models. Generally, models with a one-year time lag report higher (adjusted) R-squared values. </w:t>
      </w:r>
    </w:p>
    <w:p w14:paraId="10454582" w14:textId="77777777" w:rsidR="00DA082F" w:rsidRPr="00DA082F" w:rsidRDefault="00DA082F" w:rsidP="00DA082F">
      <w:pPr>
        <w:rPr>
          <w:lang w:val="en-US"/>
        </w:rPr>
      </w:pPr>
      <w:r>
        <w:rPr>
          <w:lang w:val="en-US"/>
        </w:rPr>
        <w:t xml:space="preserve">When looking at the parameter estimates, it is important to notice that higher values of the PMR index are associated with a lower degree of market openness. </w:t>
      </w:r>
    </w:p>
    <w:p w14:paraId="4C8845B2" w14:textId="31986A71" w:rsidR="0008743A" w:rsidRPr="00893172" w:rsidRDefault="004223D2" w:rsidP="0008743A">
      <w:pPr>
        <w:rPr>
          <w:lang w:val="en-US"/>
        </w:rPr>
      </w:pPr>
      <w:r>
        <w:rPr>
          <w:lang w:val="en-US"/>
        </w:rPr>
        <w:lastRenderedPageBreak/>
        <w:t>The estimates of the two measures for the first hypothesis (total number of companies and average number of applications per company</w:t>
      </w:r>
      <w:r w:rsidR="00AC04EA">
        <w:rPr>
          <w:lang w:val="en-US"/>
        </w:rPr>
        <w:t>; model 1-</w:t>
      </w:r>
      <w:r w:rsidR="00B505BC">
        <w:rPr>
          <w:lang w:val="en-US"/>
        </w:rPr>
        <w:t>8</w:t>
      </w:r>
      <w:r>
        <w:rPr>
          <w:lang w:val="en-US"/>
        </w:rPr>
        <w:t>) have con</w:t>
      </w:r>
      <w:r w:rsidR="00EB6136">
        <w:rPr>
          <w:lang w:val="en-US"/>
        </w:rPr>
        <w:t>sistent</w:t>
      </w:r>
      <w:r>
        <w:rPr>
          <w:lang w:val="en-US"/>
        </w:rPr>
        <w:t xml:space="preserve"> implications for the first hypothesis. An increase in the total number of companies indicates an </w:t>
      </w:r>
      <w:r w:rsidRPr="004223D2">
        <w:rPr>
          <w:i/>
          <w:lang w:val="en-US"/>
        </w:rPr>
        <w:t>increase</w:t>
      </w:r>
      <w:r>
        <w:rPr>
          <w:lang w:val="en-US"/>
        </w:rPr>
        <w:t xml:space="preserve"> in entry, which would reject the null hypothesis of no effect. </w:t>
      </w:r>
      <w:r w:rsidR="00EB6136">
        <w:rPr>
          <w:lang w:val="en-US"/>
        </w:rPr>
        <w:t>At the same time,</w:t>
      </w:r>
      <w:r>
        <w:rPr>
          <w:lang w:val="en-US"/>
        </w:rPr>
        <w:t xml:space="preserve"> an increase in the average number of applications per company</w:t>
      </w:r>
      <w:r w:rsidR="00893172">
        <w:rPr>
          <w:lang w:val="en-US"/>
        </w:rPr>
        <w:t xml:space="preserve"> (model 3</w:t>
      </w:r>
      <w:r w:rsidR="00B505BC">
        <w:rPr>
          <w:lang w:val="en-US"/>
        </w:rPr>
        <w:t xml:space="preserve"> and </w:t>
      </w:r>
      <w:r w:rsidR="00893172">
        <w:rPr>
          <w:lang w:val="en-US"/>
        </w:rPr>
        <w:t>4</w:t>
      </w:r>
      <w:r w:rsidR="00EB6136">
        <w:rPr>
          <w:lang w:val="en-US"/>
        </w:rPr>
        <w:t>)</w:t>
      </w:r>
      <w:r>
        <w:rPr>
          <w:lang w:val="en-US"/>
        </w:rPr>
        <w:t xml:space="preserve"> indicates a relative </w:t>
      </w:r>
      <w:r w:rsidR="00893172">
        <w:rPr>
          <w:i/>
          <w:lang w:val="en-US"/>
        </w:rPr>
        <w:t>de</w:t>
      </w:r>
      <w:r w:rsidR="00EB6136" w:rsidRPr="00893172">
        <w:rPr>
          <w:i/>
          <w:lang w:val="en-US"/>
        </w:rPr>
        <w:t>crease</w:t>
      </w:r>
      <w:r>
        <w:rPr>
          <w:lang w:val="en-US"/>
        </w:rPr>
        <w:t xml:space="preserve"> in entry, which </w:t>
      </w:r>
      <w:r w:rsidR="00E72BC7">
        <w:rPr>
          <w:lang w:val="en-US"/>
        </w:rPr>
        <w:t>does</w:t>
      </w:r>
      <w:r>
        <w:rPr>
          <w:lang w:val="en-US"/>
        </w:rPr>
        <w:t xml:space="preserve"> as well reject the null hypothesis of no effect. </w:t>
      </w:r>
      <w:r w:rsidR="00893172">
        <w:rPr>
          <w:lang w:val="en-US"/>
        </w:rPr>
        <w:t xml:space="preserve">Adding the log of the total number of patent applications (model 5 and 6) switches the sign of the relationship, and makes the relationship between the PMR index and the average number of applications per company less significant. However, the results of model 5 indicate a relative </w:t>
      </w:r>
      <w:r w:rsidR="00893172">
        <w:rPr>
          <w:i/>
          <w:lang w:val="en-US"/>
        </w:rPr>
        <w:t>increase</w:t>
      </w:r>
      <w:r w:rsidR="00893172">
        <w:rPr>
          <w:lang w:val="en-US"/>
        </w:rPr>
        <w:t xml:space="preserve"> in entry, which makes the results consistent with model 1-8.</w:t>
      </w:r>
    </w:p>
    <w:p w14:paraId="22E6A3B8" w14:textId="1C8B4513" w:rsidR="004223D2" w:rsidRDefault="004223D2" w:rsidP="0008743A">
      <w:pPr>
        <w:rPr>
          <w:lang w:val="en-US"/>
        </w:rPr>
      </w:pPr>
      <w:r>
        <w:rPr>
          <w:lang w:val="en-US"/>
        </w:rPr>
        <w:t xml:space="preserve">The estimates of the four measures </w:t>
      </w:r>
      <w:r w:rsidR="00AC04EA">
        <w:rPr>
          <w:lang w:val="en-US"/>
        </w:rPr>
        <w:t>innovation quality</w:t>
      </w:r>
      <w:r>
        <w:rPr>
          <w:lang w:val="en-US"/>
        </w:rPr>
        <w:t xml:space="preserve"> (total number of granted patents, granted patents as percentage of total applications, total number of patent citations and average number of patent citations per application</w:t>
      </w:r>
      <w:r w:rsidR="00B505BC">
        <w:rPr>
          <w:lang w:val="en-US"/>
        </w:rPr>
        <w:t>; models 9-22</w:t>
      </w:r>
      <w:r>
        <w:rPr>
          <w:lang w:val="en-US"/>
        </w:rPr>
        <w:t xml:space="preserve">) have contradicting implications for the second hypothesis. </w:t>
      </w:r>
      <w:r w:rsidR="00DA082F">
        <w:rPr>
          <w:lang w:val="en-US"/>
        </w:rPr>
        <w:t xml:space="preserve">Estimates for patent grants indicate a </w:t>
      </w:r>
      <w:r w:rsidR="00DA7DF0">
        <w:rPr>
          <w:lang w:val="en-US"/>
        </w:rPr>
        <w:t>higher</w:t>
      </w:r>
      <w:r w:rsidR="00DA082F">
        <w:rPr>
          <w:lang w:val="en-US"/>
        </w:rPr>
        <w:t xml:space="preserve"> quality of innovative output when looking at the abso</w:t>
      </w:r>
      <w:r w:rsidR="00DA7DF0">
        <w:rPr>
          <w:lang w:val="en-US"/>
        </w:rPr>
        <w:t>lute number of grants, but a low</w:t>
      </w:r>
      <w:r w:rsidR="00DA082F">
        <w:rPr>
          <w:lang w:val="en-US"/>
        </w:rPr>
        <w:t xml:space="preserve">er quality of innovative output when looking at the granted patents as percentage of total applications. Estimates for patent citations consistently indicate a lower quality of innovative output. Therefore, hypothesis two (null hypothesis: no effect of liberalization on innovative quality, alternative hypothesis: decrease of innovative quality) can be rejected, indicating a negative association between electricity market liberalization and innovative quality. </w:t>
      </w:r>
      <w:r w:rsidR="00AC04EA">
        <w:rPr>
          <w:lang w:val="en-US"/>
        </w:rPr>
        <w:t xml:space="preserve">The estimate for the measure of innovation quantity (total number of patent applications; model 19) indicates a negative and significant association between the PMR index and innovative output. Therefore, the null hypothesis of no association between the PMR index and the quantity of innovative output can be rejected. </w:t>
      </w:r>
    </w:p>
    <w:p w14:paraId="05238C75" w14:textId="77777777" w:rsidR="006E1AB9" w:rsidRDefault="006E1AB9" w:rsidP="0008743A">
      <w:pPr>
        <w:rPr>
          <w:lang w:val="en-US"/>
        </w:rPr>
      </w:pPr>
    </w:p>
    <w:p w14:paraId="3FD02A56" w14:textId="77777777" w:rsidR="006E1AB9" w:rsidRDefault="006E1AB9" w:rsidP="0008743A">
      <w:pPr>
        <w:rPr>
          <w:lang w:val="en-US"/>
        </w:rPr>
      </w:pPr>
    </w:p>
    <w:p w14:paraId="5675466C" w14:textId="77777777" w:rsidR="00EE79FF" w:rsidRDefault="00312663" w:rsidP="00A033C8">
      <w:pPr>
        <w:pStyle w:val="Heading1"/>
        <w:rPr>
          <w:lang w:val="en-US"/>
        </w:rPr>
      </w:pPr>
      <w:bookmarkStart w:id="59" w:name="_Toc424733300"/>
      <w:bookmarkStart w:id="60" w:name="_Toc426898406"/>
      <w:bookmarkStart w:id="61" w:name="_Toc427657286"/>
      <w:r w:rsidRPr="005C3B6D">
        <w:rPr>
          <w:lang w:val="en-US"/>
        </w:rPr>
        <w:lastRenderedPageBreak/>
        <w:t xml:space="preserve">Chapter four: </w:t>
      </w:r>
      <w:r w:rsidR="00F122C1" w:rsidRPr="005C3B6D">
        <w:rPr>
          <w:lang w:val="en-US"/>
        </w:rPr>
        <w:t>Conclusion &amp; Discussion</w:t>
      </w:r>
      <w:bookmarkEnd w:id="59"/>
      <w:bookmarkEnd w:id="60"/>
      <w:bookmarkEnd w:id="61"/>
    </w:p>
    <w:p w14:paraId="6C1B8396" w14:textId="77777777" w:rsidR="007C50C3" w:rsidRPr="007C50C3" w:rsidRDefault="007C50C3" w:rsidP="007C50C3">
      <w:pPr>
        <w:rPr>
          <w:lang w:val="en-US" w:eastAsia="nl-NL"/>
        </w:rPr>
      </w:pPr>
      <w:r>
        <w:rPr>
          <w:lang w:val="en-US" w:eastAsia="nl-NL"/>
        </w:rPr>
        <w:t xml:space="preserve">This section first summarizes and interprets the major findings of this study. After that, a brief discussion of the limitations </w:t>
      </w:r>
      <w:r w:rsidR="00DA7DF0">
        <w:rPr>
          <w:lang w:val="en-US" w:eastAsia="nl-NL"/>
        </w:rPr>
        <w:t xml:space="preserve">of this study </w:t>
      </w:r>
      <w:r>
        <w:rPr>
          <w:lang w:val="en-US" w:eastAsia="nl-NL"/>
        </w:rPr>
        <w:t>and an answer to the research question will be pr</w:t>
      </w:r>
      <w:r w:rsidR="00072EE3">
        <w:rPr>
          <w:lang w:val="en-US" w:eastAsia="nl-NL"/>
        </w:rPr>
        <w:t>ovided.</w:t>
      </w:r>
    </w:p>
    <w:p w14:paraId="7693EFF9" w14:textId="77777777" w:rsidR="00A033C8" w:rsidRPr="005C3B6D" w:rsidRDefault="00A033C8" w:rsidP="00A033C8">
      <w:pPr>
        <w:pStyle w:val="Heading2"/>
        <w:rPr>
          <w:lang w:val="en-US" w:eastAsia="nl-NL"/>
        </w:rPr>
      </w:pPr>
      <w:bookmarkStart w:id="62" w:name="_Toc424733301"/>
      <w:bookmarkStart w:id="63" w:name="_Toc426898407"/>
      <w:bookmarkStart w:id="64" w:name="_Toc427657287"/>
      <w:r w:rsidRPr="005C3B6D">
        <w:rPr>
          <w:lang w:val="en-US" w:eastAsia="nl-NL"/>
        </w:rPr>
        <w:t>Summary</w:t>
      </w:r>
      <w:bookmarkEnd w:id="62"/>
      <w:r w:rsidR="004E4EF8">
        <w:rPr>
          <w:lang w:val="en-US" w:eastAsia="nl-NL"/>
        </w:rPr>
        <w:t xml:space="preserve"> and interpretation</w:t>
      </w:r>
      <w:bookmarkEnd w:id="63"/>
      <w:bookmarkEnd w:id="64"/>
    </w:p>
    <w:p w14:paraId="246A259C" w14:textId="48424696" w:rsidR="004E4EF8" w:rsidRDefault="004E4EF8" w:rsidP="0008743A">
      <w:pPr>
        <w:rPr>
          <w:lang w:val="en-US" w:eastAsia="nl-NL"/>
        </w:rPr>
      </w:pPr>
      <w:r>
        <w:rPr>
          <w:lang w:val="en-US" w:eastAsia="nl-NL"/>
        </w:rPr>
        <w:t xml:space="preserve">The major findings of this study are </w:t>
      </w:r>
      <w:r w:rsidR="002A6035">
        <w:rPr>
          <w:lang w:val="en-US" w:eastAsia="nl-NL"/>
        </w:rPr>
        <w:t>a positive association between electricity market liberalization and the quantity of innovative output in renewable electricity innovation; a negative association between electricity market liberalization and the quality of innovative output in renewable electricity innovation, and positive association between electricity market liberalization and entry in renewable electricity innovation</w:t>
      </w:r>
      <w:r>
        <w:rPr>
          <w:lang w:val="en-US" w:eastAsia="nl-NL"/>
        </w:rPr>
        <w:t xml:space="preserve">. For the latter, the total number of firms is positively association with electricity market liberalization. </w:t>
      </w:r>
      <w:r w:rsidR="00545F1A">
        <w:rPr>
          <w:lang w:val="en-US" w:eastAsia="nl-NL"/>
        </w:rPr>
        <w:t xml:space="preserve">Adding the (log of) total number of applications as independent variable does not change this result. </w:t>
      </w:r>
      <w:r w:rsidR="00636116">
        <w:rPr>
          <w:lang w:val="en-US" w:eastAsia="nl-NL"/>
        </w:rPr>
        <w:t>The</w:t>
      </w:r>
      <w:r>
        <w:rPr>
          <w:lang w:val="en-US" w:eastAsia="nl-NL"/>
        </w:rPr>
        <w:t xml:space="preserve"> average number of patent applications per firm is positively associated with electricity market liberalization as well, indicating a relative decrease in entry. </w:t>
      </w:r>
      <w:r w:rsidR="00636116">
        <w:rPr>
          <w:lang w:val="en-US" w:eastAsia="nl-NL"/>
        </w:rPr>
        <w:t>However, adding the (log of) total number of applications switches the sign of the association, which then indicates a relative increase in entry.</w:t>
      </w:r>
      <w:r w:rsidR="00030120">
        <w:rPr>
          <w:lang w:val="en-US" w:eastAsia="nl-NL"/>
        </w:rPr>
        <w:t xml:space="preserve"> In general, models with one year lagged independent variables explain more of the variance in dependent variable. This means that </w:t>
      </w:r>
      <w:r w:rsidR="00B24268">
        <w:rPr>
          <w:lang w:val="en-US" w:eastAsia="nl-NL"/>
        </w:rPr>
        <w:t xml:space="preserve">changes in the openness of the electricity market take some time to influence renewable electricity innovation. This is inherent to the use of patent data, because patent applications take 18 months from application to publication. </w:t>
      </w:r>
    </w:p>
    <w:p w14:paraId="25FCF62E" w14:textId="77777777" w:rsidR="00030120" w:rsidRDefault="00545F1A" w:rsidP="0008743A">
      <w:pPr>
        <w:rPr>
          <w:lang w:val="en-US" w:eastAsia="nl-NL"/>
        </w:rPr>
      </w:pPr>
      <w:r>
        <w:rPr>
          <w:lang w:val="en-US" w:eastAsia="nl-NL"/>
        </w:rPr>
        <w:t xml:space="preserve">The positive association between electricity market liberalization and </w:t>
      </w:r>
      <w:r w:rsidR="00636116">
        <w:rPr>
          <w:lang w:val="en-US" w:eastAsia="nl-NL"/>
        </w:rPr>
        <w:t>entry</w:t>
      </w:r>
      <w:r>
        <w:rPr>
          <w:lang w:val="en-US" w:eastAsia="nl-NL"/>
        </w:rPr>
        <w:t xml:space="preserve"> in the innovative process can be explained </w:t>
      </w:r>
      <w:r w:rsidR="00B16D4E">
        <w:rPr>
          <w:lang w:val="en-US" w:eastAsia="nl-NL"/>
        </w:rPr>
        <w:t>by the theory presented in hypothesis one</w:t>
      </w:r>
      <w:sdt>
        <w:sdtPr>
          <w:rPr>
            <w:lang w:val="en-US" w:eastAsia="nl-NL"/>
          </w:rPr>
          <w:id w:val="-1080517952"/>
          <w:citation/>
        </w:sdtPr>
        <w:sdtEndPr/>
        <w:sdtContent>
          <w:r w:rsidR="00B16D4E">
            <w:rPr>
              <w:lang w:val="en-US" w:eastAsia="nl-NL"/>
            </w:rPr>
            <w:fldChar w:fldCharType="begin"/>
          </w:r>
          <w:r w:rsidR="00B16D4E" w:rsidRPr="00B16D4E">
            <w:rPr>
              <w:lang w:val="en-US" w:eastAsia="nl-NL"/>
            </w:rPr>
            <w:instrText xml:space="preserve"> CITATION She97 \l 1043 </w:instrText>
          </w:r>
          <w:r w:rsidR="00B16D4E">
            <w:rPr>
              <w:lang w:val="en-US" w:eastAsia="nl-NL"/>
            </w:rPr>
            <w:fldChar w:fldCharType="separate"/>
          </w:r>
          <w:r w:rsidR="00B24268">
            <w:rPr>
              <w:noProof/>
              <w:lang w:val="en-US" w:eastAsia="nl-NL"/>
            </w:rPr>
            <w:t xml:space="preserve"> </w:t>
          </w:r>
          <w:r w:rsidR="00B24268" w:rsidRPr="00B24268">
            <w:rPr>
              <w:noProof/>
              <w:lang w:val="en-US" w:eastAsia="nl-NL"/>
            </w:rPr>
            <w:t>(Sheremata, 1997)</w:t>
          </w:r>
          <w:r w:rsidR="00B16D4E">
            <w:rPr>
              <w:lang w:val="en-US" w:eastAsia="nl-NL"/>
            </w:rPr>
            <w:fldChar w:fldCharType="end"/>
          </w:r>
        </w:sdtContent>
      </w:sdt>
      <w:r w:rsidR="00B16D4E">
        <w:rPr>
          <w:lang w:val="en-US" w:eastAsia="nl-NL"/>
        </w:rPr>
        <w:t xml:space="preserve">. The positive association between electricity market liberalization and the quantity of innovative output, and the negative association with the quality of innovative output, confirm the theory presented in the second hypothesis. </w:t>
      </w:r>
      <w:r w:rsidR="00130292">
        <w:rPr>
          <w:lang w:val="en-US" w:eastAsia="nl-NL"/>
        </w:rPr>
        <w:t xml:space="preserve">Overall, the findings </w:t>
      </w:r>
      <w:r w:rsidR="001D5A0B">
        <w:rPr>
          <w:lang w:val="en-US" w:eastAsia="nl-NL"/>
        </w:rPr>
        <w:t xml:space="preserve">seem to contradict the idea of short-termism, which </w:t>
      </w:r>
      <w:r w:rsidR="001D5A0B">
        <w:rPr>
          <w:lang w:val="en-US" w:eastAsia="nl-NL"/>
        </w:rPr>
        <w:lastRenderedPageBreak/>
        <w:t>states that the focus of innovation management switches from long term, environmentally-preferred innovation to short term, customer oriented innovation</w:t>
      </w:r>
      <w:sdt>
        <w:sdtPr>
          <w:rPr>
            <w:lang w:val="en-US" w:eastAsia="nl-NL"/>
          </w:rPr>
          <w:id w:val="-1008200609"/>
          <w:citation/>
        </w:sdtPr>
        <w:sdtEndPr/>
        <w:sdtContent>
          <w:r w:rsidR="001D5A0B">
            <w:rPr>
              <w:lang w:val="en-US" w:eastAsia="nl-NL"/>
            </w:rPr>
            <w:fldChar w:fldCharType="begin"/>
          </w:r>
          <w:r w:rsidR="001D5A0B">
            <w:rPr>
              <w:lang w:val="en-US" w:eastAsia="nl-NL"/>
            </w:rPr>
            <w:instrText xml:space="preserve">CITATION Mar06 \t  \l 1043 </w:instrText>
          </w:r>
          <w:r w:rsidR="001D5A0B">
            <w:rPr>
              <w:lang w:val="en-US" w:eastAsia="nl-NL"/>
            </w:rPr>
            <w:fldChar w:fldCharType="separate"/>
          </w:r>
          <w:r w:rsidR="00B24268">
            <w:rPr>
              <w:noProof/>
              <w:lang w:val="en-US" w:eastAsia="nl-NL"/>
            </w:rPr>
            <w:t xml:space="preserve"> </w:t>
          </w:r>
          <w:r w:rsidR="00B24268" w:rsidRPr="00B24268">
            <w:rPr>
              <w:noProof/>
              <w:lang w:val="en-US" w:eastAsia="nl-NL"/>
            </w:rPr>
            <w:t>(Markard &amp; Truffer, 2006)</w:t>
          </w:r>
          <w:r w:rsidR="001D5A0B">
            <w:rPr>
              <w:lang w:val="en-US" w:eastAsia="nl-NL"/>
            </w:rPr>
            <w:fldChar w:fldCharType="end"/>
          </w:r>
        </w:sdtContent>
      </w:sdt>
      <w:r w:rsidR="001D5A0B">
        <w:rPr>
          <w:lang w:val="en-US" w:eastAsia="nl-NL"/>
        </w:rPr>
        <w:t xml:space="preserve">. Renewable electricity innovation might be considered customer oriented innovation in for example solar generation. Most fields of renewable electricity innovation </w:t>
      </w:r>
      <w:r w:rsidR="00EF7F28">
        <w:rPr>
          <w:lang w:val="en-US" w:eastAsia="nl-NL"/>
        </w:rPr>
        <w:t xml:space="preserve">however </w:t>
      </w:r>
      <w:r w:rsidR="001D5A0B">
        <w:rPr>
          <w:lang w:val="en-US" w:eastAsia="nl-NL"/>
        </w:rPr>
        <w:t xml:space="preserve">have a rather long term character, </w:t>
      </w:r>
      <w:r w:rsidR="00EF7F28">
        <w:rPr>
          <w:lang w:val="en-US" w:eastAsia="nl-NL"/>
        </w:rPr>
        <w:t xml:space="preserve">and this study finds more entry and more output in the renewable electricity innovation process. At the same time, the quality of innovative output decreases, which does in fact support the idea of short-termism. </w:t>
      </w:r>
    </w:p>
    <w:p w14:paraId="3F383190" w14:textId="747D0612" w:rsidR="00893172" w:rsidRDefault="00DC6C94" w:rsidP="0008743A">
      <w:pPr>
        <w:rPr>
          <w:lang w:val="en-US" w:eastAsia="nl-NL"/>
        </w:rPr>
      </w:pPr>
      <w:r>
        <w:rPr>
          <w:lang w:val="en-US" w:eastAsia="nl-NL"/>
        </w:rPr>
        <w:t>One possible explanation for the positive association between electricity market liberalization and entry and innovative output is the idea of entry deterrence; or: the use of patents to hinder competition</w:t>
      </w:r>
      <w:sdt>
        <w:sdtPr>
          <w:rPr>
            <w:lang w:val="en-US" w:eastAsia="nl-NL"/>
          </w:rPr>
          <w:id w:val="165448505"/>
          <w:citation/>
        </w:sdtPr>
        <w:sdtEndPr/>
        <w:sdtContent>
          <w:r w:rsidR="0056156C">
            <w:rPr>
              <w:lang w:val="en-US" w:eastAsia="nl-NL"/>
            </w:rPr>
            <w:fldChar w:fldCharType="begin"/>
          </w:r>
          <w:r w:rsidR="0056156C" w:rsidRPr="0056156C">
            <w:rPr>
              <w:lang w:val="en-US" w:eastAsia="nl-NL"/>
            </w:rPr>
            <w:instrText xml:space="preserve"> CITATION Bli06 \l 1043 </w:instrText>
          </w:r>
          <w:r w:rsidR="0056156C">
            <w:rPr>
              <w:lang w:val="en-US" w:eastAsia="nl-NL"/>
            </w:rPr>
            <w:fldChar w:fldCharType="separate"/>
          </w:r>
          <w:r w:rsidR="00B24268">
            <w:rPr>
              <w:noProof/>
              <w:lang w:val="en-US" w:eastAsia="nl-NL"/>
            </w:rPr>
            <w:t xml:space="preserve"> </w:t>
          </w:r>
          <w:r w:rsidR="00B24268" w:rsidRPr="00B24268">
            <w:rPr>
              <w:noProof/>
              <w:lang w:val="en-US" w:eastAsia="nl-NL"/>
            </w:rPr>
            <w:t>(Blind, Edler, Frietsch, &amp; Schmoch, 2006)</w:t>
          </w:r>
          <w:r w:rsidR="0056156C">
            <w:rPr>
              <w:lang w:val="en-US" w:eastAsia="nl-NL"/>
            </w:rPr>
            <w:fldChar w:fldCharType="end"/>
          </w:r>
        </w:sdtContent>
      </w:sdt>
      <w:r>
        <w:rPr>
          <w:lang w:val="en-US" w:eastAsia="nl-NL"/>
        </w:rPr>
        <w:t xml:space="preserve">. </w:t>
      </w:r>
      <w:r w:rsidR="0056156C">
        <w:rPr>
          <w:lang w:val="en-US" w:eastAsia="nl-NL"/>
        </w:rPr>
        <w:t>Firms file patent applications to protect their share of the market, and therefore enter the renewable electricity innovation process. This can explain the decrease in quality of innovative output and the increase in the quantity of innovative output as well.</w:t>
      </w:r>
    </w:p>
    <w:p w14:paraId="64BEF297" w14:textId="77777777" w:rsidR="00A033C8" w:rsidRDefault="00A033C8" w:rsidP="00A033C8">
      <w:pPr>
        <w:pStyle w:val="Heading2"/>
        <w:rPr>
          <w:lang w:val="en-US" w:eastAsia="nl-NL"/>
        </w:rPr>
      </w:pPr>
      <w:bookmarkStart w:id="65" w:name="_Toc424733303"/>
      <w:bookmarkStart w:id="66" w:name="_Toc426898408"/>
      <w:bookmarkStart w:id="67" w:name="_Toc427657288"/>
      <w:r w:rsidRPr="005C3B6D">
        <w:rPr>
          <w:lang w:val="en-US" w:eastAsia="nl-NL"/>
        </w:rPr>
        <w:t>Discussion</w:t>
      </w:r>
      <w:bookmarkEnd w:id="65"/>
      <w:bookmarkEnd w:id="66"/>
      <w:bookmarkEnd w:id="67"/>
    </w:p>
    <w:p w14:paraId="0C6D8511" w14:textId="77777777" w:rsidR="004A6F00" w:rsidRDefault="004A6F00" w:rsidP="005443FE">
      <w:pPr>
        <w:rPr>
          <w:lang w:val="en-US"/>
        </w:rPr>
      </w:pPr>
      <w:r>
        <w:rPr>
          <w:lang w:val="en-US"/>
        </w:rPr>
        <w:t>One of the main problems of this study is the calculation of the PMR index for the European region. This study used the unweighted average of the national indices. A weighted average by national electricity consumption, population or GDP would account for the relative importance and size of the countries. A closely related opportunity for further research would be to assign patent applications to countries; which has been done before</w:t>
      </w:r>
      <w:sdt>
        <w:sdtPr>
          <w:rPr>
            <w:lang w:val="en-US"/>
          </w:rPr>
          <w:id w:val="-1533333922"/>
          <w:citation/>
        </w:sdtPr>
        <w:sdtEndPr/>
        <w:sdtContent>
          <w:r>
            <w:rPr>
              <w:lang w:val="en-US"/>
            </w:rPr>
            <w:fldChar w:fldCharType="begin"/>
          </w:r>
          <w:r w:rsidRPr="004A6F00">
            <w:rPr>
              <w:lang w:val="en-US"/>
            </w:rPr>
            <w:instrText xml:space="preserve"> CITATION Cam15 \l 1043 </w:instrText>
          </w:r>
          <w:r>
            <w:rPr>
              <w:lang w:val="en-US"/>
            </w:rPr>
            <w:fldChar w:fldCharType="separate"/>
          </w:r>
          <w:r w:rsidR="00B24268">
            <w:rPr>
              <w:noProof/>
              <w:lang w:val="en-US"/>
            </w:rPr>
            <w:t xml:space="preserve"> </w:t>
          </w:r>
          <w:r w:rsidR="00B24268" w:rsidRPr="00B24268">
            <w:rPr>
              <w:noProof/>
              <w:lang w:val="en-US"/>
            </w:rPr>
            <w:t>(Cambini, Caviggioli, &amp; Scellato, 2015)</w:t>
          </w:r>
          <w:r>
            <w:rPr>
              <w:lang w:val="en-US"/>
            </w:rPr>
            <w:fldChar w:fldCharType="end"/>
          </w:r>
        </w:sdtContent>
      </w:sdt>
      <w:r w:rsidR="00DA7DF0">
        <w:rPr>
          <w:lang w:val="en-US"/>
        </w:rPr>
        <w:t>. In such an approach, the country values of the PMR index can be used.</w:t>
      </w:r>
    </w:p>
    <w:p w14:paraId="60969A77" w14:textId="77777777" w:rsidR="005443FE" w:rsidRDefault="005443FE" w:rsidP="005443FE">
      <w:pPr>
        <w:rPr>
          <w:lang w:val="en-US"/>
        </w:rPr>
      </w:pPr>
      <w:r>
        <w:rPr>
          <w:lang w:val="en-US"/>
        </w:rPr>
        <w:t xml:space="preserve">One important consideration might be the role of foreign innovators that want to patent their innovation in Europe. From 1990 to 1995, the joined share of US and Japan </w:t>
      </w:r>
      <w:r w:rsidR="00585E74">
        <w:rPr>
          <w:lang w:val="en-US"/>
        </w:rPr>
        <w:t xml:space="preserve">patent applications </w:t>
      </w:r>
      <w:r w:rsidR="004A6F00">
        <w:rPr>
          <w:lang w:val="en-US"/>
        </w:rPr>
        <w:t>was 37</w:t>
      </w:r>
      <w:r>
        <w:rPr>
          <w:lang w:val="en-US"/>
        </w:rPr>
        <w:t>%</w:t>
      </w:r>
      <w:r w:rsidR="004A6F00">
        <w:rPr>
          <w:lang w:val="en-US"/>
        </w:rPr>
        <w:t xml:space="preserve"> of the total number of applications</w:t>
      </w:r>
      <w:r>
        <w:rPr>
          <w:lang w:val="en-US"/>
        </w:rPr>
        <w:t xml:space="preserve">, and from 2005 to 2010 30%. </w:t>
      </w:r>
      <w:r w:rsidR="004A6F00">
        <w:rPr>
          <w:lang w:val="en-US"/>
        </w:rPr>
        <w:t>How is this change related to the innovative climate in Europe? Is there a relation between this change and electricity market liberalization?</w:t>
      </w:r>
    </w:p>
    <w:p w14:paraId="0CB0B767" w14:textId="77777777" w:rsidR="004A6F00" w:rsidRDefault="004A6F00" w:rsidP="005443FE">
      <w:pPr>
        <w:rPr>
          <w:lang w:val="en-US"/>
        </w:rPr>
      </w:pPr>
      <w:r>
        <w:rPr>
          <w:lang w:val="en-US"/>
        </w:rPr>
        <w:lastRenderedPageBreak/>
        <w:t xml:space="preserve">Electricity market is still a complex market, with both production and supply to customers as separated markets. However, it is very difficult to collect data on these markets, and especially to distinguish innovative activities because many companies are active in both markets and the patent data in this study were not sufficient. </w:t>
      </w:r>
    </w:p>
    <w:p w14:paraId="72789AAB" w14:textId="77777777" w:rsidR="00C01B5F" w:rsidRDefault="00C01B5F" w:rsidP="005443FE">
      <w:pPr>
        <w:rPr>
          <w:lang w:val="en-US"/>
        </w:rPr>
      </w:pPr>
      <w:r>
        <w:rPr>
          <w:lang w:val="en-US"/>
        </w:rPr>
        <w:t xml:space="preserve">The statistical part of this study has some weaknesses as well. Testing for autocorrelation, checking residuals and robustness of the models would improve the quality of the statistical work in this study. Some sample bias in the company counts may have entered the study, because Bureau van Dijk assigns their BvD Identifiers manually to companies. This bias would probably relatively underestimate the number of companies in early years, under the assumption that those identifiers are more frequently assigned in recent years. If this is the case, our study overestimates the positive </w:t>
      </w:r>
      <w:r w:rsidR="00C52F1D">
        <w:rPr>
          <w:lang w:val="en-US"/>
        </w:rPr>
        <w:t>association between liberalization a</w:t>
      </w:r>
      <w:r>
        <w:rPr>
          <w:lang w:val="en-US"/>
        </w:rPr>
        <w:t>n</w:t>
      </w:r>
      <w:r w:rsidR="00C52F1D">
        <w:rPr>
          <w:lang w:val="en-US"/>
        </w:rPr>
        <w:t>d</w:t>
      </w:r>
      <w:r>
        <w:rPr>
          <w:lang w:val="en-US"/>
        </w:rPr>
        <w:t xml:space="preserve"> entry.</w:t>
      </w:r>
    </w:p>
    <w:p w14:paraId="17D2916D" w14:textId="77777777" w:rsidR="00C52F1D" w:rsidRPr="00C52F1D" w:rsidRDefault="008C7117" w:rsidP="00C52F1D">
      <w:pPr>
        <w:pStyle w:val="Heading2"/>
        <w:rPr>
          <w:lang w:val="en-US" w:eastAsia="nl-NL"/>
        </w:rPr>
      </w:pPr>
      <w:bookmarkStart w:id="68" w:name="_Toc424733304"/>
      <w:bookmarkStart w:id="69" w:name="_Toc426898409"/>
      <w:bookmarkStart w:id="70" w:name="_Toc427657289"/>
      <w:r>
        <w:rPr>
          <w:lang w:val="en-US" w:eastAsia="nl-NL"/>
        </w:rPr>
        <w:t>Answer r</w:t>
      </w:r>
      <w:r w:rsidR="00A033C8">
        <w:rPr>
          <w:lang w:val="en-US" w:eastAsia="nl-NL"/>
        </w:rPr>
        <w:t>esearch question</w:t>
      </w:r>
      <w:bookmarkEnd w:id="68"/>
      <w:bookmarkEnd w:id="69"/>
      <w:bookmarkEnd w:id="70"/>
    </w:p>
    <w:p w14:paraId="0421CD74" w14:textId="77777777" w:rsidR="0008743A" w:rsidRDefault="00B16D4E" w:rsidP="00B16D4E">
      <w:pPr>
        <w:ind w:left="708"/>
        <w:rPr>
          <w:i/>
          <w:lang w:val="en-US"/>
        </w:rPr>
      </w:pPr>
      <w:r w:rsidRPr="0008743A">
        <w:rPr>
          <w:i/>
          <w:lang w:val="en-US"/>
        </w:rPr>
        <w:t>What are the effects of electricity market liberalization on renewable electricity innovation in the European Union?</w:t>
      </w:r>
    </w:p>
    <w:p w14:paraId="1FD3A03A" w14:textId="28E7A11E" w:rsidR="00C52F1D" w:rsidRDefault="00C52F1D" w:rsidP="00C52F1D">
      <w:pPr>
        <w:rPr>
          <w:lang w:val="en-US"/>
        </w:rPr>
      </w:pPr>
      <w:r>
        <w:rPr>
          <w:lang w:val="en-US"/>
        </w:rPr>
        <w:t xml:space="preserve">This study identifies three main effects of electricity market liberalization on renewable electricity innovation. First, </w:t>
      </w:r>
      <w:r w:rsidR="008F7B5B">
        <w:rPr>
          <w:lang w:val="en-US"/>
        </w:rPr>
        <w:t xml:space="preserve">market liberalization </w:t>
      </w:r>
      <w:r w:rsidR="008C7117">
        <w:rPr>
          <w:lang w:val="en-US"/>
        </w:rPr>
        <w:t>is associated with more entry in the renewable electricity innovation process. Second, it is associated with more innovative output in terms output in terms of patent applications. Third, it is associated with lower innovative output quality. These associations were predicted in the literature</w:t>
      </w:r>
      <w:r w:rsidR="008F7B5B">
        <w:rPr>
          <w:lang w:val="en-US"/>
        </w:rPr>
        <w:t xml:space="preserve"> with respect to regular innovations and seem to hold for innovation in renewable energy as well</w:t>
      </w:r>
      <w:r w:rsidR="008C7117">
        <w:rPr>
          <w:lang w:val="en-US"/>
        </w:rPr>
        <w:t xml:space="preserve">. They are relevant to policy makers in the European Union, because renewable electricity is an efficient and effective solution to environmental problems. Renewable electricity innovation is essential to make progress in implementing this solution and increase its effect and efficiency. </w:t>
      </w:r>
    </w:p>
    <w:p w14:paraId="2CD4A829" w14:textId="77777777" w:rsidR="00030120" w:rsidRDefault="00030120" w:rsidP="00C52F1D">
      <w:pPr>
        <w:rPr>
          <w:lang w:val="en-US"/>
        </w:rPr>
      </w:pPr>
    </w:p>
    <w:p w14:paraId="15993C8E" w14:textId="77777777" w:rsidR="00030120" w:rsidRDefault="00030120" w:rsidP="00C52F1D">
      <w:pPr>
        <w:rPr>
          <w:lang w:val="en-US"/>
        </w:rPr>
      </w:pPr>
    </w:p>
    <w:p w14:paraId="32B4C93C" w14:textId="77777777" w:rsidR="00030120" w:rsidRDefault="00030120" w:rsidP="00C52F1D">
      <w:pPr>
        <w:rPr>
          <w:lang w:val="en-US"/>
        </w:rPr>
      </w:pPr>
    </w:p>
    <w:p w14:paraId="5C98DEBC" w14:textId="77777777" w:rsidR="00030120" w:rsidRDefault="00030120" w:rsidP="00C52F1D">
      <w:pPr>
        <w:rPr>
          <w:lang w:val="en-US"/>
        </w:rPr>
      </w:pPr>
    </w:p>
    <w:p w14:paraId="6FA5A743" w14:textId="77777777" w:rsidR="00030120" w:rsidRDefault="00030120" w:rsidP="00C52F1D">
      <w:pPr>
        <w:rPr>
          <w:lang w:val="en-US"/>
        </w:rPr>
      </w:pPr>
    </w:p>
    <w:p w14:paraId="410EB4CB" w14:textId="77777777" w:rsidR="00030120" w:rsidRDefault="00030120" w:rsidP="00C52F1D">
      <w:pPr>
        <w:rPr>
          <w:lang w:val="en-US"/>
        </w:rPr>
      </w:pPr>
    </w:p>
    <w:p w14:paraId="6C3AA889" w14:textId="77777777" w:rsidR="00030120" w:rsidRDefault="00030120" w:rsidP="00C52F1D">
      <w:pPr>
        <w:rPr>
          <w:lang w:val="en-US"/>
        </w:rPr>
      </w:pPr>
    </w:p>
    <w:p w14:paraId="216072FA" w14:textId="77777777" w:rsidR="00030120" w:rsidRDefault="00030120" w:rsidP="00C52F1D">
      <w:pPr>
        <w:rPr>
          <w:lang w:val="en-US"/>
        </w:rPr>
      </w:pPr>
    </w:p>
    <w:p w14:paraId="0C27A72E" w14:textId="77777777" w:rsidR="00030120" w:rsidRDefault="00030120" w:rsidP="00C52F1D">
      <w:pPr>
        <w:rPr>
          <w:lang w:val="en-US"/>
        </w:rPr>
      </w:pPr>
    </w:p>
    <w:p w14:paraId="684558B0" w14:textId="77777777" w:rsidR="00030120" w:rsidRDefault="00030120" w:rsidP="00C52F1D">
      <w:pPr>
        <w:rPr>
          <w:lang w:val="en-US"/>
        </w:rPr>
      </w:pPr>
    </w:p>
    <w:p w14:paraId="476854FE" w14:textId="77777777" w:rsidR="00030120" w:rsidRDefault="00030120" w:rsidP="00C52F1D">
      <w:pPr>
        <w:rPr>
          <w:lang w:val="en-US"/>
        </w:rPr>
      </w:pPr>
    </w:p>
    <w:p w14:paraId="45610443" w14:textId="77777777" w:rsidR="00030120" w:rsidRDefault="00030120" w:rsidP="00C52F1D">
      <w:pPr>
        <w:rPr>
          <w:lang w:val="en-US"/>
        </w:rPr>
      </w:pPr>
    </w:p>
    <w:p w14:paraId="35ED5D46" w14:textId="77777777" w:rsidR="00030120" w:rsidRDefault="00030120" w:rsidP="00C52F1D">
      <w:pPr>
        <w:rPr>
          <w:lang w:val="en-US"/>
        </w:rPr>
      </w:pPr>
    </w:p>
    <w:p w14:paraId="6E202596" w14:textId="77777777" w:rsidR="00030120" w:rsidRDefault="00030120" w:rsidP="00C52F1D">
      <w:pPr>
        <w:rPr>
          <w:lang w:val="en-US"/>
        </w:rPr>
      </w:pPr>
    </w:p>
    <w:p w14:paraId="624EDF8E" w14:textId="77777777" w:rsidR="00030120" w:rsidRDefault="00030120" w:rsidP="00C52F1D">
      <w:pPr>
        <w:rPr>
          <w:lang w:val="en-US"/>
        </w:rPr>
      </w:pPr>
    </w:p>
    <w:p w14:paraId="06E3325E" w14:textId="77777777" w:rsidR="00030120" w:rsidRDefault="00030120" w:rsidP="00C52F1D">
      <w:pPr>
        <w:rPr>
          <w:lang w:val="en-US"/>
        </w:rPr>
      </w:pPr>
    </w:p>
    <w:p w14:paraId="550FE337" w14:textId="77777777" w:rsidR="00030120" w:rsidRDefault="00030120" w:rsidP="00C52F1D">
      <w:pPr>
        <w:rPr>
          <w:lang w:val="en-US"/>
        </w:rPr>
      </w:pPr>
    </w:p>
    <w:p w14:paraId="5D8C8F1E" w14:textId="77777777" w:rsidR="00030120" w:rsidRDefault="00030120" w:rsidP="00C52F1D">
      <w:pPr>
        <w:rPr>
          <w:lang w:val="en-US"/>
        </w:rPr>
      </w:pPr>
    </w:p>
    <w:p w14:paraId="216E77F7" w14:textId="77777777" w:rsidR="00030120" w:rsidRDefault="00030120" w:rsidP="00C52F1D">
      <w:pPr>
        <w:rPr>
          <w:lang w:val="en-US"/>
        </w:rPr>
      </w:pPr>
    </w:p>
    <w:bookmarkStart w:id="71" w:name="_Toc426898410" w:displacedByCustomXml="next"/>
    <w:bookmarkStart w:id="72" w:name="_Toc427657290" w:displacedByCustomXml="next"/>
    <w:sdt>
      <w:sdtPr>
        <w:rPr>
          <w:rFonts w:ascii="Arial" w:eastAsiaTheme="minorHAnsi" w:hAnsi="Arial" w:cstheme="minorBidi"/>
          <w:b w:val="0"/>
          <w:bCs w:val="0"/>
          <w:kern w:val="0"/>
          <w:sz w:val="22"/>
          <w:szCs w:val="22"/>
          <w:lang w:eastAsia="en-US"/>
        </w:rPr>
        <w:id w:val="-611745916"/>
        <w:docPartObj>
          <w:docPartGallery w:val="Bibliographies"/>
          <w:docPartUnique/>
        </w:docPartObj>
      </w:sdtPr>
      <w:sdtEndPr/>
      <w:sdtContent>
        <w:p w14:paraId="42D30367" w14:textId="77777777" w:rsidR="008C7117" w:rsidRPr="00426970" w:rsidRDefault="008C7117">
          <w:pPr>
            <w:pStyle w:val="Heading1"/>
            <w:rPr>
              <w:lang w:val="fr-FR"/>
            </w:rPr>
          </w:pPr>
          <w:r w:rsidRPr="00426970">
            <w:rPr>
              <w:lang w:val="fr-FR"/>
            </w:rPr>
            <w:t>Bibliography</w:t>
          </w:r>
          <w:bookmarkEnd w:id="72"/>
          <w:bookmarkEnd w:id="71"/>
        </w:p>
        <w:sdt>
          <w:sdtPr>
            <w:id w:val="111145805"/>
            <w:bibliography/>
          </w:sdtPr>
          <w:sdtEndPr/>
          <w:sdtContent>
            <w:p w14:paraId="2DE7C4D2" w14:textId="77777777" w:rsidR="00B24268" w:rsidRDefault="008C7117" w:rsidP="00B24268">
              <w:pPr>
                <w:pStyle w:val="Bibliography"/>
                <w:ind w:left="720" w:hanging="720"/>
                <w:rPr>
                  <w:noProof/>
                  <w:lang w:val="fr-FR"/>
                </w:rPr>
              </w:pPr>
              <w:r>
                <w:fldChar w:fldCharType="begin"/>
              </w:r>
              <w:r w:rsidRPr="00426970">
                <w:rPr>
                  <w:lang w:val="fr-FR"/>
                </w:rPr>
                <w:instrText xml:space="preserve"> BIBLIOGRAPHY </w:instrText>
              </w:r>
              <w:r>
                <w:fldChar w:fldCharType="separate"/>
              </w:r>
              <w:r w:rsidR="00B24268">
                <w:rPr>
                  <w:noProof/>
                  <w:lang w:val="fr-FR"/>
                </w:rPr>
                <w:t xml:space="preserve">Acs, Z. J., &amp; Audretsch, D. B. (1987). Innovation, market structure and firm size. </w:t>
              </w:r>
              <w:r w:rsidR="00B24268">
                <w:rPr>
                  <w:i/>
                  <w:iCs/>
                  <w:noProof/>
                  <w:lang w:val="fr-FR"/>
                </w:rPr>
                <w:t>The Review of Economics and Statistics</w:t>
              </w:r>
              <w:r w:rsidR="00B24268">
                <w:rPr>
                  <w:noProof/>
                  <w:lang w:val="fr-FR"/>
                </w:rPr>
                <w:t>, 567-574.</w:t>
              </w:r>
            </w:p>
            <w:p w14:paraId="2F7667C9" w14:textId="77777777" w:rsidR="00B24268" w:rsidRDefault="00B24268" w:rsidP="00B24268">
              <w:pPr>
                <w:pStyle w:val="Bibliography"/>
                <w:ind w:left="720" w:hanging="720"/>
                <w:rPr>
                  <w:noProof/>
                  <w:lang w:val="fr-FR"/>
                </w:rPr>
              </w:pPr>
              <w:r>
                <w:rPr>
                  <w:noProof/>
                  <w:lang w:val="fr-FR"/>
                </w:rPr>
                <w:t xml:space="preserve">Aghion, P., Blundell, R., Griffith, R., Howitt, P., &amp; Prantl, S. (2009). The effects of entry on incumbant innovation and productivity. </w:t>
              </w:r>
              <w:r>
                <w:rPr>
                  <w:i/>
                  <w:iCs/>
                  <w:noProof/>
                  <w:lang w:val="fr-FR"/>
                </w:rPr>
                <w:t>The Review of Economics and Statistics</w:t>
              </w:r>
              <w:r>
                <w:rPr>
                  <w:noProof/>
                  <w:lang w:val="fr-FR"/>
                </w:rPr>
                <w:t>, 20-32.</w:t>
              </w:r>
            </w:p>
            <w:p w14:paraId="6C784609" w14:textId="77777777" w:rsidR="00B24268" w:rsidRDefault="00B24268" w:rsidP="00B24268">
              <w:pPr>
                <w:pStyle w:val="Bibliography"/>
                <w:ind w:left="720" w:hanging="720"/>
                <w:rPr>
                  <w:noProof/>
                  <w:lang w:val="fr-FR"/>
                </w:rPr>
              </w:pPr>
              <w:r>
                <w:rPr>
                  <w:noProof/>
                  <w:lang w:val="fr-FR"/>
                </w:rPr>
                <w:t xml:space="preserve">Allison, J. R., Lemley, M. A., Moore, K. A., &amp; Trunkey, R. D. (2004). Valuable Patents. </w:t>
              </w:r>
              <w:r>
                <w:rPr>
                  <w:i/>
                  <w:iCs/>
                  <w:noProof/>
                  <w:lang w:val="fr-FR"/>
                </w:rPr>
                <w:t>Georgetown Law Journal</w:t>
              </w:r>
              <w:r>
                <w:rPr>
                  <w:noProof/>
                  <w:lang w:val="fr-FR"/>
                </w:rPr>
                <w:t>, 434-494.</w:t>
              </w:r>
            </w:p>
            <w:p w14:paraId="5D23B410" w14:textId="77777777" w:rsidR="00B24268" w:rsidRDefault="00B24268" w:rsidP="00B24268">
              <w:pPr>
                <w:pStyle w:val="Bibliography"/>
                <w:ind w:left="720" w:hanging="720"/>
                <w:rPr>
                  <w:noProof/>
                  <w:lang w:val="fr-FR"/>
                </w:rPr>
              </w:pPr>
              <w:r>
                <w:rPr>
                  <w:noProof/>
                  <w:lang w:val="fr-FR"/>
                </w:rPr>
                <w:t xml:space="preserve">Blind, K., Edler, J., Frietsch, R., &amp; Schmoch, U. (2006). Motives to patent: Empirical evidence from Germany. </w:t>
              </w:r>
              <w:r>
                <w:rPr>
                  <w:i/>
                  <w:iCs/>
                  <w:noProof/>
                  <w:lang w:val="fr-FR"/>
                </w:rPr>
                <w:t>Research Policy</w:t>
              </w:r>
              <w:r>
                <w:rPr>
                  <w:noProof/>
                  <w:lang w:val="fr-FR"/>
                </w:rPr>
                <w:t>, 655-672.</w:t>
              </w:r>
            </w:p>
            <w:p w14:paraId="3DBFC020" w14:textId="77777777" w:rsidR="00B24268" w:rsidRDefault="00B24268" w:rsidP="00B24268">
              <w:pPr>
                <w:pStyle w:val="Bibliography"/>
                <w:ind w:left="720" w:hanging="720"/>
                <w:rPr>
                  <w:noProof/>
                  <w:lang w:val="fr-FR"/>
                </w:rPr>
              </w:pPr>
              <w:r>
                <w:rPr>
                  <w:noProof/>
                  <w:lang w:val="fr-FR"/>
                </w:rPr>
                <w:t xml:space="preserve">Brouwer, E., &amp; Kleinknecht, A. (1999). Innovative output, and a firm's propensity to patent.: An exploration of CIS micro data. </w:t>
              </w:r>
              <w:r>
                <w:rPr>
                  <w:i/>
                  <w:iCs/>
                  <w:noProof/>
                  <w:lang w:val="fr-FR"/>
                </w:rPr>
                <w:t>Research Policy</w:t>
              </w:r>
              <w:r>
                <w:rPr>
                  <w:noProof/>
                  <w:lang w:val="fr-FR"/>
                </w:rPr>
                <w:t>, 615-624.</w:t>
              </w:r>
            </w:p>
            <w:p w14:paraId="003A5E33" w14:textId="77777777" w:rsidR="00B24268" w:rsidRDefault="00B24268" w:rsidP="00B24268">
              <w:pPr>
                <w:pStyle w:val="Bibliography"/>
                <w:ind w:left="720" w:hanging="720"/>
                <w:rPr>
                  <w:noProof/>
                  <w:lang w:val="fr-FR"/>
                </w:rPr>
              </w:pPr>
              <w:r>
                <w:rPr>
                  <w:noProof/>
                  <w:lang w:val="fr-FR"/>
                </w:rPr>
                <w:t xml:space="preserve">Bureau van Dijk. (2015, 6 1). </w:t>
              </w:r>
              <w:r>
                <w:rPr>
                  <w:i/>
                  <w:iCs/>
                  <w:noProof/>
                  <w:lang w:val="fr-FR"/>
                </w:rPr>
                <w:t>Orbis</w:t>
              </w:r>
              <w:r>
                <w:rPr>
                  <w:noProof/>
                  <w:lang w:val="fr-FR"/>
                </w:rPr>
                <w:t>. Consulté le 6 16, 2015, sur Orbis: Company information accross the globe: https://orbis.bvdinfo.com/version-2015626/List.FormatEdition.serv?_CID=590&amp;BackServiceid=List&amp;context=4LEZBF99EMJG4RZ&amp;databaseContext=Patents</w:t>
              </w:r>
            </w:p>
            <w:p w14:paraId="5A3C8472" w14:textId="77777777" w:rsidR="00B24268" w:rsidRDefault="00B24268" w:rsidP="00B24268">
              <w:pPr>
                <w:pStyle w:val="Bibliography"/>
                <w:ind w:left="720" w:hanging="720"/>
                <w:rPr>
                  <w:noProof/>
                  <w:lang w:val="fr-FR"/>
                </w:rPr>
              </w:pPr>
              <w:r>
                <w:rPr>
                  <w:noProof/>
                  <w:lang w:val="fr-FR"/>
                </w:rPr>
                <w:t xml:space="preserve">Calderini, M., Garrone, P., &amp; Sobrero, M. (2003). Liberalization and the balance of R&amp;D activities: an empirical analysis. Dans E. Elger, </w:t>
              </w:r>
              <w:r>
                <w:rPr>
                  <w:i/>
                  <w:iCs/>
                  <w:noProof/>
                  <w:lang w:val="fr-FR"/>
                </w:rPr>
                <w:t>Corporate Governance, Market Structure and Innovation.</w:t>
              </w:r>
              <w:r>
                <w:rPr>
                  <w:noProof/>
                  <w:lang w:val="fr-FR"/>
                </w:rPr>
                <w:t xml:space="preserve"> Cheltenham: Edward Elger Publishing Limited.</w:t>
              </w:r>
            </w:p>
            <w:p w14:paraId="5EB1F2EA" w14:textId="77777777" w:rsidR="00B24268" w:rsidRDefault="00B24268" w:rsidP="00B24268">
              <w:pPr>
                <w:pStyle w:val="Bibliography"/>
                <w:ind w:left="720" w:hanging="720"/>
                <w:rPr>
                  <w:noProof/>
                  <w:lang w:val="fr-FR"/>
                </w:rPr>
              </w:pPr>
              <w:r>
                <w:rPr>
                  <w:noProof/>
                  <w:lang w:val="fr-FR"/>
                </w:rPr>
                <w:t xml:space="preserve">Cambini, C., Caviggioli, F., &amp; Scellato, G. (2015). </w:t>
              </w:r>
              <w:r>
                <w:rPr>
                  <w:i/>
                  <w:iCs/>
                  <w:noProof/>
                  <w:lang w:val="fr-FR"/>
                </w:rPr>
                <w:t>R&amp;D, Patenting and Market Regulation: Evidence from EU Electricity industry.</w:t>
              </w:r>
              <w:r>
                <w:rPr>
                  <w:noProof/>
                  <w:lang w:val="fr-FR"/>
                </w:rPr>
                <w:t xml:space="preserve"> Milano: IEFE.</w:t>
              </w:r>
            </w:p>
            <w:p w14:paraId="6BC0D9A4" w14:textId="77777777" w:rsidR="00B24268" w:rsidRDefault="00B24268" w:rsidP="00B24268">
              <w:pPr>
                <w:pStyle w:val="Bibliography"/>
                <w:ind w:left="720" w:hanging="720"/>
                <w:rPr>
                  <w:noProof/>
                  <w:lang w:val="fr-FR"/>
                </w:rPr>
              </w:pPr>
              <w:r>
                <w:rPr>
                  <w:noProof/>
                  <w:lang w:val="fr-FR"/>
                </w:rPr>
                <w:t xml:space="preserve">Dincer, I. (2000). Renewable energy and sustainable development: a crucial review. </w:t>
              </w:r>
              <w:r>
                <w:rPr>
                  <w:i/>
                  <w:iCs/>
                  <w:noProof/>
                  <w:lang w:val="fr-FR"/>
                </w:rPr>
                <w:t>Renewable and Sustainable Energy Reviews</w:t>
              </w:r>
              <w:r>
                <w:rPr>
                  <w:noProof/>
                  <w:lang w:val="fr-FR"/>
                </w:rPr>
                <w:t>, 157-175.</w:t>
              </w:r>
            </w:p>
            <w:p w14:paraId="606A523A" w14:textId="77777777" w:rsidR="00B24268" w:rsidRDefault="00B24268" w:rsidP="00B24268">
              <w:pPr>
                <w:pStyle w:val="Bibliography"/>
                <w:ind w:left="720" w:hanging="720"/>
                <w:rPr>
                  <w:noProof/>
                  <w:lang w:val="fr-FR"/>
                </w:rPr>
              </w:pPr>
              <w:r>
                <w:rPr>
                  <w:noProof/>
                  <w:lang w:val="fr-FR"/>
                </w:rPr>
                <w:lastRenderedPageBreak/>
                <w:t xml:space="preserve">Dooley, J. (1998). Unintended consequences: energy R&amp;D in a deregulated energy market. </w:t>
              </w:r>
              <w:r>
                <w:rPr>
                  <w:i/>
                  <w:iCs/>
                  <w:noProof/>
                  <w:lang w:val="fr-FR"/>
                </w:rPr>
                <w:t>Energy Policy</w:t>
              </w:r>
              <w:r>
                <w:rPr>
                  <w:noProof/>
                  <w:lang w:val="fr-FR"/>
                </w:rPr>
                <w:t>, 547-555.</w:t>
              </w:r>
            </w:p>
            <w:p w14:paraId="69E15941" w14:textId="77777777" w:rsidR="00B24268" w:rsidRDefault="00B24268" w:rsidP="00B24268">
              <w:pPr>
                <w:pStyle w:val="Bibliography"/>
                <w:ind w:left="720" w:hanging="720"/>
                <w:rPr>
                  <w:noProof/>
                  <w:lang w:val="fr-FR"/>
                </w:rPr>
              </w:pPr>
              <w:r>
                <w:rPr>
                  <w:noProof/>
                  <w:lang w:val="fr-FR"/>
                </w:rPr>
                <w:t xml:space="preserve">European Patent Office. (2015, 7 29). </w:t>
              </w:r>
              <w:r>
                <w:rPr>
                  <w:i/>
                  <w:iCs/>
                  <w:noProof/>
                  <w:lang w:val="fr-FR"/>
                </w:rPr>
                <w:t>Applying for a patent</w:t>
              </w:r>
              <w:r>
                <w:rPr>
                  <w:noProof/>
                  <w:lang w:val="fr-FR"/>
                </w:rPr>
                <w:t>. Consulté le 7 29, 2015, sur European Patent Office: https://www.epo.org/applying.html</w:t>
              </w:r>
            </w:p>
            <w:p w14:paraId="0529F8D2" w14:textId="77777777" w:rsidR="00B24268" w:rsidRDefault="00B24268" w:rsidP="00B24268">
              <w:pPr>
                <w:pStyle w:val="Bibliography"/>
                <w:ind w:left="720" w:hanging="720"/>
                <w:rPr>
                  <w:noProof/>
                  <w:lang w:val="fr-FR"/>
                </w:rPr>
              </w:pPr>
              <w:r>
                <w:rPr>
                  <w:noProof/>
                  <w:lang w:val="fr-FR"/>
                </w:rPr>
                <w:t xml:space="preserve">Eurostat. (2015, 04 27). </w:t>
              </w:r>
              <w:r>
                <w:rPr>
                  <w:i/>
                  <w:iCs/>
                  <w:noProof/>
                  <w:lang w:val="fr-FR"/>
                </w:rPr>
                <w:t>Supply, transformation and consumption of electricity - annual data</w:t>
              </w:r>
              <w:r>
                <w:rPr>
                  <w:noProof/>
                  <w:lang w:val="fr-FR"/>
                </w:rPr>
                <w:t>. Consulté le 8 9, 2015, sur Eurostat: http://ec.europa.eu/eurostat/web/energy/data/database</w:t>
              </w:r>
            </w:p>
            <w:p w14:paraId="363B3A7A" w14:textId="77777777" w:rsidR="00B24268" w:rsidRDefault="00B24268" w:rsidP="00B24268">
              <w:pPr>
                <w:pStyle w:val="Bibliography"/>
                <w:ind w:left="720" w:hanging="720"/>
                <w:rPr>
                  <w:noProof/>
                  <w:lang w:val="fr-FR"/>
                </w:rPr>
              </w:pPr>
              <w:r>
                <w:rPr>
                  <w:noProof/>
                  <w:lang w:val="fr-FR"/>
                </w:rPr>
                <w:t xml:space="preserve">Geroski, P. (1995). What do we know about entry? </w:t>
              </w:r>
              <w:r>
                <w:rPr>
                  <w:i/>
                  <w:iCs/>
                  <w:noProof/>
                  <w:lang w:val="fr-FR"/>
                </w:rPr>
                <w:t>International Journal of Industrial Organisation</w:t>
              </w:r>
              <w:r>
                <w:rPr>
                  <w:noProof/>
                  <w:lang w:val="fr-FR"/>
                </w:rPr>
                <w:t>, 421-440.</w:t>
              </w:r>
            </w:p>
            <w:p w14:paraId="193F17EA" w14:textId="77777777" w:rsidR="00B24268" w:rsidRDefault="00B24268" w:rsidP="00B24268">
              <w:pPr>
                <w:pStyle w:val="Bibliography"/>
                <w:ind w:left="720" w:hanging="720"/>
                <w:rPr>
                  <w:noProof/>
                  <w:lang w:val="fr-FR"/>
                </w:rPr>
              </w:pPr>
              <w:r>
                <w:rPr>
                  <w:noProof/>
                  <w:lang w:val="fr-FR"/>
                </w:rPr>
                <w:t xml:space="preserve">Guellec, D., &amp; Pottelsberghe de la Potterie, B. v. (2000). Applications, grants and the value of patents. </w:t>
              </w:r>
              <w:r>
                <w:rPr>
                  <w:i/>
                  <w:iCs/>
                  <w:noProof/>
                  <w:lang w:val="fr-FR"/>
                </w:rPr>
                <w:t>Economics Letters</w:t>
              </w:r>
              <w:r>
                <w:rPr>
                  <w:noProof/>
                  <w:lang w:val="fr-FR"/>
                </w:rPr>
                <w:t>, 109-114.</w:t>
              </w:r>
            </w:p>
            <w:p w14:paraId="24852B53" w14:textId="77777777" w:rsidR="00B24268" w:rsidRDefault="00B24268" w:rsidP="00B24268">
              <w:pPr>
                <w:pStyle w:val="Bibliography"/>
                <w:ind w:left="720" w:hanging="720"/>
                <w:rPr>
                  <w:noProof/>
                  <w:lang w:val="fr-FR"/>
                </w:rPr>
              </w:pPr>
              <w:r>
                <w:rPr>
                  <w:noProof/>
                  <w:lang w:val="fr-FR"/>
                </w:rPr>
                <w:t xml:space="preserve">Hall, B. H., Jaffe, A., &amp; Trajtenberg, M. (2005). Market Value and Patent Citations. </w:t>
              </w:r>
              <w:r>
                <w:rPr>
                  <w:i/>
                  <w:iCs/>
                  <w:noProof/>
                  <w:lang w:val="fr-FR"/>
                </w:rPr>
                <w:t>The RAND Journal of Economics</w:t>
              </w:r>
              <w:r>
                <w:rPr>
                  <w:noProof/>
                  <w:lang w:val="fr-FR"/>
                </w:rPr>
                <w:t>, 16-38.</w:t>
              </w:r>
            </w:p>
            <w:p w14:paraId="23DBD54A" w14:textId="77777777" w:rsidR="00B24268" w:rsidRDefault="00B24268" w:rsidP="00B24268">
              <w:pPr>
                <w:pStyle w:val="Bibliography"/>
                <w:ind w:left="720" w:hanging="720"/>
                <w:rPr>
                  <w:noProof/>
                  <w:lang w:val="fr-FR"/>
                </w:rPr>
              </w:pPr>
              <w:r>
                <w:rPr>
                  <w:noProof/>
                  <w:lang w:val="fr-FR"/>
                </w:rPr>
                <w:t xml:space="preserve">Harhoff, D., Scherer, F. M., &amp; Vopel, K. (2002). Citations, family size, opposition and the value of patent rights. </w:t>
              </w:r>
              <w:r>
                <w:rPr>
                  <w:i/>
                  <w:iCs/>
                  <w:noProof/>
                  <w:lang w:val="fr-FR"/>
                </w:rPr>
                <w:t>Research Policy</w:t>
              </w:r>
              <w:r>
                <w:rPr>
                  <w:noProof/>
                  <w:lang w:val="fr-FR"/>
                </w:rPr>
                <w:t>, 1-21.</w:t>
              </w:r>
            </w:p>
            <w:p w14:paraId="43922BF5" w14:textId="77777777" w:rsidR="00B24268" w:rsidRDefault="00B24268" w:rsidP="00B24268">
              <w:pPr>
                <w:pStyle w:val="Bibliography"/>
                <w:ind w:left="720" w:hanging="720"/>
                <w:rPr>
                  <w:noProof/>
                  <w:lang w:val="fr-FR"/>
                </w:rPr>
              </w:pPr>
              <w:r>
                <w:rPr>
                  <w:noProof/>
                  <w:lang w:val="fr-FR"/>
                </w:rPr>
                <w:t xml:space="preserve">Hausman, J., Hall, B. H., &amp; Griliches, Z. (1984). Econometric models for count data with an application to the patents-R&amp;D relationship. </w:t>
              </w:r>
              <w:r>
                <w:rPr>
                  <w:i/>
                  <w:iCs/>
                  <w:noProof/>
                  <w:lang w:val="fr-FR"/>
                </w:rPr>
                <w:t>Econometrica</w:t>
              </w:r>
              <w:r>
                <w:rPr>
                  <w:noProof/>
                  <w:lang w:val="fr-FR"/>
                </w:rPr>
                <w:t>, 909-938.</w:t>
              </w:r>
            </w:p>
            <w:p w14:paraId="59AD390F" w14:textId="77777777" w:rsidR="00B24268" w:rsidRDefault="00B24268" w:rsidP="00B24268">
              <w:pPr>
                <w:pStyle w:val="Bibliography"/>
                <w:ind w:left="720" w:hanging="720"/>
                <w:rPr>
                  <w:noProof/>
                  <w:lang w:val="fr-FR"/>
                </w:rPr>
              </w:pPr>
              <w:r>
                <w:rPr>
                  <w:noProof/>
                  <w:lang w:val="fr-FR"/>
                </w:rPr>
                <w:t xml:space="preserve">Jamesb, T., &amp; Pollitt, M. (2005). </w:t>
              </w:r>
              <w:r>
                <w:rPr>
                  <w:i/>
                  <w:iCs/>
                  <w:noProof/>
                  <w:lang w:val="fr-FR"/>
                </w:rPr>
                <w:t>Electricity Market Reform in the European Union: Review of Progress toward Liberalization &amp; Integration.</w:t>
              </w:r>
              <w:r>
                <w:rPr>
                  <w:noProof/>
                  <w:lang w:val="fr-FR"/>
                </w:rPr>
                <w:t xml:space="preserve"> Cambridge: Centre for Energy and Environmental Policy Research.</w:t>
              </w:r>
            </w:p>
            <w:p w14:paraId="6572D33B" w14:textId="77777777" w:rsidR="00B24268" w:rsidRDefault="00B24268" w:rsidP="00B24268">
              <w:pPr>
                <w:pStyle w:val="Bibliography"/>
                <w:ind w:left="720" w:hanging="720"/>
                <w:rPr>
                  <w:noProof/>
                  <w:lang w:val="fr-FR"/>
                </w:rPr>
              </w:pPr>
              <w:r>
                <w:rPr>
                  <w:noProof/>
                  <w:lang w:val="fr-FR"/>
                </w:rPr>
                <w:t xml:space="preserve">Jamesb, T., &amp; Pollitt, M. (2008). Liberalisation and R&amp;D in network industries: The case of the electricity industry. </w:t>
              </w:r>
              <w:r>
                <w:rPr>
                  <w:i/>
                  <w:iCs/>
                  <w:noProof/>
                  <w:lang w:val="fr-FR"/>
                </w:rPr>
                <w:t>Research Policy</w:t>
              </w:r>
              <w:r>
                <w:rPr>
                  <w:noProof/>
                  <w:lang w:val="fr-FR"/>
                </w:rPr>
                <w:t>, 995-1008.</w:t>
              </w:r>
            </w:p>
            <w:p w14:paraId="011E7606" w14:textId="77777777" w:rsidR="00B24268" w:rsidRDefault="00B24268" w:rsidP="00B24268">
              <w:pPr>
                <w:pStyle w:val="Bibliography"/>
                <w:ind w:left="720" w:hanging="720"/>
                <w:rPr>
                  <w:noProof/>
                  <w:lang w:val="fr-FR"/>
                </w:rPr>
              </w:pPr>
              <w:r>
                <w:rPr>
                  <w:noProof/>
                  <w:lang w:val="fr-FR"/>
                </w:rPr>
                <w:lastRenderedPageBreak/>
                <w:t xml:space="preserve">Johnstone, N., Haščič, I., &amp; Popp, D. (2010). Renewable Energy Policies and Technological Innovation: Evidence Based on Patent Counts. </w:t>
              </w:r>
              <w:r>
                <w:rPr>
                  <w:i/>
                  <w:iCs/>
                  <w:noProof/>
                  <w:lang w:val="fr-FR"/>
                </w:rPr>
                <w:t xml:space="preserve">Environmental and Resource Economics </w:t>
              </w:r>
              <w:r>
                <w:rPr>
                  <w:noProof/>
                  <w:lang w:val="fr-FR"/>
                </w:rPr>
                <w:t>, 133-155.</w:t>
              </w:r>
            </w:p>
            <w:p w14:paraId="08A273C3" w14:textId="77777777" w:rsidR="00B24268" w:rsidRDefault="00B24268" w:rsidP="00B24268">
              <w:pPr>
                <w:pStyle w:val="Bibliography"/>
                <w:ind w:left="720" w:hanging="720"/>
                <w:rPr>
                  <w:noProof/>
                  <w:lang w:val="fr-FR"/>
                </w:rPr>
              </w:pPr>
              <w:r>
                <w:rPr>
                  <w:noProof/>
                  <w:lang w:val="fr-FR"/>
                </w:rPr>
                <w:t xml:space="preserve">Joskow, P. L. (2008). Lessons learned from electricity market liberalization. </w:t>
              </w:r>
              <w:r>
                <w:rPr>
                  <w:i/>
                  <w:iCs/>
                  <w:noProof/>
                  <w:lang w:val="fr-FR"/>
                </w:rPr>
                <w:t>The Energy Journal</w:t>
              </w:r>
              <w:r>
                <w:rPr>
                  <w:noProof/>
                  <w:lang w:val="fr-FR"/>
                </w:rPr>
                <w:t>, 9-42.</w:t>
              </w:r>
            </w:p>
            <w:p w14:paraId="5B3FC06E" w14:textId="77777777" w:rsidR="00B24268" w:rsidRDefault="00B24268" w:rsidP="00B24268">
              <w:pPr>
                <w:pStyle w:val="Bibliography"/>
                <w:ind w:left="720" w:hanging="720"/>
                <w:rPr>
                  <w:noProof/>
                  <w:lang w:val="fr-FR"/>
                </w:rPr>
              </w:pPr>
              <w:r>
                <w:rPr>
                  <w:noProof/>
                  <w:lang w:val="fr-FR"/>
                </w:rPr>
                <w:t xml:space="preserve">Markard, J., &amp; Truffer, B. (2006). Innovation processes in large technical systems: Market liberalization as a driver for radical change? </w:t>
              </w:r>
              <w:r>
                <w:rPr>
                  <w:i/>
                  <w:iCs/>
                  <w:noProof/>
                  <w:lang w:val="fr-FR"/>
                </w:rPr>
                <w:t>Research Policy</w:t>
              </w:r>
              <w:r>
                <w:rPr>
                  <w:noProof/>
                  <w:lang w:val="fr-FR"/>
                </w:rPr>
                <w:t>, 609-625.</w:t>
              </w:r>
            </w:p>
            <w:p w14:paraId="37C610F8" w14:textId="77777777" w:rsidR="00B24268" w:rsidRDefault="00B24268" w:rsidP="00B24268">
              <w:pPr>
                <w:pStyle w:val="Bibliography"/>
                <w:ind w:left="720" w:hanging="720"/>
                <w:rPr>
                  <w:noProof/>
                  <w:lang w:val="fr-FR"/>
                </w:rPr>
              </w:pPr>
              <w:r>
                <w:rPr>
                  <w:noProof/>
                  <w:lang w:val="fr-FR"/>
                </w:rPr>
                <w:t xml:space="preserve">Markard, J., Truffer, B., &amp; Imboden, D. M. (2004). The impacts of market liberalization on innovation processes in the electricity sector. </w:t>
              </w:r>
              <w:r>
                <w:rPr>
                  <w:i/>
                  <w:iCs/>
                  <w:noProof/>
                  <w:lang w:val="fr-FR"/>
                </w:rPr>
                <w:t>Energy &amp; Environment</w:t>
              </w:r>
              <w:r>
                <w:rPr>
                  <w:noProof/>
                  <w:lang w:val="fr-FR"/>
                </w:rPr>
                <w:t>, 201-2014.</w:t>
              </w:r>
            </w:p>
            <w:p w14:paraId="4485C386" w14:textId="77777777" w:rsidR="00B24268" w:rsidRDefault="00B24268" w:rsidP="00B24268">
              <w:pPr>
                <w:pStyle w:val="Bibliography"/>
                <w:ind w:left="720" w:hanging="720"/>
                <w:rPr>
                  <w:noProof/>
                  <w:lang w:val="fr-FR"/>
                </w:rPr>
              </w:pPr>
              <w:r>
                <w:rPr>
                  <w:noProof/>
                  <w:lang w:val="fr-FR"/>
                </w:rPr>
                <w:t xml:space="preserve">Nesta, L., Vona, F., &amp; Nicolli, F. (2014). Environmental policies, competition and innovation in renewable energy. </w:t>
              </w:r>
              <w:r>
                <w:rPr>
                  <w:i/>
                  <w:iCs/>
                  <w:noProof/>
                  <w:lang w:val="fr-FR"/>
                </w:rPr>
                <w:t>Journal of Environmental Economics and Management</w:t>
              </w:r>
              <w:r>
                <w:rPr>
                  <w:noProof/>
                  <w:lang w:val="fr-FR"/>
                </w:rPr>
                <w:t>, 396-411.</w:t>
              </w:r>
            </w:p>
            <w:p w14:paraId="5AAAC5D1" w14:textId="77777777" w:rsidR="00B24268" w:rsidRDefault="00B24268" w:rsidP="00B24268">
              <w:pPr>
                <w:pStyle w:val="Bibliography"/>
                <w:ind w:left="720" w:hanging="720"/>
                <w:rPr>
                  <w:noProof/>
                  <w:lang w:val="fr-FR"/>
                </w:rPr>
              </w:pPr>
              <w:r>
                <w:rPr>
                  <w:noProof/>
                  <w:lang w:val="fr-FR"/>
                </w:rPr>
                <w:t xml:space="preserve">OECD. (2013). </w:t>
              </w:r>
              <w:r>
                <w:rPr>
                  <w:i/>
                  <w:iCs/>
                  <w:noProof/>
                  <w:lang w:val="fr-FR"/>
                </w:rPr>
                <w:t>Product Market Regulation Database</w:t>
              </w:r>
              <w:r>
                <w:rPr>
                  <w:noProof/>
                  <w:lang w:val="fr-FR"/>
                </w:rPr>
                <w:t>. Consulté le 7 1, 2015, sur OECD: www.oecd.org/economy/pmr</w:t>
              </w:r>
            </w:p>
            <w:p w14:paraId="6473D078" w14:textId="77777777" w:rsidR="00B24268" w:rsidRDefault="00B24268" w:rsidP="00B24268">
              <w:pPr>
                <w:pStyle w:val="Bibliography"/>
                <w:ind w:left="720" w:hanging="720"/>
                <w:rPr>
                  <w:noProof/>
                  <w:lang w:val="fr-FR"/>
                </w:rPr>
              </w:pPr>
              <w:r>
                <w:rPr>
                  <w:noProof/>
                  <w:lang w:val="fr-FR"/>
                </w:rPr>
                <w:t xml:space="preserve">Pakes, A., &amp; Griliches, Z. (1980). Patents and R and D at the Firm Level: A First Look. </w:t>
              </w:r>
              <w:r>
                <w:rPr>
                  <w:i/>
                  <w:iCs/>
                  <w:noProof/>
                  <w:lang w:val="fr-FR"/>
                </w:rPr>
                <w:t>Economic Letters</w:t>
              </w:r>
              <w:r>
                <w:rPr>
                  <w:noProof/>
                  <w:lang w:val="fr-FR"/>
                </w:rPr>
                <w:t>, 377-381.</w:t>
              </w:r>
            </w:p>
            <w:p w14:paraId="4A117ADD" w14:textId="77777777" w:rsidR="00B24268" w:rsidRDefault="00B24268" w:rsidP="00B24268">
              <w:pPr>
                <w:pStyle w:val="Bibliography"/>
                <w:ind w:left="720" w:hanging="720"/>
                <w:rPr>
                  <w:noProof/>
                  <w:lang w:val="fr-FR"/>
                </w:rPr>
              </w:pPr>
              <w:r>
                <w:rPr>
                  <w:noProof/>
                  <w:lang w:val="fr-FR"/>
                </w:rPr>
                <w:t xml:space="preserve">Pavitt, K. (1982). R&amp;D, patenting and innovative activities: A statistical exploration. </w:t>
              </w:r>
              <w:r>
                <w:rPr>
                  <w:i/>
                  <w:iCs/>
                  <w:noProof/>
                  <w:lang w:val="fr-FR"/>
                </w:rPr>
                <w:t>Research Policy</w:t>
              </w:r>
              <w:r>
                <w:rPr>
                  <w:noProof/>
                  <w:lang w:val="fr-FR"/>
                </w:rPr>
                <w:t>, 33-51.</w:t>
              </w:r>
            </w:p>
            <w:p w14:paraId="1BA34003" w14:textId="77777777" w:rsidR="00B24268" w:rsidRDefault="00B24268" w:rsidP="00B24268">
              <w:pPr>
                <w:pStyle w:val="Bibliography"/>
                <w:ind w:left="720" w:hanging="720"/>
                <w:rPr>
                  <w:noProof/>
                  <w:lang w:val="fr-FR"/>
                </w:rPr>
              </w:pPr>
              <w:r>
                <w:rPr>
                  <w:noProof/>
                  <w:lang w:val="fr-FR"/>
                </w:rPr>
                <w:t xml:space="preserve">Sanyal, P., &amp; Gosh, S. (2013). Product market competition and upstream innovation: evidence from the U.S. electricity market deregulation. </w:t>
              </w:r>
              <w:r>
                <w:rPr>
                  <w:i/>
                  <w:iCs/>
                  <w:noProof/>
                  <w:lang w:val="fr-FR"/>
                </w:rPr>
                <w:t>The Review of Economics and Statistics</w:t>
              </w:r>
              <w:r>
                <w:rPr>
                  <w:noProof/>
                  <w:lang w:val="fr-FR"/>
                </w:rPr>
                <w:t>, 237-254.</w:t>
              </w:r>
            </w:p>
            <w:p w14:paraId="60DB70C1" w14:textId="77777777" w:rsidR="00B24268" w:rsidRDefault="00B24268" w:rsidP="00B24268">
              <w:pPr>
                <w:pStyle w:val="Bibliography"/>
                <w:ind w:left="720" w:hanging="720"/>
                <w:rPr>
                  <w:noProof/>
                  <w:lang w:val="fr-FR"/>
                </w:rPr>
              </w:pPr>
              <w:r>
                <w:rPr>
                  <w:noProof/>
                  <w:lang w:val="fr-FR"/>
                </w:rPr>
                <w:t xml:space="preserve">Scherer, F. (1983). The propensity to patent. </w:t>
              </w:r>
              <w:r>
                <w:rPr>
                  <w:i/>
                  <w:iCs/>
                  <w:noProof/>
                  <w:lang w:val="fr-FR"/>
                </w:rPr>
                <w:t>International Journal of Industrial Organization</w:t>
              </w:r>
              <w:r>
                <w:rPr>
                  <w:noProof/>
                  <w:lang w:val="fr-FR"/>
                </w:rPr>
                <w:t>, 107-128.</w:t>
              </w:r>
            </w:p>
            <w:p w14:paraId="5D8188C2" w14:textId="77777777" w:rsidR="00B24268" w:rsidRDefault="00B24268" w:rsidP="00B24268">
              <w:pPr>
                <w:pStyle w:val="Bibliography"/>
                <w:ind w:left="720" w:hanging="720"/>
                <w:rPr>
                  <w:noProof/>
                  <w:lang w:val="fr-FR"/>
                </w:rPr>
              </w:pPr>
              <w:r>
                <w:rPr>
                  <w:noProof/>
                  <w:lang w:val="fr-FR"/>
                </w:rPr>
                <w:lastRenderedPageBreak/>
                <w:t xml:space="preserve">Sheremata, W. A. (1997). Barriers to innovation: a monopoly, network externalities, and the speed of innovation. </w:t>
              </w:r>
              <w:r>
                <w:rPr>
                  <w:i/>
                  <w:iCs/>
                  <w:noProof/>
                  <w:lang w:val="fr-FR"/>
                </w:rPr>
                <w:t>The Antitrust Bulletin</w:t>
              </w:r>
              <w:r>
                <w:rPr>
                  <w:noProof/>
                  <w:lang w:val="fr-FR"/>
                </w:rPr>
                <w:t>, 937-972.</w:t>
              </w:r>
            </w:p>
            <w:p w14:paraId="4D6862DA" w14:textId="77777777" w:rsidR="00B24268" w:rsidRDefault="00B24268" w:rsidP="00B24268">
              <w:pPr>
                <w:pStyle w:val="Bibliography"/>
                <w:ind w:left="720" w:hanging="720"/>
                <w:rPr>
                  <w:noProof/>
                  <w:lang w:val="fr-FR"/>
                </w:rPr>
              </w:pPr>
              <w:r>
                <w:rPr>
                  <w:noProof/>
                  <w:lang w:val="fr-FR"/>
                </w:rPr>
                <w:t xml:space="preserve">Smiley, R. (1988). Empirical evidence on strategic entry deterrence. </w:t>
              </w:r>
              <w:r>
                <w:rPr>
                  <w:i/>
                  <w:iCs/>
                  <w:noProof/>
                  <w:lang w:val="fr-FR"/>
                </w:rPr>
                <w:t>International Journal of Industrial Organization</w:t>
              </w:r>
              <w:r>
                <w:rPr>
                  <w:noProof/>
                  <w:lang w:val="fr-FR"/>
                </w:rPr>
                <w:t>, 167-180.</w:t>
              </w:r>
            </w:p>
            <w:p w14:paraId="38A52002" w14:textId="77777777" w:rsidR="00B24268" w:rsidRDefault="00B24268" w:rsidP="00B24268">
              <w:pPr>
                <w:pStyle w:val="Bibliography"/>
                <w:ind w:left="720" w:hanging="720"/>
                <w:rPr>
                  <w:noProof/>
                  <w:lang w:val="fr-FR"/>
                </w:rPr>
              </w:pPr>
              <w:r>
                <w:rPr>
                  <w:noProof/>
                  <w:lang w:val="fr-FR"/>
                </w:rPr>
                <w:t xml:space="preserve">WIPO. (2015, 01 01). </w:t>
              </w:r>
              <w:r>
                <w:rPr>
                  <w:i/>
                  <w:iCs/>
                  <w:noProof/>
                  <w:lang w:val="fr-FR"/>
                </w:rPr>
                <w:t>International Patent Classification</w:t>
              </w:r>
              <w:r>
                <w:rPr>
                  <w:noProof/>
                  <w:lang w:val="fr-FR"/>
                </w:rPr>
                <w:t>. Consulté le 07 26, 2015, sur WIPO: http://www.wipo.int/classifications/ipc/en/</w:t>
              </w:r>
            </w:p>
            <w:p w14:paraId="5F787F36" w14:textId="77777777" w:rsidR="008C7117" w:rsidRDefault="008C7117" w:rsidP="00B24268">
              <w:r>
                <w:rPr>
                  <w:b/>
                  <w:bCs/>
                  <w:noProof/>
                </w:rPr>
                <w:fldChar w:fldCharType="end"/>
              </w:r>
            </w:p>
          </w:sdtContent>
        </w:sdt>
      </w:sdtContent>
    </w:sdt>
    <w:p w14:paraId="2CB51176" w14:textId="77777777" w:rsidR="00DE1A2A" w:rsidRDefault="00DE1A2A" w:rsidP="00DE1A2A">
      <w:pPr>
        <w:rPr>
          <w:lang w:val="en-US" w:eastAsia="nl-NL"/>
        </w:rPr>
      </w:pPr>
    </w:p>
    <w:p w14:paraId="396BA359" w14:textId="77777777" w:rsidR="004B0905" w:rsidRPr="00DE1A2A" w:rsidRDefault="004B0905" w:rsidP="00DE1A2A">
      <w:pPr>
        <w:rPr>
          <w:lang w:val="en-US" w:eastAsia="nl-NL"/>
        </w:rPr>
      </w:pPr>
    </w:p>
    <w:sectPr w:rsidR="004B0905" w:rsidRPr="00DE1A2A" w:rsidSect="00C3511A">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B9128" w14:textId="77777777" w:rsidR="001E69B9" w:rsidRDefault="001E69B9" w:rsidP="00C86D9C">
      <w:pPr>
        <w:spacing w:after="0" w:line="240" w:lineRule="auto"/>
      </w:pPr>
      <w:r>
        <w:separator/>
      </w:r>
    </w:p>
  </w:endnote>
  <w:endnote w:type="continuationSeparator" w:id="0">
    <w:p w14:paraId="21857A24" w14:textId="77777777" w:rsidR="001E69B9" w:rsidRDefault="001E69B9" w:rsidP="00C86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5B30EB" w14:textId="77777777" w:rsidR="001E69B9" w:rsidRDefault="001E69B9" w:rsidP="00C86D9C">
      <w:pPr>
        <w:spacing w:after="0" w:line="240" w:lineRule="auto"/>
      </w:pPr>
      <w:r>
        <w:separator/>
      </w:r>
    </w:p>
  </w:footnote>
  <w:footnote w:type="continuationSeparator" w:id="0">
    <w:p w14:paraId="7DA499A1" w14:textId="77777777" w:rsidR="001E69B9" w:rsidRDefault="001E69B9" w:rsidP="00C86D9C">
      <w:pPr>
        <w:spacing w:after="0" w:line="240" w:lineRule="auto"/>
      </w:pPr>
      <w:r>
        <w:continuationSeparator/>
      </w:r>
    </w:p>
  </w:footnote>
  <w:footnote w:id="1">
    <w:p w14:paraId="36FFE819" w14:textId="2AE6F73F" w:rsidR="00221BBB" w:rsidRPr="00E94AFE" w:rsidRDefault="00221BBB">
      <w:pPr>
        <w:pStyle w:val="FootnoteText"/>
        <w:rPr>
          <w:lang w:val="en-US"/>
        </w:rPr>
      </w:pPr>
      <w:r>
        <w:rPr>
          <w:rStyle w:val="FootnoteReference"/>
        </w:rPr>
        <w:footnoteRef/>
      </w:r>
      <w:r w:rsidRPr="00E94AFE">
        <w:rPr>
          <w:lang w:val="en-US"/>
        </w:rPr>
        <w:t xml:space="preserve"> </w:t>
      </w:r>
      <w:sdt>
        <w:sdtPr>
          <w:rPr>
            <w:lang w:val="en-US"/>
          </w:rPr>
          <w:id w:val="1663354217"/>
          <w:citation/>
        </w:sdtPr>
        <w:sdtEndPr/>
        <w:sdtContent>
          <w:r>
            <w:rPr>
              <w:lang w:val="en-US"/>
            </w:rPr>
            <w:fldChar w:fldCharType="begin"/>
          </w:r>
          <w:r w:rsidRPr="00EA487B">
            <w:rPr>
              <w:lang w:val="en-US"/>
            </w:rPr>
            <w:instrText xml:space="preserve"> CITATION OEC15 \l 1043 </w:instrText>
          </w:r>
          <w:r>
            <w:rPr>
              <w:lang w:val="en-US"/>
            </w:rPr>
            <w:fldChar w:fldCharType="separate"/>
          </w:r>
          <w:r w:rsidR="00B24268" w:rsidRPr="00B24268">
            <w:rPr>
              <w:noProof/>
              <w:lang w:val="en-US"/>
            </w:rPr>
            <w:t>(OECD, 2013)</w:t>
          </w:r>
          <w:r>
            <w:rPr>
              <w:lang w:val="en-US"/>
            </w:rPr>
            <w:fldChar w:fldCharType="end"/>
          </w:r>
        </w:sdtContent>
      </w:sdt>
    </w:p>
  </w:footnote>
  <w:footnote w:id="2">
    <w:p w14:paraId="40FCCD81" w14:textId="20D7F464" w:rsidR="00221BBB" w:rsidRPr="00EA487B" w:rsidRDefault="00221BBB">
      <w:pPr>
        <w:pStyle w:val="FootnoteText"/>
        <w:rPr>
          <w:lang w:val="en-US"/>
        </w:rPr>
      </w:pPr>
      <w:r>
        <w:rPr>
          <w:rStyle w:val="FootnoteReference"/>
        </w:rPr>
        <w:footnoteRef/>
      </w:r>
      <w:r w:rsidRPr="00EA487B">
        <w:rPr>
          <w:lang w:val="en-US"/>
        </w:rPr>
        <w:t xml:space="preserve"> </w:t>
      </w:r>
      <w:sdt>
        <w:sdtPr>
          <w:rPr>
            <w:lang w:val="en-US"/>
          </w:rPr>
          <w:id w:val="1313982596"/>
          <w:citation/>
        </w:sdtPr>
        <w:sdtEndPr/>
        <w:sdtContent>
          <w:r>
            <w:rPr>
              <w:lang w:val="en-US"/>
            </w:rPr>
            <w:fldChar w:fldCharType="begin"/>
          </w:r>
          <w:r w:rsidRPr="00EA487B">
            <w:rPr>
              <w:lang w:val="en-US"/>
            </w:rPr>
            <w:instrText xml:space="preserve"> CITATION Bur15 \l 1043 </w:instrText>
          </w:r>
          <w:r>
            <w:rPr>
              <w:lang w:val="en-US"/>
            </w:rPr>
            <w:fldChar w:fldCharType="separate"/>
          </w:r>
          <w:r w:rsidR="00B24268" w:rsidRPr="00B24268">
            <w:rPr>
              <w:noProof/>
              <w:lang w:val="en-US"/>
            </w:rPr>
            <w:t>(Bureau van Dijk, 2015)</w:t>
          </w:r>
          <w:r>
            <w:rPr>
              <w:lang w:val="en-US"/>
            </w:rPr>
            <w:fldChar w:fldCharType="end"/>
          </w:r>
        </w:sdtContent>
      </w:sdt>
    </w:p>
  </w:footnote>
  <w:footnote w:id="3">
    <w:p w14:paraId="786F78D5" w14:textId="349494C9" w:rsidR="00221BBB" w:rsidRPr="00EA487B" w:rsidRDefault="00221BBB">
      <w:pPr>
        <w:pStyle w:val="FootnoteText"/>
        <w:rPr>
          <w:lang w:val="en-US"/>
        </w:rPr>
      </w:pPr>
      <w:r>
        <w:rPr>
          <w:rStyle w:val="FootnoteReference"/>
        </w:rPr>
        <w:footnoteRef/>
      </w:r>
      <w:r w:rsidRPr="00EA487B">
        <w:rPr>
          <w:lang w:val="en-US"/>
        </w:rPr>
        <w:t xml:space="preserve"> </w:t>
      </w:r>
      <w:r>
        <w:rPr>
          <w:lang w:val="en-US"/>
        </w:rPr>
        <w:t>OECD does not specify how the annual data is extracted from the questionnaires.</w:t>
      </w:r>
    </w:p>
  </w:footnote>
  <w:footnote w:id="4">
    <w:p w14:paraId="0895ACFB" w14:textId="1BC1E25D" w:rsidR="00221BBB" w:rsidRPr="00C86D9C" w:rsidRDefault="00221BBB">
      <w:pPr>
        <w:pStyle w:val="FootnoteText"/>
        <w:rPr>
          <w:lang w:val="en-US"/>
        </w:rPr>
      </w:pPr>
      <w:r>
        <w:rPr>
          <w:rStyle w:val="FootnoteReference"/>
        </w:rPr>
        <w:footnoteRef/>
      </w:r>
      <w:r w:rsidRPr="00C86D9C">
        <w:rPr>
          <w:lang w:val="en-US"/>
        </w:rPr>
        <w:t xml:space="preserve"> </w:t>
      </w:r>
      <w:r>
        <w:rPr>
          <w:lang w:val="en-US"/>
        </w:rPr>
        <w:t>2014 is excluded, because not all applications made in 2014 have been published yet</w:t>
      </w:r>
    </w:p>
  </w:footnote>
  <w:footnote w:id="5">
    <w:p w14:paraId="77B4E4D6" w14:textId="7652A290" w:rsidR="00221BBB" w:rsidRPr="00105E3B" w:rsidRDefault="00221BBB">
      <w:pPr>
        <w:pStyle w:val="FootnoteText"/>
        <w:rPr>
          <w:lang w:val="en-US"/>
        </w:rPr>
      </w:pPr>
      <w:r>
        <w:rPr>
          <w:rStyle w:val="FootnoteReference"/>
        </w:rPr>
        <w:footnoteRef/>
      </w:r>
      <w:r w:rsidRPr="00105E3B">
        <w:rPr>
          <w:lang w:val="en-US"/>
        </w:rPr>
        <w:t xml:space="preserve"> The effect of the size of the market is already captured by the independent variable </w:t>
      </w:r>
      <w:r>
        <w:rPr>
          <w:lang w:val="en-US"/>
        </w:rPr>
        <w:t>log of the electricity consumption.  Adding the log of total number of applications as independent variable may have the risk of collinearity in the explanatory variables. This study did not test for collinearity.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34336"/>
    <w:multiLevelType w:val="hybridMultilevel"/>
    <w:tmpl w:val="26200C3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D237E5A"/>
    <w:multiLevelType w:val="hybridMultilevel"/>
    <w:tmpl w:val="A6C086DA"/>
    <w:lvl w:ilvl="0" w:tplc="7B90B656">
      <w:numFmt w:val="bullet"/>
      <w:lvlText w:val=""/>
      <w:lvlJc w:val="left"/>
      <w:pPr>
        <w:ind w:left="720" w:hanging="360"/>
      </w:pPr>
      <w:rPr>
        <w:rFonts w:ascii="Symbol" w:eastAsia="Times New Roman" w:hAnsi="Symbol" w:cs="Aria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2364568"/>
    <w:multiLevelType w:val="hybridMultilevel"/>
    <w:tmpl w:val="26200C3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B175A7E"/>
    <w:multiLevelType w:val="multilevel"/>
    <w:tmpl w:val="CFAC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6D361E"/>
    <w:multiLevelType w:val="hybridMultilevel"/>
    <w:tmpl w:val="7AC073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B921B71"/>
    <w:multiLevelType w:val="hybridMultilevel"/>
    <w:tmpl w:val="49E07A18"/>
    <w:lvl w:ilvl="0" w:tplc="F73A1E4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78BF1CD6"/>
    <w:multiLevelType w:val="hybridMultilevel"/>
    <w:tmpl w:val="40E02FA4"/>
    <w:lvl w:ilvl="0" w:tplc="40426F5A">
      <w:start w:val="2"/>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FD61ABB"/>
    <w:multiLevelType w:val="hybridMultilevel"/>
    <w:tmpl w:val="EFAEA5C6"/>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6"/>
  </w:num>
  <w:num w:numId="3">
    <w:abstractNumId w:val="1"/>
  </w:num>
  <w:num w:numId="4">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4"/>
  </w:num>
  <w:num w:numId="6">
    <w:abstractNumId w:val="7"/>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69D"/>
    <w:rsid w:val="00006029"/>
    <w:rsid w:val="00007D3E"/>
    <w:rsid w:val="000127BC"/>
    <w:rsid w:val="00012BFE"/>
    <w:rsid w:val="00030120"/>
    <w:rsid w:val="00033179"/>
    <w:rsid w:val="00034CB9"/>
    <w:rsid w:val="000411C0"/>
    <w:rsid w:val="0004599D"/>
    <w:rsid w:val="00050018"/>
    <w:rsid w:val="00057CF0"/>
    <w:rsid w:val="00061584"/>
    <w:rsid w:val="00072EE3"/>
    <w:rsid w:val="0007368E"/>
    <w:rsid w:val="00081E94"/>
    <w:rsid w:val="0008743A"/>
    <w:rsid w:val="00092B35"/>
    <w:rsid w:val="00093B4D"/>
    <w:rsid w:val="000B59E3"/>
    <w:rsid w:val="000D326C"/>
    <w:rsid w:val="000D6277"/>
    <w:rsid w:val="000E0CF0"/>
    <w:rsid w:val="000E3BE4"/>
    <w:rsid w:val="000E4AEA"/>
    <w:rsid w:val="000F2A52"/>
    <w:rsid w:val="000F740B"/>
    <w:rsid w:val="00101746"/>
    <w:rsid w:val="00105E3B"/>
    <w:rsid w:val="00121C63"/>
    <w:rsid w:val="00130292"/>
    <w:rsid w:val="00137D9B"/>
    <w:rsid w:val="00142C35"/>
    <w:rsid w:val="001432D0"/>
    <w:rsid w:val="00143A13"/>
    <w:rsid w:val="001468B1"/>
    <w:rsid w:val="00147B28"/>
    <w:rsid w:val="00151E24"/>
    <w:rsid w:val="001545FC"/>
    <w:rsid w:val="001653BC"/>
    <w:rsid w:val="001671CF"/>
    <w:rsid w:val="00173D07"/>
    <w:rsid w:val="001A1999"/>
    <w:rsid w:val="001A1DC4"/>
    <w:rsid w:val="001A7C4D"/>
    <w:rsid w:val="001B3F45"/>
    <w:rsid w:val="001C451C"/>
    <w:rsid w:val="001C75B6"/>
    <w:rsid w:val="001C76F3"/>
    <w:rsid w:val="001D3F64"/>
    <w:rsid w:val="001D5196"/>
    <w:rsid w:val="001D5A0B"/>
    <w:rsid w:val="001E3CF0"/>
    <w:rsid w:val="001E69B9"/>
    <w:rsid w:val="001E6B64"/>
    <w:rsid w:val="001F0B21"/>
    <w:rsid w:val="001F182E"/>
    <w:rsid w:val="001F6842"/>
    <w:rsid w:val="0020296E"/>
    <w:rsid w:val="00202C5C"/>
    <w:rsid w:val="00202D02"/>
    <w:rsid w:val="00203A00"/>
    <w:rsid w:val="00206F9B"/>
    <w:rsid w:val="00221BBB"/>
    <w:rsid w:val="00221F04"/>
    <w:rsid w:val="002225A5"/>
    <w:rsid w:val="00234355"/>
    <w:rsid w:val="0023514D"/>
    <w:rsid w:val="00235213"/>
    <w:rsid w:val="002371F5"/>
    <w:rsid w:val="00244EFE"/>
    <w:rsid w:val="002472FD"/>
    <w:rsid w:val="00253761"/>
    <w:rsid w:val="00257045"/>
    <w:rsid w:val="00264327"/>
    <w:rsid w:val="0027548A"/>
    <w:rsid w:val="00280675"/>
    <w:rsid w:val="002843A8"/>
    <w:rsid w:val="00293958"/>
    <w:rsid w:val="00294717"/>
    <w:rsid w:val="0029663D"/>
    <w:rsid w:val="002A6035"/>
    <w:rsid w:val="002B6608"/>
    <w:rsid w:val="002E1577"/>
    <w:rsid w:val="002E32D3"/>
    <w:rsid w:val="002E36CB"/>
    <w:rsid w:val="002E6DE1"/>
    <w:rsid w:val="002E72F1"/>
    <w:rsid w:val="002E7720"/>
    <w:rsid w:val="00305FE9"/>
    <w:rsid w:val="00312663"/>
    <w:rsid w:val="003152A8"/>
    <w:rsid w:val="003314A1"/>
    <w:rsid w:val="003330D2"/>
    <w:rsid w:val="00342659"/>
    <w:rsid w:val="00342E98"/>
    <w:rsid w:val="00344555"/>
    <w:rsid w:val="0034650C"/>
    <w:rsid w:val="00355B2C"/>
    <w:rsid w:val="00357E30"/>
    <w:rsid w:val="00364DD1"/>
    <w:rsid w:val="00365A0F"/>
    <w:rsid w:val="003662A0"/>
    <w:rsid w:val="00371299"/>
    <w:rsid w:val="00372F90"/>
    <w:rsid w:val="0037757B"/>
    <w:rsid w:val="00381D3A"/>
    <w:rsid w:val="00385480"/>
    <w:rsid w:val="00394099"/>
    <w:rsid w:val="003948DE"/>
    <w:rsid w:val="00394ECC"/>
    <w:rsid w:val="00397FC7"/>
    <w:rsid w:val="003B2C56"/>
    <w:rsid w:val="003C19D9"/>
    <w:rsid w:val="003C32C7"/>
    <w:rsid w:val="003C523A"/>
    <w:rsid w:val="003C6439"/>
    <w:rsid w:val="003D68CA"/>
    <w:rsid w:val="003D7051"/>
    <w:rsid w:val="003F0B20"/>
    <w:rsid w:val="003F2095"/>
    <w:rsid w:val="003F4F13"/>
    <w:rsid w:val="00404E2C"/>
    <w:rsid w:val="004223D2"/>
    <w:rsid w:val="00426970"/>
    <w:rsid w:val="00440691"/>
    <w:rsid w:val="00441B78"/>
    <w:rsid w:val="004647D7"/>
    <w:rsid w:val="00467C38"/>
    <w:rsid w:val="00475D13"/>
    <w:rsid w:val="004821CA"/>
    <w:rsid w:val="00490E46"/>
    <w:rsid w:val="00490FAE"/>
    <w:rsid w:val="004A541A"/>
    <w:rsid w:val="004A6901"/>
    <w:rsid w:val="004A6F00"/>
    <w:rsid w:val="004B0905"/>
    <w:rsid w:val="004B4C6A"/>
    <w:rsid w:val="004B5125"/>
    <w:rsid w:val="004C073A"/>
    <w:rsid w:val="004C180F"/>
    <w:rsid w:val="004C3B5E"/>
    <w:rsid w:val="004D6C45"/>
    <w:rsid w:val="004E4947"/>
    <w:rsid w:val="004E4EF8"/>
    <w:rsid w:val="004F3FE7"/>
    <w:rsid w:val="004F576F"/>
    <w:rsid w:val="00500839"/>
    <w:rsid w:val="00502B5A"/>
    <w:rsid w:val="005438A2"/>
    <w:rsid w:val="00543B0E"/>
    <w:rsid w:val="005443FE"/>
    <w:rsid w:val="00545F1A"/>
    <w:rsid w:val="0056156C"/>
    <w:rsid w:val="0056713A"/>
    <w:rsid w:val="005739A3"/>
    <w:rsid w:val="00582731"/>
    <w:rsid w:val="005828D0"/>
    <w:rsid w:val="00583571"/>
    <w:rsid w:val="00585E74"/>
    <w:rsid w:val="00597FB8"/>
    <w:rsid w:val="005A4DE5"/>
    <w:rsid w:val="005B37A9"/>
    <w:rsid w:val="005B5507"/>
    <w:rsid w:val="005C1773"/>
    <w:rsid w:val="005C1CB1"/>
    <w:rsid w:val="005C38B2"/>
    <w:rsid w:val="005C3B6D"/>
    <w:rsid w:val="005C59CF"/>
    <w:rsid w:val="005E2AB5"/>
    <w:rsid w:val="005F45FB"/>
    <w:rsid w:val="005F7BA3"/>
    <w:rsid w:val="00606DF0"/>
    <w:rsid w:val="00614EC9"/>
    <w:rsid w:val="006164F8"/>
    <w:rsid w:val="00636116"/>
    <w:rsid w:val="0063622B"/>
    <w:rsid w:val="00647EEB"/>
    <w:rsid w:val="00667051"/>
    <w:rsid w:val="006705D8"/>
    <w:rsid w:val="00675E9B"/>
    <w:rsid w:val="006830F0"/>
    <w:rsid w:val="00683CD0"/>
    <w:rsid w:val="00685B42"/>
    <w:rsid w:val="00692AF9"/>
    <w:rsid w:val="006A3D4E"/>
    <w:rsid w:val="006A53A0"/>
    <w:rsid w:val="006A6841"/>
    <w:rsid w:val="006B1E0D"/>
    <w:rsid w:val="006B4733"/>
    <w:rsid w:val="006C0A1C"/>
    <w:rsid w:val="006C25AD"/>
    <w:rsid w:val="006D24DE"/>
    <w:rsid w:val="006D5C94"/>
    <w:rsid w:val="006D7E3B"/>
    <w:rsid w:val="006E1AB9"/>
    <w:rsid w:val="00724CE7"/>
    <w:rsid w:val="00725FB4"/>
    <w:rsid w:val="0073242A"/>
    <w:rsid w:val="00742E5C"/>
    <w:rsid w:val="00747463"/>
    <w:rsid w:val="007569D8"/>
    <w:rsid w:val="00772CC9"/>
    <w:rsid w:val="00773058"/>
    <w:rsid w:val="00797559"/>
    <w:rsid w:val="007A2B80"/>
    <w:rsid w:val="007B1C44"/>
    <w:rsid w:val="007B293E"/>
    <w:rsid w:val="007C50C3"/>
    <w:rsid w:val="007C7999"/>
    <w:rsid w:val="007D16F2"/>
    <w:rsid w:val="007E06ED"/>
    <w:rsid w:val="007E65FC"/>
    <w:rsid w:val="007E682C"/>
    <w:rsid w:val="007F033A"/>
    <w:rsid w:val="007F38D7"/>
    <w:rsid w:val="00805CE6"/>
    <w:rsid w:val="008125C1"/>
    <w:rsid w:val="00812908"/>
    <w:rsid w:val="00812B90"/>
    <w:rsid w:val="00817C3B"/>
    <w:rsid w:val="00826898"/>
    <w:rsid w:val="00833EE6"/>
    <w:rsid w:val="0084183D"/>
    <w:rsid w:val="00841ECC"/>
    <w:rsid w:val="00843D92"/>
    <w:rsid w:val="008469C4"/>
    <w:rsid w:val="00870C40"/>
    <w:rsid w:val="008712DE"/>
    <w:rsid w:val="00873DB0"/>
    <w:rsid w:val="0087635E"/>
    <w:rsid w:val="00877009"/>
    <w:rsid w:val="00885099"/>
    <w:rsid w:val="00893172"/>
    <w:rsid w:val="008B351B"/>
    <w:rsid w:val="008B7C16"/>
    <w:rsid w:val="008C07D0"/>
    <w:rsid w:val="008C1BAA"/>
    <w:rsid w:val="008C7117"/>
    <w:rsid w:val="008D22FE"/>
    <w:rsid w:val="008D3689"/>
    <w:rsid w:val="008E7C6E"/>
    <w:rsid w:val="008F7B5B"/>
    <w:rsid w:val="00905E3B"/>
    <w:rsid w:val="00920E93"/>
    <w:rsid w:val="009255E6"/>
    <w:rsid w:val="0094062D"/>
    <w:rsid w:val="00943BB9"/>
    <w:rsid w:val="009467F8"/>
    <w:rsid w:val="00951231"/>
    <w:rsid w:val="00964DDE"/>
    <w:rsid w:val="00965295"/>
    <w:rsid w:val="00974BBF"/>
    <w:rsid w:val="0097578C"/>
    <w:rsid w:val="009922B1"/>
    <w:rsid w:val="00993E3E"/>
    <w:rsid w:val="009A0F03"/>
    <w:rsid w:val="009B25D6"/>
    <w:rsid w:val="009C26CF"/>
    <w:rsid w:val="009C6BCD"/>
    <w:rsid w:val="009E340F"/>
    <w:rsid w:val="009E629A"/>
    <w:rsid w:val="009F0CAA"/>
    <w:rsid w:val="009F32A6"/>
    <w:rsid w:val="009F7CB6"/>
    <w:rsid w:val="00A033C8"/>
    <w:rsid w:val="00A16F65"/>
    <w:rsid w:val="00A23821"/>
    <w:rsid w:val="00A613D9"/>
    <w:rsid w:val="00A643A1"/>
    <w:rsid w:val="00A865EE"/>
    <w:rsid w:val="00A9464B"/>
    <w:rsid w:val="00A948B6"/>
    <w:rsid w:val="00AB2B0F"/>
    <w:rsid w:val="00AB4A81"/>
    <w:rsid w:val="00AB6847"/>
    <w:rsid w:val="00AB7E3A"/>
    <w:rsid w:val="00AC04EA"/>
    <w:rsid w:val="00AD53B9"/>
    <w:rsid w:val="00AD6909"/>
    <w:rsid w:val="00AE368A"/>
    <w:rsid w:val="00AE68E7"/>
    <w:rsid w:val="00AF3C4D"/>
    <w:rsid w:val="00B112C7"/>
    <w:rsid w:val="00B13B63"/>
    <w:rsid w:val="00B16D4E"/>
    <w:rsid w:val="00B24268"/>
    <w:rsid w:val="00B319F9"/>
    <w:rsid w:val="00B3493D"/>
    <w:rsid w:val="00B355B0"/>
    <w:rsid w:val="00B505BC"/>
    <w:rsid w:val="00B51460"/>
    <w:rsid w:val="00B73F87"/>
    <w:rsid w:val="00B800A5"/>
    <w:rsid w:val="00B836A9"/>
    <w:rsid w:val="00B8572C"/>
    <w:rsid w:val="00B95511"/>
    <w:rsid w:val="00BA1B24"/>
    <w:rsid w:val="00BA534C"/>
    <w:rsid w:val="00BA6FEE"/>
    <w:rsid w:val="00BB15DE"/>
    <w:rsid w:val="00BB16E3"/>
    <w:rsid w:val="00BC354C"/>
    <w:rsid w:val="00BC6A9D"/>
    <w:rsid w:val="00BC7251"/>
    <w:rsid w:val="00BD2A8D"/>
    <w:rsid w:val="00BD30B0"/>
    <w:rsid w:val="00BD3C52"/>
    <w:rsid w:val="00BE7004"/>
    <w:rsid w:val="00BF72B2"/>
    <w:rsid w:val="00C01B5F"/>
    <w:rsid w:val="00C121A6"/>
    <w:rsid w:val="00C1248E"/>
    <w:rsid w:val="00C16A8C"/>
    <w:rsid w:val="00C32914"/>
    <w:rsid w:val="00C333CF"/>
    <w:rsid w:val="00C3511A"/>
    <w:rsid w:val="00C35C5C"/>
    <w:rsid w:val="00C511D6"/>
    <w:rsid w:val="00C52F1D"/>
    <w:rsid w:val="00C55BBE"/>
    <w:rsid w:val="00C633CC"/>
    <w:rsid w:val="00C77252"/>
    <w:rsid w:val="00C85D32"/>
    <w:rsid w:val="00C86119"/>
    <w:rsid w:val="00C86D9C"/>
    <w:rsid w:val="00CA0CF5"/>
    <w:rsid w:val="00CB32B4"/>
    <w:rsid w:val="00CB61B6"/>
    <w:rsid w:val="00CC409C"/>
    <w:rsid w:val="00CD021E"/>
    <w:rsid w:val="00CD1052"/>
    <w:rsid w:val="00CD1CC2"/>
    <w:rsid w:val="00CD2C94"/>
    <w:rsid w:val="00CF2270"/>
    <w:rsid w:val="00CF35E5"/>
    <w:rsid w:val="00CF506B"/>
    <w:rsid w:val="00D109A4"/>
    <w:rsid w:val="00D21A11"/>
    <w:rsid w:val="00D33FA0"/>
    <w:rsid w:val="00D56089"/>
    <w:rsid w:val="00D56393"/>
    <w:rsid w:val="00D57582"/>
    <w:rsid w:val="00D709AA"/>
    <w:rsid w:val="00D70B20"/>
    <w:rsid w:val="00D721D4"/>
    <w:rsid w:val="00D73132"/>
    <w:rsid w:val="00D733C8"/>
    <w:rsid w:val="00D9667A"/>
    <w:rsid w:val="00DA082F"/>
    <w:rsid w:val="00DA7DF0"/>
    <w:rsid w:val="00DB6896"/>
    <w:rsid w:val="00DC0E00"/>
    <w:rsid w:val="00DC1D24"/>
    <w:rsid w:val="00DC6C94"/>
    <w:rsid w:val="00DD24B4"/>
    <w:rsid w:val="00DE1A2A"/>
    <w:rsid w:val="00DE68E4"/>
    <w:rsid w:val="00DF0FFB"/>
    <w:rsid w:val="00DF1385"/>
    <w:rsid w:val="00E06607"/>
    <w:rsid w:val="00E12DEF"/>
    <w:rsid w:val="00E22075"/>
    <w:rsid w:val="00E26C70"/>
    <w:rsid w:val="00E27261"/>
    <w:rsid w:val="00E31A50"/>
    <w:rsid w:val="00E463D1"/>
    <w:rsid w:val="00E46988"/>
    <w:rsid w:val="00E50F16"/>
    <w:rsid w:val="00E51785"/>
    <w:rsid w:val="00E554F1"/>
    <w:rsid w:val="00E600CE"/>
    <w:rsid w:val="00E611F4"/>
    <w:rsid w:val="00E6269D"/>
    <w:rsid w:val="00E72BC7"/>
    <w:rsid w:val="00E742BA"/>
    <w:rsid w:val="00E77EAA"/>
    <w:rsid w:val="00E94AFE"/>
    <w:rsid w:val="00EA0B36"/>
    <w:rsid w:val="00EA487B"/>
    <w:rsid w:val="00EB6136"/>
    <w:rsid w:val="00EC3E31"/>
    <w:rsid w:val="00ED1C44"/>
    <w:rsid w:val="00EE044A"/>
    <w:rsid w:val="00EE79FF"/>
    <w:rsid w:val="00EE7C16"/>
    <w:rsid w:val="00EF211C"/>
    <w:rsid w:val="00EF7667"/>
    <w:rsid w:val="00EF7894"/>
    <w:rsid w:val="00EF7F28"/>
    <w:rsid w:val="00F04B92"/>
    <w:rsid w:val="00F07CAD"/>
    <w:rsid w:val="00F122C1"/>
    <w:rsid w:val="00F21813"/>
    <w:rsid w:val="00F2780F"/>
    <w:rsid w:val="00F27C2A"/>
    <w:rsid w:val="00F36AE8"/>
    <w:rsid w:val="00F3704F"/>
    <w:rsid w:val="00F45246"/>
    <w:rsid w:val="00F47130"/>
    <w:rsid w:val="00F4783B"/>
    <w:rsid w:val="00F62C19"/>
    <w:rsid w:val="00F71214"/>
    <w:rsid w:val="00F87B21"/>
    <w:rsid w:val="00F94490"/>
    <w:rsid w:val="00F95156"/>
    <w:rsid w:val="00FA36C1"/>
    <w:rsid w:val="00FB2203"/>
    <w:rsid w:val="00FB4380"/>
    <w:rsid w:val="00FB57DF"/>
    <w:rsid w:val="00FB7559"/>
    <w:rsid w:val="00FC58DD"/>
    <w:rsid w:val="00FC594C"/>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674E41"/>
  <w15:docId w15:val="{ECD78494-5BE2-4F75-888C-8259095F5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0C3"/>
    <w:pPr>
      <w:spacing w:line="360" w:lineRule="auto"/>
      <w:jc w:val="both"/>
    </w:pPr>
    <w:rPr>
      <w:rFonts w:ascii="Arial" w:hAnsi="Arial"/>
    </w:rPr>
  </w:style>
  <w:style w:type="paragraph" w:styleId="Heading1">
    <w:name w:val="heading 1"/>
    <w:basedOn w:val="Normal"/>
    <w:next w:val="Normal"/>
    <w:link w:val="Heading1Char"/>
    <w:uiPriority w:val="9"/>
    <w:qFormat/>
    <w:rsid w:val="00E6269D"/>
    <w:pPr>
      <w:spacing w:before="100" w:beforeAutospacing="1" w:after="100" w:afterAutospacing="1" w:line="240" w:lineRule="auto"/>
      <w:outlineLvl w:val="0"/>
    </w:pPr>
    <w:rPr>
      <w:rFonts w:ascii="Times New Roman" w:eastAsia="Times New Roman" w:hAnsi="Times New Roman" w:cs="Times New Roman"/>
      <w:b/>
      <w:bCs/>
      <w:kern w:val="36"/>
      <w:sz w:val="32"/>
      <w:szCs w:val="48"/>
      <w:lang w:eastAsia="nl-NL"/>
    </w:rPr>
  </w:style>
  <w:style w:type="paragraph" w:styleId="Heading2">
    <w:name w:val="heading 2"/>
    <w:basedOn w:val="Normal"/>
    <w:next w:val="Normal"/>
    <w:link w:val="Heading2Char"/>
    <w:uiPriority w:val="9"/>
    <w:unhideWhenUsed/>
    <w:qFormat/>
    <w:rsid w:val="00EE79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12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662A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5739A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69D"/>
    <w:rPr>
      <w:rFonts w:ascii="Times New Roman" w:eastAsia="Times New Roman" w:hAnsi="Times New Roman" w:cs="Times New Roman"/>
      <w:b/>
      <w:bCs/>
      <w:kern w:val="36"/>
      <w:sz w:val="32"/>
      <w:szCs w:val="48"/>
      <w:lang w:eastAsia="nl-NL"/>
    </w:rPr>
  </w:style>
  <w:style w:type="character" w:styleId="Hyperlink">
    <w:name w:val="Hyperlink"/>
    <w:basedOn w:val="DefaultParagraphFont"/>
    <w:uiPriority w:val="99"/>
    <w:unhideWhenUsed/>
    <w:rsid w:val="00E6269D"/>
    <w:rPr>
      <w:color w:val="0000FF" w:themeColor="hyperlink"/>
      <w:u w:val="single"/>
    </w:rPr>
  </w:style>
  <w:style w:type="paragraph" w:styleId="ListParagraph">
    <w:name w:val="List Paragraph"/>
    <w:basedOn w:val="Normal"/>
    <w:uiPriority w:val="34"/>
    <w:qFormat/>
    <w:rsid w:val="00E6269D"/>
    <w:pPr>
      <w:ind w:left="720"/>
      <w:contextualSpacing/>
    </w:pPr>
  </w:style>
  <w:style w:type="character" w:customStyle="1" w:styleId="Heading2Char">
    <w:name w:val="Heading 2 Char"/>
    <w:basedOn w:val="DefaultParagraphFont"/>
    <w:link w:val="Heading2"/>
    <w:uiPriority w:val="9"/>
    <w:rsid w:val="00EE79F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122C1"/>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A033C8"/>
    <w:rPr>
      <w:color w:val="800080" w:themeColor="followedHyperlink"/>
      <w:u w:val="single"/>
    </w:rPr>
  </w:style>
  <w:style w:type="paragraph" w:styleId="BalloonText">
    <w:name w:val="Balloon Text"/>
    <w:basedOn w:val="Normal"/>
    <w:link w:val="BalloonTextChar"/>
    <w:uiPriority w:val="99"/>
    <w:semiHidden/>
    <w:unhideWhenUsed/>
    <w:rsid w:val="00C35C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C5C"/>
    <w:rPr>
      <w:rFonts w:ascii="Tahoma" w:hAnsi="Tahoma" w:cs="Tahoma"/>
      <w:sz w:val="16"/>
      <w:szCs w:val="16"/>
    </w:rPr>
  </w:style>
  <w:style w:type="character" w:styleId="CommentReference">
    <w:name w:val="annotation reference"/>
    <w:basedOn w:val="DefaultParagraphFont"/>
    <w:uiPriority w:val="99"/>
    <w:semiHidden/>
    <w:unhideWhenUsed/>
    <w:rsid w:val="00920E93"/>
    <w:rPr>
      <w:sz w:val="16"/>
      <w:szCs w:val="16"/>
    </w:rPr>
  </w:style>
  <w:style w:type="paragraph" w:styleId="CommentText">
    <w:name w:val="annotation text"/>
    <w:basedOn w:val="Normal"/>
    <w:link w:val="CommentTextChar"/>
    <w:uiPriority w:val="99"/>
    <w:semiHidden/>
    <w:unhideWhenUsed/>
    <w:rsid w:val="00920E93"/>
    <w:pPr>
      <w:spacing w:line="240" w:lineRule="auto"/>
    </w:pPr>
    <w:rPr>
      <w:sz w:val="20"/>
      <w:szCs w:val="20"/>
    </w:rPr>
  </w:style>
  <w:style w:type="character" w:customStyle="1" w:styleId="CommentTextChar">
    <w:name w:val="Comment Text Char"/>
    <w:basedOn w:val="DefaultParagraphFont"/>
    <w:link w:val="CommentText"/>
    <w:uiPriority w:val="99"/>
    <w:semiHidden/>
    <w:rsid w:val="00920E9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20E93"/>
    <w:rPr>
      <w:b/>
      <w:bCs/>
    </w:rPr>
  </w:style>
  <w:style w:type="character" w:customStyle="1" w:styleId="CommentSubjectChar">
    <w:name w:val="Comment Subject Char"/>
    <w:basedOn w:val="CommentTextChar"/>
    <w:link w:val="CommentSubject"/>
    <w:uiPriority w:val="99"/>
    <w:semiHidden/>
    <w:rsid w:val="00920E93"/>
    <w:rPr>
      <w:rFonts w:ascii="Arial" w:hAnsi="Arial"/>
      <w:b/>
      <w:bCs/>
      <w:sz w:val="20"/>
      <w:szCs w:val="20"/>
    </w:rPr>
  </w:style>
  <w:style w:type="paragraph" w:styleId="Caption">
    <w:name w:val="caption"/>
    <w:basedOn w:val="Normal"/>
    <w:next w:val="Normal"/>
    <w:uiPriority w:val="35"/>
    <w:unhideWhenUsed/>
    <w:qFormat/>
    <w:rsid w:val="004B5125"/>
    <w:pPr>
      <w:spacing w:line="240" w:lineRule="auto"/>
    </w:pPr>
    <w:rPr>
      <w:b/>
      <w:bCs/>
      <w:color w:val="4F81BD" w:themeColor="accent1"/>
      <w:sz w:val="18"/>
      <w:szCs w:val="18"/>
    </w:rPr>
  </w:style>
  <w:style w:type="paragraph" w:styleId="Bibliography">
    <w:name w:val="Bibliography"/>
    <w:basedOn w:val="Normal"/>
    <w:next w:val="Normal"/>
    <w:uiPriority w:val="37"/>
    <w:unhideWhenUsed/>
    <w:rsid w:val="004B5125"/>
  </w:style>
  <w:style w:type="character" w:customStyle="1" w:styleId="Heading4Char">
    <w:name w:val="Heading 4 Char"/>
    <w:basedOn w:val="DefaultParagraphFont"/>
    <w:link w:val="Heading4"/>
    <w:uiPriority w:val="9"/>
    <w:rsid w:val="003662A0"/>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4C180F"/>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TOCHeading">
    <w:name w:val="TOC Heading"/>
    <w:basedOn w:val="Heading1"/>
    <w:next w:val="Normal"/>
    <w:uiPriority w:val="39"/>
    <w:unhideWhenUsed/>
    <w:qFormat/>
    <w:rsid w:val="00F45246"/>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ja-JP"/>
    </w:rPr>
  </w:style>
  <w:style w:type="paragraph" w:styleId="TOC1">
    <w:name w:val="toc 1"/>
    <w:basedOn w:val="Normal"/>
    <w:next w:val="Normal"/>
    <w:autoRedefine/>
    <w:uiPriority w:val="39"/>
    <w:unhideWhenUsed/>
    <w:rsid w:val="00F45246"/>
    <w:pPr>
      <w:spacing w:after="100"/>
    </w:pPr>
  </w:style>
  <w:style w:type="paragraph" w:styleId="TOC2">
    <w:name w:val="toc 2"/>
    <w:basedOn w:val="Normal"/>
    <w:next w:val="Normal"/>
    <w:autoRedefine/>
    <w:uiPriority w:val="39"/>
    <w:unhideWhenUsed/>
    <w:rsid w:val="00F45246"/>
    <w:pPr>
      <w:spacing w:after="100"/>
      <w:ind w:left="220"/>
    </w:pPr>
  </w:style>
  <w:style w:type="paragraph" w:styleId="TOC3">
    <w:name w:val="toc 3"/>
    <w:basedOn w:val="Normal"/>
    <w:next w:val="Normal"/>
    <w:autoRedefine/>
    <w:uiPriority w:val="39"/>
    <w:unhideWhenUsed/>
    <w:rsid w:val="00F45246"/>
    <w:pPr>
      <w:spacing w:after="100"/>
      <w:ind w:left="440"/>
    </w:pPr>
  </w:style>
  <w:style w:type="character" w:customStyle="1" w:styleId="Heading5Char">
    <w:name w:val="Heading 5 Char"/>
    <w:basedOn w:val="DefaultParagraphFont"/>
    <w:link w:val="Heading5"/>
    <w:uiPriority w:val="9"/>
    <w:rsid w:val="005739A3"/>
    <w:rPr>
      <w:rFonts w:asciiTheme="majorHAnsi" w:eastAsiaTheme="majorEastAsia" w:hAnsiTheme="majorHAnsi" w:cstheme="majorBidi"/>
      <w:color w:val="243F60" w:themeColor="accent1" w:themeShade="7F"/>
    </w:rPr>
  </w:style>
  <w:style w:type="paragraph" w:styleId="EndnoteText">
    <w:name w:val="endnote text"/>
    <w:basedOn w:val="Normal"/>
    <w:link w:val="EndnoteTextChar"/>
    <w:uiPriority w:val="99"/>
    <w:semiHidden/>
    <w:unhideWhenUsed/>
    <w:rsid w:val="00C86D9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86D9C"/>
    <w:rPr>
      <w:rFonts w:ascii="Arial" w:hAnsi="Arial"/>
      <w:sz w:val="20"/>
      <w:szCs w:val="20"/>
    </w:rPr>
  </w:style>
  <w:style w:type="character" w:styleId="EndnoteReference">
    <w:name w:val="endnote reference"/>
    <w:basedOn w:val="DefaultParagraphFont"/>
    <w:uiPriority w:val="99"/>
    <w:semiHidden/>
    <w:unhideWhenUsed/>
    <w:rsid w:val="00C86D9C"/>
    <w:rPr>
      <w:vertAlign w:val="superscript"/>
    </w:rPr>
  </w:style>
  <w:style w:type="paragraph" w:styleId="FootnoteText">
    <w:name w:val="footnote text"/>
    <w:basedOn w:val="Normal"/>
    <w:link w:val="FootnoteTextChar"/>
    <w:uiPriority w:val="99"/>
    <w:semiHidden/>
    <w:unhideWhenUsed/>
    <w:rsid w:val="00C86D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6D9C"/>
    <w:rPr>
      <w:rFonts w:ascii="Arial" w:hAnsi="Arial"/>
      <w:sz w:val="20"/>
      <w:szCs w:val="20"/>
    </w:rPr>
  </w:style>
  <w:style w:type="character" w:styleId="FootnoteReference">
    <w:name w:val="footnote reference"/>
    <w:basedOn w:val="DefaultParagraphFont"/>
    <w:uiPriority w:val="99"/>
    <w:semiHidden/>
    <w:unhideWhenUsed/>
    <w:rsid w:val="00C86D9C"/>
    <w:rPr>
      <w:vertAlign w:val="superscript"/>
    </w:rPr>
  </w:style>
  <w:style w:type="character" w:styleId="PlaceholderText">
    <w:name w:val="Placeholder Text"/>
    <w:basedOn w:val="DefaultParagraphFont"/>
    <w:uiPriority w:val="99"/>
    <w:semiHidden/>
    <w:rsid w:val="000D6277"/>
    <w:rPr>
      <w:color w:val="808080"/>
    </w:rPr>
  </w:style>
  <w:style w:type="table" w:styleId="TableGrid">
    <w:name w:val="Table Grid"/>
    <w:basedOn w:val="TableNormal"/>
    <w:uiPriority w:val="59"/>
    <w:rsid w:val="00093B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698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46988"/>
    <w:rPr>
      <w:rFonts w:ascii="Arial" w:hAnsi="Arial"/>
    </w:rPr>
  </w:style>
  <w:style w:type="paragraph" w:styleId="Footer">
    <w:name w:val="footer"/>
    <w:basedOn w:val="Normal"/>
    <w:link w:val="FooterChar"/>
    <w:uiPriority w:val="99"/>
    <w:unhideWhenUsed/>
    <w:rsid w:val="00E4698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46988"/>
    <w:rPr>
      <w:rFonts w:ascii="Arial" w:hAnsi="Arial"/>
    </w:rPr>
  </w:style>
  <w:style w:type="paragraph" w:styleId="NoSpacing">
    <w:name w:val="No Spacing"/>
    <w:link w:val="NoSpacingChar"/>
    <w:uiPriority w:val="1"/>
    <w:qFormat/>
    <w:rsid w:val="00C3511A"/>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3511A"/>
    <w:rPr>
      <w:rFonts w:eastAsiaTheme="minorEastAsia"/>
      <w:lang w:val="en-US" w:eastAsia="ja-JP"/>
    </w:rPr>
  </w:style>
  <w:style w:type="paragraph" w:styleId="Title">
    <w:name w:val="Title"/>
    <w:basedOn w:val="Normal"/>
    <w:next w:val="Normal"/>
    <w:link w:val="TitleChar"/>
    <w:uiPriority w:val="10"/>
    <w:qFormat/>
    <w:rsid w:val="00C3511A"/>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C3511A"/>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C3511A"/>
    <w:pPr>
      <w:numPr>
        <w:ilvl w:val="1"/>
      </w:numPr>
      <w:spacing w:line="276" w:lineRule="auto"/>
      <w:jc w:val="left"/>
    </w:pPr>
    <w:rPr>
      <w:rFonts w:asciiTheme="majorHAnsi" w:eastAsiaTheme="majorEastAsia" w:hAnsiTheme="majorHAnsi" w:cstheme="majorBidi"/>
      <w:i/>
      <w:iCs/>
      <w:color w:val="4F81BD" w:themeColor="accent1"/>
      <w:spacing w:val="15"/>
      <w:sz w:val="24"/>
      <w:szCs w:val="24"/>
      <w:lang w:val="en-US" w:eastAsia="ja-JP"/>
    </w:rPr>
  </w:style>
  <w:style w:type="character" w:customStyle="1" w:styleId="SubtitleChar">
    <w:name w:val="Subtitle Char"/>
    <w:basedOn w:val="DefaultParagraphFont"/>
    <w:link w:val="Subtitle"/>
    <w:uiPriority w:val="11"/>
    <w:rsid w:val="00C3511A"/>
    <w:rPr>
      <w:rFonts w:asciiTheme="majorHAnsi" w:eastAsiaTheme="majorEastAsia" w:hAnsiTheme="majorHAnsi" w:cstheme="majorBidi"/>
      <w:i/>
      <w:iCs/>
      <w:color w:val="4F81BD" w:themeColor="accent1"/>
      <w:spacing w:val="15"/>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08114">
      <w:bodyDiv w:val="1"/>
      <w:marLeft w:val="0"/>
      <w:marRight w:val="0"/>
      <w:marTop w:val="0"/>
      <w:marBottom w:val="0"/>
      <w:divBdr>
        <w:top w:val="none" w:sz="0" w:space="0" w:color="auto"/>
        <w:left w:val="none" w:sz="0" w:space="0" w:color="auto"/>
        <w:bottom w:val="none" w:sz="0" w:space="0" w:color="auto"/>
        <w:right w:val="none" w:sz="0" w:space="0" w:color="auto"/>
      </w:divBdr>
    </w:div>
    <w:div w:id="208034841">
      <w:bodyDiv w:val="1"/>
      <w:marLeft w:val="0"/>
      <w:marRight w:val="0"/>
      <w:marTop w:val="0"/>
      <w:marBottom w:val="0"/>
      <w:divBdr>
        <w:top w:val="none" w:sz="0" w:space="0" w:color="auto"/>
        <w:left w:val="none" w:sz="0" w:space="0" w:color="auto"/>
        <w:bottom w:val="none" w:sz="0" w:space="0" w:color="auto"/>
        <w:right w:val="none" w:sz="0" w:space="0" w:color="auto"/>
      </w:divBdr>
    </w:div>
    <w:div w:id="345447925">
      <w:bodyDiv w:val="1"/>
      <w:marLeft w:val="0"/>
      <w:marRight w:val="0"/>
      <w:marTop w:val="0"/>
      <w:marBottom w:val="0"/>
      <w:divBdr>
        <w:top w:val="none" w:sz="0" w:space="0" w:color="auto"/>
        <w:left w:val="none" w:sz="0" w:space="0" w:color="auto"/>
        <w:bottom w:val="none" w:sz="0" w:space="0" w:color="auto"/>
        <w:right w:val="none" w:sz="0" w:space="0" w:color="auto"/>
      </w:divBdr>
    </w:div>
    <w:div w:id="453797010">
      <w:bodyDiv w:val="1"/>
      <w:marLeft w:val="0"/>
      <w:marRight w:val="0"/>
      <w:marTop w:val="0"/>
      <w:marBottom w:val="0"/>
      <w:divBdr>
        <w:top w:val="none" w:sz="0" w:space="0" w:color="auto"/>
        <w:left w:val="none" w:sz="0" w:space="0" w:color="auto"/>
        <w:bottom w:val="none" w:sz="0" w:space="0" w:color="auto"/>
        <w:right w:val="none" w:sz="0" w:space="0" w:color="auto"/>
      </w:divBdr>
    </w:div>
    <w:div w:id="542130864">
      <w:bodyDiv w:val="1"/>
      <w:marLeft w:val="0"/>
      <w:marRight w:val="0"/>
      <w:marTop w:val="0"/>
      <w:marBottom w:val="0"/>
      <w:divBdr>
        <w:top w:val="none" w:sz="0" w:space="0" w:color="auto"/>
        <w:left w:val="none" w:sz="0" w:space="0" w:color="auto"/>
        <w:bottom w:val="none" w:sz="0" w:space="0" w:color="auto"/>
        <w:right w:val="none" w:sz="0" w:space="0" w:color="auto"/>
      </w:divBdr>
    </w:div>
    <w:div w:id="566107975">
      <w:bodyDiv w:val="1"/>
      <w:marLeft w:val="0"/>
      <w:marRight w:val="0"/>
      <w:marTop w:val="0"/>
      <w:marBottom w:val="0"/>
      <w:divBdr>
        <w:top w:val="none" w:sz="0" w:space="0" w:color="auto"/>
        <w:left w:val="none" w:sz="0" w:space="0" w:color="auto"/>
        <w:bottom w:val="none" w:sz="0" w:space="0" w:color="auto"/>
        <w:right w:val="none" w:sz="0" w:space="0" w:color="auto"/>
      </w:divBdr>
    </w:div>
    <w:div w:id="575822056">
      <w:bodyDiv w:val="1"/>
      <w:marLeft w:val="0"/>
      <w:marRight w:val="0"/>
      <w:marTop w:val="0"/>
      <w:marBottom w:val="0"/>
      <w:divBdr>
        <w:top w:val="none" w:sz="0" w:space="0" w:color="auto"/>
        <w:left w:val="none" w:sz="0" w:space="0" w:color="auto"/>
        <w:bottom w:val="none" w:sz="0" w:space="0" w:color="auto"/>
        <w:right w:val="none" w:sz="0" w:space="0" w:color="auto"/>
      </w:divBdr>
    </w:div>
    <w:div w:id="586621645">
      <w:bodyDiv w:val="1"/>
      <w:marLeft w:val="0"/>
      <w:marRight w:val="0"/>
      <w:marTop w:val="0"/>
      <w:marBottom w:val="0"/>
      <w:divBdr>
        <w:top w:val="none" w:sz="0" w:space="0" w:color="auto"/>
        <w:left w:val="none" w:sz="0" w:space="0" w:color="auto"/>
        <w:bottom w:val="none" w:sz="0" w:space="0" w:color="auto"/>
        <w:right w:val="none" w:sz="0" w:space="0" w:color="auto"/>
      </w:divBdr>
    </w:div>
    <w:div w:id="642274843">
      <w:bodyDiv w:val="1"/>
      <w:marLeft w:val="0"/>
      <w:marRight w:val="0"/>
      <w:marTop w:val="0"/>
      <w:marBottom w:val="0"/>
      <w:divBdr>
        <w:top w:val="none" w:sz="0" w:space="0" w:color="auto"/>
        <w:left w:val="none" w:sz="0" w:space="0" w:color="auto"/>
        <w:bottom w:val="none" w:sz="0" w:space="0" w:color="auto"/>
        <w:right w:val="none" w:sz="0" w:space="0" w:color="auto"/>
      </w:divBdr>
    </w:div>
    <w:div w:id="681711570">
      <w:bodyDiv w:val="1"/>
      <w:marLeft w:val="0"/>
      <w:marRight w:val="0"/>
      <w:marTop w:val="0"/>
      <w:marBottom w:val="0"/>
      <w:divBdr>
        <w:top w:val="none" w:sz="0" w:space="0" w:color="auto"/>
        <w:left w:val="none" w:sz="0" w:space="0" w:color="auto"/>
        <w:bottom w:val="none" w:sz="0" w:space="0" w:color="auto"/>
        <w:right w:val="none" w:sz="0" w:space="0" w:color="auto"/>
      </w:divBdr>
    </w:div>
    <w:div w:id="725683351">
      <w:bodyDiv w:val="1"/>
      <w:marLeft w:val="0"/>
      <w:marRight w:val="0"/>
      <w:marTop w:val="0"/>
      <w:marBottom w:val="0"/>
      <w:divBdr>
        <w:top w:val="none" w:sz="0" w:space="0" w:color="auto"/>
        <w:left w:val="none" w:sz="0" w:space="0" w:color="auto"/>
        <w:bottom w:val="none" w:sz="0" w:space="0" w:color="auto"/>
        <w:right w:val="none" w:sz="0" w:space="0" w:color="auto"/>
      </w:divBdr>
    </w:div>
    <w:div w:id="729421073">
      <w:bodyDiv w:val="1"/>
      <w:marLeft w:val="0"/>
      <w:marRight w:val="0"/>
      <w:marTop w:val="0"/>
      <w:marBottom w:val="0"/>
      <w:divBdr>
        <w:top w:val="none" w:sz="0" w:space="0" w:color="auto"/>
        <w:left w:val="none" w:sz="0" w:space="0" w:color="auto"/>
        <w:bottom w:val="none" w:sz="0" w:space="0" w:color="auto"/>
        <w:right w:val="none" w:sz="0" w:space="0" w:color="auto"/>
      </w:divBdr>
    </w:div>
    <w:div w:id="821190253">
      <w:bodyDiv w:val="1"/>
      <w:marLeft w:val="0"/>
      <w:marRight w:val="0"/>
      <w:marTop w:val="0"/>
      <w:marBottom w:val="0"/>
      <w:divBdr>
        <w:top w:val="none" w:sz="0" w:space="0" w:color="auto"/>
        <w:left w:val="none" w:sz="0" w:space="0" w:color="auto"/>
        <w:bottom w:val="none" w:sz="0" w:space="0" w:color="auto"/>
        <w:right w:val="none" w:sz="0" w:space="0" w:color="auto"/>
      </w:divBdr>
    </w:div>
    <w:div w:id="833450894">
      <w:bodyDiv w:val="1"/>
      <w:marLeft w:val="0"/>
      <w:marRight w:val="0"/>
      <w:marTop w:val="0"/>
      <w:marBottom w:val="0"/>
      <w:divBdr>
        <w:top w:val="none" w:sz="0" w:space="0" w:color="auto"/>
        <w:left w:val="none" w:sz="0" w:space="0" w:color="auto"/>
        <w:bottom w:val="none" w:sz="0" w:space="0" w:color="auto"/>
        <w:right w:val="none" w:sz="0" w:space="0" w:color="auto"/>
      </w:divBdr>
    </w:div>
    <w:div w:id="855732713">
      <w:bodyDiv w:val="1"/>
      <w:marLeft w:val="0"/>
      <w:marRight w:val="0"/>
      <w:marTop w:val="0"/>
      <w:marBottom w:val="0"/>
      <w:divBdr>
        <w:top w:val="none" w:sz="0" w:space="0" w:color="auto"/>
        <w:left w:val="none" w:sz="0" w:space="0" w:color="auto"/>
        <w:bottom w:val="none" w:sz="0" w:space="0" w:color="auto"/>
        <w:right w:val="none" w:sz="0" w:space="0" w:color="auto"/>
      </w:divBdr>
    </w:div>
    <w:div w:id="932710291">
      <w:bodyDiv w:val="1"/>
      <w:marLeft w:val="0"/>
      <w:marRight w:val="0"/>
      <w:marTop w:val="0"/>
      <w:marBottom w:val="0"/>
      <w:divBdr>
        <w:top w:val="none" w:sz="0" w:space="0" w:color="auto"/>
        <w:left w:val="none" w:sz="0" w:space="0" w:color="auto"/>
        <w:bottom w:val="none" w:sz="0" w:space="0" w:color="auto"/>
        <w:right w:val="none" w:sz="0" w:space="0" w:color="auto"/>
      </w:divBdr>
    </w:div>
    <w:div w:id="942036378">
      <w:bodyDiv w:val="1"/>
      <w:marLeft w:val="0"/>
      <w:marRight w:val="0"/>
      <w:marTop w:val="0"/>
      <w:marBottom w:val="0"/>
      <w:divBdr>
        <w:top w:val="none" w:sz="0" w:space="0" w:color="auto"/>
        <w:left w:val="none" w:sz="0" w:space="0" w:color="auto"/>
        <w:bottom w:val="none" w:sz="0" w:space="0" w:color="auto"/>
        <w:right w:val="none" w:sz="0" w:space="0" w:color="auto"/>
      </w:divBdr>
    </w:div>
    <w:div w:id="1136725587">
      <w:bodyDiv w:val="1"/>
      <w:marLeft w:val="0"/>
      <w:marRight w:val="0"/>
      <w:marTop w:val="0"/>
      <w:marBottom w:val="0"/>
      <w:divBdr>
        <w:top w:val="none" w:sz="0" w:space="0" w:color="auto"/>
        <w:left w:val="none" w:sz="0" w:space="0" w:color="auto"/>
        <w:bottom w:val="none" w:sz="0" w:space="0" w:color="auto"/>
        <w:right w:val="none" w:sz="0" w:space="0" w:color="auto"/>
      </w:divBdr>
    </w:div>
    <w:div w:id="1292397005">
      <w:bodyDiv w:val="1"/>
      <w:marLeft w:val="0"/>
      <w:marRight w:val="0"/>
      <w:marTop w:val="0"/>
      <w:marBottom w:val="0"/>
      <w:divBdr>
        <w:top w:val="none" w:sz="0" w:space="0" w:color="auto"/>
        <w:left w:val="none" w:sz="0" w:space="0" w:color="auto"/>
        <w:bottom w:val="none" w:sz="0" w:space="0" w:color="auto"/>
        <w:right w:val="none" w:sz="0" w:space="0" w:color="auto"/>
      </w:divBdr>
    </w:div>
    <w:div w:id="1313607719">
      <w:bodyDiv w:val="1"/>
      <w:marLeft w:val="0"/>
      <w:marRight w:val="0"/>
      <w:marTop w:val="0"/>
      <w:marBottom w:val="0"/>
      <w:divBdr>
        <w:top w:val="none" w:sz="0" w:space="0" w:color="auto"/>
        <w:left w:val="none" w:sz="0" w:space="0" w:color="auto"/>
        <w:bottom w:val="none" w:sz="0" w:space="0" w:color="auto"/>
        <w:right w:val="none" w:sz="0" w:space="0" w:color="auto"/>
      </w:divBdr>
    </w:div>
    <w:div w:id="1431857259">
      <w:bodyDiv w:val="1"/>
      <w:marLeft w:val="0"/>
      <w:marRight w:val="0"/>
      <w:marTop w:val="0"/>
      <w:marBottom w:val="0"/>
      <w:divBdr>
        <w:top w:val="none" w:sz="0" w:space="0" w:color="auto"/>
        <w:left w:val="none" w:sz="0" w:space="0" w:color="auto"/>
        <w:bottom w:val="none" w:sz="0" w:space="0" w:color="auto"/>
        <w:right w:val="none" w:sz="0" w:space="0" w:color="auto"/>
      </w:divBdr>
    </w:div>
    <w:div w:id="1448086517">
      <w:bodyDiv w:val="1"/>
      <w:marLeft w:val="0"/>
      <w:marRight w:val="0"/>
      <w:marTop w:val="0"/>
      <w:marBottom w:val="0"/>
      <w:divBdr>
        <w:top w:val="none" w:sz="0" w:space="0" w:color="auto"/>
        <w:left w:val="none" w:sz="0" w:space="0" w:color="auto"/>
        <w:bottom w:val="none" w:sz="0" w:space="0" w:color="auto"/>
        <w:right w:val="none" w:sz="0" w:space="0" w:color="auto"/>
      </w:divBdr>
    </w:div>
    <w:div w:id="1600945637">
      <w:bodyDiv w:val="1"/>
      <w:marLeft w:val="0"/>
      <w:marRight w:val="0"/>
      <w:marTop w:val="0"/>
      <w:marBottom w:val="0"/>
      <w:divBdr>
        <w:top w:val="none" w:sz="0" w:space="0" w:color="auto"/>
        <w:left w:val="none" w:sz="0" w:space="0" w:color="auto"/>
        <w:bottom w:val="none" w:sz="0" w:space="0" w:color="auto"/>
        <w:right w:val="none" w:sz="0" w:space="0" w:color="auto"/>
      </w:divBdr>
    </w:div>
    <w:div w:id="1641693032">
      <w:bodyDiv w:val="1"/>
      <w:marLeft w:val="0"/>
      <w:marRight w:val="0"/>
      <w:marTop w:val="0"/>
      <w:marBottom w:val="0"/>
      <w:divBdr>
        <w:top w:val="none" w:sz="0" w:space="0" w:color="auto"/>
        <w:left w:val="none" w:sz="0" w:space="0" w:color="auto"/>
        <w:bottom w:val="none" w:sz="0" w:space="0" w:color="auto"/>
        <w:right w:val="none" w:sz="0" w:space="0" w:color="auto"/>
      </w:divBdr>
    </w:div>
    <w:div w:id="1693414539">
      <w:bodyDiv w:val="1"/>
      <w:marLeft w:val="0"/>
      <w:marRight w:val="0"/>
      <w:marTop w:val="0"/>
      <w:marBottom w:val="0"/>
      <w:divBdr>
        <w:top w:val="none" w:sz="0" w:space="0" w:color="auto"/>
        <w:left w:val="none" w:sz="0" w:space="0" w:color="auto"/>
        <w:bottom w:val="none" w:sz="0" w:space="0" w:color="auto"/>
        <w:right w:val="none" w:sz="0" w:space="0" w:color="auto"/>
      </w:divBdr>
    </w:div>
    <w:div w:id="1841240104">
      <w:bodyDiv w:val="1"/>
      <w:marLeft w:val="0"/>
      <w:marRight w:val="0"/>
      <w:marTop w:val="0"/>
      <w:marBottom w:val="0"/>
      <w:divBdr>
        <w:top w:val="none" w:sz="0" w:space="0" w:color="auto"/>
        <w:left w:val="none" w:sz="0" w:space="0" w:color="auto"/>
        <w:bottom w:val="none" w:sz="0" w:space="0" w:color="auto"/>
        <w:right w:val="none" w:sz="0" w:space="0" w:color="auto"/>
      </w:divBdr>
    </w:div>
    <w:div w:id="203006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2015-08-10T00:00:00</PublishDate>
  <Abstract>This thesis studies the effects of electricity market liberalization on renewable electricity innovation in the European Union from 1990 to 2013 from an economic point of view. The transition to renewable electricity sources is an effective and efficient solution to environmental problems, and one of the most important solutions available. Innovation is required to attain the benefits of renewable electricity generation. The effect of electricity market liberalization on renewable electricity innovation should therefore bother policy makers in the European Union, although it is an underexposed aspect in liberalization research. This study aims to fill the gap.</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Jam05</b:Tag>
    <b:SourceType>Report</b:SourceType>
    <b:Guid>{A4D10C71-4846-4DEF-AD8D-D56C95BE9A57}</b:Guid>
    <b:Title>Electricity Market Reform in the European Union: Review of Progress toward Liberalization &amp; Integration</b:Title>
    <b:Year>2005</b:Year>
    <b:City>Cambridge</b:City>
    <b:Publisher>Centre for Energy and Environmental Policy Research</b:Publisher>
    <b:Author>
      <b:Author>
        <b:NameList>
          <b:Person>
            <b:Last>Jamesb</b:Last>
            <b:First>Tooraj</b:First>
          </b:Person>
          <b:Person>
            <b:Last>Pollitt</b:Last>
            <b:First>Michael</b:First>
          </b:Person>
        </b:NameList>
      </b:Author>
    </b:Author>
    <b:RefOrder>3</b:RefOrder>
  </b:Source>
  <b:Source>
    <b:Tag>Ger95</b:Tag>
    <b:SourceType>JournalArticle</b:SourceType>
    <b:Guid>{95A5154E-E35E-419E-A6E8-B10867BB658D}</b:Guid>
    <b:Title>What do we know about entry?</b:Title>
    <b:JournalName>International Journal of Industrial Organisation</b:JournalName>
    <b:Year>1995</b:Year>
    <b:Pages>421-440</b:Pages>
    <b:Author>
      <b:Author>
        <b:NameList>
          <b:Person>
            <b:Last>Geroski</b:Last>
            <b:First>P A</b:First>
          </b:Person>
        </b:NameList>
      </b:Author>
    </b:Author>
    <b:RefOrder>7</b:RefOrder>
  </b:Source>
  <b:Source>
    <b:Tag>Jam08</b:Tag>
    <b:SourceType>JournalArticle</b:SourceType>
    <b:Guid>{85A03D0A-130A-477A-88D5-5C98FEE774AF}</b:Guid>
    <b:Title>Liberalisation and R&amp;D in network industries: The case of the electricity industry</b:Title>
    <b:Year>2008</b:Year>
    <b:JournalName>Research Policy</b:JournalName>
    <b:Pages>995-1008</b:Pages>
    <b:Author>
      <b:Author>
        <b:NameList>
          <b:Person>
            <b:Last>Jamesb</b:Last>
            <b:First>Tooraj</b:First>
          </b:Person>
          <b:Person>
            <b:Last>Pollitt</b:Last>
            <b:First>Michael</b:First>
          </b:Person>
        </b:NameList>
      </b:Author>
    </b:Author>
    <b:RefOrder>1</b:RefOrder>
  </b:Source>
  <b:Source>
    <b:Tag>Mar06</b:Tag>
    <b:SourceType>JournalArticle</b:SourceType>
    <b:Guid>{70726020-A3B9-4501-B275-DD8E3E753714}</b:Guid>
    <b:Title>Innovation processes in large technical systems: Market liberalization as a driver for radical change?</b:Title>
    <b:JournalName>Research Policy</b:JournalName>
    <b:Year>2006</b:Year>
    <b:Pages>609-625</b:Pages>
    <b:Author>
      <b:Author>
        <b:NameList>
          <b:Person>
            <b:Last>Markard</b:Last>
            <b:First>Jochen</b:First>
          </b:Person>
          <b:Person>
            <b:Last>Truffer</b:Last>
            <b:First>Bernhard</b:First>
          </b:Person>
        </b:NameList>
      </b:Author>
    </b:Author>
    <b:RefOrder>5</b:RefOrder>
  </b:Source>
  <b:Source>
    <b:Tag>Cal03</b:Tag>
    <b:SourceType>BookSection</b:SourceType>
    <b:Guid>{2B7F6B76-25F8-443E-8990-591EC6DC8933}</b:Guid>
    <b:Title>Liberalization and the balance of R&amp;D activities: an empirical analysis</b:Title>
    <b:Year>2003</b:Year>
    <b:Author>
      <b:Author>
        <b:NameList>
          <b:Person>
            <b:Last>Calderini</b:Last>
            <b:First>M</b:First>
          </b:Person>
          <b:Person>
            <b:Last>Garrone</b:Last>
            <b:First>P</b:First>
          </b:Person>
          <b:Person>
            <b:Last>Sobrero</b:Last>
            <b:First>M</b:First>
          </b:Person>
        </b:NameList>
      </b:Author>
      <b:BookAuthor>
        <b:NameList>
          <b:Person>
            <b:Last>Elger</b:Last>
            <b:First>Edward</b:First>
          </b:Person>
        </b:NameList>
      </b:BookAuthor>
    </b:Author>
    <b:City>Cheltenham</b:City>
    <b:Publisher>Edward Elger Publishing Limited</b:Publisher>
    <b:BookTitle>Corporate Governance, Market Structure and Innovation</b:BookTitle>
    <b:RefOrder>6</b:RefOrder>
  </b:Source>
  <b:Source>
    <b:Tag>Smi88</b:Tag>
    <b:SourceType>JournalArticle</b:SourceType>
    <b:Guid>{1D6700AC-731F-4DD7-AC98-6A312EF11B9C}</b:Guid>
    <b:Title>Empirical evidence on strategic entry deterrence</b:Title>
    <b:JournalName>International Journal of Industrial Organization</b:JournalName>
    <b:Year>1988</b:Year>
    <b:Pages>167-180</b:Pages>
    <b:Author>
      <b:Author>
        <b:NameList>
          <b:Person>
            <b:Last>Smiley</b:Last>
            <b:First>Robert</b:First>
          </b:Person>
        </b:NameList>
      </b:Author>
    </b:Author>
    <b:RefOrder>8</b:RefOrder>
  </b:Source>
  <b:Source>
    <b:Tag>Pak80</b:Tag>
    <b:SourceType>JournalArticle</b:SourceType>
    <b:Guid>{65002B73-5954-4505-875E-7348BFBDEF7C}</b:Guid>
    <b:Title>Patents and R and D at the Firm Level: A First Look</b:Title>
    <b:JournalName>Economic Letters</b:JournalName>
    <b:Year>1980</b:Year>
    <b:Pages>377-381</b:Pages>
    <b:Author>
      <b:Author>
        <b:NameList>
          <b:Person>
            <b:Last>Pakes</b:Last>
            <b:First>Ariel</b:First>
          </b:Person>
          <b:Person>
            <b:Last>Griliches</b:Last>
            <b:First>Zvi</b:First>
          </b:Person>
        </b:NameList>
      </b:Author>
    </b:Author>
    <b:RefOrder>25</b:RefOrder>
  </b:Source>
  <b:Source>
    <b:Tag>Acs87</b:Tag>
    <b:SourceType>JournalArticle</b:SourceType>
    <b:Guid>{8BA91DEA-CBEC-4425-A18A-1E741269698B}</b:Guid>
    <b:Title>Innovation, market structure and firm size</b:Title>
    <b:JournalName>The Review of Economics and Statistics</b:JournalName>
    <b:Year>1987</b:Year>
    <b:Pages>567-574</b:Pages>
    <b:Author>
      <b:Author>
        <b:NameList>
          <b:Person>
            <b:Last>Acs</b:Last>
            <b:Middle>J</b:Middle>
            <b:First>Zoltan</b:First>
          </b:Person>
          <b:Person>
            <b:Last>Audretsch</b:Last>
            <b:Middle>B</b:Middle>
            <b:First>David</b:First>
          </b:Person>
        </b:NameList>
      </b:Author>
    </b:Author>
    <b:RefOrder>12</b:RefOrder>
  </b:Source>
  <b:Source>
    <b:Tag>She97</b:Tag>
    <b:SourceType>JournalArticle</b:SourceType>
    <b:Guid>{A0DEF09D-17F2-4D52-A4ED-6867C17539DD}</b:Guid>
    <b:Title>Barriers to innovation: a monopoly, network externalities, and the speed of innovation</b:Title>
    <b:JournalName>The Antitrust Bulletin</b:JournalName>
    <b:Year>1997</b:Year>
    <b:Pages>937-972</b:Pages>
    <b:Author>
      <b:Author>
        <b:NameList>
          <b:Person>
            <b:Last>Sheremata</b:Last>
            <b:Middle>A</b:Middle>
            <b:First>Willow</b:First>
          </b:Person>
        </b:NameList>
      </b:Author>
    </b:Author>
    <b:RefOrder>13</b:RefOrder>
  </b:Source>
  <b:Source>
    <b:Tag>Doo98</b:Tag>
    <b:SourceType>JournalArticle</b:SourceType>
    <b:Guid>{0D86B1D9-4AD5-4D62-A40A-D82214075C04}</b:Guid>
    <b:Title>Unintended consequences: energy R&amp;D in a deregulated energy market</b:Title>
    <b:Year>1998</b:Year>
    <b:Author>
      <b:Author>
        <b:NameList>
          <b:Person>
            <b:Last>Dooley</b:Last>
            <b:First>JJ</b:First>
          </b:Person>
        </b:NameList>
      </b:Author>
    </b:Author>
    <b:JournalName>Energy Policy</b:JournalName>
    <b:Pages>547-555</b:Pages>
    <b:RefOrder>2</b:RefOrder>
  </b:Source>
  <b:Source>
    <b:Tag>Bro99</b:Tag>
    <b:SourceType>JournalArticle</b:SourceType>
    <b:Guid>{133DDD78-5E2B-4732-A0DB-FC80656760D2}</b:Guid>
    <b:Title>Innovative output, and a firm's propensity to patent.: An exploration of CIS micro data</b:Title>
    <b:JournalName>Research Policy</b:JournalName>
    <b:Year>1999</b:Year>
    <b:Pages>615-624</b:Pages>
    <b:Author>
      <b:Author>
        <b:NameList>
          <b:Person>
            <b:Last>Brouwer</b:Last>
            <b:First>Erik</b:First>
          </b:Person>
          <b:Person>
            <b:Last>Kleinknecht</b:Last>
            <b:First>Alfred</b:First>
          </b:Person>
        </b:NameList>
      </b:Author>
    </b:Author>
    <b:RefOrder>11</b:RefOrder>
  </b:Source>
  <b:Source>
    <b:Tag>Agh09</b:Tag>
    <b:SourceType>JournalArticle</b:SourceType>
    <b:Guid>{9700A223-F57B-45CD-8686-FF15D12415DA}</b:Guid>
    <b:Title>The effects of entry on incumbant innovation and productivity</b:Title>
    <b:Year>2009</b:Year>
    <b:Author>
      <b:Author>
        <b:NameList>
          <b:Person>
            <b:Last>Aghion</b:Last>
            <b:First>Philippe</b:First>
          </b:Person>
          <b:Person>
            <b:Last>Blundell</b:Last>
            <b:First>Richard</b:First>
          </b:Person>
          <b:Person>
            <b:Last>Griffith</b:Last>
            <b:First>Rachel</b:First>
          </b:Person>
          <b:Person>
            <b:Last>Howitt</b:Last>
            <b:First>Peter</b:First>
          </b:Person>
          <b:Person>
            <b:Last>Prantl</b:Last>
            <b:First>Susanne</b:First>
          </b:Person>
        </b:NameList>
      </b:Author>
    </b:Author>
    <b:JournalName>The Review of Economics and Statistics</b:JournalName>
    <b:Pages>20-32</b:Pages>
    <b:RefOrder>10</b:RefOrder>
  </b:Source>
  <b:Source>
    <b:Tag>Bur15</b:Tag>
    <b:SourceType>InternetSite</b:SourceType>
    <b:Guid>{06E1AA6E-17CC-4294-9BBD-268F45A41B7B}</b:Guid>
    <b:Title>Orbis</b:Title>
    <b:Year>2015</b:Year>
    <b:Month>6</b:Month>
    <b:Day>1</b:Day>
    <b:Author>
      <b:Author>
        <b:Corporate>Bureau van Dijk</b:Corporate>
      </b:Author>
    </b:Author>
    <b:InternetSiteTitle>Orbis: Company information accross the globe</b:InternetSiteTitle>
    <b:YearAccessed>2015</b:YearAccessed>
    <b:MonthAccessed>6</b:MonthAccessed>
    <b:DayAccessed>16</b:DayAccessed>
    <b:URL>https://orbis.bvdinfo.com/version-2015626/List.FormatEdition.serv?_CID=590&amp;BackServiceid=List&amp;context=4LEZBF99EMJG4RZ&amp;databaseContext=Patents</b:URL>
    <b:RefOrder>19</b:RefOrder>
  </b:Source>
  <b:Source>
    <b:Tag>Cam15</b:Tag>
    <b:SourceType>Report</b:SourceType>
    <b:Guid>{1FEAD7E9-C6DC-438A-99C2-CA27A8DB6B8E}</b:Guid>
    <b:Title>R&amp;D, Patenting and Market Regulation: Evidence from EU Electricity industry</b:Title>
    <b:Year>2015</b:Year>
    <b:Publisher>IEFE</b:Publisher>
    <b:City>Milano</b:City>
    <b:Author>
      <b:Author>
        <b:NameList>
          <b:Person>
            <b:Last>Cambini</b:Last>
            <b:First>Carlo</b:First>
          </b:Person>
          <b:Person>
            <b:Last>Caviggioli</b:Last>
            <b:First>Federico</b:First>
          </b:Person>
          <b:Person>
            <b:Last>Scellato</b:Last>
            <b:First>Giuseppe</b:First>
          </b:Person>
        </b:NameList>
      </b:Author>
    </b:Author>
    <b:RefOrder>17</b:RefOrder>
  </b:Source>
  <b:Source>
    <b:Tag>FMS83</b:Tag>
    <b:SourceType>JournalArticle</b:SourceType>
    <b:Guid>{98538450-F4F4-41D4-9DA2-BB8FBA3EECFB}</b:Guid>
    <b:Title>The propensity to patent</b:Title>
    <b:Year>1983</b:Year>
    <b:Author>
      <b:Author>
        <b:NameList>
          <b:Person>
            <b:Last>Scherer</b:Last>
            <b:First>F.M</b:First>
          </b:Person>
        </b:NameList>
      </b:Author>
    </b:Author>
    <b:JournalName>International Journal of Industrial Organization</b:JournalName>
    <b:Pages>107-128</b:Pages>
    <b:RefOrder>31</b:RefOrder>
  </b:Source>
  <b:Source>
    <b:Tag>Gue00</b:Tag>
    <b:SourceType>JournalArticle</b:SourceType>
    <b:Guid>{6900B867-9503-49CC-AD8E-B754DB6FB2AF}</b:Guid>
    <b:Title>Applications, grants and the value of patents</b:Title>
    <b:JournalName>Economics Letters</b:JournalName>
    <b:Year>2000</b:Year>
    <b:Pages>109-114</b:Pages>
    <b:Author>
      <b:Author>
        <b:NameList>
          <b:Person>
            <b:Last>Guellec</b:Last>
            <b:First>Dominique</b:First>
          </b:Person>
          <b:Person>
            <b:Last>Pottelsberghe de la Potterie</b:Last>
            <b:Middle>van</b:Middle>
            <b:First>Bruno</b:First>
          </b:Person>
        </b:NameList>
      </b:Author>
    </b:Author>
    <b:RefOrder>28</b:RefOrder>
  </b:Source>
  <b:Source>
    <b:Tag>OEC15</b:Tag>
    <b:SourceType>InternetSite</b:SourceType>
    <b:Guid>{33A98718-9362-460E-8198-46C32E859B72}</b:Guid>
    <b:Author>
      <b:Author>
        <b:Corporate>OECD</b:Corporate>
      </b:Author>
    </b:Author>
    <b:Title>Product Market Regulation Database</b:Title>
    <b:InternetSiteTitle>OECD</b:InternetSiteTitle>
    <b:Year>2013</b:Year>
    <b:YearAccessed>2015</b:YearAccessed>
    <b:MonthAccessed>7</b:MonthAccessed>
    <b:DayAccessed>1</b:DayAccessed>
    <b:URL>www.oecd.org/economy/pmr</b:URL>
    <b:RefOrder>18</b:RefOrder>
  </b:Source>
  <b:Source>
    <b:Tag>All04</b:Tag>
    <b:SourceType>JournalArticle</b:SourceType>
    <b:Guid>{077FAACE-4949-4165-9426-7E2056071529}</b:Guid>
    <b:Title>Valuable Patents</b:Title>
    <b:Year>2004</b:Year>
    <b:Pages>434-494</b:Pages>
    <b:JournalName>Georgetown Law Journal</b:JournalName>
    <b:Author>
      <b:Author>
        <b:NameList>
          <b:Person>
            <b:Last>Allison</b:Last>
            <b:Middle>R</b:Middle>
            <b:First>John</b:First>
          </b:Person>
          <b:Person>
            <b:Last>Lemley</b:Last>
            <b:Middle>A</b:Middle>
            <b:First>Mark</b:First>
          </b:Person>
          <b:Person>
            <b:Last>Moore</b:Last>
            <b:Middle>A</b:Middle>
            <b:First>Kimberly</b:First>
          </b:Person>
          <b:Person>
            <b:Last>Trunkey</b:Last>
            <b:Middle>Derek</b:Middle>
            <b:First>R</b:First>
          </b:Person>
        </b:NameList>
      </b:Author>
    </b:Author>
    <b:RefOrder>26</b:RefOrder>
  </b:Source>
  <b:Source>
    <b:Tag>San13</b:Tag>
    <b:SourceType>JournalArticle</b:SourceType>
    <b:Guid>{9D2CF88C-472A-412E-B17D-FC71EC86683C}</b:Guid>
    <b:Title>Product market competition and upstream innovation: evidence from the U.S. electricity market deregulation</b:Title>
    <b:Year>2013</b:Year>
    <b:JournalName>The Review of Economics and Statistics</b:JournalName>
    <b:Pages>237-254</b:Pages>
    <b:Author>
      <b:Author>
        <b:NameList>
          <b:Person>
            <b:Last>Sanyal</b:Last>
            <b:First>Paroma</b:First>
          </b:Person>
          <b:Person>
            <b:Last>Gosh</b:Last>
            <b:First>Suman</b:First>
          </b:Person>
        </b:NameList>
      </b:Author>
    </b:Author>
    <b:RefOrder>32</b:RefOrder>
  </b:Source>
  <b:Source>
    <b:Tag>Din00</b:Tag>
    <b:SourceType>JournalArticle</b:SourceType>
    <b:Guid>{A6060CBE-26C0-4FC6-B13B-7D96E1F0B598}</b:Guid>
    <b:Title>Renewable energy and sustainable development: a crucial review</b:Title>
    <b:Year>2000</b:Year>
    <b:JournalName>Renewable and Sustainable Energy Reviews</b:JournalName>
    <b:Pages>157-175</b:Pages>
    <b:Author>
      <b:Author>
        <b:NameList>
          <b:Person>
            <b:Last>Dincer</b:Last>
            <b:First>Ibrahim</b:First>
          </b:Person>
        </b:NameList>
      </b:Author>
    </b:Author>
    <b:RefOrder>4</b:RefOrder>
  </b:Source>
  <b:Source>
    <b:Tag>Pav82</b:Tag>
    <b:SourceType>JournalArticle</b:SourceType>
    <b:Guid>{48BF289C-01C4-453D-AA75-F0CF04773E2B}</b:Guid>
    <b:Title>R&amp;D, patenting and innovative activities: A statistical exploration</b:Title>
    <b:Year>1982</b:Year>
    <b:JournalName>Research Policy</b:JournalName>
    <b:Pages>33-51</b:Pages>
    <b:Author>
      <b:Author>
        <b:NameList>
          <b:Person>
            <b:Last>Pavitt</b:Last>
            <b:First>Keith</b:First>
          </b:Person>
        </b:NameList>
      </b:Author>
    </b:Author>
    <b:RefOrder>14</b:RefOrder>
  </b:Source>
  <b:Source>
    <b:Tag>Hal05</b:Tag>
    <b:SourceType>JournalArticle</b:SourceType>
    <b:Guid>{C26BA59E-B578-4B30-85D1-797B883D8293}</b:Guid>
    <b:Title>Market Value and Patent Citations</b:Title>
    <b:JournalName>The RAND Journal of Economics</b:JournalName>
    <b:Year>2005</b:Year>
    <b:Pages>16-38</b:Pages>
    <b:Author>
      <b:Author>
        <b:NameList>
          <b:Person>
            <b:Last>Hall</b:Last>
            <b:Middle>H</b:Middle>
            <b:First>Bronwyn </b:First>
          </b:Person>
          <b:Person>
            <b:Last>Jaffe</b:Last>
            <b:First>Adam</b:First>
          </b:Person>
          <b:Person>
            <b:Last>Trajtenberg</b:Last>
            <b:First>Manuel</b:First>
          </b:Person>
        </b:NameList>
      </b:Author>
    </b:Author>
    <b:RefOrder>15</b:RefOrder>
  </b:Source>
  <b:Source>
    <b:Tag>WIP15</b:Tag>
    <b:SourceType>InternetSite</b:SourceType>
    <b:Guid>{2EC194C3-7400-4961-B643-7B395A81B5F4}</b:Guid>
    <b:Author>
      <b:Author>
        <b:Corporate>WIPO</b:Corporate>
      </b:Author>
    </b:Author>
    <b:Title>International Patent Classification</b:Title>
    <b:Year>2015</b:Year>
    <b:InternetSiteTitle>WIPO</b:InternetSiteTitle>
    <b:Month>01</b:Month>
    <b:Day>01</b:Day>
    <b:YearAccessed>2015</b:YearAccessed>
    <b:MonthAccessed>07</b:MonthAccessed>
    <b:DayAccessed>26</b:DayAccessed>
    <b:URL>http://www.wipo.int/classifications/ipc/en/</b:URL>
    <b:RefOrder>24</b:RefOrder>
  </b:Source>
  <b:Source>
    <b:Tag>Joh10</b:Tag>
    <b:SourceType>JournalArticle</b:SourceType>
    <b:Guid>{A2F52EC9-A77E-4A23-9911-B1D1CA8C25DD}</b:Guid>
    <b:Title>Renewable Energy Policies and Technological Innovation: Evidence Based on Patent Counts</b:Title>
    <b:Year>2010</b:Year>
    <b:Author>
      <b:Author>
        <b:NameList>
          <b:Person>
            <b:Last>Johnstone</b:Last>
            <b:First>Nick</b:First>
          </b:Person>
          <b:Person>
            <b:Last>Haščič</b:Last>
            <b:First>Ivan</b:First>
          </b:Person>
          <b:Person>
            <b:Last>Popp</b:Last>
            <b:First>David</b:First>
          </b:Person>
        </b:NameList>
      </b:Author>
    </b:Author>
    <b:Publisher>Springer Netherlands</b:Publisher>
    <b:JournalName>Environmental and Resource Economics </b:JournalName>
    <b:Pages>133-155</b:Pages>
    <b:RefOrder>23</b:RefOrder>
  </b:Source>
  <b:Source>
    <b:Tag>Nes14</b:Tag>
    <b:SourceType>JournalArticle</b:SourceType>
    <b:Guid>{895D4873-ECEC-4F2C-AC84-48AF2F288F2F}</b:Guid>
    <b:Title>Environmental policies, competition and innovation in renewable energy</b:Title>
    <b:JournalName>Journal of Environmental Economics and Management</b:JournalName>
    <b:Year>2014</b:Year>
    <b:Pages>396-411</b:Pages>
    <b:Author>
      <b:Author>
        <b:NameList>
          <b:Person>
            <b:Last>Nesta</b:Last>
            <b:First>Lionel</b:First>
          </b:Person>
          <b:Person>
            <b:Last>Vona</b:Last>
            <b:First>Francesco</b:First>
          </b:Person>
          <b:Person>
            <b:Last>Nicolli</b:Last>
            <b:First>Francesco</b:First>
          </b:Person>
        </b:NameList>
      </b:Author>
    </b:Author>
    <b:RefOrder>21</b:RefOrder>
  </b:Source>
  <b:Source>
    <b:Tag>Eur15</b:Tag>
    <b:SourceType>InternetSite</b:SourceType>
    <b:Guid>{212251A3-05CC-4373-BA58-EC3E43508BA1}</b:Guid>
    <b:Title>Applying for a patent</b:Title>
    <b:Year>2015</b:Year>
    <b:Author>
      <b:Author>
        <b:Corporate>European Patent Office</b:Corporate>
      </b:Author>
    </b:Author>
    <b:InternetSiteTitle>European Patent Office</b:InternetSiteTitle>
    <b:Month>7</b:Month>
    <b:Day>29</b:Day>
    <b:YearAccessed>2015</b:YearAccessed>
    <b:MonthAccessed>7</b:MonthAccessed>
    <b:DayAccessed>29</b:DayAccessed>
    <b:URL>https://www.epo.org/applying.html</b:URL>
    <b:RefOrder>20</b:RefOrder>
  </b:Source>
  <b:Source>
    <b:Tag>Bli06</b:Tag>
    <b:SourceType>JournalArticle</b:SourceType>
    <b:Guid>{4D41846E-A3EB-4343-8B36-209E30D35833}</b:Guid>
    <b:Title>Motives to patent: Empirical evidence from Germany</b:Title>
    <b:Year>2006</b:Year>
    <b:JournalName>Research Policy</b:JournalName>
    <b:Pages>655-672</b:Pages>
    <b:Author>
      <b:Author>
        <b:NameList>
          <b:Person>
            <b:Last>Blind</b:Last>
            <b:First>Knut</b:First>
          </b:Person>
          <b:Person>
            <b:Last>Edler</b:Last>
            <b:First>Jakob</b:First>
          </b:Person>
          <b:Person>
            <b:Last>Frietsch</b:Last>
            <b:First>Rainer</b:First>
          </b:Person>
          <b:Person>
            <b:Last>Schmoch</b:Last>
            <b:First>Ulrich</b:First>
          </b:Person>
        </b:NameList>
      </b:Author>
    </b:Author>
    <b:RefOrder>16</b:RefOrder>
  </b:Source>
  <b:Source>
    <b:Tag>Har02</b:Tag>
    <b:SourceType>JournalArticle</b:SourceType>
    <b:Guid>{67BD4FE8-5A38-480E-BA9C-041A22C52A10}</b:Guid>
    <b:Title>Citations, family size, opposition and the value of patent rights</b:Title>
    <b:JournalName>Research Policy</b:JournalName>
    <b:Year>2002</b:Year>
    <b:Pages>1-21</b:Pages>
    <b:Author>
      <b:Author>
        <b:NameList>
          <b:Person>
            <b:Last>Harhoff</b:Last>
            <b:First>Dietmar</b:First>
          </b:Person>
          <b:Person>
            <b:Last>Scherer</b:Last>
            <b:Middle>M</b:Middle>
            <b:First>Frederic</b:First>
          </b:Person>
          <b:Person>
            <b:Last>Vopel</b:Last>
            <b:First>Katrin</b:First>
          </b:Person>
        </b:NameList>
      </b:Author>
    </b:Author>
    <b:RefOrder>27</b:RefOrder>
  </b:Source>
  <b:Source>
    <b:Tag>Mar04</b:Tag>
    <b:SourceType>JournalArticle</b:SourceType>
    <b:Guid>{AE1C8F2E-F4B5-4C98-8A8E-0ECAC08A5FED}</b:Guid>
    <b:Title>The impacts of market liberalization on innovation processes in the electricity sector</b:Title>
    <b:Year>2004</b:Year>
    <b:JournalName>Energy &amp; Environment</b:JournalName>
    <b:Pages>201-2014</b:Pages>
    <b:Author>
      <b:Author>
        <b:NameList>
          <b:Person>
            <b:Last>Markard</b:Last>
            <b:First>Jochen</b:First>
          </b:Person>
          <b:Person>
            <b:Last>Truffer</b:Last>
            <b:First>Bernhard</b:First>
          </b:Person>
          <b:Person>
            <b:Last>Imboden</b:Last>
            <b:Middle>M</b:Middle>
            <b:First>Dieter</b:First>
          </b:Person>
        </b:NameList>
      </b:Author>
    </b:Author>
    <b:RefOrder>22</b:RefOrder>
  </b:Source>
  <b:Source>
    <b:Tag>Hau841</b:Tag>
    <b:SourceType>JournalArticle</b:SourceType>
    <b:Guid>{D7CF1D48-2059-407B-AB40-47CC0475781E}</b:Guid>
    <b:Title>Econometric models for count data with an application to the patents-R&amp;D relationship</b:Title>
    <b:JournalName>Econometrica</b:JournalName>
    <b:Year>1984</b:Year>
    <b:Pages>909-938</b:Pages>
    <b:Author>
      <b:Author>
        <b:NameList>
          <b:Person>
            <b:Last>Hausman</b:Last>
            <b:First>Jerry</b:First>
          </b:Person>
          <b:Person>
            <b:Last>Hall</b:Last>
            <b:Middle>H</b:Middle>
            <b:First>Bronwyn</b:First>
          </b:Person>
          <b:Person>
            <b:Last>Griliches</b:Last>
            <b:First>Zvi</b:First>
          </b:Person>
        </b:NameList>
      </b:Author>
    </b:Author>
    <b:RefOrder>30</b:RefOrder>
  </b:Source>
  <b:Source>
    <b:Tag>Jos08</b:Tag>
    <b:SourceType>JournalArticle</b:SourceType>
    <b:Guid>{F2E27F89-B052-47A3-AC41-E6FA63E189F7}</b:Guid>
    <b:Title>Lessons learned from electricity market liberalization</b:Title>
    <b:JournalName>The Energy Journal</b:JournalName>
    <b:Year>2008</b:Year>
    <b:Pages>9-42</b:Pages>
    <b:Author>
      <b:Author>
        <b:NameList>
          <b:Person>
            <b:Last>Joskow</b:Last>
            <b:Middle>L</b:Middle>
            <b:First>Paul</b:First>
          </b:Person>
        </b:NameList>
      </b:Author>
    </b:Author>
    <b:RefOrder>9</b:RefOrder>
  </b:Source>
  <b:Source>
    <b:Tag>Eur151</b:Tag>
    <b:SourceType>InternetSite</b:SourceType>
    <b:Guid>{7E01102D-D3A0-4048-87A3-5A37440E440E}</b:Guid>
    <b:Title>Supply, transformation and consumption of electricity - annual data</b:Title>
    <b:Year>2015</b:Year>
    <b:InternetSiteTitle>Eurostat</b:InternetSiteTitle>
    <b:Month>04</b:Month>
    <b:Day>27</b:Day>
    <b:YearAccessed>2015</b:YearAccessed>
    <b:MonthAccessed>8</b:MonthAccessed>
    <b:DayAccessed>9</b:DayAccessed>
    <b:URL>http://ec.europa.eu/eurostat/web/energy/data/database</b:URL>
    <b:Author>
      <b:Author>
        <b:Corporate>Eurostat</b:Corporate>
      </b:Author>
    </b:Author>
    <b:RefOrder>29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DAAB1D-4701-481C-9418-EA54E6C4B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8725</Words>
  <Characters>49737</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Electricity market liberalization and renewable electricity innovation</vt:lpstr>
    </vt:vector>
  </TitlesOfParts>
  <Company>Erasmus University Rotterdam</Company>
  <LinksUpToDate>false</LinksUpToDate>
  <CharactersWithSpaces>58346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Electricity market liberalization and renewable electricity innovation</dc:title>
  <dc:subject>An empirical analysis</dc:subject>
  <dc:creator>Brigitte  Hoogendoorn</dc:creator>
  <cp:lastModifiedBy>Brigitte Hoogendoorn</cp:lastModifiedBy>
  <cp:revision>2</cp:revision>
  <cp:lastPrinted>2015-08-07T08:45:00Z</cp:lastPrinted>
  <dcterms:created xsi:type="dcterms:W3CDTF">2015-08-18T08:57:00Z</dcterms:created>
  <dcterms:modified xsi:type="dcterms:W3CDTF">2015-08-18T08:57:00Z</dcterms:modified>
</cp:coreProperties>
</file>