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4FD7" w:rsidRPr="00AE2209" w:rsidRDefault="00954FD7" w:rsidP="00954FD7">
      <w:pPr>
        <w:rPr>
          <w:rFonts w:ascii="Times New Roman" w:hAnsi="Times New Roman" w:cs="Times New Roman"/>
          <w:b/>
          <w:sz w:val="58"/>
          <w:szCs w:val="58"/>
          <w:lang w:val="en-GB"/>
        </w:rPr>
      </w:pPr>
      <w:bookmarkStart w:id="0" w:name="_GoBack"/>
      <w:bookmarkEnd w:id="0"/>
    </w:p>
    <w:p w:rsidR="00954FD7" w:rsidRPr="00AE2209" w:rsidRDefault="00954FD7" w:rsidP="00954FD7">
      <w:pPr>
        <w:jc w:val="center"/>
        <w:rPr>
          <w:rFonts w:ascii="Times New Roman" w:hAnsi="Times New Roman" w:cs="Times New Roman"/>
          <w:b/>
          <w:sz w:val="50"/>
          <w:szCs w:val="50"/>
          <w:lang w:val="en-GB"/>
        </w:rPr>
      </w:pPr>
      <w:r w:rsidRPr="00AE2209">
        <w:rPr>
          <w:rFonts w:ascii="Times New Roman" w:hAnsi="Times New Roman" w:cs="Times New Roman"/>
          <w:b/>
          <w:sz w:val="50"/>
          <w:szCs w:val="50"/>
          <w:lang w:val="en-GB"/>
        </w:rPr>
        <w:t>Conglomerate effects and natural monopolies</w:t>
      </w:r>
    </w:p>
    <w:p w:rsidR="00954FD7" w:rsidRPr="00AE2209" w:rsidRDefault="00954FD7" w:rsidP="00954FD7">
      <w:pPr>
        <w:jc w:val="center"/>
        <w:rPr>
          <w:rFonts w:ascii="Times New Roman" w:hAnsi="Times New Roman" w:cs="Times New Roman"/>
          <w:b/>
          <w:sz w:val="50"/>
          <w:szCs w:val="50"/>
          <w:lang w:val="en-GB"/>
        </w:rPr>
      </w:pPr>
      <w:r w:rsidRPr="00AE2209">
        <w:rPr>
          <w:rFonts w:ascii="Times New Roman" w:hAnsi="Times New Roman" w:cs="Times New Roman"/>
          <w:b/>
          <w:sz w:val="50"/>
          <w:szCs w:val="50"/>
          <w:lang w:val="en-GB"/>
        </w:rPr>
        <w:t xml:space="preserve"> The General Electric/Honeywell case</w:t>
      </w:r>
    </w:p>
    <w:p w:rsidR="00954FD7" w:rsidRPr="00AE2209" w:rsidRDefault="00954FD7" w:rsidP="00954FD7">
      <w:pPr>
        <w:jc w:val="center"/>
        <w:rPr>
          <w:rFonts w:ascii="Times New Roman" w:hAnsi="Times New Roman" w:cs="Times New Roman"/>
          <w:b/>
          <w:sz w:val="50"/>
          <w:szCs w:val="50"/>
          <w:lang w:val="en-GB"/>
        </w:rPr>
      </w:pPr>
    </w:p>
    <w:p w:rsidR="00954FD7" w:rsidRPr="00AE2209" w:rsidRDefault="00954FD7" w:rsidP="00954FD7">
      <w:pPr>
        <w:jc w:val="center"/>
        <w:rPr>
          <w:rFonts w:ascii="Times New Roman" w:hAnsi="Times New Roman" w:cs="Times New Roman"/>
          <w:b/>
          <w:sz w:val="36"/>
          <w:szCs w:val="36"/>
        </w:rPr>
      </w:pPr>
      <w:r w:rsidRPr="00AE2209">
        <w:rPr>
          <w:rFonts w:ascii="Times New Roman" w:hAnsi="Times New Roman" w:cs="Times New Roman"/>
          <w:b/>
          <w:sz w:val="36"/>
          <w:szCs w:val="36"/>
        </w:rPr>
        <w:t>Erasmus Universiteit Rotterdam</w:t>
      </w:r>
    </w:p>
    <w:p w:rsidR="00954FD7" w:rsidRPr="00AE2209" w:rsidRDefault="00954FD7" w:rsidP="00954FD7">
      <w:pPr>
        <w:jc w:val="center"/>
        <w:rPr>
          <w:rFonts w:ascii="Times New Roman" w:hAnsi="Times New Roman" w:cs="Times New Roman"/>
          <w:sz w:val="36"/>
          <w:szCs w:val="36"/>
        </w:rPr>
      </w:pPr>
      <w:r w:rsidRPr="00AE2209">
        <w:rPr>
          <w:rFonts w:ascii="Times New Roman" w:hAnsi="Times New Roman" w:cs="Times New Roman"/>
          <w:sz w:val="36"/>
          <w:szCs w:val="36"/>
        </w:rPr>
        <w:t>Erasmus School of Economics</w:t>
      </w:r>
    </w:p>
    <w:p w:rsidR="00954FD7" w:rsidRPr="00AE2209" w:rsidRDefault="00954FD7" w:rsidP="00954FD7">
      <w:pPr>
        <w:rPr>
          <w:rFonts w:ascii="Times New Roman" w:hAnsi="Times New Roman" w:cs="Times New Roman"/>
          <w:noProof/>
          <w:lang w:eastAsia="nl-NL"/>
        </w:rPr>
      </w:pPr>
    </w:p>
    <w:p w:rsidR="00954FD7" w:rsidRPr="00AE2209" w:rsidRDefault="00954FD7" w:rsidP="00954FD7">
      <w:pPr>
        <w:jc w:val="center"/>
        <w:rPr>
          <w:rFonts w:ascii="Times New Roman" w:hAnsi="Times New Roman" w:cs="Times New Roman"/>
        </w:rPr>
      </w:pPr>
    </w:p>
    <w:p w:rsidR="00954FD7" w:rsidRPr="00AE2209" w:rsidRDefault="00954FD7" w:rsidP="00954FD7">
      <w:pPr>
        <w:jc w:val="center"/>
        <w:rPr>
          <w:rFonts w:ascii="Times New Roman" w:hAnsi="Times New Roman" w:cs="Times New Roman"/>
        </w:rPr>
      </w:pPr>
    </w:p>
    <w:p w:rsidR="00954FD7" w:rsidRPr="00AE2209" w:rsidRDefault="00954FD7" w:rsidP="00954FD7">
      <w:pPr>
        <w:jc w:val="center"/>
        <w:rPr>
          <w:rFonts w:ascii="Times New Roman" w:hAnsi="Times New Roman" w:cs="Times New Roman"/>
        </w:rPr>
      </w:pPr>
    </w:p>
    <w:p w:rsidR="00153A06" w:rsidRPr="00EC6367" w:rsidRDefault="00153A06" w:rsidP="00954FD7">
      <w:pPr>
        <w:rPr>
          <w:rFonts w:ascii="Times New Roman" w:hAnsi="Times New Roman" w:cs="Times New Roman"/>
          <w:i/>
        </w:rPr>
      </w:pPr>
    </w:p>
    <w:p w:rsidR="00B96EB5" w:rsidRDefault="00B96EB5" w:rsidP="00954FD7">
      <w:pPr>
        <w:rPr>
          <w:rFonts w:ascii="Times New Roman" w:hAnsi="Times New Roman" w:cs="Times New Roman"/>
          <w:i/>
          <w:lang w:val="en-GB"/>
        </w:rPr>
      </w:pPr>
      <w:r>
        <w:rPr>
          <w:rFonts w:ascii="Times New Roman" w:hAnsi="Times New Roman" w:cs="Times New Roman"/>
          <w:i/>
          <w:lang w:val="en-GB"/>
        </w:rPr>
        <w:t>Abstract</w:t>
      </w:r>
    </w:p>
    <w:p w:rsidR="00954FD7" w:rsidRPr="00AE2209" w:rsidRDefault="00B96EB5" w:rsidP="00954FD7">
      <w:pPr>
        <w:rPr>
          <w:rFonts w:ascii="Times New Roman" w:hAnsi="Times New Roman" w:cs="Times New Roman"/>
          <w:i/>
          <w:lang w:val="en-GB"/>
        </w:rPr>
      </w:pPr>
      <w:r>
        <w:rPr>
          <w:rFonts w:ascii="Times New Roman" w:hAnsi="Times New Roman" w:cs="Times New Roman"/>
          <w:i/>
          <w:lang w:val="en-GB"/>
        </w:rPr>
        <w:t>Since conglomerate merger</w:t>
      </w:r>
      <w:r w:rsidR="00153A06">
        <w:rPr>
          <w:rFonts w:ascii="Times New Roman" w:hAnsi="Times New Roman" w:cs="Times New Roman"/>
          <w:i/>
          <w:lang w:val="en-GB"/>
        </w:rPr>
        <w:t>s</w:t>
      </w:r>
      <w:r>
        <w:rPr>
          <w:rFonts w:ascii="Times New Roman" w:hAnsi="Times New Roman" w:cs="Times New Roman"/>
          <w:i/>
          <w:lang w:val="en-GB"/>
        </w:rPr>
        <w:t xml:space="preserve"> tend to improve efficiency and soc</w:t>
      </w:r>
      <w:r w:rsidR="00153A06">
        <w:rPr>
          <w:rFonts w:ascii="Times New Roman" w:hAnsi="Times New Roman" w:cs="Times New Roman"/>
          <w:i/>
          <w:lang w:val="en-GB"/>
        </w:rPr>
        <w:t>ial welfare, some eyebrows were raised when the European Commission decided to block the General Electric/Honeywell merger. In this paper, the Commission’s decision regarding the newly defined conglomerate effects will be analysed. Furthermore, the possibility of a natural monopoly in the aviation market will be investigated.</w:t>
      </w:r>
      <w:r w:rsidR="00ED4E6A">
        <w:rPr>
          <w:rFonts w:ascii="Times New Roman" w:hAnsi="Times New Roman" w:cs="Times New Roman"/>
          <w:i/>
          <w:lang w:val="en-GB"/>
        </w:rPr>
        <w:t xml:space="preserve"> The Commission’s arguments are convincing, yet the merger could (and should) have gone through under certain conditions.</w:t>
      </w:r>
    </w:p>
    <w:p w:rsidR="00954FD7" w:rsidRPr="00AE2209" w:rsidRDefault="00954FD7" w:rsidP="00954FD7">
      <w:pPr>
        <w:jc w:val="center"/>
        <w:rPr>
          <w:rFonts w:ascii="Times New Roman" w:hAnsi="Times New Roman" w:cs="Times New Roman"/>
          <w:lang w:val="en-GB"/>
        </w:rPr>
      </w:pPr>
    </w:p>
    <w:p w:rsidR="00954FD7" w:rsidRPr="00AE2209" w:rsidRDefault="00954FD7" w:rsidP="00954FD7">
      <w:pPr>
        <w:jc w:val="center"/>
        <w:rPr>
          <w:rFonts w:ascii="Times New Roman" w:hAnsi="Times New Roman" w:cs="Times New Roman"/>
          <w:lang w:val="en-GB"/>
        </w:rPr>
      </w:pPr>
    </w:p>
    <w:p w:rsidR="00954FD7" w:rsidRPr="00AE2209" w:rsidRDefault="00954FD7" w:rsidP="00954FD7">
      <w:pPr>
        <w:jc w:val="center"/>
        <w:rPr>
          <w:rFonts w:ascii="Times New Roman" w:hAnsi="Times New Roman" w:cs="Times New Roman"/>
          <w:lang w:val="en-GB"/>
        </w:rPr>
      </w:pPr>
    </w:p>
    <w:p w:rsidR="00954FD7" w:rsidRPr="00AE2209" w:rsidRDefault="00954FD7" w:rsidP="00954FD7">
      <w:pPr>
        <w:jc w:val="center"/>
        <w:rPr>
          <w:rFonts w:ascii="Times New Roman" w:hAnsi="Times New Roman" w:cs="Times New Roman"/>
          <w:lang w:val="en-GB"/>
        </w:rPr>
      </w:pPr>
    </w:p>
    <w:p w:rsidR="00954FD7" w:rsidRPr="00AE2209" w:rsidRDefault="00954FD7" w:rsidP="00954FD7">
      <w:pPr>
        <w:jc w:val="center"/>
        <w:rPr>
          <w:rFonts w:ascii="Times New Roman" w:hAnsi="Times New Roman" w:cs="Times New Roman"/>
          <w:lang w:val="en-GB"/>
        </w:rPr>
      </w:pPr>
    </w:p>
    <w:p w:rsidR="00954FD7" w:rsidRPr="00AE2209" w:rsidRDefault="00954FD7" w:rsidP="00954FD7">
      <w:pPr>
        <w:jc w:val="center"/>
        <w:rPr>
          <w:rFonts w:ascii="Times New Roman" w:hAnsi="Times New Roman" w:cs="Times New Roman"/>
          <w:lang w:val="en-GB"/>
        </w:rPr>
      </w:pPr>
    </w:p>
    <w:p w:rsidR="00954FD7" w:rsidRPr="00AE2209" w:rsidRDefault="00954FD7" w:rsidP="00954FD7">
      <w:pPr>
        <w:rPr>
          <w:rFonts w:ascii="Times New Roman" w:hAnsi="Times New Roman" w:cs="Times New Roman"/>
          <w:lang w:val="en-GB"/>
        </w:rPr>
      </w:pPr>
      <w:r w:rsidRPr="00AE2209">
        <w:rPr>
          <w:rFonts w:ascii="Times New Roman" w:hAnsi="Times New Roman" w:cs="Times New Roman"/>
          <w:lang w:val="en-GB"/>
        </w:rPr>
        <w:t xml:space="preserve">Thesis advisor: Dr. J.J.A. Kamphorst </w:t>
      </w:r>
    </w:p>
    <w:p w:rsidR="00954FD7" w:rsidRPr="00AE2209" w:rsidRDefault="00954FD7" w:rsidP="00954FD7">
      <w:pPr>
        <w:rPr>
          <w:rFonts w:ascii="Times New Roman" w:hAnsi="Times New Roman" w:cs="Times New Roman"/>
          <w:lang w:val="en-GB"/>
        </w:rPr>
      </w:pPr>
      <w:r w:rsidRPr="00AE2209">
        <w:rPr>
          <w:rFonts w:ascii="Times New Roman" w:hAnsi="Times New Roman" w:cs="Times New Roman"/>
          <w:lang w:val="en-GB"/>
        </w:rPr>
        <w:t>Submitted by: Wouter Jans</w:t>
      </w:r>
    </w:p>
    <w:p w:rsidR="00954FD7" w:rsidRPr="00AE2209" w:rsidRDefault="00954FD7" w:rsidP="00954FD7">
      <w:pPr>
        <w:rPr>
          <w:rFonts w:ascii="Times New Roman" w:hAnsi="Times New Roman" w:cs="Times New Roman"/>
          <w:lang w:val="en-GB"/>
        </w:rPr>
      </w:pPr>
      <w:r w:rsidRPr="00AE2209">
        <w:rPr>
          <w:rFonts w:ascii="Times New Roman" w:hAnsi="Times New Roman" w:cs="Times New Roman"/>
          <w:lang w:val="en-GB"/>
        </w:rPr>
        <w:t>Student number: 371557</w:t>
      </w:r>
    </w:p>
    <w:p w:rsidR="00954FD7" w:rsidRPr="00AE2209" w:rsidRDefault="00954FD7" w:rsidP="00954FD7">
      <w:pPr>
        <w:jc w:val="both"/>
        <w:rPr>
          <w:rFonts w:ascii="Times New Roman" w:hAnsi="Times New Roman" w:cs="Times New Roman"/>
          <w:lang w:val="en-GB"/>
        </w:rPr>
      </w:pPr>
      <w:r w:rsidRPr="00AE2209">
        <w:rPr>
          <w:rFonts w:ascii="Times New Roman" w:hAnsi="Times New Roman" w:cs="Times New Roman"/>
          <w:lang w:val="en-GB"/>
        </w:rPr>
        <w:t xml:space="preserve">Date: </w:t>
      </w:r>
      <w:r w:rsidR="00153A06">
        <w:rPr>
          <w:rFonts w:ascii="Times New Roman" w:hAnsi="Times New Roman" w:cs="Times New Roman"/>
          <w:lang w:val="en-GB"/>
        </w:rPr>
        <w:t>26-7-2015</w:t>
      </w:r>
      <w:r w:rsidRPr="00AE2209">
        <w:rPr>
          <w:rFonts w:ascii="Times New Roman" w:hAnsi="Times New Roman" w:cs="Times New Roman"/>
          <w:lang w:val="en-GB"/>
        </w:rPr>
        <w:br w:type="page"/>
      </w:r>
    </w:p>
    <w:p w:rsidR="00954FD7" w:rsidRDefault="00153A06" w:rsidP="009F3C51">
      <w:pPr>
        <w:pStyle w:val="Kopjes"/>
        <w:jc w:val="center"/>
      </w:pPr>
      <w:r w:rsidRPr="00153A06">
        <w:lastRenderedPageBreak/>
        <w:t>Table of contents</w:t>
      </w:r>
    </w:p>
    <w:p w:rsidR="006C3605" w:rsidRDefault="006C3605" w:rsidP="006C3605">
      <w:pPr>
        <w:pStyle w:val="Kopjes"/>
      </w:pPr>
    </w:p>
    <w:p w:rsidR="006C3605" w:rsidRDefault="009C36C4" w:rsidP="006C3605">
      <w:pPr>
        <w:pStyle w:val="Kopjes"/>
        <w:rPr>
          <w:b w:val="0"/>
          <w:sz w:val="24"/>
          <w:szCs w:val="24"/>
        </w:rPr>
      </w:pPr>
      <w:r>
        <w:rPr>
          <w:b w:val="0"/>
          <w:sz w:val="24"/>
          <w:szCs w:val="24"/>
        </w:rPr>
        <w:t>Chapter 1</w:t>
      </w:r>
      <w:r w:rsidR="009F3C51">
        <w:rPr>
          <w:b w:val="0"/>
          <w:sz w:val="24"/>
          <w:szCs w:val="24"/>
        </w:rPr>
        <w:t>:</w:t>
      </w:r>
      <w:r>
        <w:rPr>
          <w:b w:val="0"/>
          <w:sz w:val="24"/>
          <w:szCs w:val="24"/>
        </w:rPr>
        <w:t xml:space="preserve"> </w:t>
      </w:r>
      <w:r w:rsidR="00E744BF">
        <w:rPr>
          <w:b w:val="0"/>
          <w:sz w:val="24"/>
          <w:szCs w:val="24"/>
        </w:rPr>
        <w:t>Introduction</w:t>
      </w:r>
      <w:r w:rsidR="000B5C55">
        <w:rPr>
          <w:b w:val="0"/>
          <w:sz w:val="24"/>
          <w:szCs w:val="24"/>
        </w:rPr>
        <w:t xml:space="preserve"> </w:t>
      </w:r>
      <w:r w:rsidR="006C3605">
        <w:rPr>
          <w:b w:val="0"/>
          <w:sz w:val="24"/>
          <w:szCs w:val="24"/>
        </w:rPr>
        <w:t>_____________________________________________________</w:t>
      </w:r>
      <w:r w:rsidR="001C31A3">
        <w:rPr>
          <w:b w:val="0"/>
          <w:sz w:val="24"/>
          <w:szCs w:val="24"/>
        </w:rPr>
        <w:t>_</w:t>
      </w:r>
      <w:r w:rsidR="006C3605">
        <w:rPr>
          <w:b w:val="0"/>
          <w:sz w:val="24"/>
          <w:szCs w:val="24"/>
        </w:rPr>
        <w:t>3</w:t>
      </w:r>
    </w:p>
    <w:p w:rsidR="00E744BF" w:rsidRDefault="009F3C51" w:rsidP="006C3605">
      <w:pPr>
        <w:pStyle w:val="Kopjes"/>
        <w:ind w:firstLine="708"/>
        <w:rPr>
          <w:b w:val="0"/>
          <w:sz w:val="24"/>
          <w:szCs w:val="24"/>
        </w:rPr>
      </w:pPr>
      <w:r>
        <w:rPr>
          <w:b w:val="0"/>
          <w:sz w:val="24"/>
          <w:szCs w:val="24"/>
        </w:rPr>
        <w:t>1.1: A unique decisio</w:t>
      </w:r>
      <w:r w:rsidR="006C3605">
        <w:rPr>
          <w:b w:val="0"/>
          <w:sz w:val="24"/>
          <w:szCs w:val="24"/>
        </w:rPr>
        <w:t>n________________________________________________</w:t>
      </w:r>
      <w:r w:rsidR="001C31A3">
        <w:rPr>
          <w:b w:val="0"/>
          <w:sz w:val="24"/>
          <w:szCs w:val="24"/>
        </w:rPr>
        <w:t>_</w:t>
      </w:r>
      <w:r w:rsidR="006C3605">
        <w:rPr>
          <w:b w:val="0"/>
          <w:sz w:val="24"/>
          <w:szCs w:val="24"/>
        </w:rPr>
        <w:t>3</w:t>
      </w:r>
    </w:p>
    <w:p w:rsidR="009F3C51" w:rsidRDefault="006C3605" w:rsidP="00ED4E6A">
      <w:pPr>
        <w:pStyle w:val="Kopjes"/>
        <w:rPr>
          <w:b w:val="0"/>
          <w:sz w:val="24"/>
          <w:szCs w:val="24"/>
        </w:rPr>
      </w:pPr>
      <w:r>
        <w:rPr>
          <w:b w:val="0"/>
          <w:sz w:val="24"/>
          <w:szCs w:val="24"/>
        </w:rPr>
        <w:tab/>
      </w:r>
      <w:r w:rsidR="009F3C51">
        <w:rPr>
          <w:b w:val="0"/>
          <w:sz w:val="24"/>
          <w:szCs w:val="24"/>
        </w:rPr>
        <w:t>1.2</w:t>
      </w:r>
      <w:r w:rsidR="00792084">
        <w:rPr>
          <w:b w:val="0"/>
          <w:sz w:val="24"/>
          <w:szCs w:val="24"/>
        </w:rPr>
        <w:t>: Aim and structure of the paper</w:t>
      </w:r>
      <w:r>
        <w:rPr>
          <w:b w:val="0"/>
          <w:sz w:val="24"/>
          <w:szCs w:val="24"/>
        </w:rPr>
        <w:t>______________________________________</w:t>
      </w:r>
      <w:r w:rsidR="001C31A3">
        <w:rPr>
          <w:b w:val="0"/>
          <w:sz w:val="24"/>
          <w:szCs w:val="24"/>
        </w:rPr>
        <w:t>_</w:t>
      </w:r>
      <w:r>
        <w:rPr>
          <w:b w:val="0"/>
          <w:sz w:val="24"/>
          <w:szCs w:val="24"/>
        </w:rPr>
        <w:t>3</w:t>
      </w:r>
    </w:p>
    <w:p w:rsidR="009F3C51" w:rsidRDefault="009F3C51" w:rsidP="00ED4E6A">
      <w:pPr>
        <w:pStyle w:val="Kopjes"/>
        <w:rPr>
          <w:b w:val="0"/>
          <w:sz w:val="24"/>
          <w:szCs w:val="24"/>
        </w:rPr>
      </w:pPr>
      <w:r>
        <w:rPr>
          <w:b w:val="0"/>
          <w:sz w:val="24"/>
          <w:szCs w:val="24"/>
        </w:rPr>
        <w:t>Chapter 2: Defining the conditions</w:t>
      </w:r>
      <w:r w:rsidR="006C3605">
        <w:rPr>
          <w:b w:val="0"/>
          <w:sz w:val="24"/>
          <w:szCs w:val="24"/>
        </w:rPr>
        <w:t>____________________________________________</w:t>
      </w:r>
      <w:r w:rsidR="001C31A3">
        <w:rPr>
          <w:b w:val="0"/>
          <w:sz w:val="24"/>
          <w:szCs w:val="24"/>
        </w:rPr>
        <w:t>_</w:t>
      </w:r>
      <w:r w:rsidR="006C3605">
        <w:rPr>
          <w:b w:val="0"/>
          <w:sz w:val="24"/>
          <w:szCs w:val="24"/>
        </w:rPr>
        <w:t>4</w:t>
      </w:r>
    </w:p>
    <w:p w:rsidR="001C31A3" w:rsidRDefault="009F3C51" w:rsidP="00ED4E6A">
      <w:pPr>
        <w:pStyle w:val="Kopjes"/>
        <w:rPr>
          <w:b w:val="0"/>
          <w:sz w:val="24"/>
          <w:szCs w:val="24"/>
        </w:rPr>
      </w:pPr>
      <w:r>
        <w:rPr>
          <w:b w:val="0"/>
          <w:sz w:val="24"/>
          <w:szCs w:val="24"/>
        </w:rPr>
        <w:tab/>
        <w:t>2.1: The setting</w:t>
      </w:r>
      <w:r w:rsidR="00792084">
        <w:rPr>
          <w:b w:val="0"/>
          <w:sz w:val="24"/>
          <w:szCs w:val="24"/>
        </w:rPr>
        <w:t xml:space="preserve"> </w:t>
      </w:r>
      <w:r w:rsidR="001C31A3">
        <w:rPr>
          <w:b w:val="0"/>
          <w:sz w:val="24"/>
          <w:szCs w:val="24"/>
        </w:rPr>
        <w:t>______________________________________________________4</w:t>
      </w:r>
    </w:p>
    <w:p w:rsidR="009F3C51" w:rsidRDefault="009F3C51" w:rsidP="00ED4E6A">
      <w:pPr>
        <w:pStyle w:val="Kopjes"/>
        <w:rPr>
          <w:b w:val="0"/>
          <w:sz w:val="24"/>
          <w:szCs w:val="24"/>
        </w:rPr>
      </w:pPr>
      <w:r>
        <w:rPr>
          <w:b w:val="0"/>
          <w:sz w:val="24"/>
          <w:szCs w:val="24"/>
        </w:rPr>
        <w:tab/>
        <w:t>2.2: General Electric</w:t>
      </w:r>
      <w:r w:rsidR="00792084">
        <w:rPr>
          <w:b w:val="0"/>
          <w:sz w:val="24"/>
          <w:szCs w:val="24"/>
        </w:rPr>
        <w:t xml:space="preserve"> </w:t>
      </w:r>
      <w:r w:rsidR="001C31A3">
        <w:rPr>
          <w:b w:val="0"/>
          <w:sz w:val="24"/>
          <w:szCs w:val="24"/>
        </w:rPr>
        <w:t>__________________________________________________4</w:t>
      </w:r>
    </w:p>
    <w:p w:rsidR="009F3C51" w:rsidRDefault="009F3C51" w:rsidP="00ED4E6A">
      <w:pPr>
        <w:pStyle w:val="Kopjes"/>
        <w:rPr>
          <w:b w:val="0"/>
          <w:sz w:val="24"/>
          <w:szCs w:val="24"/>
        </w:rPr>
      </w:pPr>
      <w:r>
        <w:rPr>
          <w:b w:val="0"/>
          <w:sz w:val="24"/>
          <w:szCs w:val="24"/>
        </w:rPr>
        <w:tab/>
        <w:t>2.3: Honeywell</w:t>
      </w:r>
      <w:r w:rsidR="001C31A3">
        <w:rPr>
          <w:b w:val="0"/>
          <w:sz w:val="24"/>
          <w:szCs w:val="24"/>
        </w:rPr>
        <w:t xml:space="preserve"> ______________________________________________________7</w:t>
      </w:r>
    </w:p>
    <w:p w:rsidR="009F3C51" w:rsidRDefault="009F3C51" w:rsidP="00ED4E6A">
      <w:pPr>
        <w:pStyle w:val="Kopjes"/>
        <w:rPr>
          <w:b w:val="0"/>
          <w:sz w:val="24"/>
          <w:szCs w:val="24"/>
        </w:rPr>
      </w:pPr>
      <w:r>
        <w:rPr>
          <w:b w:val="0"/>
          <w:sz w:val="24"/>
          <w:szCs w:val="24"/>
        </w:rPr>
        <w:t>Chapter 3: Analysing the decision</w:t>
      </w:r>
      <w:r w:rsidR="00792084">
        <w:rPr>
          <w:b w:val="0"/>
          <w:sz w:val="24"/>
          <w:szCs w:val="24"/>
        </w:rPr>
        <w:t xml:space="preserve"> </w:t>
      </w:r>
      <w:r w:rsidR="001C31A3">
        <w:rPr>
          <w:b w:val="0"/>
          <w:sz w:val="24"/>
          <w:szCs w:val="24"/>
        </w:rPr>
        <w:t>_____________________________________________9</w:t>
      </w:r>
    </w:p>
    <w:p w:rsidR="009F3C51" w:rsidRDefault="009F3C51" w:rsidP="00ED4E6A">
      <w:pPr>
        <w:pStyle w:val="Kopjes"/>
        <w:rPr>
          <w:b w:val="0"/>
          <w:sz w:val="24"/>
          <w:szCs w:val="24"/>
        </w:rPr>
      </w:pPr>
      <w:r>
        <w:rPr>
          <w:b w:val="0"/>
          <w:sz w:val="24"/>
          <w:szCs w:val="24"/>
        </w:rPr>
        <w:tab/>
        <w:t>3.1: Grounds of disapproval</w:t>
      </w:r>
      <w:r w:rsidR="00792084">
        <w:rPr>
          <w:b w:val="0"/>
          <w:sz w:val="24"/>
          <w:szCs w:val="24"/>
        </w:rPr>
        <w:t xml:space="preserve"> </w:t>
      </w:r>
      <w:r w:rsidR="001C31A3">
        <w:rPr>
          <w:b w:val="0"/>
          <w:sz w:val="24"/>
          <w:szCs w:val="24"/>
        </w:rPr>
        <w:t>____________________________________________9</w:t>
      </w:r>
    </w:p>
    <w:p w:rsidR="009F3C51" w:rsidRDefault="009F3C51" w:rsidP="00ED4E6A">
      <w:pPr>
        <w:pStyle w:val="Kopjes"/>
        <w:rPr>
          <w:b w:val="0"/>
          <w:sz w:val="24"/>
          <w:szCs w:val="24"/>
        </w:rPr>
      </w:pPr>
      <w:r>
        <w:rPr>
          <w:b w:val="0"/>
          <w:sz w:val="24"/>
          <w:szCs w:val="24"/>
        </w:rPr>
        <w:tab/>
        <w:t>3.2: GECAS</w:t>
      </w:r>
      <w:r w:rsidR="00792084">
        <w:rPr>
          <w:b w:val="0"/>
          <w:sz w:val="24"/>
          <w:szCs w:val="24"/>
        </w:rPr>
        <w:t xml:space="preserve"> </w:t>
      </w:r>
      <w:r w:rsidR="001C31A3">
        <w:rPr>
          <w:b w:val="0"/>
          <w:sz w:val="24"/>
          <w:szCs w:val="24"/>
        </w:rPr>
        <w:t>________________________________________________________9</w:t>
      </w:r>
    </w:p>
    <w:p w:rsidR="009F3C51" w:rsidRDefault="009F3C51" w:rsidP="00ED4E6A">
      <w:pPr>
        <w:pStyle w:val="Kopjes"/>
        <w:rPr>
          <w:b w:val="0"/>
          <w:sz w:val="24"/>
          <w:szCs w:val="24"/>
        </w:rPr>
      </w:pPr>
      <w:r>
        <w:rPr>
          <w:b w:val="0"/>
          <w:sz w:val="24"/>
          <w:szCs w:val="24"/>
        </w:rPr>
        <w:tab/>
        <w:t>3.3: GE Capital</w:t>
      </w:r>
      <w:r w:rsidR="001C31A3">
        <w:rPr>
          <w:b w:val="0"/>
          <w:sz w:val="24"/>
          <w:szCs w:val="24"/>
        </w:rPr>
        <w:t xml:space="preserve"> _____________________________________________________11</w:t>
      </w:r>
    </w:p>
    <w:p w:rsidR="009F3C51" w:rsidRDefault="009F3C51" w:rsidP="00ED4E6A">
      <w:pPr>
        <w:pStyle w:val="Kopjes"/>
        <w:rPr>
          <w:b w:val="0"/>
          <w:sz w:val="24"/>
          <w:szCs w:val="24"/>
        </w:rPr>
      </w:pPr>
      <w:r>
        <w:rPr>
          <w:b w:val="0"/>
          <w:sz w:val="24"/>
          <w:szCs w:val="24"/>
        </w:rPr>
        <w:tab/>
        <w:t>3.4: Tying and Exclusion</w:t>
      </w:r>
      <w:r w:rsidR="001C31A3">
        <w:rPr>
          <w:b w:val="0"/>
          <w:sz w:val="24"/>
          <w:szCs w:val="24"/>
        </w:rPr>
        <w:t xml:space="preserve"> _____________________________________________12</w:t>
      </w:r>
    </w:p>
    <w:p w:rsidR="009F3C51" w:rsidRDefault="009F3C51" w:rsidP="00ED4E6A">
      <w:pPr>
        <w:pStyle w:val="Kopjes"/>
        <w:rPr>
          <w:b w:val="0"/>
          <w:sz w:val="24"/>
          <w:szCs w:val="24"/>
        </w:rPr>
      </w:pPr>
      <w:r>
        <w:rPr>
          <w:b w:val="0"/>
          <w:sz w:val="24"/>
          <w:szCs w:val="24"/>
        </w:rPr>
        <w:tab/>
        <w:t>3.5: Competitors</w:t>
      </w:r>
      <w:r w:rsidR="001C31A3">
        <w:rPr>
          <w:b w:val="0"/>
          <w:sz w:val="24"/>
          <w:szCs w:val="24"/>
        </w:rPr>
        <w:t xml:space="preserve"> ____________________________________________________14</w:t>
      </w:r>
    </w:p>
    <w:p w:rsidR="009F3C51" w:rsidRDefault="009F3C51" w:rsidP="00ED4E6A">
      <w:pPr>
        <w:pStyle w:val="Kopjes"/>
        <w:rPr>
          <w:b w:val="0"/>
          <w:sz w:val="24"/>
          <w:szCs w:val="24"/>
        </w:rPr>
      </w:pPr>
      <w:r>
        <w:rPr>
          <w:b w:val="0"/>
          <w:sz w:val="24"/>
          <w:szCs w:val="24"/>
        </w:rPr>
        <w:t>Chapter 4: A natural monopoly?</w:t>
      </w:r>
      <w:r w:rsidR="00792084">
        <w:rPr>
          <w:b w:val="0"/>
          <w:sz w:val="24"/>
          <w:szCs w:val="24"/>
        </w:rPr>
        <w:t xml:space="preserve"> </w:t>
      </w:r>
      <w:r w:rsidR="001C31A3">
        <w:rPr>
          <w:b w:val="0"/>
          <w:sz w:val="24"/>
          <w:szCs w:val="24"/>
        </w:rPr>
        <w:t xml:space="preserve"> _____________________________________________16</w:t>
      </w:r>
    </w:p>
    <w:p w:rsidR="009F3C51" w:rsidRDefault="009F3C51" w:rsidP="00ED4E6A">
      <w:pPr>
        <w:pStyle w:val="Kopjes"/>
        <w:rPr>
          <w:b w:val="0"/>
          <w:sz w:val="24"/>
          <w:szCs w:val="24"/>
        </w:rPr>
      </w:pPr>
      <w:r>
        <w:rPr>
          <w:b w:val="0"/>
          <w:sz w:val="24"/>
          <w:szCs w:val="24"/>
        </w:rPr>
        <w:tab/>
        <w:t>4.1: Suspicion</w:t>
      </w:r>
      <w:r w:rsidR="001C31A3">
        <w:rPr>
          <w:b w:val="0"/>
          <w:sz w:val="24"/>
          <w:szCs w:val="24"/>
        </w:rPr>
        <w:t xml:space="preserve"> ______________________________________________________16</w:t>
      </w:r>
    </w:p>
    <w:p w:rsidR="009F3C51" w:rsidRDefault="009F3C51" w:rsidP="00ED4E6A">
      <w:pPr>
        <w:pStyle w:val="Kopjes"/>
        <w:rPr>
          <w:b w:val="0"/>
          <w:sz w:val="24"/>
          <w:szCs w:val="24"/>
        </w:rPr>
      </w:pPr>
      <w:r>
        <w:rPr>
          <w:b w:val="0"/>
          <w:sz w:val="24"/>
          <w:szCs w:val="24"/>
        </w:rPr>
        <w:tab/>
        <w:t>4.2: Government monopolies</w:t>
      </w:r>
      <w:r w:rsidR="00792084">
        <w:rPr>
          <w:b w:val="0"/>
          <w:sz w:val="24"/>
          <w:szCs w:val="24"/>
        </w:rPr>
        <w:t xml:space="preserve"> </w:t>
      </w:r>
      <w:r w:rsidR="001C31A3">
        <w:rPr>
          <w:b w:val="0"/>
          <w:sz w:val="24"/>
          <w:szCs w:val="24"/>
        </w:rPr>
        <w:t>__________________________________________16</w:t>
      </w:r>
    </w:p>
    <w:p w:rsidR="009F3C51" w:rsidRDefault="009F3C51" w:rsidP="00ED4E6A">
      <w:pPr>
        <w:pStyle w:val="Kopjes"/>
        <w:rPr>
          <w:b w:val="0"/>
          <w:sz w:val="24"/>
          <w:szCs w:val="24"/>
        </w:rPr>
      </w:pPr>
      <w:r>
        <w:rPr>
          <w:b w:val="0"/>
          <w:sz w:val="24"/>
          <w:szCs w:val="24"/>
        </w:rPr>
        <w:tab/>
        <w:t>4.3: Economies of scale and –scope</w:t>
      </w:r>
      <w:r w:rsidR="00792084">
        <w:rPr>
          <w:b w:val="0"/>
          <w:sz w:val="24"/>
          <w:szCs w:val="24"/>
        </w:rPr>
        <w:t xml:space="preserve"> </w:t>
      </w:r>
      <w:r w:rsidR="001C31A3">
        <w:rPr>
          <w:b w:val="0"/>
          <w:sz w:val="24"/>
          <w:szCs w:val="24"/>
        </w:rPr>
        <w:t>_____________________________________16</w:t>
      </w:r>
    </w:p>
    <w:p w:rsidR="009F3C51" w:rsidRDefault="009F3C51" w:rsidP="00ED4E6A">
      <w:pPr>
        <w:pStyle w:val="Kopjes"/>
        <w:rPr>
          <w:b w:val="0"/>
          <w:sz w:val="24"/>
          <w:szCs w:val="24"/>
        </w:rPr>
      </w:pPr>
      <w:r>
        <w:rPr>
          <w:b w:val="0"/>
          <w:sz w:val="24"/>
          <w:szCs w:val="24"/>
        </w:rPr>
        <w:tab/>
        <w:t>4.4: Network Effects</w:t>
      </w:r>
      <w:r w:rsidR="00792084">
        <w:rPr>
          <w:b w:val="0"/>
          <w:sz w:val="24"/>
          <w:szCs w:val="24"/>
        </w:rPr>
        <w:t xml:space="preserve"> </w:t>
      </w:r>
      <w:r w:rsidR="001C31A3">
        <w:rPr>
          <w:b w:val="0"/>
          <w:sz w:val="24"/>
          <w:szCs w:val="24"/>
        </w:rPr>
        <w:t>_________________________________________________17</w:t>
      </w:r>
    </w:p>
    <w:p w:rsidR="009F3C51" w:rsidRDefault="009F3C51" w:rsidP="00ED4E6A">
      <w:pPr>
        <w:pStyle w:val="Kopjes"/>
        <w:rPr>
          <w:b w:val="0"/>
          <w:sz w:val="24"/>
          <w:szCs w:val="24"/>
        </w:rPr>
      </w:pPr>
      <w:r>
        <w:rPr>
          <w:b w:val="0"/>
          <w:sz w:val="24"/>
          <w:szCs w:val="24"/>
        </w:rPr>
        <w:tab/>
        <w:t>4.5: Consequences of a natural monopoly</w:t>
      </w:r>
      <w:r w:rsidR="00792084">
        <w:rPr>
          <w:b w:val="0"/>
          <w:sz w:val="24"/>
          <w:szCs w:val="24"/>
        </w:rPr>
        <w:t>_</w:t>
      </w:r>
      <w:r w:rsidR="001C31A3">
        <w:rPr>
          <w:b w:val="0"/>
          <w:sz w:val="24"/>
          <w:szCs w:val="24"/>
        </w:rPr>
        <w:t>________________________________17</w:t>
      </w:r>
    </w:p>
    <w:p w:rsidR="009F3C51" w:rsidRDefault="009F3C51" w:rsidP="00ED4E6A">
      <w:pPr>
        <w:pStyle w:val="Kopjes"/>
        <w:rPr>
          <w:b w:val="0"/>
          <w:sz w:val="24"/>
          <w:szCs w:val="24"/>
        </w:rPr>
      </w:pPr>
      <w:r>
        <w:rPr>
          <w:b w:val="0"/>
          <w:sz w:val="24"/>
          <w:szCs w:val="24"/>
        </w:rPr>
        <w:tab/>
        <w:t>4.6: Regulation</w:t>
      </w:r>
      <w:r w:rsidR="00792084">
        <w:rPr>
          <w:b w:val="0"/>
          <w:sz w:val="24"/>
          <w:szCs w:val="24"/>
        </w:rPr>
        <w:t>_</w:t>
      </w:r>
      <w:r w:rsidR="001C31A3">
        <w:rPr>
          <w:b w:val="0"/>
          <w:sz w:val="24"/>
          <w:szCs w:val="24"/>
        </w:rPr>
        <w:t>_____________________________________________________18</w:t>
      </w:r>
    </w:p>
    <w:p w:rsidR="009F3C51" w:rsidRDefault="009F3C51" w:rsidP="00ED4E6A">
      <w:pPr>
        <w:pStyle w:val="Kopjes"/>
        <w:rPr>
          <w:b w:val="0"/>
          <w:sz w:val="24"/>
          <w:szCs w:val="24"/>
        </w:rPr>
      </w:pPr>
      <w:r>
        <w:rPr>
          <w:b w:val="0"/>
          <w:sz w:val="24"/>
          <w:szCs w:val="24"/>
        </w:rPr>
        <w:t>Chapter 5: Conclusion</w:t>
      </w:r>
      <w:r w:rsidR="00792084">
        <w:rPr>
          <w:b w:val="0"/>
          <w:sz w:val="24"/>
          <w:szCs w:val="24"/>
        </w:rPr>
        <w:t xml:space="preserve"> </w:t>
      </w:r>
      <w:r w:rsidR="001C31A3">
        <w:rPr>
          <w:b w:val="0"/>
          <w:sz w:val="24"/>
          <w:szCs w:val="24"/>
        </w:rPr>
        <w:t>_</w:t>
      </w:r>
      <w:r w:rsidR="00792084">
        <w:rPr>
          <w:b w:val="0"/>
          <w:sz w:val="24"/>
          <w:szCs w:val="24"/>
        </w:rPr>
        <w:t>_</w:t>
      </w:r>
      <w:r w:rsidR="001C31A3">
        <w:rPr>
          <w:b w:val="0"/>
          <w:sz w:val="24"/>
          <w:szCs w:val="24"/>
        </w:rPr>
        <w:t>____________________________________________________20</w:t>
      </w:r>
    </w:p>
    <w:p w:rsidR="009F3C51" w:rsidRDefault="009F3C51" w:rsidP="00ED4E6A">
      <w:pPr>
        <w:pStyle w:val="Kopjes"/>
        <w:rPr>
          <w:b w:val="0"/>
          <w:sz w:val="24"/>
          <w:szCs w:val="24"/>
        </w:rPr>
      </w:pPr>
      <w:r>
        <w:rPr>
          <w:b w:val="0"/>
          <w:sz w:val="24"/>
          <w:szCs w:val="24"/>
        </w:rPr>
        <w:tab/>
        <w:t>5.1: The right decision?</w:t>
      </w:r>
      <w:r w:rsidR="00792084">
        <w:rPr>
          <w:b w:val="0"/>
          <w:sz w:val="24"/>
          <w:szCs w:val="24"/>
        </w:rPr>
        <w:t xml:space="preserve"> _</w:t>
      </w:r>
      <w:r w:rsidR="001C31A3">
        <w:rPr>
          <w:b w:val="0"/>
          <w:sz w:val="24"/>
          <w:szCs w:val="24"/>
        </w:rPr>
        <w:t>______________________________________________20</w:t>
      </w:r>
    </w:p>
    <w:p w:rsidR="009F3C51" w:rsidRDefault="009F3C51" w:rsidP="00ED4E6A">
      <w:pPr>
        <w:pStyle w:val="Kopjes"/>
        <w:rPr>
          <w:b w:val="0"/>
          <w:sz w:val="24"/>
          <w:szCs w:val="24"/>
        </w:rPr>
      </w:pPr>
      <w:r>
        <w:rPr>
          <w:b w:val="0"/>
          <w:sz w:val="24"/>
          <w:szCs w:val="24"/>
        </w:rPr>
        <w:tab/>
        <w:t>5.2: Policy advice</w:t>
      </w:r>
      <w:r w:rsidR="001C31A3">
        <w:rPr>
          <w:b w:val="0"/>
          <w:sz w:val="24"/>
          <w:szCs w:val="24"/>
        </w:rPr>
        <w:t>______</w:t>
      </w:r>
      <w:r w:rsidR="00792084">
        <w:rPr>
          <w:b w:val="0"/>
          <w:sz w:val="24"/>
          <w:szCs w:val="24"/>
        </w:rPr>
        <w:t>_</w:t>
      </w:r>
      <w:r w:rsidR="001C31A3">
        <w:rPr>
          <w:b w:val="0"/>
          <w:sz w:val="24"/>
          <w:szCs w:val="24"/>
        </w:rPr>
        <w:t>_____________________________________________20</w:t>
      </w:r>
    </w:p>
    <w:p w:rsidR="00C936F5" w:rsidRPr="00E744BF" w:rsidRDefault="00C936F5" w:rsidP="00ED4E6A">
      <w:pPr>
        <w:pStyle w:val="Kopjes"/>
        <w:rPr>
          <w:b w:val="0"/>
          <w:sz w:val="24"/>
          <w:szCs w:val="24"/>
        </w:rPr>
      </w:pPr>
      <w:r>
        <w:rPr>
          <w:b w:val="0"/>
          <w:sz w:val="24"/>
          <w:szCs w:val="24"/>
        </w:rPr>
        <w:t>Bibliography______________________________________________________________21</w:t>
      </w:r>
    </w:p>
    <w:p w:rsidR="00954FD7" w:rsidRDefault="00954FD7">
      <w:pPr>
        <w:rPr>
          <w:rFonts w:ascii="Times New Roman" w:hAnsi="Times New Roman" w:cs="Times New Roman"/>
          <w:lang w:val="en-GB"/>
        </w:rPr>
      </w:pPr>
      <w:r>
        <w:rPr>
          <w:rFonts w:ascii="Times New Roman" w:hAnsi="Times New Roman" w:cs="Times New Roman"/>
          <w:lang w:val="en-GB"/>
        </w:rPr>
        <w:br w:type="page"/>
      </w:r>
    </w:p>
    <w:p w:rsidR="00EB0F78" w:rsidRPr="00EB0F78" w:rsidRDefault="009C36C4" w:rsidP="009C36C4">
      <w:pPr>
        <w:pStyle w:val="Kopjes"/>
        <w:jc w:val="center"/>
      </w:pPr>
      <w:r>
        <w:lastRenderedPageBreak/>
        <w:t xml:space="preserve">Chapter 1: </w:t>
      </w:r>
      <w:r w:rsidR="00954FD7" w:rsidRPr="00AE2209">
        <w:t>Introduction</w:t>
      </w:r>
    </w:p>
    <w:p w:rsidR="009C36C4" w:rsidRPr="009C36C4" w:rsidRDefault="009C36C4" w:rsidP="00954FD7">
      <w:pPr>
        <w:pStyle w:val="NoSpacing"/>
        <w:rPr>
          <w:rFonts w:ascii="Times New Roman" w:hAnsi="Times New Roman" w:cs="Times New Roman"/>
          <w:i/>
          <w:sz w:val="24"/>
          <w:szCs w:val="24"/>
          <w:lang w:val="en-GB"/>
        </w:rPr>
      </w:pPr>
      <w:r>
        <w:rPr>
          <w:rFonts w:ascii="Times New Roman" w:hAnsi="Times New Roman" w:cs="Times New Roman"/>
          <w:i/>
          <w:sz w:val="24"/>
          <w:szCs w:val="24"/>
          <w:lang w:val="en-GB"/>
        </w:rPr>
        <w:t xml:space="preserve">1.1 </w:t>
      </w:r>
      <w:r>
        <w:rPr>
          <w:rFonts w:ascii="Times New Roman" w:hAnsi="Times New Roman" w:cs="Times New Roman"/>
          <w:i/>
          <w:sz w:val="24"/>
          <w:szCs w:val="24"/>
          <w:lang w:val="en-GB"/>
        </w:rPr>
        <w:tab/>
        <w:t>A unique decision</w:t>
      </w:r>
    </w:p>
    <w:p w:rsidR="009C36C4" w:rsidRDefault="009C36C4" w:rsidP="00954FD7">
      <w:pPr>
        <w:pStyle w:val="NoSpacing"/>
        <w:rPr>
          <w:rFonts w:ascii="Times New Roman" w:hAnsi="Times New Roman" w:cs="Times New Roman"/>
          <w:sz w:val="24"/>
          <w:szCs w:val="24"/>
          <w:lang w:val="en-GB"/>
        </w:rPr>
      </w:pPr>
    </w:p>
    <w:p w:rsidR="00954FD7" w:rsidRPr="00AE2209" w:rsidRDefault="00954FD7" w:rsidP="00954FD7">
      <w:pPr>
        <w:pStyle w:val="NoSpacing"/>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In its decision of 3 July 2001, The European Commission declared the possible concentration of General Electric and Honeywell to be incompatible with the common market and the European Economic Area (EEA) agreement. This particular merger case, case M.2220, was quite special at the time. Firstly, the takeover would result in the largest industrial merger ever and would cost over $40 billion </w:t>
      </w:r>
      <w:sdt>
        <w:sdtPr>
          <w:rPr>
            <w:rFonts w:ascii="Times New Roman" w:hAnsi="Times New Roman" w:cs="Times New Roman"/>
            <w:sz w:val="24"/>
            <w:szCs w:val="24"/>
            <w:lang w:val="en-GB"/>
          </w:rPr>
          <w:id w:val="1917206781"/>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Mar01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(Marsden, 2001)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Secondly, it was the first time in the history of competition policy that the European Commission has blocked a concentration of two American firms while the concentration was cleared by the competition authorities in the United States </w:t>
      </w:r>
      <w:sdt>
        <w:sdtPr>
          <w:rPr>
            <w:rFonts w:ascii="Times New Roman" w:hAnsi="Times New Roman" w:cs="Times New Roman"/>
            <w:sz w:val="24"/>
            <w:szCs w:val="24"/>
            <w:lang w:val="en-GB"/>
          </w:rPr>
          <w:id w:val="444670667"/>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b/>
              <w:sz w:val="24"/>
              <w:szCs w:val="24"/>
              <w:lang w:val="en-GB"/>
            </w:rPr>
            <w:instrText xml:space="preserve"> CITATION BBC01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(BBC, 2001)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w:t>
      </w:r>
    </w:p>
    <w:p w:rsidR="00954FD7" w:rsidRPr="00AE2209" w:rsidRDefault="00954FD7" w:rsidP="00954FD7">
      <w:pPr>
        <w:pStyle w:val="NoSpacing"/>
        <w:rPr>
          <w:rFonts w:ascii="Times New Roman" w:hAnsi="Times New Roman" w:cs="Times New Roman"/>
          <w:sz w:val="24"/>
          <w:szCs w:val="24"/>
          <w:lang w:val="en-GB"/>
        </w:rPr>
      </w:pPr>
    </w:p>
    <w:p w:rsidR="00954FD7" w:rsidRPr="00AE2209" w:rsidRDefault="00954FD7" w:rsidP="00954FD7">
      <w:pPr>
        <w:shd w:val="clear" w:color="auto" w:fill="FFFFFF" w:themeFill="background1"/>
        <w:jc w:val="both"/>
        <w:rPr>
          <w:rFonts w:ascii="Times New Roman" w:hAnsi="Times New Roman" w:cs="Times New Roman"/>
          <w:b/>
          <w:sz w:val="24"/>
          <w:szCs w:val="24"/>
          <w:lang w:val="en-GB"/>
        </w:rPr>
      </w:pPr>
      <w:r w:rsidRPr="00AE2209">
        <w:rPr>
          <w:rFonts w:ascii="Times New Roman" w:hAnsi="Times New Roman" w:cs="Times New Roman"/>
          <w:sz w:val="24"/>
          <w:szCs w:val="24"/>
          <w:lang w:val="en-GB"/>
        </w:rPr>
        <w:t xml:space="preserve">The European Commission’s decision resulted in a fiery debate in both the scientific- and business environment. This resulted in several papers that analysed the methodology of the European Commission. One of the reasons why the decision was called into question so often was the introduction of conglomerate effects that would take place as a result of the concentration. Besides the traditional horizontal- and vertical effects, a new criterion was defined by which large mergers across different markets could be assessed.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After the European Commission made its decision to prohibit the General Electric/Honeywell merger, the decision was contested at the Court of First Instances. The Court of First Instances was reluctant to accept the Commission’s arguments regarding conglomerate effects. In order to block a merger on the merits of conglomerate effects, “the Commission must establish that there is a high probability that anticompetitive effects will occur and not merely that they might occur”. Since the Court argued that the Commission failed to show this, the Commission’s decision raised even more controversy. However, besides the conglomerate effects, the merger was also blocked on grounds of horizontal- and vertical effects. The Court decided that these effects were sufficient to block the merger after all.</w:t>
      </w:r>
    </w:p>
    <w:p w:rsidR="00EB0F78" w:rsidRPr="00EB0F78" w:rsidRDefault="009C36C4"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1.2</w:t>
      </w:r>
      <w:r>
        <w:rPr>
          <w:rFonts w:ascii="Times New Roman" w:hAnsi="Times New Roman" w:cs="Times New Roman"/>
          <w:i/>
          <w:sz w:val="24"/>
          <w:szCs w:val="24"/>
          <w:lang w:val="en-GB"/>
        </w:rPr>
        <w:tab/>
      </w:r>
      <w:r w:rsidR="00EB0F78">
        <w:rPr>
          <w:rFonts w:ascii="Times New Roman" w:hAnsi="Times New Roman" w:cs="Times New Roman"/>
          <w:i/>
          <w:sz w:val="24"/>
          <w:szCs w:val="24"/>
          <w:lang w:val="en-GB"/>
        </w:rPr>
        <w:t>Aim and structure of the paper</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aim of this paper is to investigate the dynamics of these conglomerate effects and their implications on total welfare. The first part will consist of a description of the merger case and its parties, as they form the setting in which the conglomerate effects would take place. The second part will explain the theory behind the European Commission’s concerns regarding conglomerate effects. This part will also consider the effects on welfare of the conglomerate effects. In the third part, the possibility of a natural monopoly within the aviation market will be explored. The paper will be concluded with policy advice regarding the General Electric/Honeywell merger and conglomerate mergers in general. </w:t>
      </w:r>
    </w:p>
    <w:p w:rsidR="00954FD7" w:rsidRPr="00AE2209" w:rsidRDefault="00954FD7" w:rsidP="009C36C4">
      <w:pPr>
        <w:pStyle w:val="Kopjes"/>
        <w:jc w:val="center"/>
      </w:pPr>
      <w:r>
        <w:br w:type="page"/>
      </w:r>
      <w:r w:rsidR="009C36C4">
        <w:lastRenderedPageBreak/>
        <w:t xml:space="preserve">Chapter 2: </w:t>
      </w:r>
      <w:r w:rsidRPr="00AE2209">
        <w:t>Defining the conditions</w:t>
      </w:r>
    </w:p>
    <w:p w:rsidR="009C36C4" w:rsidRPr="009C36C4" w:rsidRDefault="009C36C4"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2.1</w:t>
      </w:r>
      <w:r>
        <w:rPr>
          <w:rFonts w:ascii="Times New Roman" w:hAnsi="Times New Roman" w:cs="Times New Roman"/>
          <w:i/>
          <w:sz w:val="24"/>
          <w:szCs w:val="24"/>
          <w:lang w:val="en-GB"/>
        </w:rPr>
        <w:tab/>
        <w:t>The setting</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To completely understand the economics of conglomerate effects, it is important to be familiar with both General Electric and Honeywell, as well as the markets in which they operate. These aspects are very important in the analysis because they affect the effectiveness of conglomerate effects. Because General Electric and Honeywell are both huge enterprises, a merger between these firms would affect several markets. Although Honeywell and General Electric are well-diversified and global companies, the European Commission blocked the merger as a result of their concerns regarding the aerospace, avionics and non-avionics industries.</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First of all, it is important to consider in what extent the different producers in these industries can compete with each other. From previous decisions by the European Commission (see below), it becomes clear that producers of engines have sold and supported their engines worldwide. In the relevant geographic market, competitive constraints are therefore worldwide.   </w:t>
      </w:r>
    </w:p>
    <w:p w:rsidR="00954FD7" w:rsidRPr="00AE2209"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2.2</w:t>
      </w:r>
      <w:r>
        <w:rPr>
          <w:rFonts w:ascii="Times New Roman" w:hAnsi="Times New Roman" w:cs="Times New Roman"/>
          <w:i/>
          <w:sz w:val="24"/>
          <w:szCs w:val="24"/>
          <w:lang w:val="en-GB"/>
        </w:rPr>
        <w:tab/>
      </w:r>
      <w:r w:rsidR="00954FD7" w:rsidRPr="00AE2209">
        <w:rPr>
          <w:rFonts w:ascii="Times New Roman" w:hAnsi="Times New Roman" w:cs="Times New Roman"/>
          <w:i/>
          <w:sz w:val="24"/>
          <w:szCs w:val="24"/>
          <w:lang w:val="en-GB"/>
        </w:rPr>
        <w:t>General Electric</w:t>
      </w:r>
    </w:p>
    <w:p w:rsidR="00954FD7" w:rsidRPr="00AE2209" w:rsidRDefault="00954FD7" w:rsidP="00954FD7">
      <w:pPr>
        <w:shd w:val="clear" w:color="auto" w:fill="FFFFFF" w:themeFill="background1"/>
        <w:jc w:val="both"/>
        <w:rPr>
          <w:rFonts w:ascii="Times New Roman" w:hAnsi="Times New Roman" w:cs="Times New Roman"/>
          <w:b/>
          <w:sz w:val="24"/>
          <w:szCs w:val="24"/>
          <w:lang w:val="en-GB"/>
        </w:rPr>
      </w:pPr>
      <w:r w:rsidRPr="00AE2209">
        <w:rPr>
          <w:rFonts w:ascii="Times New Roman" w:hAnsi="Times New Roman" w:cs="Times New Roman"/>
          <w:sz w:val="24"/>
          <w:szCs w:val="24"/>
          <w:lang w:val="en-GB"/>
        </w:rPr>
        <w:t xml:space="preserve">At the time, General Electric was the largest producer of aircraft engines. The firm sold engines for a value of around $11 billion in 2000 alone </w:t>
      </w:r>
      <w:sdt>
        <w:sdtPr>
          <w:rPr>
            <w:rFonts w:ascii="Times New Roman" w:hAnsi="Times New Roman" w:cs="Times New Roman"/>
            <w:sz w:val="24"/>
            <w:szCs w:val="24"/>
            <w:lang w:val="en-GB"/>
          </w:rPr>
          <w:id w:val="1159889771"/>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Gen01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(General Electric Company, 2001)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w:t>
      </w:r>
      <w:r w:rsidRPr="00AE2209">
        <w:rPr>
          <w:rFonts w:ascii="Times New Roman" w:hAnsi="Times New Roman" w:cs="Times New Roman"/>
          <w:sz w:val="24"/>
          <w:szCs w:val="24"/>
          <w:lang w:val="en-GB"/>
        </w:rPr>
        <w:t xml:space="preserve">  Because the market for aircraft engines is too broad to analyse easily, the Commission established sub-markets as they did in several previous decisions </w:t>
      </w:r>
      <w:sdt>
        <w:sdtPr>
          <w:rPr>
            <w:rFonts w:ascii="Times New Roman" w:hAnsi="Times New Roman" w:cs="Times New Roman"/>
            <w:sz w:val="24"/>
            <w:szCs w:val="24"/>
            <w:lang w:val="en-GB"/>
          </w:rPr>
          <w:id w:val="-192085707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Eur91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(91/619/EEC: Commission Decision of 2 October 1991 declaring the incompatibility with the common market of a concentration; Alenia/De Havilland, 1991)</w:t>
          </w:r>
          <w:r w:rsidRPr="00AE2209">
            <w:rPr>
              <w:rFonts w:ascii="Times New Roman" w:hAnsi="Times New Roman" w:cs="Times New Roman"/>
              <w:sz w:val="24"/>
              <w:szCs w:val="24"/>
              <w:lang w:val="en-GB"/>
            </w:rPr>
            <w:fldChar w:fldCharType="end"/>
          </w:r>
        </w:sdtContent>
      </w:sdt>
      <w:sdt>
        <w:sdtPr>
          <w:rPr>
            <w:rFonts w:ascii="Times New Roman" w:hAnsi="Times New Roman" w:cs="Times New Roman"/>
            <w:sz w:val="24"/>
            <w:szCs w:val="24"/>
            <w:lang w:val="en-GB"/>
          </w:rPr>
          <w:id w:val="1839186550"/>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b/>
              <w:sz w:val="24"/>
              <w:szCs w:val="24"/>
              <w:lang w:val="en-GB"/>
            </w:rPr>
            <w:instrText xml:space="preserve"> CITATION 97897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b/>
              <w:noProof/>
              <w:sz w:val="24"/>
              <w:szCs w:val="24"/>
              <w:lang w:val="en-GB"/>
            </w:rPr>
            <w:t xml:space="preserve"> </w:t>
          </w:r>
          <w:r w:rsidRPr="00AE2209">
            <w:rPr>
              <w:rFonts w:ascii="Times New Roman" w:hAnsi="Times New Roman" w:cs="Times New Roman"/>
              <w:noProof/>
              <w:sz w:val="24"/>
              <w:szCs w:val="24"/>
              <w:lang w:val="en-GB"/>
            </w:rPr>
            <w:t>(97/816/EC: Commission Decision of 30 July 1997 declaring a concentration compatible with the common market and the functioning of the EEA Agreement; Boeing/McDonnell Douglas, 1997)</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405693051"/>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20099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(2001/417/EC: Commission Decision of 1 December 1999 declaring a concentration compatible with the common market and the functioning of the EEA Agreement; AlliedSignal/Honeywell, 1999)</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 xml:space="preserve">. </w:t>
      </w:r>
      <w:r w:rsidRPr="00AE2209">
        <w:rPr>
          <w:rFonts w:ascii="Times New Roman" w:hAnsi="Times New Roman" w:cs="Times New Roman"/>
          <w:sz w:val="24"/>
          <w:szCs w:val="24"/>
          <w:lang w:val="en-GB"/>
        </w:rPr>
        <w:t>The Commission distinguished three different markets, all with their own purposes, capacities, flying ranges and players:</w:t>
      </w:r>
    </w:p>
    <w:p w:rsidR="00954FD7" w:rsidRPr="00AE2209" w:rsidRDefault="00954FD7" w:rsidP="00954FD7">
      <w:pPr>
        <w:pStyle w:val="ListParagraph"/>
        <w:numPr>
          <w:ilvl w:val="0"/>
          <w:numId w:val="1"/>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Large commercial aircraft</w:t>
      </w:r>
    </w:p>
    <w:p w:rsidR="00954FD7" w:rsidRDefault="00954FD7" w:rsidP="00954FD7">
      <w:pPr>
        <w:pStyle w:val="ListParagraph"/>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market for large commercial aircraft consist of planes that can carry more than 100 passengers over medium to long (transcontinental) distances. The Boeing 737, world’s most successful commercial plane, belongs to this market </w:t>
      </w:r>
      <w:sdt>
        <w:sdtPr>
          <w:rPr>
            <w:rFonts w:ascii="Times New Roman" w:hAnsi="Times New Roman" w:cs="Times New Roman"/>
            <w:sz w:val="24"/>
            <w:szCs w:val="24"/>
            <w:lang w:val="en-GB"/>
          </w:rPr>
          <w:id w:val="98575114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Fal13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(Falzon, 2013)</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w:t>
      </w:r>
      <w:r w:rsidRPr="00AE2209">
        <w:rPr>
          <w:rFonts w:ascii="Times New Roman" w:hAnsi="Times New Roman" w:cs="Times New Roman"/>
          <w:sz w:val="24"/>
          <w:szCs w:val="24"/>
          <w:lang w:val="en-GB"/>
        </w:rPr>
        <w:t xml:space="preserve"> Boeing and Airbus are the only producers of airframes in this market. There are only three main producers of engines in this market: General Electric, Rolls-Royce and Pratt &amp; Whitney. These firms also cooperate with each other and have created joint ventures for this purpose. Important joint ventures are CFMI and International Aero Engines. CFMI is equally divided and controlled by General Electric and the French firm SNECMA. International Aero Engines on the other hand, is controlled by Rolls-Royce and Pratt &amp; Whitney. MTU and Aero Engines Corp are also part of this joint venture. The market for large commercial aircraft is considered as the most important market since it is the biggest market money-wise.</w:t>
      </w:r>
    </w:p>
    <w:p w:rsidR="00E744BF" w:rsidRPr="00AE2209" w:rsidRDefault="00E744BF" w:rsidP="00954FD7">
      <w:pPr>
        <w:pStyle w:val="ListParagraph"/>
        <w:shd w:val="clear" w:color="auto" w:fill="FFFFFF" w:themeFill="background1"/>
        <w:jc w:val="both"/>
        <w:rPr>
          <w:rFonts w:ascii="Times New Roman" w:hAnsi="Times New Roman" w:cs="Times New Roman"/>
          <w:sz w:val="24"/>
          <w:szCs w:val="24"/>
          <w:lang w:val="en-GB"/>
        </w:rPr>
      </w:pPr>
    </w:p>
    <w:p w:rsidR="00954FD7" w:rsidRPr="00AE2209" w:rsidRDefault="00954FD7" w:rsidP="00954FD7">
      <w:pPr>
        <w:pStyle w:val="ListParagraph"/>
        <w:numPr>
          <w:ilvl w:val="0"/>
          <w:numId w:val="1"/>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Regional jet aircraft</w:t>
      </w:r>
    </w:p>
    <w:p w:rsidR="00954FD7" w:rsidRDefault="00954FD7" w:rsidP="00E744BF">
      <w:pPr>
        <w:pStyle w:val="ListParagraph"/>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With city trips growing in popularity, this market has grown rapidly in the last two decades. The market for regional jet aircraft can be divided further into the markets for small or large regional aircraft. The commission argued that substitution was not </w:t>
      </w:r>
      <w:r w:rsidRPr="00AE2209">
        <w:rPr>
          <w:rFonts w:ascii="Times New Roman" w:hAnsi="Times New Roman" w:cs="Times New Roman"/>
          <w:sz w:val="24"/>
          <w:szCs w:val="24"/>
          <w:lang w:val="en-GB"/>
        </w:rPr>
        <w:lastRenderedPageBreak/>
        <w:t>possible among these markets, hence the distinction. Frames for both markets were produced by four firms: Embraer, Bombardier and BAe Systems. General Electric, Rolls-Royce and Pratt &amp; Whitney all produced engines suitable for small regional jets. In the market for large regional jets, Honeywell and General Electric were the only producers of engines. This is also one of the most important horizontal dimensions of the merger. A merger between General Electric and Honeywell would result in a monopoly for these engines.</w:t>
      </w:r>
    </w:p>
    <w:p w:rsidR="00E744BF" w:rsidRPr="00E744BF" w:rsidRDefault="00E744BF" w:rsidP="00E744BF">
      <w:pPr>
        <w:pStyle w:val="ListParagraph"/>
        <w:shd w:val="clear" w:color="auto" w:fill="FFFFFF" w:themeFill="background1"/>
        <w:jc w:val="both"/>
        <w:rPr>
          <w:rFonts w:ascii="Times New Roman" w:hAnsi="Times New Roman" w:cs="Times New Roman"/>
          <w:sz w:val="24"/>
          <w:szCs w:val="24"/>
          <w:lang w:val="en-GB"/>
        </w:rPr>
      </w:pPr>
    </w:p>
    <w:p w:rsidR="00954FD7" w:rsidRPr="00AE2209" w:rsidRDefault="00954FD7" w:rsidP="00954FD7">
      <w:pPr>
        <w:pStyle w:val="ListParagraph"/>
        <w:numPr>
          <w:ilvl w:val="0"/>
          <w:numId w:val="1"/>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Corporate jet aircraft</w:t>
      </w:r>
    </w:p>
    <w:p w:rsidR="00954FD7" w:rsidRPr="00AE2209" w:rsidRDefault="00954FD7" w:rsidP="00954FD7">
      <w:pPr>
        <w:pStyle w:val="ListParagraph"/>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four producers of corporate jet aircraft are Bombardier, Cessna, Dassault and Raytheon. Corporate jets can be divided in light, medium and heavy jets due to a lack of substitutability. The engines are produced by General Electric, Honeywell, Rolls-Royce and Pratt &amp; Whitney. The Commission were convinced a horizontal overlap would arise in the market for medium corporate jet aircraft after a merger. After a merger, a price increase in this segment would be likely.</w:t>
      </w:r>
    </w:p>
    <w:p w:rsidR="00954FD7" w:rsidRPr="00AE2209" w:rsidRDefault="00954FD7" w:rsidP="00954FD7">
      <w:pPr>
        <w:shd w:val="clear" w:color="auto" w:fill="FFFFFF" w:themeFill="background1"/>
        <w:jc w:val="both"/>
        <w:rPr>
          <w:rFonts w:ascii="Times New Roman" w:hAnsi="Times New Roman" w:cs="Times New Roman"/>
          <w:b/>
          <w:sz w:val="24"/>
          <w:szCs w:val="24"/>
          <w:lang w:val="en-GB"/>
        </w:rPr>
      </w:pPr>
      <w:r w:rsidRPr="00AE2209">
        <w:rPr>
          <w:rFonts w:ascii="Times New Roman" w:hAnsi="Times New Roman" w:cs="Times New Roman"/>
          <w:sz w:val="24"/>
          <w:szCs w:val="24"/>
          <w:lang w:val="en-GB"/>
        </w:rPr>
        <w:t xml:space="preserve">The market shares for these aircrafts combined were as follows </w:t>
      </w:r>
      <w:sdt>
        <w:sdtPr>
          <w:rPr>
            <w:rFonts w:ascii="Times New Roman" w:hAnsi="Times New Roman" w:cs="Times New Roman"/>
            <w:sz w:val="24"/>
            <w:szCs w:val="24"/>
            <w:lang w:val="en-GB"/>
          </w:rPr>
          <w:id w:val="124414549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Viv09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(Vives &amp; Staffiero, 2009)</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w:t>
      </w:r>
    </w:p>
    <w:tbl>
      <w:tblPr>
        <w:tblStyle w:val="TableGrid"/>
        <w:tblW w:w="0" w:type="auto"/>
        <w:tblLook w:val="04A0" w:firstRow="1" w:lastRow="0" w:firstColumn="1" w:lastColumn="0" w:noHBand="0" w:noVBand="1"/>
      </w:tblPr>
      <w:tblGrid>
        <w:gridCol w:w="4531"/>
        <w:gridCol w:w="4531"/>
      </w:tblGrid>
      <w:tr w:rsidR="00954FD7" w:rsidRPr="00AE2209" w:rsidTr="0070477F">
        <w:tc>
          <w:tcPr>
            <w:tcW w:w="4531" w:type="dxa"/>
          </w:tcPr>
          <w:p w:rsidR="00954FD7" w:rsidRPr="00AE2209" w:rsidRDefault="00954FD7" w:rsidP="0070477F">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General Electric</w:t>
            </w:r>
          </w:p>
        </w:tc>
        <w:tc>
          <w:tcPr>
            <w:tcW w:w="4531" w:type="dxa"/>
          </w:tcPr>
          <w:p w:rsidR="00954FD7" w:rsidRPr="00AE2209" w:rsidRDefault="00954FD7" w:rsidP="0070477F">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52,5 %</w:t>
            </w:r>
          </w:p>
        </w:tc>
      </w:tr>
      <w:tr w:rsidR="00954FD7" w:rsidRPr="00AE2209" w:rsidTr="0070477F">
        <w:tc>
          <w:tcPr>
            <w:tcW w:w="4531" w:type="dxa"/>
          </w:tcPr>
          <w:p w:rsidR="00954FD7" w:rsidRPr="00AE2209" w:rsidRDefault="00954FD7" w:rsidP="0070477F">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Pratt &amp; Whitney</w:t>
            </w:r>
          </w:p>
        </w:tc>
        <w:tc>
          <w:tcPr>
            <w:tcW w:w="4531" w:type="dxa"/>
          </w:tcPr>
          <w:p w:rsidR="00954FD7" w:rsidRPr="00AE2209" w:rsidRDefault="00954FD7" w:rsidP="0070477F">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26.5%</w:t>
            </w:r>
          </w:p>
        </w:tc>
      </w:tr>
      <w:tr w:rsidR="00954FD7" w:rsidRPr="00AE2209" w:rsidTr="0070477F">
        <w:tc>
          <w:tcPr>
            <w:tcW w:w="4531" w:type="dxa"/>
          </w:tcPr>
          <w:p w:rsidR="00954FD7" w:rsidRPr="00AE2209" w:rsidRDefault="00954FD7" w:rsidP="0070477F">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Rolls-Royce</w:t>
            </w:r>
          </w:p>
        </w:tc>
        <w:tc>
          <w:tcPr>
            <w:tcW w:w="4531" w:type="dxa"/>
          </w:tcPr>
          <w:p w:rsidR="00954FD7" w:rsidRPr="00AE2209" w:rsidRDefault="00954FD7" w:rsidP="0070477F">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21%</w:t>
            </w:r>
          </w:p>
        </w:tc>
      </w:tr>
    </w:tbl>
    <w:p w:rsidR="00954FD7" w:rsidRPr="00AE2209" w:rsidRDefault="00954FD7" w:rsidP="00954FD7">
      <w:pPr>
        <w:pStyle w:val="NoSpacing"/>
        <w:shd w:val="clear" w:color="auto" w:fill="FFFFFF" w:themeFill="background1"/>
        <w:jc w:val="both"/>
        <w:rPr>
          <w:rFonts w:ascii="Times New Roman" w:hAnsi="Times New Roman" w:cs="Times New Roman"/>
          <w:sz w:val="24"/>
          <w:szCs w:val="24"/>
          <w:lang w:val="en-GB"/>
        </w:rPr>
      </w:pPr>
    </w:p>
    <w:p w:rsidR="00954FD7" w:rsidRPr="00AE2209" w:rsidRDefault="00954FD7" w:rsidP="00954FD7">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table below shows how future orders were divided</w:t>
      </w:r>
    </w:p>
    <w:p w:rsidR="00954FD7" w:rsidRPr="00AE2209" w:rsidRDefault="00954FD7" w:rsidP="00954FD7">
      <w:pPr>
        <w:pStyle w:val="NoSpacing"/>
        <w:shd w:val="clear" w:color="auto" w:fill="FFFFFF" w:themeFill="background1"/>
        <w:jc w:val="both"/>
        <w:rPr>
          <w:rFonts w:ascii="Times New Roman" w:hAnsi="Times New Roman" w:cs="Times New Roman"/>
          <w:sz w:val="24"/>
          <w:szCs w:val="24"/>
          <w:lang w:val="en-GB"/>
        </w:rPr>
      </w:pPr>
    </w:p>
    <w:tbl>
      <w:tblPr>
        <w:tblStyle w:val="TableGrid"/>
        <w:tblW w:w="0" w:type="auto"/>
        <w:tblLook w:val="04A0" w:firstRow="1" w:lastRow="0" w:firstColumn="1" w:lastColumn="0" w:noHBand="0" w:noVBand="1"/>
      </w:tblPr>
      <w:tblGrid>
        <w:gridCol w:w="4531"/>
        <w:gridCol w:w="4531"/>
      </w:tblGrid>
      <w:tr w:rsidR="00954FD7" w:rsidRPr="00AE2209" w:rsidTr="0070477F">
        <w:tc>
          <w:tcPr>
            <w:tcW w:w="4531" w:type="dxa"/>
          </w:tcPr>
          <w:p w:rsidR="00954FD7" w:rsidRPr="00AE2209" w:rsidRDefault="00954FD7" w:rsidP="0070477F">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General Electric</w:t>
            </w:r>
          </w:p>
        </w:tc>
        <w:tc>
          <w:tcPr>
            <w:tcW w:w="4531" w:type="dxa"/>
          </w:tcPr>
          <w:p w:rsidR="00954FD7" w:rsidRPr="00AE2209" w:rsidRDefault="00954FD7" w:rsidP="0070477F">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65%</w:t>
            </w:r>
          </w:p>
        </w:tc>
      </w:tr>
      <w:tr w:rsidR="00954FD7" w:rsidRPr="00AE2209" w:rsidTr="0070477F">
        <w:tc>
          <w:tcPr>
            <w:tcW w:w="4531" w:type="dxa"/>
          </w:tcPr>
          <w:p w:rsidR="00954FD7" w:rsidRPr="00AE2209" w:rsidRDefault="00954FD7" w:rsidP="0070477F">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Pratt &amp; Whitney</w:t>
            </w:r>
          </w:p>
        </w:tc>
        <w:tc>
          <w:tcPr>
            <w:tcW w:w="4531" w:type="dxa"/>
          </w:tcPr>
          <w:p w:rsidR="00954FD7" w:rsidRPr="00AE2209" w:rsidRDefault="00954FD7" w:rsidP="0070477F">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16%</w:t>
            </w:r>
          </w:p>
        </w:tc>
      </w:tr>
      <w:tr w:rsidR="00954FD7" w:rsidRPr="00AE2209" w:rsidTr="0070477F">
        <w:tc>
          <w:tcPr>
            <w:tcW w:w="4531" w:type="dxa"/>
          </w:tcPr>
          <w:p w:rsidR="00954FD7" w:rsidRPr="00AE2209" w:rsidRDefault="00954FD7" w:rsidP="0070477F">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Rolls-Royce</w:t>
            </w:r>
          </w:p>
        </w:tc>
        <w:tc>
          <w:tcPr>
            <w:tcW w:w="4531" w:type="dxa"/>
          </w:tcPr>
          <w:p w:rsidR="00954FD7" w:rsidRPr="00AE2209" w:rsidRDefault="00954FD7" w:rsidP="0070477F">
            <w:pPr>
              <w:pStyle w:val="NoSpacing"/>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19%</w:t>
            </w:r>
          </w:p>
        </w:tc>
      </w:tr>
    </w:tbl>
    <w:p w:rsidR="00954FD7" w:rsidRPr="00AE2209" w:rsidRDefault="00954FD7" w:rsidP="00954FD7">
      <w:pPr>
        <w:pStyle w:val="NoSpacing"/>
        <w:shd w:val="clear" w:color="auto" w:fill="FFFFFF" w:themeFill="background1"/>
        <w:jc w:val="both"/>
        <w:rPr>
          <w:rFonts w:ascii="Times New Roman" w:hAnsi="Times New Roman" w:cs="Times New Roman"/>
          <w:sz w:val="24"/>
          <w:szCs w:val="24"/>
          <w:lang w:val="en-GB"/>
        </w:rPr>
      </w:pP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These tables show that the dominant position that General Electric possesses, is likely to be strengthened in the future. Its competitors are losing market shares which as a result will limit their competitiveness on the long run.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competition in these markets is usually a two-phase process. In the first phase, engine manufacturers need to have their engines approved for specific airframes before they can compete with each other. When a new airframe is released by Boeing for example, General Electric has to develop an engine that meets all technical and safety requirements. A lot of money is invested in Research and Development to make sure the engines are making the grade. After extensive research by the airframe producer, one or more engines can be approved for future use. After the engines are deemed compatible, the second phase of competition sets in. This more traditional phase of competition begins when airlines are planning to buy new airplanes for their fleet.</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In this second round of competition, the airlines and leasing companies can choose whatever airplanes they like. While some airlines may opt for the cheapest plane-engine combination to offer the cheapest flights as possible on the short term, there are a few factors that should be taken into consideration while selecting both airframes and engines:</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Economies of scale</w:t>
      </w:r>
    </w:p>
    <w:p w:rsidR="00954FD7" w:rsidRPr="00AE2209" w:rsidRDefault="00954FD7" w:rsidP="00954FD7">
      <w:pPr>
        <w:pStyle w:val="ListParagraph"/>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lastRenderedPageBreak/>
        <w:t xml:space="preserve">Economies of scale is the foremost factor that should be taken into consideration. There are several forms in which positive returns of scale can be acquired. Besides the traditional quantity discounts an airline might acquire, the airlines should be aware of what is called “fleet commonality” in the literature. The total amount and different types of airplanes has a direct impact on the performance of airlines </w:t>
      </w:r>
      <w:sdt>
        <w:sdtPr>
          <w:rPr>
            <w:rFonts w:ascii="Times New Roman" w:hAnsi="Times New Roman" w:cs="Times New Roman"/>
            <w:sz w:val="24"/>
            <w:szCs w:val="24"/>
            <w:lang w:val="en-GB"/>
          </w:rPr>
          <w:id w:val="-5907919"/>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Ser97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(Seristo &amp; Vepsalainen, 1997)</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w:t>
      </w:r>
      <w:r w:rsidRPr="00AE2209">
        <w:rPr>
          <w:rFonts w:ascii="Times New Roman" w:hAnsi="Times New Roman" w:cs="Times New Roman"/>
          <w:sz w:val="24"/>
          <w:szCs w:val="24"/>
          <w:lang w:val="en-GB"/>
        </w:rPr>
        <w:t xml:space="preserve"> Having a large number of the same aircraft in a fleet has cost advantages. Airlines can decrease their maintenance-, servicing- and pilot education costs for example </w:t>
      </w:r>
      <w:sdt>
        <w:sdtPr>
          <w:rPr>
            <w:rFonts w:ascii="Times New Roman" w:hAnsi="Times New Roman" w:cs="Times New Roman"/>
            <w:sz w:val="24"/>
            <w:szCs w:val="24"/>
            <w:lang w:val="en-GB"/>
          </w:rPr>
          <w:id w:val="-649528036"/>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Brü10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(Brüggen &amp; Klose, 2010)</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Switching costs</w:t>
      </w:r>
    </w:p>
    <w:p w:rsidR="00954FD7" w:rsidRPr="00AE2209" w:rsidRDefault="00954FD7" w:rsidP="00954FD7">
      <w:pPr>
        <w:pStyle w:val="ListParagraph"/>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Some of the advantages mentioned above can also result in possible switching costs that become relevant when selecting new planes. If a fleet consists of primarily Rolls-Royce powered airplanes (that need to be replaced), why would an airlines opt for General Electric powered airlines? Switching to other planes could prove costly: pilots would need additional training and spare parts cannot be used anymore. Generally, an airline will only switch its engine brand if the difference in price is making up for the switching costs. This can result in additional market power if an engine producer has a large market share </w:t>
      </w:r>
      <w:sdt>
        <w:sdtPr>
          <w:rPr>
            <w:rFonts w:ascii="Times New Roman" w:hAnsi="Times New Roman" w:cs="Times New Roman"/>
            <w:sz w:val="24"/>
            <w:szCs w:val="24"/>
            <w:lang w:val="en-GB"/>
          </w:rPr>
          <w:id w:val="693659674"/>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Kle87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(Klemperer, 1987)</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Quality</w:t>
      </w:r>
    </w:p>
    <w:p w:rsidR="00954FD7" w:rsidRPr="00AE2209" w:rsidRDefault="00954FD7" w:rsidP="00954FD7">
      <w:pPr>
        <w:pStyle w:val="ListParagraph"/>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Airplanes are durable products and are expected to fly for years to come when bought. Airlines should consider the different levels of qualities among the different planes </w:t>
      </w:r>
      <w:sdt>
        <w:sdtPr>
          <w:rPr>
            <w:rFonts w:ascii="Times New Roman" w:hAnsi="Times New Roman" w:cs="Times New Roman"/>
            <w:sz w:val="24"/>
            <w:szCs w:val="24"/>
            <w:lang w:val="en-GB"/>
          </w:rPr>
          <w:id w:val="83658581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b/>
              <w:sz w:val="24"/>
              <w:szCs w:val="24"/>
              <w:lang w:val="en-GB"/>
            </w:rPr>
            <w:instrText xml:space="preserve"> CITATION Hel13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(Jiang, 2013)</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 xml:space="preserve">. </w:t>
      </w:r>
      <w:r w:rsidR="00E744BF">
        <w:rPr>
          <w:rFonts w:ascii="Times New Roman" w:hAnsi="Times New Roman" w:cs="Times New Roman"/>
          <w:sz w:val="24"/>
          <w:szCs w:val="24"/>
          <w:lang w:val="en-GB"/>
        </w:rPr>
        <w:t>Ceteri</w:t>
      </w:r>
      <w:r w:rsidRPr="00AE2209">
        <w:rPr>
          <w:rFonts w:ascii="Times New Roman" w:hAnsi="Times New Roman" w:cs="Times New Roman"/>
          <w:sz w:val="24"/>
          <w:szCs w:val="24"/>
          <w:lang w:val="en-GB"/>
        </w:rPr>
        <w:t>s paribus, cheaper planes are expected to require more maintenance than expensive planes. On the long term, cheap planes may cost more due to repair and maintenance expenses.</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competition in the aerospace industry as a whole is also characterised by its “rounds”. Once every few decades, a new generation of airplanes is released.  During the introduction of a new platform, it is important for engine manufacturers to get their engines approved and selected for the new planes. Because these new planes will be an important source of revenues for years to come, missing out on these new planes can mean a long period without revenues for producers. Take the Joint Strike Fighter (F-35) for example. This military plane has been in development for ages and a lot of countries (including the Netherlands) are considering buying it to replace their current generation of air fighters. The plane is likely to be in service for years to come and it is unlikely to be replaced anytime soon. It can prove costly to lose this round of competition. Even more so when money has been invested in developing engines for the platform.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Maintenance, repair and overhaul services are also very important in the plane industry. According to the Commission </w:t>
      </w:r>
      <w:sdt>
        <w:sdtPr>
          <w:rPr>
            <w:rFonts w:ascii="Times New Roman" w:hAnsi="Times New Roman" w:cs="Times New Roman"/>
            <w:sz w:val="24"/>
            <w:szCs w:val="24"/>
            <w:lang w:val="en-GB"/>
          </w:rPr>
          <w:id w:val="-1217120771"/>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24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(Commission Decision General Electric/Honeywell, 2001, p. 24)</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an airline would pay around twice the price of the engine for these services over a 25-year lifespan of an aircraft. The supply of spare parts are a dominant factor in this market. The original engine manufacturers do not experience heavy competition for the supply of spare parts for their engines. The manufacturers have also withheld technical data and support in the past. Possibly to decrease the competition for maintenance, repair and overhaul services</w:t>
      </w:r>
      <w:sdt>
        <w:sdtPr>
          <w:rPr>
            <w:rFonts w:ascii="Times New Roman" w:hAnsi="Times New Roman" w:cs="Times New Roman"/>
            <w:sz w:val="24"/>
            <w:szCs w:val="24"/>
            <w:lang w:val="en-GB"/>
          </w:rPr>
          <w:id w:val="-199848949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24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(Commission Decision General Electric/Honeywell, 2001, p. 24)</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General Electric, Rolls-Royce and Pratt &amp; Whitney are all large suppliers of these services. To illustrate the importance of this market, consider the following transition: in ten years’ time, “GE’s total revenues evolved from a split of 57 % of sales of original equipment and 43 % of aftermarket services in </w:t>
      </w:r>
      <w:r w:rsidRPr="00AE2209">
        <w:rPr>
          <w:rFonts w:ascii="Times New Roman" w:hAnsi="Times New Roman" w:cs="Times New Roman"/>
          <w:sz w:val="24"/>
          <w:szCs w:val="24"/>
          <w:lang w:val="en-GB"/>
        </w:rPr>
        <w:lastRenderedPageBreak/>
        <w:t xml:space="preserve">1990 to 45 and 55 % respectively in 1995, and finally to 33 and 67 % respectively in 2000” </w:t>
      </w:r>
      <w:sdt>
        <w:sdtPr>
          <w:rPr>
            <w:rFonts w:ascii="Times New Roman" w:hAnsi="Times New Roman" w:cs="Times New Roman"/>
            <w:sz w:val="24"/>
            <w:szCs w:val="24"/>
            <w:lang w:val="en-GB"/>
          </w:rPr>
          <w:id w:val="438875374"/>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25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(Commission Decision General Electric/Honeywell, 2001, p. 25)</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Another important factor in the aerospace market is the presence of General Electric’s supporting entities that can influence the competition in the market. As a matter of fact, this is one of the reasons why the European Commission has prohibited the merger. The supporting entities are the base of the so-called “conglomerate effects”. If a merger was approved, Honeywell could also have access to these entities to dominate the markets in which they are active.</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General Electric Corporation consists of several divisions. One of the most important division is GE Capital. The division’s assets exceeded the $370 billion mark while earning a net income of $5.2 billion </w:t>
      </w:r>
      <w:sdt>
        <w:sdtPr>
          <w:rPr>
            <w:rFonts w:ascii="Times New Roman" w:hAnsi="Times New Roman" w:cs="Times New Roman"/>
            <w:sz w:val="24"/>
            <w:szCs w:val="24"/>
            <w:lang w:val="en-GB"/>
          </w:rPr>
          <w:id w:val="730737979"/>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GEC01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(GE Capital, 2001)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Besides financial services, the division also provides back-up with regards to investments. GE Capital is active in all kinds of industries, including the aviation industry. Airlines and aircraft manufacturers can turn to GE Capital if they need to finance their operations.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second division that might affect the competition in the aerospace market is General Electric Capital Aviation Services (GECAS). GECAS is regarded as the largest individual purchaser of airplanes and has one of the largest fleets in the world. At the time of the Commission’s decision, around ten percent of all new aircraft purchases were accounted for by GECAS </w:t>
      </w:r>
      <w:sdt>
        <w:sdtPr>
          <w:rPr>
            <w:rFonts w:ascii="Times New Roman" w:hAnsi="Times New Roman" w:cs="Times New Roman"/>
            <w:sz w:val="24"/>
            <w:szCs w:val="24"/>
            <w:lang w:val="en-GB"/>
          </w:rPr>
          <w:id w:val="14661182"/>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Cha01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(Charles River Associates, 2001)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 xml:space="preserve">. </w:t>
      </w:r>
      <w:r w:rsidRPr="00AE2209">
        <w:rPr>
          <w:rFonts w:ascii="Times New Roman" w:hAnsi="Times New Roman" w:cs="Times New Roman"/>
          <w:sz w:val="24"/>
          <w:szCs w:val="24"/>
          <w:lang w:val="en-GB"/>
        </w:rPr>
        <w:t xml:space="preserve">Once the planes are bought and delivered to GECAS, airlines and other firms are able to lease them. Being part of the GE Corporation, it seems logical that GECAS is biased in its purchase behaviour. </w:t>
      </w:r>
    </w:p>
    <w:p w:rsidR="00954FD7" w:rsidRPr="00AE2209"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2.3</w:t>
      </w:r>
      <w:r>
        <w:rPr>
          <w:rFonts w:ascii="Times New Roman" w:hAnsi="Times New Roman" w:cs="Times New Roman"/>
          <w:i/>
          <w:sz w:val="24"/>
          <w:szCs w:val="24"/>
          <w:lang w:val="en-GB"/>
        </w:rPr>
        <w:tab/>
      </w:r>
      <w:r w:rsidR="00954FD7" w:rsidRPr="00AE2209">
        <w:rPr>
          <w:rFonts w:ascii="Times New Roman" w:hAnsi="Times New Roman" w:cs="Times New Roman"/>
          <w:i/>
          <w:sz w:val="24"/>
          <w:szCs w:val="24"/>
          <w:lang w:val="en-GB"/>
        </w:rPr>
        <w:t>Honeywell</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Honeywell, the other firm involved in the disallowed merger, is a producer of both avionics as non-avionics. Examples of avionics products are satellite receivers and control systems. The power supply and landing necessities are examples of non-avionics. Both these product groups have previously been identified and studied by the European Commission </w:t>
      </w:r>
      <w:sdt>
        <w:sdtPr>
          <w:rPr>
            <w:rFonts w:ascii="Times New Roman" w:hAnsi="Times New Roman" w:cs="Times New Roman"/>
            <w:b/>
            <w:sz w:val="24"/>
            <w:szCs w:val="24"/>
            <w:lang w:val="en-GB"/>
          </w:rPr>
          <w:id w:val="-1887475073"/>
          <w:citation/>
        </w:sdtPr>
        <w:sdtEndPr/>
        <w:sdtContent>
          <w:r w:rsidRPr="00AE2209">
            <w:rPr>
              <w:rFonts w:ascii="Times New Roman" w:hAnsi="Times New Roman" w:cs="Times New Roman"/>
              <w:b/>
              <w:sz w:val="24"/>
              <w:szCs w:val="24"/>
              <w:lang w:val="en-GB"/>
            </w:rPr>
            <w:fldChar w:fldCharType="begin"/>
          </w:r>
          <w:r w:rsidRPr="00AE2209">
            <w:rPr>
              <w:rFonts w:ascii="Times New Roman" w:hAnsi="Times New Roman" w:cs="Times New Roman"/>
              <w:b/>
              <w:sz w:val="24"/>
              <w:szCs w:val="24"/>
              <w:lang w:val="en-GB"/>
            </w:rPr>
            <w:instrText xml:space="preserve"> CITATION 20099 \l 1043 </w:instrText>
          </w:r>
          <w:r w:rsidRPr="00AE2209">
            <w:rPr>
              <w:rFonts w:ascii="Times New Roman" w:hAnsi="Times New Roman" w:cs="Times New Roman"/>
              <w:b/>
              <w:sz w:val="24"/>
              <w:szCs w:val="24"/>
              <w:lang w:val="en-GB"/>
            </w:rPr>
            <w:fldChar w:fldCharType="separate"/>
          </w:r>
          <w:r w:rsidRPr="00AE2209">
            <w:rPr>
              <w:rFonts w:ascii="Times New Roman" w:hAnsi="Times New Roman" w:cs="Times New Roman"/>
              <w:noProof/>
              <w:sz w:val="24"/>
              <w:szCs w:val="24"/>
              <w:lang w:val="en-GB"/>
            </w:rPr>
            <w:t>(2001/417/EC: Commission Decision of 1 December 1999 declaring a concentration compatible with the common market and the functioning of the EEA Agreement; AlliedSignal/Honeywell, 1999)</w:t>
          </w:r>
          <w:r w:rsidRPr="00AE2209">
            <w:rPr>
              <w:rFonts w:ascii="Times New Roman" w:hAnsi="Times New Roman" w:cs="Times New Roman"/>
              <w:b/>
              <w:sz w:val="24"/>
              <w:szCs w:val="24"/>
              <w:lang w:val="en-GB"/>
            </w:rPr>
            <w:fldChar w:fldCharType="end"/>
          </w:r>
        </w:sdtContent>
      </w:sdt>
      <w:r w:rsidRPr="00AE2209">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1156568012"/>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Com99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(Commission Decision of 25 May 1999 declaring a concentration to be compatible with the common market; United Technologies/Sundstrand, 1999)</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 xml:space="preserve">. </w:t>
      </w:r>
      <w:r w:rsidRPr="00AE2209">
        <w:rPr>
          <w:rFonts w:ascii="Times New Roman" w:hAnsi="Times New Roman" w:cs="Times New Roman"/>
          <w:sz w:val="24"/>
          <w:szCs w:val="24"/>
          <w:lang w:val="en-GB"/>
        </w:rPr>
        <w:t>In these decisions, the European Commission divided the market for avionics in two: large commercial aircraft and regional/corporate aircraft. The market for non-avionics on the other hand, has been considered as a whole. The Commission has also recognised that these markets operate on a global scale. That means that the producers in these markets all compete on a worldwide basis.</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Similar to the engine market, competition in the avionics and non-avionics markets is often characterized by two rounds. As explained before, producers of equipment need to have their products approved before airlines can buy planes with the equipment. However, a distinction has to be made between buyer furnished equipment (BFE) and supplier furnished equipment (SFE). SFE are products that are selected by the producers of aircraft. Leasing companies and airlines may decide on BFE.</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main producers of aerospace equipment ordered in terms of sales</w:t>
      </w:r>
    </w:p>
    <w:p w:rsidR="00954FD7" w:rsidRPr="00AE2209" w:rsidRDefault="00954FD7" w:rsidP="00954FD7">
      <w:pPr>
        <w:pStyle w:val="ListParagraph"/>
        <w:numPr>
          <w:ilvl w:val="0"/>
          <w:numId w:val="3"/>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Honeywell</w:t>
      </w:r>
    </w:p>
    <w:p w:rsidR="00954FD7" w:rsidRPr="00AE2209" w:rsidRDefault="00954FD7" w:rsidP="00954FD7">
      <w:pPr>
        <w:pStyle w:val="ListParagraph"/>
        <w:numPr>
          <w:ilvl w:val="0"/>
          <w:numId w:val="3"/>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lastRenderedPageBreak/>
        <w:t>BF Goodrich</w:t>
      </w:r>
    </w:p>
    <w:p w:rsidR="00954FD7" w:rsidRPr="00AE2209" w:rsidRDefault="00954FD7" w:rsidP="00954FD7">
      <w:pPr>
        <w:pStyle w:val="ListParagraph"/>
        <w:numPr>
          <w:ilvl w:val="0"/>
          <w:numId w:val="3"/>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Hamilton Sundstrand</w:t>
      </w:r>
    </w:p>
    <w:p w:rsidR="00954FD7" w:rsidRPr="00AE2209" w:rsidRDefault="00954FD7" w:rsidP="00954FD7">
      <w:pPr>
        <w:pStyle w:val="ListParagraph"/>
        <w:numPr>
          <w:ilvl w:val="0"/>
          <w:numId w:val="3"/>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Rockwell Collins</w:t>
      </w:r>
    </w:p>
    <w:p w:rsidR="00954FD7" w:rsidRPr="00AE2209" w:rsidRDefault="00954FD7" w:rsidP="00954FD7">
      <w:pPr>
        <w:pStyle w:val="ListParagraph"/>
        <w:numPr>
          <w:ilvl w:val="0"/>
          <w:numId w:val="3"/>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Smiths Industries</w:t>
      </w:r>
      <w:r w:rsidRPr="00AE2209">
        <w:rPr>
          <w:rFonts w:ascii="Times New Roman" w:hAnsi="Times New Roman" w:cs="Times New Roman"/>
          <w:sz w:val="24"/>
          <w:szCs w:val="24"/>
          <w:lang w:val="en-GB"/>
        </w:rPr>
        <w:tab/>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Similar to General Electric, Honeywell is one of the biggest player, if not the biggest, in the markets in which it is active. The difference between the firms is their market approach. Honeywell does not have supporting entities, but does offer a unique range of equipment. In contrast to its competitors, the firm is able to supply all avionics equipment in a plane. In addition to its wide range of products, Honeywell also offers its products in bundles. It is likely that by tying several products, the firm gained in market power</w:t>
      </w:r>
      <w:r w:rsidRPr="00AE2209">
        <w:rPr>
          <w:rFonts w:ascii="Times New Roman" w:hAnsi="Times New Roman" w:cs="Times New Roman"/>
          <w:b/>
          <w:sz w:val="24"/>
          <w:szCs w:val="24"/>
          <w:lang w:val="en-GB"/>
        </w:rPr>
        <w:t xml:space="preserve"> </w:t>
      </w:r>
      <w:sdt>
        <w:sdtPr>
          <w:rPr>
            <w:rFonts w:ascii="Times New Roman" w:hAnsi="Times New Roman" w:cs="Times New Roman"/>
            <w:b/>
            <w:sz w:val="24"/>
            <w:szCs w:val="24"/>
            <w:lang w:val="en-GB"/>
          </w:rPr>
          <w:id w:val="-702937591"/>
          <w:citation/>
        </w:sdtPr>
        <w:sdtEndPr/>
        <w:sdtContent>
          <w:r w:rsidRPr="00AE2209">
            <w:rPr>
              <w:rFonts w:ascii="Times New Roman" w:hAnsi="Times New Roman" w:cs="Times New Roman"/>
              <w:b/>
              <w:sz w:val="24"/>
              <w:szCs w:val="24"/>
              <w:lang w:val="en-GB"/>
            </w:rPr>
            <w:fldChar w:fldCharType="begin"/>
          </w:r>
          <w:r w:rsidRPr="00AE2209">
            <w:rPr>
              <w:rFonts w:ascii="Times New Roman" w:hAnsi="Times New Roman" w:cs="Times New Roman"/>
              <w:b/>
              <w:sz w:val="24"/>
              <w:szCs w:val="24"/>
              <w:lang w:val="en-GB"/>
            </w:rPr>
            <w:instrText xml:space="preserve"> CITATION Whi90 \l 1043 </w:instrText>
          </w:r>
          <w:r w:rsidRPr="00AE2209">
            <w:rPr>
              <w:rFonts w:ascii="Times New Roman" w:hAnsi="Times New Roman" w:cs="Times New Roman"/>
              <w:b/>
              <w:sz w:val="24"/>
              <w:szCs w:val="24"/>
              <w:lang w:val="en-GB"/>
            </w:rPr>
            <w:fldChar w:fldCharType="separate"/>
          </w:r>
          <w:r w:rsidRPr="00AE2209">
            <w:rPr>
              <w:rFonts w:ascii="Times New Roman" w:hAnsi="Times New Roman" w:cs="Times New Roman"/>
              <w:noProof/>
              <w:sz w:val="24"/>
              <w:szCs w:val="24"/>
              <w:lang w:val="en-GB"/>
            </w:rPr>
            <w:t>(Whinston, 1990)</w:t>
          </w:r>
          <w:r w:rsidRPr="00AE2209">
            <w:rPr>
              <w:rFonts w:ascii="Times New Roman" w:hAnsi="Times New Roman" w:cs="Times New Roman"/>
              <w:b/>
              <w:sz w:val="24"/>
              <w:szCs w:val="24"/>
              <w:lang w:val="en-GB"/>
            </w:rPr>
            <w:fldChar w:fldCharType="end"/>
          </w:r>
        </w:sdtContent>
      </w:sdt>
      <w:r w:rsidRPr="00AE2209">
        <w:rPr>
          <w:rFonts w:ascii="Times New Roman" w:hAnsi="Times New Roman" w:cs="Times New Roman"/>
          <w:sz w:val="24"/>
          <w:szCs w:val="24"/>
          <w:lang w:val="en-GB"/>
        </w:rPr>
        <w:t xml:space="preserve">.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Honeywell holds a special position in the market for engine starters. The European Commission is concerned that since Honeywell is the only large independent supplier of engine starters, a merger would result in strategic foreclosure of other engine producers. This vertical aspect of the merger means that as a result of the merger, competitors could be excluded access to engine starters.</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From these sections it has become clear that both Honeywell and General Electric have a strong market position. In the Commissions opinion, these positions would be enhanced if the merger was to be approved. Honeywell would have access to the financial back-up of GE Capital, along with the ability to lease its equipment through GECAS. This in addition with the possibility to foreclose General Electric’s competitors on the engine markets, made the commission to disapprove the merger.</w:t>
      </w:r>
    </w:p>
    <w:p w:rsidR="00E744BF" w:rsidRDefault="00E744BF" w:rsidP="00E744BF">
      <w:pPr>
        <w:rPr>
          <w:rFonts w:ascii="Times New Roman" w:hAnsi="Times New Roman" w:cs="Times New Roman"/>
          <w:sz w:val="24"/>
          <w:szCs w:val="24"/>
          <w:lang w:val="en-GB"/>
        </w:rPr>
      </w:pPr>
    </w:p>
    <w:p w:rsidR="00E744BF" w:rsidRDefault="00E744BF" w:rsidP="00E744BF">
      <w:pPr>
        <w:rPr>
          <w:rFonts w:ascii="Times New Roman" w:hAnsi="Times New Roman" w:cs="Times New Roman"/>
          <w:sz w:val="24"/>
          <w:szCs w:val="24"/>
          <w:lang w:val="en-GB"/>
        </w:rPr>
      </w:pPr>
    </w:p>
    <w:p w:rsidR="00E744BF" w:rsidRDefault="00E744BF">
      <w:pPr>
        <w:rPr>
          <w:rFonts w:ascii="Times New Roman" w:hAnsi="Times New Roman" w:cs="Times New Roman"/>
          <w:sz w:val="24"/>
          <w:szCs w:val="24"/>
          <w:lang w:val="en-GB"/>
        </w:rPr>
      </w:pPr>
      <w:r>
        <w:rPr>
          <w:rFonts w:ascii="Times New Roman" w:hAnsi="Times New Roman" w:cs="Times New Roman"/>
          <w:sz w:val="24"/>
          <w:szCs w:val="24"/>
          <w:lang w:val="en-GB"/>
        </w:rPr>
        <w:br w:type="page"/>
      </w:r>
    </w:p>
    <w:p w:rsidR="00E744BF" w:rsidRPr="00EB0F78" w:rsidRDefault="009C36C4" w:rsidP="009C36C4">
      <w:pPr>
        <w:jc w:val="center"/>
        <w:rPr>
          <w:rFonts w:ascii="Times New Roman" w:hAnsi="Times New Roman" w:cs="Times New Roman"/>
          <w:sz w:val="24"/>
          <w:szCs w:val="24"/>
          <w:lang w:val="en-GB"/>
        </w:rPr>
      </w:pPr>
      <w:r>
        <w:rPr>
          <w:rFonts w:ascii="Times New Roman" w:hAnsi="Times New Roman" w:cs="Times New Roman"/>
          <w:b/>
          <w:sz w:val="24"/>
          <w:szCs w:val="24"/>
          <w:lang w:val="en-GB"/>
        </w:rPr>
        <w:lastRenderedPageBreak/>
        <w:t xml:space="preserve">Chapter 3: </w:t>
      </w:r>
      <w:r w:rsidR="00954FD7" w:rsidRPr="00ED4E6A">
        <w:rPr>
          <w:rFonts w:ascii="Times New Roman" w:hAnsi="Times New Roman" w:cs="Times New Roman"/>
          <w:b/>
          <w:sz w:val="24"/>
          <w:szCs w:val="24"/>
          <w:lang w:val="en-GB"/>
        </w:rPr>
        <w:t>Analysing the decision</w:t>
      </w:r>
    </w:p>
    <w:p w:rsidR="0016663C" w:rsidRPr="0016663C"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3.1</w:t>
      </w:r>
      <w:r>
        <w:rPr>
          <w:rFonts w:ascii="Times New Roman" w:hAnsi="Times New Roman" w:cs="Times New Roman"/>
          <w:i/>
          <w:sz w:val="24"/>
          <w:szCs w:val="24"/>
          <w:lang w:val="en-GB"/>
        </w:rPr>
        <w:tab/>
      </w:r>
      <w:r w:rsidR="0016663C">
        <w:rPr>
          <w:rFonts w:ascii="Times New Roman" w:hAnsi="Times New Roman" w:cs="Times New Roman"/>
          <w:i/>
          <w:sz w:val="24"/>
          <w:szCs w:val="24"/>
          <w:lang w:val="en-GB"/>
        </w:rPr>
        <w:t>Grounds of disapproval</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Now that the most important characteristics of the markets are clear, an analysis can be made of the Commission’s decision to block the proposed merger. After the Commission finished her investigation, it decided to block the merger on the following specific grounds: </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As a result of Honeywell’s dominant position in the market for starting engines, a merger between Honeywell and General Electric would enhance General Electric’s (dominant) position in the market for engines for large commercial aircraft. After integrating this vertical relation, the merged entity could foreclosure other producers of large commercial aircraft engines. </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Secondly, a merger between Honeywell and General Electric would eliminate all competition in the engine market for regional jet aircraft. Since the firms are the only producers of these engines, internalizing externalities through a merger would result in a monopoly position. The merged firm would also gain market power with regards to corporate jet aircraft. Engine prices are most likely to increase as a result of the merger </w:t>
      </w:r>
      <w:sdt>
        <w:sdtPr>
          <w:rPr>
            <w:rFonts w:ascii="Times New Roman" w:hAnsi="Times New Roman" w:cs="Times New Roman"/>
            <w:sz w:val="24"/>
            <w:szCs w:val="24"/>
            <w:lang w:val="en-GB"/>
          </w:rPr>
          <w:id w:val="-158521632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Den85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(Deneckere &amp; Davidson, 1985)</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as the markets are characterized by Bertrand competition</w:t>
      </w:r>
      <w:sdt>
        <w:sdtPr>
          <w:rPr>
            <w:rFonts w:ascii="Times New Roman" w:hAnsi="Times New Roman" w:cs="Times New Roman"/>
            <w:sz w:val="24"/>
            <w:szCs w:val="24"/>
            <w:lang w:val="en-GB"/>
          </w:rPr>
          <w:id w:val="684329756"/>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"26, 35, 68"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(Commission Decision General Electric/Honeywell, 2001, pp. 26, 35, 68)</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Finally, the European Commission was concerned that dominant positions would be created or enhanced due to conglomerate effects. Two types of conglomerate effects were acknowledged in the decision.</w:t>
      </w:r>
    </w:p>
    <w:p w:rsidR="00954FD7" w:rsidRPr="00AE2209" w:rsidRDefault="00954FD7" w:rsidP="00954FD7">
      <w:pPr>
        <w:pStyle w:val="ListParagraph"/>
        <w:numPr>
          <w:ilvl w:val="0"/>
          <w:numId w:val="4"/>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After the merger, Honeywell would be able to benefit from the facilities of GE Capital and GECAS. Similar to what General Electric is doing in the market for aircraft engines, Honeywell could use supporting entities to gain market shares in its active markets.</w:t>
      </w:r>
    </w:p>
    <w:p w:rsidR="00954FD7" w:rsidRPr="00AE2209" w:rsidRDefault="00954FD7" w:rsidP="00954FD7">
      <w:pPr>
        <w:pStyle w:val="ListParagraph"/>
        <w:shd w:val="clear" w:color="auto" w:fill="FFFFFF" w:themeFill="background1"/>
        <w:ind w:left="1776"/>
        <w:jc w:val="both"/>
        <w:rPr>
          <w:rFonts w:ascii="Times New Roman" w:hAnsi="Times New Roman" w:cs="Times New Roman"/>
          <w:sz w:val="24"/>
          <w:szCs w:val="24"/>
          <w:lang w:val="en-GB"/>
        </w:rPr>
      </w:pPr>
    </w:p>
    <w:p w:rsidR="00954FD7" w:rsidRPr="00AE2209" w:rsidRDefault="00954FD7" w:rsidP="00954FD7">
      <w:pPr>
        <w:pStyle w:val="ListParagraph"/>
        <w:numPr>
          <w:ilvl w:val="0"/>
          <w:numId w:val="4"/>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second conglomerate effect could occur if the merged entity would result to tying and bundling strategies. Since the merged entity would be able to supply most aircraft components, offering planes with only General Electric/Honeywell equipment could be an option. </w:t>
      </w:r>
    </w:p>
    <w:p w:rsidR="00E744BF" w:rsidRPr="00EB0F78"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With regards to the vertical and horizontal aspects of this merger: they bring nothing new to the table and therefore will not be the focus of the analysis. In short, the horizontal effect would imply that after internalizing the competitive constraints between General Electric and Honeywell in some engine markets, prices are likely to increase. Both insiders and outsiders will benefit as a result of reduced competition </w:t>
      </w:r>
      <w:sdt>
        <w:sdtPr>
          <w:rPr>
            <w:rFonts w:ascii="Times New Roman" w:hAnsi="Times New Roman" w:cs="Times New Roman"/>
            <w:sz w:val="24"/>
            <w:szCs w:val="24"/>
            <w:lang w:val="en-GB"/>
          </w:rPr>
          <w:id w:val="985743636"/>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Den85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(Deneckere &amp; Davidson, 1985)</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.These kind of mergers are blocked on a more regular basis as vertical mergers. As a matter of fact, vertical mergers can actually improve welfare by solving the double marginalisation problem. As long as foreclosure does not occur, these mergers can be encouraged most of the time </w:t>
      </w:r>
      <w:sdt>
        <w:sdtPr>
          <w:rPr>
            <w:rFonts w:ascii="Times New Roman" w:hAnsi="Times New Roman" w:cs="Times New Roman"/>
            <w:sz w:val="24"/>
            <w:szCs w:val="24"/>
            <w:lang w:val="en-GB"/>
          </w:rPr>
          <w:id w:val="-107935617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Mot04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(Motta, 2004)</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The conglomerate effects on the other hand, are relatively new defined and much more interesting to study.</w:t>
      </w:r>
    </w:p>
    <w:p w:rsidR="00954FD7" w:rsidRPr="00AE2209" w:rsidRDefault="00EB0F78" w:rsidP="00954FD7">
      <w:pPr>
        <w:shd w:val="clear" w:color="auto" w:fill="FFFFFF" w:themeFill="background1"/>
        <w:jc w:val="both"/>
        <w:rPr>
          <w:rFonts w:ascii="Times New Roman" w:hAnsi="Times New Roman" w:cs="Times New Roman"/>
          <w:sz w:val="24"/>
          <w:szCs w:val="24"/>
          <w:lang w:val="en-GB"/>
        </w:rPr>
      </w:pPr>
      <w:r>
        <w:rPr>
          <w:rFonts w:ascii="Times New Roman" w:hAnsi="Times New Roman" w:cs="Times New Roman"/>
          <w:i/>
          <w:sz w:val="24"/>
          <w:szCs w:val="24"/>
          <w:lang w:val="en-GB"/>
        </w:rPr>
        <w:t>3.2</w:t>
      </w:r>
      <w:r>
        <w:rPr>
          <w:rFonts w:ascii="Times New Roman" w:hAnsi="Times New Roman" w:cs="Times New Roman"/>
          <w:i/>
          <w:sz w:val="24"/>
          <w:szCs w:val="24"/>
          <w:lang w:val="en-GB"/>
        </w:rPr>
        <w:tab/>
      </w:r>
      <w:r w:rsidR="00954FD7" w:rsidRPr="00AE2209">
        <w:rPr>
          <w:rFonts w:ascii="Times New Roman" w:hAnsi="Times New Roman" w:cs="Times New Roman"/>
          <w:i/>
          <w:sz w:val="24"/>
          <w:szCs w:val="24"/>
          <w:lang w:val="en-GB"/>
        </w:rPr>
        <w:t xml:space="preserve">GECAS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When analysing the first conglomerate effect, it is useful to look at General Electric’s dominant position in the engine market for large commercial aircraft. This is because the Commission has the opinion that Honeywell could apply the same strategy to gain market shares in its own </w:t>
      </w:r>
      <w:r w:rsidRPr="00AE2209">
        <w:rPr>
          <w:rFonts w:ascii="Times New Roman" w:hAnsi="Times New Roman" w:cs="Times New Roman"/>
          <w:sz w:val="24"/>
          <w:szCs w:val="24"/>
          <w:lang w:val="en-GB"/>
        </w:rPr>
        <w:lastRenderedPageBreak/>
        <w:t>markets. What should be clear by now is the fact that General Electric is an enormous presence in the aviation world. In addition to producing engines, the firm also leases aircraft and financially supports other parties in the market through GECAS and GE Capital respectively. Together with the characteristics of the market (see part I), the Commission regards this as an effective combination to gain a dominant position. The Commission reckons that GE managed to get this exclusivity thanks to a combination of factors that its competitors could not reproduce, despite the fact that they were technically capable of supplying comparable engines</w:t>
      </w:r>
      <w:r w:rsidRPr="00AE2209">
        <w:rPr>
          <w:rFonts w:ascii="Times New Roman" w:hAnsi="Times New Roman" w:cs="Times New Roman"/>
          <w:b/>
          <w:sz w:val="24"/>
          <w:szCs w:val="24"/>
          <w:lang w:val="en-GB"/>
        </w:rPr>
        <w:t xml:space="preserve"> </w:t>
      </w:r>
      <w:sdt>
        <w:sdtPr>
          <w:rPr>
            <w:rFonts w:ascii="Times New Roman" w:hAnsi="Times New Roman" w:cs="Times New Roman"/>
            <w:b/>
            <w:sz w:val="24"/>
            <w:szCs w:val="24"/>
            <w:lang w:val="en-GB"/>
          </w:rPr>
          <w:id w:val="-780497789"/>
          <w:citation/>
        </w:sdtPr>
        <w:sdtEndPr/>
        <w:sdtContent>
          <w:r w:rsidRPr="00AE2209">
            <w:rPr>
              <w:rFonts w:ascii="Times New Roman" w:hAnsi="Times New Roman" w:cs="Times New Roman"/>
              <w:b/>
              <w:sz w:val="24"/>
              <w:szCs w:val="24"/>
              <w:lang w:val="en-GB"/>
            </w:rPr>
            <w:fldChar w:fldCharType="begin"/>
          </w:r>
          <w:r w:rsidRPr="00AE2209">
            <w:rPr>
              <w:rFonts w:ascii="Times New Roman" w:hAnsi="Times New Roman" w:cs="Times New Roman"/>
              <w:b/>
              <w:sz w:val="24"/>
              <w:szCs w:val="24"/>
              <w:lang w:val="en-GB"/>
            </w:rPr>
            <w:instrText xml:space="preserve">CITATION Eur01 \p 34 \l 1043 </w:instrText>
          </w:r>
          <w:r w:rsidRPr="00AE2209">
            <w:rPr>
              <w:rFonts w:ascii="Times New Roman" w:hAnsi="Times New Roman" w:cs="Times New Roman"/>
              <w:b/>
              <w:sz w:val="24"/>
              <w:szCs w:val="24"/>
              <w:lang w:val="en-GB"/>
            </w:rPr>
            <w:fldChar w:fldCharType="separate"/>
          </w:r>
          <w:r w:rsidRPr="00AE2209">
            <w:rPr>
              <w:rFonts w:ascii="Times New Roman" w:hAnsi="Times New Roman" w:cs="Times New Roman"/>
              <w:noProof/>
              <w:sz w:val="24"/>
              <w:szCs w:val="24"/>
              <w:lang w:val="en-GB"/>
            </w:rPr>
            <w:t>(Commission Decision General Electric/Honeywell, 2001, p. 34)</w:t>
          </w:r>
          <w:r w:rsidRPr="00AE2209">
            <w:rPr>
              <w:rFonts w:ascii="Times New Roman" w:hAnsi="Times New Roman" w:cs="Times New Roman"/>
              <w:b/>
              <w:sz w:val="24"/>
              <w:szCs w:val="24"/>
              <w:lang w:val="en-GB"/>
            </w:rPr>
            <w:fldChar w:fldCharType="end"/>
          </w:r>
        </w:sdtContent>
      </w:sdt>
      <w:r w:rsidRPr="00AE2209">
        <w:rPr>
          <w:rFonts w:ascii="Times New Roman" w:hAnsi="Times New Roman" w:cs="Times New Roman"/>
          <w:sz w:val="24"/>
          <w:szCs w:val="24"/>
          <w:lang w:val="en-GB"/>
        </w:rPr>
        <w:t xml:space="preserve">.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Firstly, the influence of GECAS on the market was analysed by the Commission. The Commission argued that while GECAS only accounts for a small part (10%) of the total aircraft sales, its influence is much greater than one would expect while looking at just the numbers. A market share of around 10% is usually not enough to indicate any market power. However, in the aviation market, it could prove crucial in deciding long term dominance. There are two ways in which GECAS plays a factor in General Electric’s dominance. GECAS’ policy of only buying General Electric-powered aircraft, can serve as an insurance to General Electric. When developing engines, the firm can be certain that at least some engines are sold GECAS (even when superior engines are available). In addition to this insurance, GECAS can also affect the market by influencing airlines’ decisions which engine they should purchase. By leasing only General Electric-powered planes to airlines and other big firms, it is more likely that they will also resort to General Electric equipment in the future. In a market where economies of scale are ever present (in the form of fleet communality, see part I), the ability to ‘seed’ other airlines with General Electric engines can play a huge part in determining the market outcome in the future </w:t>
      </w:r>
      <w:sdt>
        <w:sdtPr>
          <w:rPr>
            <w:rFonts w:ascii="Times New Roman" w:hAnsi="Times New Roman" w:cs="Times New Roman"/>
            <w:sz w:val="24"/>
            <w:szCs w:val="24"/>
            <w:lang w:val="en-GB"/>
          </w:rPr>
          <w:id w:val="1089268195"/>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Fox01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(Fox, 2001)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Airlines, pilots and engineers become familiar with General Electric and are more likely to opt for similar equipment in the future. Both of these effects can help General Electric while launching a new platform of engines. Whenever a new generation of plane bodies is released, General Electric is a step ahead of Rolls-Royce and Pratt &amp; Whitney.  A dominant position on the engine market is a direct effect of this mechanism.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Commission is convinced that Honeywell products will also benefit from this strategy after the merger. It makes sense that GECAS will also adopt a ‘Honeywell-only’ strategy with regards to the avionics and non-avionics equipment in the planes that they buy and lease. The main concern of the Commission is that this strategy allows that General Electric’s dominance is being leveraged to the markets where Honeywell is active. This concept, called Archimedean leveraging, shows how a firm can use its modest presence (in this case a 10% market share) in a unrelated downstream market to gain market power in another market as a result of influencing decisions in an intermediate market </w:t>
      </w:r>
      <w:sdt>
        <w:sdtPr>
          <w:rPr>
            <w:rFonts w:ascii="Times New Roman" w:hAnsi="Times New Roman" w:cs="Times New Roman"/>
            <w:sz w:val="24"/>
            <w:szCs w:val="24"/>
            <w:lang w:val="en-GB"/>
          </w:rPr>
          <w:id w:val="-1931495879"/>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Rey02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(Reynolds &amp; Ordover, 2002)</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i/>
          <w:sz w:val="24"/>
          <w:szCs w:val="24"/>
          <w:lang w:val="en-GB"/>
        </w:rPr>
        <w:t xml:space="preserve">. </w:t>
      </w:r>
      <w:r w:rsidRPr="00AE2209">
        <w:rPr>
          <w:rFonts w:ascii="Times New Roman" w:hAnsi="Times New Roman" w:cs="Times New Roman"/>
          <w:sz w:val="24"/>
          <w:szCs w:val="24"/>
          <w:lang w:val="en-GB"/>
        </w:rPr>
        <w:t>In the case of the General Electric/Honeywell merger, frame builders and airlines would be more inclined to buy General Electric/Honeywell gear as a result of the merger. For Archimedean leveraging to occur, a few (non-strict) conditions have to be met:</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small amount of producers of intermediate products (airframes) can make exclusive choices regarding the equipment they install in their frames.</w:t>
      </w:r>
    </w:p>
    <w:p w:rsidR="00954FD7" w:rsidRPr="00AE2209" w:rsidRDefault="00954FD7" w:rsidP="00954FD7">
      <w:pPr>
        <w:pStyle w:val="ListParagraph"/>
        <w:numPr>
          <w:ilvl w:val="0"/>
          <w:numId w:val="2"/>
        </w:num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Marginal costs are exceeded by product prices for both intermediate producers and system suppliers. However, all parties have to incur significant fixed costs in the form of Research and Development.</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lastRenderedPageBreak/>
        <w:t>Airlines and aircraft manufacturers should have no preference in equipment prior to the merger. Whatever type of equipment is the best choice would get installed in the plane. However after the merger, given that GECAS would apply a Honeywell-only policy, the theory of Archimedean leveraging states that airframe producers would prefer Honeywell equipment. The reason for this preference is simple: if GECAS will only buy General Electric/Honeywell equipped planes, an airframe producer would lose quite some revenue if it does not install gear from the merged firms. Since GECAS was the largest purchaser of planes at the time (see figure 1 below), producers just couldn’t afford to lose GECAS’s interest. This means that for example Boeing would deprive itself from sales if it chooses not to install General Electric/Honeywell gear since GECAS would not be interested. A producer would not do this unless other equipment manufacturers offer a very good deals that make up for the loss of GECAS sales. The Commission did not believe that other manufacturers would be able to offer better deals than they already do. Part I suggests that Honeywell is already very competitive before the merger and it is doubtful that its competitors can lower their prices without taking losses.</w:t>
      </w:r>
      <w:r w:rsidRPr="00AE2209">
        <w:rPr>
          <w:rFonts w:ascii="Times New Roman" w:hAnsi="Times New Roman" w:cs="Times New Roman"/>
          <w:b/>
          <w:sz w:val="24"/>
          <w:szCs w:val="24"/>
          <w:lang w:val="en-GB"/>
        </w:rPr>
        <w:t xml:space="preserve"> </w:t>
      </w:r>
      <w:r w:rsidRPr="00AE2209">
        <w:rPr>
          <w:rFonts w:ascii="Times New Roman" w:hAnsi="Times New Roman" w:cs="Times New Roman"/>
          <w:sz w:val="24"/>
          <w:szCs w:val="24"/>
          <w:lang w:val="en-GB"/>
        </w:rPr>
        <w:t>On the other hand, if it does select said General Electric/Honeywell gear to be exclusively used in a new airframe, airlines and other aircraft purchasers would have no choice but to buy these combinations of planes and equipment.</w:t>
      </w:r>
    </w:p>
    <w:p w:rsidR="00954FD7" w:rsidRPr="00AE2209" w:rsidRDefault="00954FD7" w:rsidP="00954FD7">
      <w:pPr>
        <w:shd w:val="clear" w:color="auto" w:fill="FFFFFF" w:themeFill="background1"/>
        <w:jc w:val="center"/>
        <w:rPr>
          <w:rFonts w:ascii="Times New Roman" w:hAnsi="Times New Roman" w:cs="Times New Roman"/>
          <w:noProof/>
          <w:sz w:val="24"/>
          <w:szCs w:val="24"/>
          <w:lang w:val="en-GB" w:eastAsia="nl-NL"/>
        </w:rPr>
      </w:pPr>
    </w:p>
    <w:p w:rsidR="00954FD7" w:rsidRPr="00AE2209" w:rsidRDefault="00954FD7" w:rsidP="00954FD7">
      <w:pPr>
        <w:shd w:val="clear" w:color="auto" w:fill="FFFFFF" w:themeFill="background1"/>
        <w:jc w:val="center"/>
        <w:rPr>
          <w:rFonts w:ascii="Times New Roman" w:hAnsi="Times New Roman" w:cs="Times New Roman"/>
          <w:sz w:val="24"/>
          <w:szCs w:val="24"/>
          <w:lang w:val="en-GB"/>
        </w:rPr>
      </w:pPr>
      <w:r w:rsidRPr="00AE2209">
        <w:rPr>
          <w:rFonts w:ascii="Times New Roman" w:hAnsi="Times New Roman" w:cs="Times New Roman"/>
          <w:noProof/>
          <w:sz w:val="24"/>
          <w:szCs w:val="24"/>
          <w:lang w:eastAsia="nl-NL"/>
        </w:rPr>
        <w:drawing>
          <wp:inline distT="0" distB="0" distL="0" distR="0" wp14:anchorId="2279F682" wp14:editId="3BF29D30">
            <wp:extent cx="6167311" cy="271272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16702"/>
                    <a:stretch/>
                  </pic:blipFill>
                  <pic:spPr bwMode="auto">
                    <a:xfrm>
                      <a:off x="0" y="0"/>
                      <a:ext cx="6239399" cy="2744428"/>
                    </a:xfrm>
                    <a:prstGeom prst="rect">
                      <a:avLst/>
                    </a:prstGeom>
                    <a:ln>
                      <a:noFill/>
                    </a:ln>
                    <a:extLst>
                      <a:ext uri="{53640926-AAD7-44D8-BBD7-CCE9431645EC}">
                        <a14:shadowObscured xmlns:a14="http://schemas.microsoft.com/office/drawing/2010/main"/>
                      </a:ext>
                    </a:extLst>
                  </pic:spPr>
                </pic:pic>
              </a:graphicData>
            </a:graphic>
          </wp:inline>
        </w:drawing>
      </w:r>
    </w:p>
    <w:p w:rsidR="00ED4E6A" w:rsidRPr="00EB0F78" w:rsidRDefault="00954FD7" w:rsidP="00EB0F78">
      <w:pPr>
        <w:shd w:val="clear" w:color="auto" w:fill="FFFFFF" w:themeFill="background1"/>
        <w:jc w:val="center"/>
        <w:rPr>
          <w:rFonts w:ascii="Times New Roman" w:hAnsi="Times New Roman" w:cs="Times New Roman"/>
          <w:sz w:val="24"/>
          <w:szCs w:val="24"/>
          <w:lang w:val="en-GB"/>
        </w:rPr>
      </w:pPr>
      <w:r w:rsidRPr="00AE2209">
        <w:rPr>
          <w:rFonts w:ascii="Times New Roman" w:hAnsi="Times New Roman" w:cs="Times New Roman"/>
          <w:sz w:val="24"/>
          <w:szCs w:val="24"/>
          <w:lang w:val="en-GB"/>
        </w:rPr>
        <w:t>Figure 1</w:t>
      </w:r>
    </w:p>
    <w:p w:rsidR="00ED4E6A" w:rsidRPr="00ED4E6A"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3.3</w:t>
      </w:r>
      <w:r>
        <w:rPr>
          <w:rFonts w:ascii="Times New Roman" w:hAnsi="Times New Roman" w:cs="Times New Roman"/>
          <w:i/>
          <w:sz w:val="24"/>
          <w:szCs w:val="24"/>
          <w:lang w:val="en-GB"/>
        </w:rPr>
        <w:tab/>
      </w:r>
      <w:r w:rsidR="00ED4E6A">
        <w:rPr>
          <w:rFonts w:ascii="Times New Roman" w:hAnsi="Times New Roman" w:cs="Times New Roman"/>
          <w:i/>
          <w:sz w:val="24"/>
          <w:szCs w:val="24"/>
          <w:lang w:val="en-GB"/>
        </w:rPr>
        <w:t>GE Capital</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second supporting entity of the General Electric comes in the form of a financing division. The Commission reckons that GE Capital can also be a deciding factor in competing in the aviation market. The existence of the huge financial means of GE Capital can influence the market in several ways which are discussed below.</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Firstly, it allows General Electric (and Honeywell after the merger) to allocate more resources to its R&amp;D budget in comparison to its competitors. It is likely that the merged firm will be more competitive on the long run if it has a significant higher R&amp;D budget. Long term competition is determined by whether or not competitors are developing engines and other equipment. Given the high risks attached to these projects, access to external funds could be </w:t>
      </w:r>
      <w:r w:rsidRPr="00AE2209">
        <w:rPr>
          <w:rFonts w:ascii="Times New Roman" w:hAnsi="Times New Roman" w:cs="Times New Roman"/>
          <w:sz w:val="24"/>
          <w:szCs w:val="24"/>
          <w:lang w:val="en-GB"/>
        </w:rPr>
        <w:lastRenderedPageBreak/>
        <w:t xml:space="preserve">difficult for Rolls-Royce and Pratt &amp; Whitney </w:t>
      </w:r>
      <w:sdt>
        <w:sdtPr>
          <w:rPr>
            <w:rFonts w:ascii="Times New Roman" w:hAnsi="Times New Roman" w:cs="Times New Roman"/>
            <w:sz w:val="24"/>
            <w:szCs w:val="24"/>
            <w:lang w:val="en-GB"/>
          </w:rPr>
          <w:id w:val="-1162385896"/>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38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(Commission Decision General Electric/Honeywell, 2001, p. 38)</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Contrarily, General Electric can always rely on the financial support of GE Capital.</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Secondly, the corporation is in a position to financially support airframe producers. GE Capital has provided financial support to these producers in the form of “platform programme development assistance” on several occasions </w:t>
      </w:r>
      <w:sdt>
        <w:sdtPr>
          <w:rPr>
            <w:rFonts w:ascii="Times New Roman" w:hAnsi="Times New Roman" w:cs="Times New Roman"/>
            <w:sz w:val="24"/>
            <w:szCs w:val="24"/>
            <w:lang w:val="en-GB"/>
          </w:rPr>
          <w:id w:val="1911344315"/>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26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(Commission Decision General Electric/Honeywell, 2001, p. 26)</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This could increase the chance that General Electric’s engines are approved for a platform.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And last but not least: General Electric can influence the purchasing behaviour of airlines by providing financing (loans and equity investments). Small airlines in particular are sensitive to financing options when building up a fleet. General Electric could help these small airlines under the condition that they buy General Electric-powered aircraft. This condition would be extended to Honeywell products after the merger.</w:t>
      </w:r>
    </w:p>
    <w:p w:rsidR="00ED4E6A" w:rsidRPr="00EB0F78"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Concluding the first conglomerate effect, the Commission feels that GECAS and GE Capital are at the base of General Electric’s dominant position. According to the Archimedean leverage theory, the merged firm would be able to leverage this power to markets where Honeywell is active. This would result into an even more dominant position for the merged firm. </w:t>
      </w:r>
    </w:p>
    <w:p w:rsidR="00954FD7" w:rsidRPr="00AE2209"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3.4</w:t>
      </w:r>
      <w:r>
        <w:rPr>
          <w:rFonts w:ascii="Times New Roman" w:hAnsi="Times New Roman" w:cs="Times New Roman"/>
          <w:i/>
          <w:sz w:val="24"/>
          <w:szCs w:val="24"/>
          <w:lang w:val="en-GB"/>
        </w:rPr>
        <w:tab/>
      </w:r>
      <w:r w:rsidR="00954FD7" w:rsidRPr="00AE2209">
        <w:rPr>
          <w:rFonts w:ascii="Times New Roman" w:hAnsi="Times New Roman" w:cs="Times New Roman"/>
          <w:i/>
          <w:sz w:val="24"/>
          <w:szCs w:val="24"/>
          <w:lang w:val="en-GB"/>
        </w:rPr>
        <w:t>Tying and exclusion</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second conglomerate effect that might occur is the possibility that the merged firm will resort to a tying strategy. As the Commission argued in its decision, the fact that the merged firm could bundle its products would have a big impact on competition</w:t>
      </w:r>
      <w:sdt>
        <w:sdtPr>
          <w:rPr>
            <w:rFonts w:ascii="Times New Roman" w:hAnsi="Times New Roman" w:cs="Times New Roman"/>
            <w:sz w:val="24"/>
            <w:szCs w:val="24"/>
            <w:lang w:val="en-GB"/>
          </w:rPr>
          <w:id w:val="-524952377"/>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57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(Commission Decision General Electric/Honeywell, 2001, p. 57)</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The general concern is that both Honeywell’s and General Electric’s competitors would have its market shares reduced and leave the market as a result of shrinking profits.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 Commission established two forms in which bundling would affect competitors. The first form, mixed bundling, means that the products of the merged form are available through single purchase (a single GE-engine for example) as well as through bundles (engine and radar equipment). By offering bundles at reduced prices, the merged firms would be able to lure customers away from its competitors. Although this seems as a standard business practice, no competitor is able to match this strategy unless other mergers would take place in the aviation market</w:t>
      </w:r>
      <w:sdt>
        <w:sdtPr>
          <w:rPr>
            <w:rFonts w:ascii="Times New Roman" w:hAnsi="Times New Roman" w:cs="Times New Roman"/>
            <w:sz w:val="24"/>
            <w:szCs w:val="24"/>
            <w:lang w:val="en-GB"/>
          </w:rPr>
          <w:id w:val="34012889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58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(Commission Decision General Electric/Honeywell, 2001, p. 58)</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Since the providers of single components can only offer their own products for regular prices, they will most likely lose market shares. The short term loss in profits as a result of the tying will also affect the providers of single components on the long run: to be able to compete in the future, the firms have to invest in R&amp;D. The decrease in market shares and profits as a result of tying will usually lead to a smaller R&amp;D budget for the merged firm’s competitors.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second form of tying is called technical bundling. Committing to technical bundling means that a firm makes its products incompatible with other products. Buyers will be reliant on products of the same firm to accommodate each other. In this situation it could mean that Honeywell equipment will only work alongside a General Electric engine and vice versa. For airlines, this will mean that once they buy General Electric engines, they will have no choice but to install their planes with Honeywell equipment. This could lead to a lot of problems for </w:t>
      </w:r>
      <w:r w:rsidRPr="00AE2209">
        <w:rPr>
          <w:rFonts w:ascii="Times New Roman" w:hAnsi="Times New Roman" w:cs="Times New Roman"/>
          <w:sz w:val="24"/>
          <w:szCs w:val="24"/>
          <w:lang w:val="en-GB"/>
        </w:rPr>
        <w:lastRenderedPageBreak/>
        <w:t xml:space="preserve">the merged firm’s competitor since Honeywell and General Electric are the biggest players on most of the markets they serve. </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Both forms of bundling can lead to market foreclosure (forced marked exit). In the eyes of the Commission it becomes more difficult for competitors to successfully place products on the market. Competitors will have to take decisions as to whether, in view of their anticipated reduced market share and profitability, they are able and willing to continue competing in the markets where the merged entity is active</w:t>
      </w:r>
      <w:sdt>
        <w:sdtPr>
          <w:rPr>
            <w:rFonts w:ascii="Times New Roman" w:hAnsi="Times New Roman" w:cs="Times New Roman"/>
            <w:sz w:val="24"/>
            <w:szCs w:val="24"/>
            <w:lang w:val="en-GB"/>
          </w:rPr>
          <w:id w:val="-773244454"/>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Eur01 \p 58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(Commission Decision General Electric/Honeywell, 2001, p. 58)</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 As mentioned earlier, a fully equipped General Electric/Honeywell plane is not out of the question. The question remains: why would the merged firm commit to tying?</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paper </w:t>
      </w:r>
      <w:r w:rsidRPr="00AE2209">
        <w:rPr>
          <w:rFonts w:ascii="Times New Roman" w:hAnsi="Times New Roman" w:cs="Times New Roman"/>
          <w:i/>
          <w:sz w:val="24"/>
          <w:szCs w:val="24"/>
          <w:lang w:val="en-GB"/>
        </w:rPr>
        <w:t>Tying, Foreclosure and Exclusion</w:t>
      </w:r>
      <w:r w:rsidRPr="00AE2209">
        <w:rPr>
          <w:rFonts w:ascii="Times New Roman" w:hAnsi="Times New Roman" w:cs="Times New Roman"/>
          <w:sz w:val="24"/>
          <w:szCs w:val="24"/>
          <w:lang w:val="en-GB"/>
        </w:rPr>
        <w:t xml:space="preserve"> by Whinston has shown that a tying strategy can lead to competition related problems. A firm with monopoly power in one market can use the leverage provided by this power to foreclose sales in, and thereby monopolize, a second market</w:t>
      </w:r>
      <w:sdt>
        <w:sdtPr>
          <w:rPr>
            <w:rFonts w:ascii="Times New Roman" w:hAnsi="Times New Roman" w:cs="Times New Roman"/>
            <w:sz w:val="24"/>
            <w:szCs w:val="24"/>
            <w:lang w:val="en-GB"/>
          </w:rPr>
          <w:id w:val="1223872358"/>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Whi90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(Whinston, 1990)</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b/>
          <w:sz w:val="24"/>
          <w:szCs w:val="24"/>
          <w:lang w:val="en-GB"/>
        </w:rPr>
        <w:t xml:space="preserve">. </w:t>
      </w:r>
      <w:r w:rsidRPr="00AE2209">
        <w:rPr>
          <w:rFonts w:ascii="Times New Roman" w:hAnsi="Times New Roman" w:cs="Times New Roman"/>
          <w:sz w:val="24"/>
          <w:szCs w:val="24"/>
          <w:lang w:val="en-GB"/>
        </w:rPr>
        <w:t xml:space="preserve">In the third part of the paper, Whinston describes how a producer of </w:t>
      </w:r>
      <w:r w:rsidRPr="00AE2209">
        <w:rPr>
          <w:rFonts w:ascii="Times New Roman" w:hAnsi="Times New Roman" w:cs="Times New Roman"/>
          <w:i/>
          <w:sz w:val="24"/>
          <w:szCs w:val="24"/>
          <w:lang w:val="en-GB"/>
        </w:rPr>
        <w:t>complementary</w:t>
      </w:r>
      <w:r w:rsidRPr="00AE2209">
        <w:rPr>
          <w:rFonts w:ascii="Times New Roman" w:hAnsi="Times New Roman" w:cs="Times New Roman"/>
          <w:sz w:val="24"/>
          <w:szCs w:val="24"/>
          <w:lang w:val="en-GB"/>
        </w:rPr>
        <w:t xml:space="preserve"> goods can influence both markets as a result of committing to tying. Complementary goods are only useful is a buyer combines the product into a set. Due to their importance, we can assume that engines, avionics, non-avionics and starter engines are complimentary goods. A plane is essentially a package of several different technologies. Whinston shows how the monopolist can monopolize the market of the tied good. Similarly to the Commission’s argument, by tying different goods, the monopolist can foreclose its competitors’ sales which ultimately leads to exclusion. In the situation of the General Electric/Honeywell merger, we can regard Honeywell’s starter engines as the monopoly good. </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assumptions in the model from the paper do correspond to the General Electric/Honeywell situation. The model requires fixed proportions of products to be useful. This makes sense in our situation since airlines are unlikely to initially buy more than one starter engine or radar system. Another assumption that is satisfied is the assumption of economies of scale in production. The model assumes economies of scale which leads to oligopolistic competition instead of perfect competition. These assumptions lead to a basic model with complementary goods in which tying is </w:t>
      </w:r>
      <w:r w:rsidRPr="00AE2209">
        <w:rPr>
          <w:rFonts w:ascii="Times New Roman" w:hAnsi="Times New Roman" w:cs="Times New Roman"/>
          <w:i/>
          <w:sz w:val="24"/>
          <w:szCs w:val="24"/>
          <w:lang w:val="en-GB"/>
        </w:rPr>
        <w:t xml:space="preserve">not </w:t>
      </w:r>
      <w:r w:rsidRPr="00AE2209">
        <w:rPr>
          <w:rFonts w:ascii="Times New Roman" w:hAnsi="Times New Roman" w:cs="Times New Roman"/>
          <w:sz w:val="24"/>
          <w:szCs w:val="24"/>
          <w:lang w:val="en-GB"/>
        </w:rPr>
        <w:t xml:space="preserve">the best strategy for the monopolist. The proposition regarding this model states: “If a commitment to tying causes firm 2 to be inactive, firm 1 (the monopolist) can do no worse - and possibly better – by committing to producing only independent components”. </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 intuition behind this proposition is quite simple; because firm 1 is the monopoly supplier of product A, it can set the prices reasonably high. If firm 2 leaves the market as a result of bundling, less B products will be sold and therefore there will also be less sales of A. If firm 1 does not commit to bundling, firm 2 will sell B units and those consumers will need to buy A to create a bundle. This means that firm 1 generates higher profits when not committing to bundle. In the General Electric/Honeywell case, this would mean that the Honeywell starter engines will not be tied to General Electric engines, because the merged firm would generate more profits if for example Pratt &amp; Whitney could also buy them. </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However, Whinston has also developed an extension to the basic model which allows to analyse tying in a market where products can be repaired after they break down. Since repair and maintenance play a major role in the aviation industry, this extended model offers a more reliable analysis. The model offers an alternative use for product B that does not rely on the purchase of A (for example spare parts for repairs). Firm 1’s monopoly position for product A </w:t>
      </w:r>
      <w:r w:rsidRPr="00AE2209">
        <w:rPr>
          <w:rFonts w:ascii="Times New Roman" w:hAnsi="Times New Roman" w:cs="Times New Roman"/>
          <w:sz w:val="24"/>
          <w:szCs w:val="24"/>
          <w:lang w:val="en-GB"/>
        </w:rPr>
        <w:lastRenderedPageBreak/>
        <w:t xml:space="preserve">cannot be exploited as before, because consumers may buy B from other firms independently of A. It may become attractive for firm 1 to exclude firm 2, since it has no use of a part of firm 2’s sales and can gain an additional monopoly. By tying A and B into a bundle, firm 1 can once again foreclose firm 2’s sales in the market of B and force consumers to buy A in case they only need B. In the General Electric/Honeywell situation, this would translate to the situation where airlines can buy spare parts from competitors to repair equipment from the merged firm. Replacing Honeywell equipment by other equipment also falls under this category. By tying, the merged firm can exclude these competitors and force airlines to buy parts from the merged firm. Looking at these arguments, the Commission’s concerns regarding bundling seem legitimate. </w:t>
      </w:r>
    </w:p>
    <w:p w:rsidR="00954FD7" w:rsidRPr="00AE2209" w:rsidRDefault="00EB0F78" w:rsidP="00954FD7">
      <w:pPr>
        <w:shd w:val="clear" w:color="auto" w:fill="FFFFFF" w:themeFill="background1"/>
        <w:rPr>
          <w:rFonts w:ascii="Times New Roman" w:hAnsi="Times New Roman" w:cs="Times New Roman"/>
          <w:sz w:val="24"/>
          <w:szCs w:val="24"/>
          <w:lang w:val="en-GB"/>
        </w:rPr>
      </w:pPr>
      <w:r>
        <w:rPr>
          <w:rFonts w:ascii="Times New Roman" w:hAnsi="Times New Roman" w:cs="Times New Roman"/>
          <w:i/>
          <w:sz w:val="24"/>
          <w:szCs w:val="24"/>
          <w:lang w:val="en-GB"/>
        </w:rPr>
        <w:t>3.5</w:t>
      </w:r>
      <w:r>
        <w:rPr>
          <w:rFonts w:ascii="Times New Roman" w:hAnsi="Times New Roman" w:cs="Times New Roman"/>
          <w:i/>
          <w:sz w:val="24"/>
          <w:szCs w:val="24"/>
          <w:lang w:val="en-GB"/>
        </w:rPr>
        <w:tab/>
      </w:r>
      <w:r w:rsidR="00954FD7" w:rsidRPr="00AE2209">
        <w:rPr>
          <w:rFonts w:ascii="Times New Roman" w:hAnsi="Times New Roman" w:cs="Times New Roman"/>
          <w:i/>
          <w:sz w:val="24"/>
          <w:szCs w:val="24"/>
          <w:lang w:val="en-GB"/>
        </w:rPr>
        <w:t>Competitors</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If the conglomerate effects of the merger will exactly play out the way the Commission argued, there is no doubt the competition in the aviation market will be reduced. However, is it safe to assume that the merged firm’s competitors like Rolls-Royce will roll over and surrender without a fight? The negative effects will only occur if the merged firm’s competitors do not try fight them. </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Some of the merged firm’s competitors are by no means small. Its competitors in the engine markets, Rolls-Royce and Pratt &amp; Whitney are both active in other industries (car and military respectively). Being part of the United Technologies conglomerate, Pratt &amp; Whitney should have the financial back up to invest and compete with the merged firm. It is unlikely that these big firms will just stand by and watch how General Electric/Honeywell will dominate the aviation market. A reaction from these firms on the merger can be expected. Setting up a finance or lease entity might be a bridge to far, but acquisitions or investing to become more efficient should be something these companies must take a look at.</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Another factor that could counter the merged firm’s dominance is the possibility of buyer’s power. Regardless of the fact that no individual airline has a share of more than 5% of all aircraft purchases, cooperation between airlines could result in buyer’s power. If several high profile airlines such as Air France-KLM, United Airlines and Lufthansa Group would buy their fleets collectively, they would likely have much more say in what engines and equipment they install. Also, since the merged firm would be extremely reliable of the airframe producers Boeing and Airbus, surely these firms would have some power to diminish the merged firm’s dominance. </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Cooperation of competitors can also take place in the form of mergers (as is argued by General Electric and Honeywell). By merging themselves, some competitors should be able to match the merged firm’s portfolio. Mergers on this scale could take quite some time and it remains to be seen whether the competitors would be in favour of this process. A less drastic measure would be a cooperation agreement (or a joint venture) in which competitors will commit to tying their products. Whether these strategies are successful is not clear.</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After the European Commission raised its concern regarding conglomerate effects, it still has to be determined whether these effects are in fact welfare-reducing. According to the merger paradox, mergers are typically not profitable for the merging firms in the absence of efficiency gains </w:t>
      </w:r>
      <w:sdt>
        <w:sdtPr>
          <w:rPr>
            <w:rFonts w:ascii="Times New Roman" w:hAnsi="Times New Roman" w:cs="Times New Roman"/>
            <w:sz w:val="24"/>
            <w:szCs w:val="24"/>
            <w:lang w:val="en-GB"/>
          </w:rPr>
          <w:id w:val="-531727364"/>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Cre04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(Creane &amp; Davidson, 2004)</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Since Honeywell and General Electric did in fact want to merge, were there any efficiency gains that were ignored by the Commission? Would a </w:t>
      </w:r>
      <w:r w:rsidRPr="00AE2209">
        <w:rPr>
          <w:rFonts w:ascii="Times New Roman" w:hAnsi="Times New Roman" w:cs="Times New Roman"/>
          <w:sz w:val="24"/>
          <w:szCs w:val="24"/>
          <w:lang w:val="en-GB"/>
        </w:rPr>
        <w:lastRenderedPageBreak/>
        <w:t xml:space="preserve">dominant firm in the aviation market lead to efficient production and lower prices resulting in higher welfare? These aspects were not considered by the Commission when forming a decision and will be discussed in the next part. </w:t>
      </w:r>
    </w:p>
    <w:p w:rsidR="00954FD7" w:rsidRPr="00AE2209" w:rsidRDefault="00954FD7" w:rsidP="00954FD7">
      <w:pPr>
        <w:rPr>
          <w:rFonts w:ascii="Times New Roman" w:hAnsi="Times New Roman" w:cs="Times New Roman"/>
          <w:sz w:val="24"/>
          <w:szCs w:val="24"/>
          <w:lang w:val="en-GB"/>
        </w:rPr>
      </w:pPr>
      <w:r w:rsidRPr="00AE2209">
        <w:rPr>
          <w:rFonts w:ascii="Times New Roman" w:hAnsi="Times New Roman" w:cs="Times New Roman"/>
          <w:sz w:val="24"/>
          <w:szCs w:val="24"/>
          <w:lang w:val="en-GB"/>
        </w:rPr>
        <w:br w:type="page"/>
      </w:r>
    </w:p>
    <w:p w:rsidR="00954FD7" w:rsidRDefault="009C36C4" w:rsidP="009C36C4">
      <w:pPr>
        <w:pStyle w:val="Kopjes"/>
        <w:jc w:val="center"/>
      </w:pPr>
      <w:r>
        <w:lastRenderedPageBreak/>
        <w:t xml:space="preserve">Chapter 4: </w:t>
      </w:r>
      <w:r w:rsidR="00954FD7" w:rsidRPr="00AE2209">
        <w:t>A natural monopoly?</w:t>
      </w:r>
    </w:p>
    <w:p w:rsidR="00EB0F78" w:rsidRPr="00EB0F78" w:rsidRDefault="00EB0F78" w:rsidP="00ED4E6A">
      <w:pPr>
        <w:pStyle w:val="Kopjes"/>
        <w:rPr>
          <w:b w:val="0"/>
          <w:i/>
          <w:sz w:val="24"/>
          <w:szCs w:val="24"/>
        </w:rPr>
      </w:pPr>
      <w:r>
        <w:rPr>
          <w:b w:val="0"/>
          <w:i/>
          <w:sz w:val="24"/>
          <w:szCs w:val="24"/>
        </w:rPr>
        <w:t>4.1 Suspicion</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Analysing the Commission’s decision, it has become clear that there were legitimate reasons to block the merger between General Electric and Honeywell. The disadvantages of the merger are clear: alongside the traditional horizontal- and vertical effects, conglomerate effects are likely to occur in markets where either General Electric or Honeywell is active. Competition will be reduced in the medium and long term with raising prices as a result. This will obviously lead to lower welfare and has to be discouraged.</w:t>
      </w:r>
    </w:p>
    <w:p w:rsidR="00E744BF" w:rsidRPr="00EB0F78"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However, while reading the decision and several papers on this topic, I could not help myself but to think of the genuine advantages this merger might have. Advantages such as fleet commonality and cheap production could be so substantial that the aviation market should be characterized by a natural monopoly. In economic literature, the theory of natural monopoly is usually described as a market in which, for structural reasons, only one firm can produce profitably </w:t>
      </w:r>
      <w:sdt>
        <w:sdtPr>
          <w:rPr>
            <w:rFonts w:ascii="Times New Roman" w:hAnsi="Times New Roman" w:cs="Times New Roman"/>
            <w:sz w:val="24"/>
            <w:szCs w:val="24"/>
            <w:lang w:val="en-GB"/>
          </w:rPr>
          <w:id w:val="-1702228934"/>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Mos08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(Mosca, 2008)</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w:t>
      </w:r>
    </w:p>
    <w:p w:rsidR="0016663C" w:rsidRPr="0016663C"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4.2</w:t>
      </w:r>
      <w:r>
        <w:rPr>
          <w:rFonts w:ascii="Times New Roman" w:hAnsi="Times New Roman" w:cs="Times New Roman"/>
          <w:i/>
          <w:sz w:val="24"/>
          <w:szCs w:val="24"/>
          <w:lang w:val="en-GB"/>
        </w:rPr>
        <w:tab/>
      </w:r>
      <w:r w:rsidR="0016663C">
        <w:rPr>
          <w:rFonts w:ascii="Times New Roman" w:hAnsi="Times New Roman" w:cs="Times New Roman"/>
          <w:i/>
          <w:sz w:val="24"/>
          <w:szCs w:val="24"/>
          <w:lang w:val="en-GB"/>
        </w:rPr>
        <w:t>Government monopolies</w:t>
      </w:r>
    </w:p>
    <w:p w:rsidR="00E744BF" w:rsidRPr="00EB0F78"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There are several </w:t>
      </w:r>
      <w:r w:rsidR="00ED4E6A">
        <w:rPr>
          <w:rFonts w:ascii="Times New Roman" w:hAnsi="Times New Roman" w:cs="Times New Roman"/>
          <w:sz w:val="24"/>
          <w:szCs w:val="24"/>
          <w:lang w:val="en-GB"/>
        </w:rPr>
        <w:t>conditions</w:t>
      </w:r>
      <w:r w:rsidRPr="00AE2209">
        <w:rPr>
          <w:rFonts w:ascii="Times New Roman" w:hAnsi="Times New Roman" w:cs="Times New Roman"/>
          <w:sz w:val="24"/>
          <w:szCs w:val="24"/>
          <w:lang w:val="en-GB"/>
        </w:rPr>
        <w:t xml:space="preserve"> in which a natural monopoly can be established</w:t>
      </w:r>
      <w:sdt>
        <w:sdtPr>
          <w:rPr>
            <w:rFonts w:ascii="Times New Roman" w:hAnsi="Times New Roman" w:cs="Times New Roman"/>
            <w:sz w:val="24"/>
            <w:szCs w:val="24"/>
            <w:lang w:val="en-GB"/>
          </w:rPr>
          <w:id w:val="2147461146"/>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Mos08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(Mosca, 2008)</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In modern history, governments have been responsible for constructing natural monopolies. Think of public utilities such as water supply, telecom- and train companies: these firms were supported by the government while investing in essential facilities like train rails and signal masts. Before these firms were privatised, they experienced no competition because no private party could profitably enter the market. The investments needed to enter the market are substantial and are unlikely to be recovered. Nowadays, most of the firms that were natural monopolists such as KPN have to share their positions in order to create competition. </w:t>
      </w:r>
      <w:sdt>
        <w:sdtPr>
          <w:rPr>
            <w:rFonts w:ascii="Times New Roman" w:hAnsi="Times New Roman" w:cs="Times New Roman"/>
            <w:sz w:val="24"/>
            <w:szCs w:val="24"/>
            <w:lang w:val="en-GB"/>
          </w:rPr>
          <w:id w:val="-20247945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ANP14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(NOS, 2014)</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w:t>
      </w:r>
    </w:p>
    <w:p w:rsidR="0016663C" w:rsidRPr="0016663C"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4.3</w:t>
      </w:r>
      <w:r>
        <w:rPr>
          <w:rFonts w:ascii="Times New Roman" w:hAnsi="Times New Roman" w:cs="Times New Roman"/>
          <w:i/>
          <w:sz w:val="24"/>
          <w:szCs w:val="24"/>
          <w:lang w:val="en-GB"/>
        </w:rPr>
        <w:tab/>
      </w:r>
      <w:r w:rsidR="0016663C">
        <w:rPr>
          <w:rFonts w:ascii="Times New Roman" w:hAnsi="Times New Roman" w:cs="Times New Roman"/>
          <w:i/>
          <w:sz w:val="24"/>
          <w:szCs w:val="24"/>
          <w:lang w:val="en-GB"/>
        </w:rPr>
        <w:t>Economies of scale and -scope</w:t>
      </w:r>
    </w:p>
    <w:p w:rsidR="00E744BF" w:rsidRPr="00EB0F78"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Another market characteristic that could lead to a natural monopoly is the possibility of significant economies of scale and -scope. The production process for a specific good or service exhibits economies of scale over a range of output when average costs declines over that range</w:t>
      </w:r>
      <w:sdt>
        <w:sdtPr>
          <w:rPr>
            <w:rFonts w:ascii="Times New Roman" w:hAnsi="Times New Roman" w:cs="Times New Roman"/>
            <w:sz w:val="24"/>
            <w:szCs w:val="24"/>
            <w:lang w:val="en-GB"/>
          </w:rPr>
          <w:id w:val="-142272423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CITATION Bes10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(Besanko, Dranove, Shanley, &amp; Schaefer, 2010)</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This means that the marginal costs of production are below the average costs in order to decrease the average costs. In the General Electric/Honeywell perspective, the average production costs of 300 planes would be lower than 200 planes. There are several forms of economies of scale. The first and most common form is the division of fixed costs over a firms output. Production-related fixed costs like Research and Development costs have to be earned back and are included in the price. The higher the output, the lower the fixed costs per unit. Other areas where economies of scale might occur, are warehousing, advertising and the transport and purchase of materials needed to manufacture General Electric/Honeywell products. Besides economies of scale, economies of scope should also be taken into consideration. We can speak of economies of scope when there are cost savings which result from the scope of a firm. In other words, it is less costly to combine two or more product lines in one firm than to produce them separately </w:t>
      </w:r>
      <w:sdt>
        <w:sdtPr>
          <w:rPr>
            <w:rFonts w:ascii="Times New Roman" w:hAnsi="Times New Roman" w:cs="Times New Roman"/>
            <w:sz w:val="24"/>
            <w:szCs w:val="24"/>
            <w:lang w:val="en-GB"/>
          </w:rPr>
          <w:id w:val="1254935289"/>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Wil81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(Willig &amp; Panzar, 1981)</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Research and Development is once again an area where cost savings can be made. It is highly likely that technological breakthroughs in the engine department will also result in improving avionics and non-avionics. Since Honeywell has a wide range of products, it seems the firm </w:t>
      </w:r>
      <w:r w:rsidRPr="00AE2209">
        <w:rPr>
          <w:rFonts w:ascii="Times New Roman" w:hAnsi="Times New Roman" w:cs="Times New Roman"/>
          <w:sz w:val="24"/>
          <w:szCs w:val="24"/>
          <w:lang w:val="en-GB"/>
        </w:rPr>
        <w:lastRenderedPageBreak/>
        <w:t xml:space="preserve">already enjoys economies of scope in its Research and Development. Also if a merger were to go through, production of different devices could be better coordinated with each other. Engines and (non-)avionics should be integrated and production could take place in the same manufactories. </w:t>
      </w:r>
    </w:p>
    <w:p w:rsidR="00ED4E6A" w:rsidRPr="00ED4E6A"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4.4</w:t>
      </w:r>
      <w:r>
        <w:rPr>
          <w:rFonts w:ascii="Times New Roman" w:hAnsi="Times New Roman" w:cs="Times New Roman"/>
          <w:i/>
          <w:sz w:val="24"/>
          <w:szCs w:val="24"/>
          <w:lang w:val="en-GB"/>
        </w:rPr>
        <w:tab/>
      </w:r>
      <w:r w:rsidR="00ED4E6A">
        <w:rPr>
          <w:rFonts w:ascii="Times New Roman" w:hAnsi="Times New Roman" w:cs="Times New Roman"/>
          <w:i/>
          <w:sz w:val="24"/>
          <w:szCs w:val="24"/>
          <w:lang w:val="en-GB"/>
        </w:rPr>
        <w:t>Network effects</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Network effects can also lead to a natural monopoly within a market. A network effect implies that the utility that a user derives from a product depends on the number of other agents that use the same product </w:t>
      </w:r>
      <w:sdt>
        <w:sdtPr>
          <w:rPr>
            <w:rFonts w:ascii="Times New Roman" w:hAnsi="Times New Roman" w:cs="Times New Roman"/>
            <w:sz w:val="24"/>
            <w:szCs w:val="24"/>
            <w:lang w:val="en-GB"/>
          </w:rPr>
          <w:id w:val="-36590951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Kat85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(Katz &amp; Shapiro, 1985)</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In case of a positive network effect, the utility from consumption increases with the number of other users. A nice example of such a good is an operating system. The amount of software and updates naturally depend on the amount of users of an operating system. A highway is an example of a negative network effect. The more cars on the highway, the less useful it becomes for drivers as a result of traffic jams. </w:t>
      </w:r>
    </w:p>
    <w:p w:rsidR="00E744BF" w:rsidRPr="00EB0F78"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There are three sources of network effects</w:t>
      </w:r>
      <w:sdt>
        <w:sdtPr>
          <w:rPr>
            <w:rFonts w:ascii="Times New Roman" w:hAnsi="Times New Roman" w:cs="Times New Roman"/>
            <w:sz w:val="24"/>
            <w:szCs w:val="24"/>
            <w:lang w:val="en-GB"/>
          </w:rPr>
          <w:id w:val="-45450225"/>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Kat85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 xml:space="preserve"> (Katz &amp; Shapiro, 1985)</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The first network effect is a strictly physical effect. Like the highway example, the usefulness of a good or service directly depends on the amount of users. The second network effect works indirectly: the more users a medium has, the more support it is expected to have. In case of durable goods, the quality and availability of services will increase. The last network effect is market-mediated. When the amount of users increases, so will the supply of spare parts and second hand products. This can also benefit owners since repairs or replacements are likely to be cheaper. </w:t>
      </w:r>
    </w:p>
    <w:p w:rsidR="0016663C" w:rsidRPr="0016663C"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4.5</w:t>
      </w:r>
      <w:r>
        <w:rPr>
          <w:rFonts w:ascii="Times New Roman" w:hAnsi="Times New Roman" w:cs="Times New Roman"/>
          <w:i/>
          <w:sz w:val="24"/>
          <w:szCs w:val="24"/>
          <w:lang w:val="en-GB"/>
        </w:rPr>
        <w:tab/>
      </w:r>
      <w:r w:rsidR="0016663C">
        <w:rPr>
          <w:rFonts w:ascii="Times New Roman" w:hAnsi="Times New Roman" w:cs="Times New Roman"/>
          <w:i/>
          <w:sz w:val="24"/>
          <w:szCs w:val="24"/>
          <w:lang w:val="en-GB"/>
        </w:rPr>
        <w:t>Consequences of a natural monopoly</w:t>
      </w:r>
    </w:p>
    <w:p w:rsidR="00954FD7"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In the General Electric/Honeywell merger case, the indirect network effects are most likely to take place. Fleet communality is an important factor taken into consideration when airlines buy new aircraft. There are several advantages attached to a uniform fleet. Firstly, pilots will only have to learn how General Electric/Honeywell aircrafts work. Secondly, engineers and maintenance workers can specialize in a limited range of equipment, making repairs and construction more efficient. Thirdly, due to the increased supply on the second hand markets, repairing costs will decrease. If the merged firm’s competitors cannot match the network effect, airlines will have an easy decision when ordering new planes.</w:t>
      </w:r>
    </w:p>
    <w:p w:rsidR="00E744BF" w:rsidRPr="00AE2209" w:rsidRDefault="00E744BF" w:rsidP="00E744BF">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Figure 2 shows the conditions in which economies of scale – and scope can lead to a natural monopoly. As a result of cost advantages, the marginal costs are decreasing over the relevant output range. Once a firm has reached a decent output, its marginal costs are relatively low in comparison to its competitors. Because the firm is more efficient than its competitors, it can produce cheaper and gain an even larger market share. When a firm serves (almost) the entire market, it has become virtually impossible for competitors to compete due to the difference in marginal costs. If you combine this with the network effect in the form of fleet communality, the possibility of a natural monopoly in the aviation market seems a real possibility. </w:t>
      </w:r>
    </w:p>
    <w:p w:rsidR="00E744BF" w:rsidRPr="00AE2209" w:rsidRDefault="00E744BF" w:rsidP="00954FD7">
      <w:pPr>
        <w:shd w:val="clear" w:color="auto" w:fill="FFFFFF" w:themeFill="background1"/>
        <w:jc w:val="both"/>
        <w:rPr>
          <w:rFonts w:ascii="Times New Roman" w:hAnsi="Times New Roman" w:cs="Times New Roman"/>
          <w:sz w:val="24"/>
          <w:szCs w:val="24"/>
          <w:lang w:val="en-GB"/>
        </w:rPr>
      </w:pPr>
    </w:p>
    <w:p w:rsidR="00954FD7" w:rsidRPr="00AE2209" w:rsidRDefault="00954FD7" w:rsidP="00954FD7">
      <w:pPr>
        <w:shd w:val="clear" w:color="auto" w:fill="FFFFFF" w:themeFill="background1"/>
        <w:jc w:val="center"/>
        <w:rPr>
          <w:rFonts w:ascii="Times New Roman" w:hAnsi="Times New Roman" w:cs="Times New Roman"/>
          <w:sz w:val="24"/>
          <w:szCs w:val="24"/>
          <w:lang w:val="en-GB"/>
        </w:rPr>
      </w:pPr>
      <w:r w:rsidRPr="00AE2209">
        <w:rPr>
          <w:rFonts w:ascii="Times New Roman" w:hAnsi="Times New Roman" w:cs="Times New Roman"/>
          <w:noProof/>
          <w:lang w:eastAsia="nl-NL"/>
        </w:rPr>
        <w:lastRenderedPageBreak/>
        <w:drawing>
          <wp:inline distT="0" distB="0" distL="0" distR="0" wp14:anchorId="65850A9C" wp14:editId="3BF4EA26">
            <wp:extent cx="3648075" cy="2812473"/>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53755" cy="2816852"/>
                    </a:xfrm>
                    <a:prstGeom prst="rect">
                      <a:avLst/>
                    </a:prstGeom>
                  </pic:spPr>
                </pic:pic>
              </a:graphicData>
            </a:graphic>
          </wp:inline>
        </w:drawing>
      </w:r>
    </w:p>
    <w:p w:rsidR="00954FD7" w:rsidRPr="00AE2209" w:rsidRDefault="00954FD7" w:rsidP="00954FD7">
      <w:pPr>
        <w:shd w:val="clear" w:color="auto" w:fill="FFFFFF" w:themeFill="background1"/>
        <w:jc w:val="center"/>
        <w:rPr>
          <w:rFonts w:ascii="Times New Roman" w:hAnsi="Times New Roman" w:cs="Times New Roman"/>
          <w:sz w:val="24"/>
          <w:szCs w:val="24"/>
          <w:lang w:val="en-GB"/>
        </w:rPr>
      </w:pPr>
      <w:r w:rsidRPr="00AE2209">
        <w:rPr>
          <w:rFonts w:ascii="Times New Roman" w:hAnsi="Times New Roman" w:cs="Times New Roman"/>
          <w:sz w:val="24"/>
          <w:szCs w:val="24"/>
          <w:lang w:val="en-GB"/>
        </w:rPr>
        <w:t>Figure 2</w:t>
      </w:r>
    </w:p>
    <w:p w:rsidR="00954FD7" w:rsidRPr="00AE2209" w:rsidRDefault="00954FD7" w:rsidP="00954FD7">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As good as a natural monopoly may sound, there are also drawbacks to the situation. When a firm does not experience any competition, it will maximize its own profits by limiting supply and keeping prices high. In figure 2, this would correspond with the monopolist selling Q(m) for P(M). If you compare this with the welfare maximizing quantity Q(mc) with price P(mc), it is a relatively bad equilibrium. </w:t>
      </w:r>
    </w:p>
    <w:p w:rsidR="00E744BF" w:rsidRPr="00EB0F78" w:rsidRDefault="00954FD7" w:rsidP="00EB0F78">
      <w:pPr>
        <w:shd w:val="clear" w:color="auto" w:fill="FFFFFF" w:themeFill="background1"/>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There seems no possibility for other firms to compete with a natural monopolist. Since no firm in the industry can match General Electric/Honeywell’s efficiency, it is likely to lose the competition and leave the market. The natural monopolist will lose its competitive constraints and may raise prices. Opportunities for other firms to enter the aviation market are also limited.  There are several entry barriers a firm has to overcome to successfully enter the market. A potential entrant has to invest a decent amount of money in engine development before it can compete with a company that has a lot of experience in the engine market. The entrant also has to invest in manufactories before it can actually produce engines. Investing billions before generating any revenue is not very attractive. Also, due to the economies of scale, the entrant is at a huge disadvantage compared to the incumbent since initial output will be much lower. The entrant will have higher costs which will result in a higher price. Last but not least, the positive network effects in favour of the incumbent will make entry less attractive. Airlines will prefer General Electric/Honeywell aircraft over any other brand. To overcome this switching cost, an entrant will have to compensate airlines for losing its fleets communality. The most obvious way to do this, is by asking a lower price for its product than the competitor </w:t>
      </w:r>
      <w:sdt>
        <w:sdtPr>
          <w:rPr>
            <w:rFonts w:ascii="Times New Roman" w:hAnsi="Times New Roman" w:cs="Times New Roman"/>
            <w:sz w:val="24"/>
            <w:szCs w:val="24"/>
            <w:lang w:val="en-GB"/>
          </w:rPr>
          <w:id w:val="190209427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Kle87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(Klemperer, 1987)</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The problem with this strategy is that the incumbent can easily match the low price since it is more efficient due to economies of scale and –scope.</w:t>
      </w:r>
    </w:p>
    <w:p w:rsidR="00E744BF" w:rsidRPr="00E744BF" w:rsidRDefault="00EB0F78" w:rsidP="00954FD7">
      <w:pPr>
        <w:shd w:val="clear" w:color="auto" w:fill="FFFFFF" w:themeFill="background1"/>
        <w:jc w:val="both"/>
        <w:rPr>
          <w:rFonts w:ascii="Times New Roman" w:hAnsi="Times New Roman" w:cs="Times New Roman"/>
          <w:i/>
          <w:sz w:val="24"/>
          <w:szCs w:val="24"/>
          <w:lang w:val="en-GB"/>
        </w:rPr>
      </w:pPr>
      <w:r>
        <w:rPr>
          <w:rFonts w:ascii="Times New Roman" w:hAnsi="Times New Roman" w:cs="Times New Roman"/>
          <w:i/>
          <w:sz w:val="24"/>
          <w:szCs w:val="24"/>
          <w:lang w:val="en-GB"/>
        </w:rPr>
        <w:t>4.6</w:t>
      </w:r>
      <w:r>
        <w:rPr>
          <w:rFonts w:ascii="Times New Roman" w:hAnsi="Times New Roman" w:cs="Times New Roman"/>
          <w:i/>
          <w:sz w:val="24"/>
          <w:szCs w:val="24"/>
          <w:lang w:val="en-GB"/>
        </w:rPr>
        <w:tab/>
      </w:r>
      <w:r w:rsidR="00E744BF">
        <w:rPr>
          <w:rFonts w:ascii="Times New Roman" w:hAnsi="Times New Roman" w:cs="Times New Roman"/>
          <w:i/>
          <w:sz w:val="24"/>
          <w:szCs w:val="24"/>
          <w:lang w:val="en-GB"/>
        </w:rPr>
        <w:t>Regulation</w:t>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If it turns out that a monopolistic market really is the most efficient situation in the aviation market, this market has to be controlled to ensure that welfare is maximized. Without control, a monopolist will harm total welfare. Regulating the aviation market could be the solution for this problem. Controlling the aviation market is nothing new for European authorities. Before the creation of a single market for aviation in the nineties, the industries were heavily regulated </w:t>
      </w:r>
      <w:sdt>
        <w:sdtPr>
          <w:rPr>
            <w:rFonts w:ascii="Times New Roman" w:hAnsi="Times New Roman" w:cs="Times New Roman"/>
            <w:sz w:val="24"/>
            <w:szCs w:val="24"/>
            <w:lang w:val="en-GB"/>
          </w:rPr>
          <w:id w:val="552048543"/>
          <w:citation/>
        </w:sdtPr>
        <w:sdtEndPr/>
        <w:sdtContent>
          <w:r w:rsidRPr="00AE2209">
            <w:rPr>
              <w:rFonts w:ascii="Times New Roman" w:hAnsi="Times New Roman" w:cs="Times New Roman"/>
              <w:sz w:val="24"/>
              <w:szCs w:val="24"/>
              <w:lang w:val="en-GB"/>
            </w:rPr>
            <w:fldChar w:fldCharType="begin"/>
          </w:r>
          <w:r w:rsidRPr="00AE2209">
            <w:rPr>
              <w:rFonts w:ascii="Times New Roman" w:hAnsi="Times New Roman" w:cs="Times New Roman"/>
              <w:sz w:val="24"/>
              <w:szCs w:val="24"/>
              <w:lang w:val="en-GB"/>
            </w:rPr>
            <w:instrText xml:space="preserve"> CITATION Eur14 \l 1043 </w:instrText>
          </w:r>
          <w:r w:rsidRPr="00AE2209">
            <w:rPr>
              <w:rFonts w:ascii="Times New Roman" w:hAnsi="Times New Roman" w:cs="Times New Roman"/>
              <w:sz w:val="24"/>
              <w:szCs w:val="24"/>
              <w:lang w:val="en-GB"/>
            </w:rPr>
            <w:fldChar w:fldCharType="separate"/>
          </w:r>
          <w:r w:rsidRPr="00AE2209">
            <w:rPr>
              <w:rFonts w:ascii="Times New Roman" w:hAnsi="Times New Roman" w:cs="Times New Roman"/>
              <w:noProof/>
              <w:sz w:val="24"/>
              <w:szCs w:val="24"/>
              <w:lang w:val="en-GB"/>
            </w:rPr>
            <w:t>(European Commission, 2014)</w:t>
          </w:r>
          <w:r w:rsidRPr="00AE2209">
            <w:rPr>
              <w:rFonts w:ascii="Times New Roman" w:hAnsi="Times New Roman" w:cs="Times New Roman"/>
              <w:sz w:val="24"/>
              <w:szCs w:val="24"/>
              <w:lang w:val="en-GB"/>
            </w:rPr>
            <w:fldChar w:fldCharType="end"/>
          </w:r>
        </w:sdtContent>
      </w:sdt>
      <w:r w:rsidRPr="00AE2209">
        <w:rPr>
          <w:rFonts w:ascii="Times New Roman" w:hAnsi="Times New Roman" w:cs="Times New Roman"/>
          <w:sz w:val="24"/>
          <w:szCs w:val="24"/>
          <w:lang w:val="en-GB"/>
        </w:rPr>
        <w:t xml:space="preserve">. Since all restrictions were cleared, antitrust authorities have been investigating the aviation market on a constant basis. Because there are very few suppliers in the engine- and avionics markets, the risk of collusion between suppliers is relatively high. Since a natural monopoly would imply only one manufacturer, the costs of investigating the market for collusion could be spent differently. The funds could be used to monitor the monopolist and ensure maximum welfare. </w:t>
      </w:r>
    </w:p>
    <w:p w:rsidR="00954FD7" w:rsidRPr="00AE2209" w:rsidRDefault="00954FD7" w:rsidP="00954FD7">
      <w:pPr>
        <w:rPr>
          <w:rFonts w:ascii="Times New Roman" w:hAnsi="Times New Roman" w:cs="Times New Roman"/>
          <w:sz w:val="24"/>
          <w:szCs w:val="24"/>
          <w:lang w:val="en-GB"/>
        </w:rPr>
      </w:pPr>
      <w:r w:rsidRPr="00AE2209">
        <w:rPr>
          <w:rFonts w:ascii="Times New Roman" w:hAnsi="Times New Roman" w:cs="Times New Roman"/>
          <w:sz w:val="24"/>
          <w:szCs w:val="24"/>
          <w:lang w:val="en-GB"/>
        </w:rPr>
        <w:br w:type="page"/>
      </w:r>
    </w:p>
    <w:p w:rsidR="00954FD7" w:rsidRPr="00AE2209" w:rsidRDefault="009C36C4" w:rsidP="009C36C4">
      <w:pPr>
        <w:pStyle w:val="Kopjes"/>
        <w:jc w:val="center"/>
      </w:pPr>
      <w:r>
        <w:lastRenderedPageBreak/>
        <w:t xml:space="preserve">Chapter 5: </w:t>
      </w:r>
      <w:r w:rsidR="00954FD7" w:rsidRPr="00AE2209">
        <w:t>Conclusion</w:t>
      </w:r>
    </w:p>
    <w:p w:rsidR="009C36C4" w:rsidRDefault="009C36C4" w:rsidP="009C36C4">
      <w:pPr>
        <w:pStyle w:val="NoSpacing"/>
        <w:rPr>
          <w:rFonts w:ascii="Times New Roman" w:hAnsi="Times New Roman" w:cs="Times New Roman"/>
          <w:i/>
          <w:sz w:val="24"/>
          <w:szCs w:val="24"/>
          <w:lang w:val="en-GB"/>
        </w:rPr>
      </w:pPr>
      <w:r>
        <w:rPr>
          <w:rFonts w:ascii="Times New Roman" w:hAnsi="Times New Roman" w:cs="Times New Roman"/>
          <w:i/>
          <w:sz w:val="24"/>
          <w:szCs w:val="24"/>
          <w:lang w:val="en-GB"/>
        </w:rPr>
        <w:t>5.1</w:t>
      </w:r>
      <w:r>
        <w:rPr>
          <w:rFonts w:ascii="Times New Roman" w:hAnsi="Times New Roman" w:cs="Times New Roman"/>
          <w:i/>
          <w:sz w:val="24"/>
          <w:szCs w:val="24"/>
          <w:lang w:val="en-GB"/>
        </w:rPr>
        <w:tab/>
        <w:t>The right decision?</w:t>
      </w:r>
    </w:p>
    <w:p w:rsidR="009C36C4" w:rsidRPr="009C36C4" w:rsidRDefault="009C36C4" w:rsidP="009C36C4">
      <w:pPr>
        <w:pStyle w:val="NoSpacing"/>
        <w:rPr>
          <w:rFonts w:ascii="Times New Roman" w:hAnsi="Times New Roman" w:cs="Times New Roman"/>
          <w:i/>
          <w:sz w:val="24"/>
          <w:szCs w:val="24"/>
          <w:lang w:val="en-GB"/>
        </w:rPr>
      </w:pPr>
    </w:p>
    <w:p w:rsidR="00954FD7" w:rsidRPr="00AE2209" w:rsidRDefault="00954FD7" w:rsidP="00954FD7">
      <w:pPr>
        <w:pStyle w:val="NoSpacing"/>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Considering the arguments against the approval of the General Electric/Honeywell merger, the Commission’s decision to block the merger is quite acceptable. Not only horizontal- and vertical effects will effect competition in the aviation market, newly defined conglomerate effects are also expected to take place. General Electric was already a dominant firm prior to the merger. Should the merger have been approved, it is expected that the merged firm would have an unacceptable amount of market power. </w:t>
      </w:r>
    </w:p>
    <w:p w:rsidR="00954FD7" w:rsidRPr="00AE2209" w:rsidRDefault="00954FD7" w:rsidP="00954FD7">
      <w:pPr>
        <w:pStyle w:val="NoSpacing"/>
        <w:rPr>
          <w:rFonts w:ascii="Times New Roman" w:hAnsi="Times New Roman" w:cs="Times New Roman"/>
          <w:sz w:val="24"/>
          <w:szCs w:val="24"/>
          <w:lang w:val="en-GB"/>
        </w:rPr>
      </w:pPr>
    </w:p>
    <w:p w:rsidR="00954FD7" w:rsidRPr="00AE2209" w:rsidRDefault="00954FD7" w:rsidP="00954FD7">
      <w:pPr>
        <w:pStyle w:val="NoSpacing"/>
        <w:rPr>
          <w:rFonts w:ascii="Times New Roman" w:hAnsi="Times New Roman" w:cs="Times New Roman"/>
          <w:sz w:val="24"/>
          <w:szCs w:val="24"/>
          <w:lang w:val="en-GB"/>
        </w:rPr>
      </w:pPr>
      <w:r w:rsidRPr="00AE2209">
        <w:rPr>
          <w:rFonts w:ascii="Times New Roman" w:hAnsi="Times New Roman" w:cs="Times New Roman"/>
          <w:sz w:val="24"/>
          <w:szCs w:val="24"/>
          <w:lang w:val="en-GB"/>
        </w:rPr>
        <w:t>On the one hand, there are clear advantages towards the merger. Economies of scale and economies of scope can make the production of airplanes more efficient. If this improved efficiency can result into lower prices, not only airlines would be better off, also consumers can get a piece of the pie through cheaper flight tickets.</w:t>
      </w:r>
    </w:p>
    <w:p w:rsidR="00954FD7" w:rsidRPr="00AE2209" w:rsidRDefault="00954FD7" w:rsidP="00954FD7">
      <w:pPr>
        <w:pStyle w:val="NoSpacing"/>
        <w:rPr>
          <w:rFonts w:ascii="Times New Roman" w:hAnsi="Times New Roman" w:cs="Times New Roman"/>
          <w:sz w:val="24"/>
          <w:szCs w:val="24"/>
          <w:lang w:val="en-GB"/>
        </w:rPr>
      </w:pPr>
    </w:p>
    <w:p w:rsidR="00954FD7" w:rsidRDefault="00954FD7" w:rsidP="00954FD7">
      <w:pPr>
        <w:pStyle w:val="NoSpacing"/>
        <w:rPr>
          <w:rFonts w:ascii="Times New Roman" w:hAnsi="Times New Roman" w:cs="Times New Roman"/>
          <w:sz w:val="24"/>
          <w:szCs w:val="24"/>
          <w:lang w:val="en-GB"/>
        </w:rPr>
      </w:pPr>
      <w:r w:rsidRPr="00AE2209">
        <w:rPr>
          <w:rFonts w:ascii="Times New Roman" w:hAnsi="Times New Roman" w:cs="Times New Roman"/>
          <w:sz w:val="24"/>
          <w:szCs w:val="24"/>
          <w:lang w:val="en-GB"/>
        </w:rPr>
        <w:t>On the other hand, the merger would take away most competition in the aviation market. The point is that the merged firm’s improved efficiency is not likely to be matched by its current competitors. This could result in predatory pricing: low prices on the short term and high prices after competitors have left the market.</w:t>
      </w:r>
      <w:r>
        <w:rPr>
          <w:rFonts w:ascii="Times New Roman" w:hAnsi="Times New Roman" w:cs="Times New Roman"/>
          <w:sz w:val="24"/>
          <w:szCs w:val="24"/>
          <w:lang w:val="en-GB"/>
        </w:rPr>
        <w:t xml:space="preserve"> The anti-competitive effect will only occur if the merged firm’s competitors actually leave the market. Since some competitors have substantial means themselves, it remains the question if they are indeed not able to make up for the improved efficiency. </w:t>
      </w:r>
    </w:p>
    <w:p w:rsidR="00954FD7" w:rsidRDefault="00954FD7" w:rsidP="00954FD7">
      <w:pPr>
        <w:pStyle w:val="NoSpacing"/>
        <w:rPr>
          <w:rFonts w:ascii="Times New Roman" w:hAnsi="Times New Roman" w:cs="Times New Roman"/>
          <w:sz w:val="24"/>
          <w:szCs w:val="24"/>
          <w:lang w:val="en-GB"/>
        </w:rPr>
      </w:pPr>
    </w:p>
    <w:p w:rsidR="009C36C4" w:rsidRDefault="009C36C4" w:rsidP="009C36C4">
      <w:pPr>
        <w:pStyle w:val="NoSpacing"/>
        <w:rPr>
          <w:rFonts w:ascii="Times New Roman" w:hAnsi="Times New Roman" w:cs="Times New Roman"/>
          <w:i/>
          <w:sz w:val="24"/>
          <w:szCs w:val="24"/>
          <w:lang w:val="en-GB"/>
        </w:rPr>
      </w:pPr>
      <w:r>
        <w:rPr>
          <w:rFonts w:ascii="Times New Roman" w:hAnsi="Times New Roman" w:cs="Times New Roman"/>
          <w:i/>
          <w:sz w:val="24"/>
          <w:szCs w:val="24"/>
          <w:lang w:val="en-GB"/>
        </w:rPr>
        <w:t>5.2</w:t>
      </w:r>
      <w:r>
        <w:rPr>
          <w:rFonts w:ascii="Times New Roman" w:hAnsi="Times New Roman" w:cs="Times New Roman"/>
          <w:i/>
          <w:sz w:val="24"/>
          <w:szCs w:val="24"/>
          <w:lang w:val="en-GB"/>
        </w:rPr>
        <w:tab/>
        <w:t>Policy advice</w:t>
      </w:r>
    </w:p>
    <w:p w:rsidR="009C36C4" w:rsidRPr="009C36C4" w:rsidRDefault="009C36C4" w:rsidP="009C36C4">
      <w:pPr>
        <w:pStyle w:val="NoSpacing"/>
        <w:ind w:left="1068"/>
        <w:rPr>
          <w:rFonts w:ascii="Times New Roman" w:hAnsi="Times New Roman" w:cs="Times New Roman"/>
          <w:i/>
          <w:sz w:val="24"/>
          <w:szCs w:val="24"/>
          <w:lang w:val="en-GB"/>
        </w:rPr>
      </w:pPr>
    </w:p>
    <w:p w:rsidR="00C936F5" w:rsidRDefault="00954FD7" w:rsidP="00954FD7">
      <w:pPr>
        <w:pStyle w:val="NoSpacing"/>
        <w:rPr>
          <w:rFonts w:ascii="Times New Roman" w:hAnsi="Times New Roman" w:cs="Times New Roman"/>
          <w:sz w:val="24"/>
          <w:szCs w:val="24"/>
          <w:lang w:val="en-GB"/>
        </w:rPr>
      </w:pPr>
      <w:r>
        <w:rPr>
          <w:rFonts w:ascii="Times New Roman" w:hAnsi="Times New Roman" w:cs="Times New Roman"/>
          <w:sz w:val="24"/>
          <w:szCs w:val="24"/>
          <w:lang w:val="en-GB"/>
        </w:rPr>
        <w:t>At the end of the line</w:t>
      </w:r>
      <w:r w:rsidRPr="00AE2209">
        <w:rPr>
          <w:rFonts w:ascii="Times New Roman" w:hAnsi="Times New Roman" w:cs="Times New Roman"/>
          <w:sz w:val="24"/>
          <w:szCs w:val="24"/>
          <w:lang w:val="en-GB"/>
        </w:rPr>
        <w:t>, there might be a possibility to get the best of both worlds. If the competition authorities would allow the merger on the condition that the merged firm would accept regular monitoring, predatory pricing can be prevented. If for example the authorities have a seat on the board of the merged firm, they can make sure the firm will not exploit its monopoly position. While the firm is allowed to make profits as a reward for the improved efficiency, regulation should prevent the abuse of a dominant position in order to enhance welfare.</w:t>
      </w:r>
    </w:p>
    <w:p w:rsidR="00C936F5" w:rsidRDefault="00C936F5">
      <w:pPr>
        <w:rPr>
          <w:rFonts w:ascii="Times New Roman" w:hAnsi="Times New Roman" w:cs="Times New Roman"/>
          <w:sz w:val="24"/>
          <w:szCs w:val="24"/>
          <w:lang w:val="en-GB"/>
        </w:rPr>
      </w:pPr>
      <w:r>
        <w:rPr>
          <w:rFonts w:ascii="Times New Roman" w:hAnsi="Times New Roman" w:cs="Times New Roman"/>
          <w:sz w:val="24"/>
          <w:szCs w:val="24"/>
          <w:lang w:val="en-GB"/>
        </w:rPr>
        <w:br w:type="page"/>
      </w:r>
    </w:p>
    <w:p w:rsidR="00954FD7" w:rsidRDefault="00C936F5" w:rsidP="00C936F5">
      <w:pPr>
        <w:pStyle w:val="Kopjes"/>
        <w:jc w:val="center"/>
      </w:pPr>
      <w:r>
        <w:lastRenderedPageBreak/>
        <w:t>Bibliography</w:t>
      </w:r>
    </w:p>
    <w:p w:rsidR="00C936F5" w:rsidRPr="00AE2209" w:rsidRDefault="00C936F5" w:rsidP="00954FD7">
      <w:pPr>
        <w:pStyle w:val="NoSpacing"/>
        <w:rPr>
          <w:rFonts w:ascii="Times New Roman" w:hAnsi="Times New Roman" w:cs="Times New Roman"/>
          <w:sz w:val="24"/>
          <w:szCs w:val="24"/>
          <w:lang w:val="en-GB"/>
        </w:rPr>
      </w:pPr>
    </w:p>
    <w:p w:rsidR="00C936F5" w:rsidRPr="00C936F5" w:rsidRDefault="00C936F5" w:rsidP="00C936F5">
      <w:pPr>
        <w:pStyle w:val="Bibliography"/>
        <w:ind w:left="720" w:hanging="720"/>
        <w:rPr>
          <w:noProof/>
          <w:sz w:val="24"/>
          <w:szCs w:val="24"/>
          <w:lang w:val="en-GB"/>
        </w:rPr>
      </w:pPr>
      <w:r>
        <w:rPr>
          <w:rFonts w:ascii="Times New Roman" w:hAnsi="Times New Roman" w:cs="Times New Roman"/>
          <w:sz w:val="24"/>
          <w:szCs w:val="24"/>
          <w:lang w:val="en-GB"/>
        </w:rPr>
        <w:fldChar w:fldCharType="begin"/>
      </w:r>
      <w:r w:rsidRPr="00C936F5">
        <w:rPr>
          <w:rFonts w:ascii="Times New Roman" w:hAnsi="Times New Roman" w:cs="Times New Roman"/>
          <w:sz w:val="24"/>
          <w:szCs w:val="24"/>
          <w:lang w:val="en-GB"/>
        </w:rPr>
        <w:instrText xml:space="preserve"> BIBLIOGRAPHY  \l 1043 </w:instrText>
      </w:r>
      <w:r>
        <w:rPr>
          <w:rFonts w:ascii="Times New Roman" w:hAnsi="Times New Roman" w:cs="Times New Roman"/>
          <w:sz w:val="24"/>
          <w:szCs w:val="24"/>
          <w:lang w:val="en-GB"/>
        </w:rPr>
        <w:fldChar w:fldCharType="separate"/>
      </w:r>
      <w:r w:rsidRPr="00C936F5">
        <w:rPr>
          <w:noProof/>
          <w:lang w:val="en-GB"/>
        </w:rPr>
        <w:t>2001/417/EC: Commission Decision of 1 December 1999 declaring a concentration compatible with the common market and the functioning of the EEA Agreement; AlliedSignal/Honeywell, Case COMP/M.1601 (European Commission December 1, 1999).</w:t>
      </w:r>
    </w:p>
    <w:p w:rsidR="00C936F5" w:rsidRPr="00C936F5" w:rsidRDefault="00C936F5" w:rsidP="00C936F5">
      <w:pPr>
        <w:pStyle w:val="Bibliography"/>
        <w:ind w:left="720" w:hanging="720"/>
        <w:rPr>
          <w:noProof/>
          <w:lang w:val="en-GB"/>
        </w:rPr>
      </w:pPr>
      <w:r w:rsidRPr="00C936F5">
        <w:rPr>
          <w:noProof/>
          <w:lang w:val="en-GB"/>
        </w:rPr>
        <w:t>91/619/EEC: Commission Decision of 2 October 1991 declaring the incompatibility with the common market of a concentration; Alenia/De Havilland, Case No IV/M.053 (European Commission October 2, 1991).</w:t>
      </w:r>
    </w:p>
    <w:p w:rsidR="00C936F5" w:rsidRPr="00C936F5" w:rsidRDefault="00C936F5" w:rsidP="00C936F5">
      <w:pPr>
        <w:pStyle w:val="Bibliography"/>
        <w:ind w:left="720" w:hanging="720"/>
        <w:rPr>
          <w:noProof/>
          <w:lang w:val="en-GB"/>
        </w:rPr>
      </w:pPr>
      <w:r w:rsidRPr="00C936F5">
        <w:rPr>
          <w:noProof/>
          <w:lang w:val="en-GB"/>
        </w:rPr>
        <w:t>97/816/EC: Commission Decision of 30 July 1997 declaring a concentration compatible with the common market and the functioning of the EEA Agreement; Boeing/McDonnell Douglas, Case No IV/M.877 (European Commission July 30, 1997).</w:t>
      </w:r>
    </w:p>
    <w:p w:rsidR="00C936F5" w:rsidRDefault="00C936F5" w:rsidP="00C936F5">
      <w:pPr>
        <w:pStyle w:val="Bibliography"/>
        <w:ind w:left="720" w:hanging="720"/>
        <w:rPr>
          <w:noProof/>
        </w:rPr>
      </w:pPr>
      <w:r w:rsidRPr="00C936F5">
        <w:rPr>
          <w:noProof/>
          <w:lang w:val="en-GB"/>
        </w:rPr>
        <w:t xml:space="preserve">BBC. (2001, July 3). </w:t>
      </w:r>
      <w:r w:rsidRPr="00C936F5">
        <w:rPr>
          <w:i/>
          <w:iCs/>
          <w:noProof/>
          <w:lang w:val="en-GB"/>
        </w:rPr>
        <w:t>EU blocks GE/Honeywell deal</w:t>
      </w:r>
      <w:r w:rsidRPr="00C936F5">
        <w:rPr>
          <w:noProof/>
          <w:lang w:val="en-GB"/>
        </w:rPr>
        <w:t xml:space="preserve">. </w:t>
      </w:r>
      <w:r>
        <w:rPr>
          <w:noProof/>
        </w:rPr>
        <w:t>Opgehaald van BBC: http://news.bbc.co.uk/2/hi/business/1420398.stm</w:t>
      </w:r>
    </w:p>
    <w:p w:rsidR="00C936F5" w:rsidRPr="00C936F5" w:rsidRDefault="00C936F5" w:rsidP="00C936F5">
      <w:pPr>
        <w:pStyle w:val="Bibliography"/>
        <w:ind w:left="720" w:hanging="720"/>
        <w:rPr>
          <w:noProof/>
          <w:lang w:val="en-GB"/>
        </w:rPr>
      </w:pPr>
      <w:r w:rsidRPr="00C936F5">
        <w:rPr>
          <w:noProof/>
          <w:lang w:val="en-GB"/>
        </w:rPr>
        <w:t xml:space="preserve">Besanko, D., Dranove, D., Shanley, M., &amp; Schaefer, S. (2010). </w:t>
      </w:r>
      <w:r w:rsidRPr="00C936F5">
        <w:rPr>
          <w:i/>
          <w:iCs/>
          <w:noProof/>
          <w:lang w:val="en-GB"/>
        </w:rPr>
        <w:t>Economics of Strategy.</w:t>
      </w:r>
      <w:r w:rsidRPr="00C936F5">
        <w:rPr>
          <w:noProof/>
          <w:lang w:val="en-GB"/>
        </w:rPr>
        <w:t xml:space="preserve"> Singapore: John Wiley &amp; Sons.</w:t>
      </w:r>
    </w:p>
    <w:p w:rsidR="00C936F5" w:rsidRPr="00C936F5" w:rsidRDefault="00C936F5" w:rsidP="00C936F5">
      <w:pPr>
        <w:pStyle w:val="Bibliography"/>
        <w:ind w:left="720" w:hanging="720"/>
        <w:rPr>
          <w:noProof/>
          <w:lang w:val="en-GB"/>
        </w:rPr>
      </w:pPr>
      <w:r>
        <w:rPr>
          <w:noProof/>
        </w:rPr>
        <w:t xml:space="preserve">Brüggen, A., &amp; Klose, L. (2010, November 1). </w:t>
      </w:r>
      <w:r w:rsidRPr="00C936F5">
        <w:rPr>
          <w:noProof/>
          <w:lang w:val="en-GB"/>
        </w:rPr>
        <w:t xml:space="preserve">How fleet commonality influences low-cost airline operating performance: Empirical evidence. </w:t>
      </w:r>
      <w:r w:rsidRPr="00C936F5">
        <w:rPr>
          <w:i/>
          <w:iCs/>
          <w:noProof/>
          <w:lang w:val="en-GB"/>
        </w:rPr>
        <w:t>Journal of Air Transport Management</w:t>
      </w:r>
      <w:r w:rsidRPr="00C936F5">
        <w:rPr>
          <w:noProof/>
          <w:lang w:val="en-GB"/>
        </w:rPr>
        <w:t>, pp. 299-303.</w:t>
      </w:r>
    </w:p>
    <w:p w:rsidR="00C936F5" w:rsidRPr="00C936F5" w:rsidRDefault="00C936F5" w:rsidP="00C936F5">
      <w:pPr>
        <w:pStyle w:val="Bibliography"/>
        <w:ind w:left="720" w:hanging="720"/>
        <w:rPr>
          <w:noProof/>
          <w:lang w:val="en-GB"/>
        </w:rPr>
      </w:pPr>
      <w:r w:rsidRPr="00C936F5">
        <w:rPr>
          <w:noProof/>
          <w:lang w:val="en-GB"/>
        </w:rPr>
        <w:t xml:space="preserve">Charles River Associates. (2001, August 31). </w:t>
      </w:r>
      <w:r w:rsidRPr="00C936F5">
        <w:rPr>
          <w:i/>
          <w:iCs/>
          <w:noProof/>
          <w:lang w:val="en-GB"/>
        </w:rPr>
        <w:t>Charles River Associates Publications.</w:t>
      </w:r>
      <w:r w:rsidRPr="00C936F5">
        <w:rPr>
          <w:noProof/>
          <w:lang w:val="en-GB"/>
        </w:rPr>
        <w:t xml:space="preserve"> Opgehaald van Charles River Associates: http://ecp.crai.com/ecp/assets/GE_GECAS_Part_2_Sept2001.pdf</w:t>
      </w:r>
    </w:p>
    <w:p w:rsidR="00C936F5" w:rsidRPr="00C936F5" w:rsidRDefault="00C936F5" w:rsidP="00C936F5">
      <w:pPr>
        <w:pStyle w:val="Bibliography"/>
        <w:ind w:left="720" w:hanging="720"/>
        <w:rPr>
          <w:noProof/>
          <w:lang w:val="en-GB"/>
        </w:rPr>
      </w:pPr>
      <w:r w:rsidRPr="00C936F5">
        <w:rPr>
          <w:noProof/>
          <w:lang w:val="en-GB"/>
        </w:rPr>
        <w:t>Commission Decision General Electric/Honeywell, COMP/M.2220 (Court of First Instances July 3, 2001).</w:t>
      </w:r>
    </w:p>
    <w:p w:rsidR="00C936F5" w:rsidRPr="00C936F5" w:rsidRDefault="00C936F5" w:rsidP="00C936F5">
      <w:pPr>
        <w:pStyle w:val="Bibliography"/>
        <w:ind w:left="720" w:hanging="720"/>
        <w:rPr>
          <w:noProof/>
          <w:lang w:val="en-GB"/>
        </w:rPr>
      </w:pPr>
      <w:r w:rsidRPr="00C936F5">
        <w:rPr>
          <w:noProof/>
          <w:lang w:val="en-GB"/>
        </w:rPr>
        <w:t>Commission Decision of 25 May 1999 declaring a concentration to be compatible with the common market; United Technologies/Sundstrand, Case No IV/M.1493 (European Commission May 25, 1999).</w:t>
      </w:r>
    </w:p>
    <w:p w:rsidR="00C936F5" w:rsidRPr="00C936F5" w:rsidRDefault="00C936F5" w:rsidP="00C936F5">
      <w:pPr>
        <w:pStyle w:val="Bibliography"/>
        <w:ind w:left="720" w:hanging="720"/>
        <w:rPr>
          <w:noProof/>
          <w:lang w:val="en-GB"/>
        </w:rPr>
      </w:pPr>
      <w:r w:rsidRPr="00C936F5">
        <w:rPr>
          <w:noProof/>
          <w:lang w:val="en-GB"/>
        </w:rPr>
        <w:t xml:space="preserve">Creane, A., &amp; Davidson, C. (2004, October 18). Multidivisional firms, internal competition, and the merger paradox. </w:t>
      </w:r>
      <w:r w:rsidRPr="00C936F5">
        <w:rPr>
          <w:i/>
          <w:iCs/>
          <w:noProof/>
          <w:lang w:val="en-GB"/>
        </w:rPr>
        <w:t>Canadian Journal of Economics</w:t>
      </w:r>
      <w:r w:rsidRPr="00C936F5">
        <w:rPr>
          <w:noProof/>
          <w:lang w:val="en-GB"/>
        </w:rPr>
        <w:t>, pp. 951-977.</w:t>
      </w:r>
    </w:p>
    <w:p w:rsidR="00C936F5" w:rsidRPr="00C936F5" w:rsidRDefault="00C936F5" w:rsidP="00C936F5">
      <w:pPr>
        <w:pStyle w:val="Bibliography"/>
        <w:ind w:left="720" w:hanging="720"/>
        <w:rPr>
          <w:noProof/>
          <w:lang w:val="en-GB"/>
        </w:rPr>
      </w:pPr>
      <w:r w:rsidRPr="00C936F5">
        <w:rPr>
          <w:noProof/>
          <w:lang w:val="en-GB"/>
        </w:rPr>
        <w:t xml:space="preserve">Deneckere, R., &amp; Davidson, C. (1985). Incentives to form coalitions with Bertrand competition. </w:t>
      </w:r>
      <w:r w:rsidRPr="00C936F5">
        <w:rPr>
          <w:i/>
          <w:iCs/>
          <w:noProof/>
          <w:lang w:val="en-GB"/>
        </w:rPr>
        <w:t>The RAND Journal of Economics</w:t>
      </w:r>
      <w:r w:rsidRPr="00C936F5">
        <w:rPr>
          <w:noProof/>
          <w:lang w:val="en-GB"/>
        </w:rPr>
        <w:t>, pp. 473-486.</w:t>
      </w:r>
    </w:p>
    <w:p w:rsidR="00C936F5" w:rsidRDefault="00C936F5" w:rsidP="00C936F5">
      <w:pPr>
        <w:pStyle w:val="Bibliography"/>
        <w:ind w:left="720" w:hanging="720"/>
        <w:rPr>
          <w:noProof/>
        </w:rPr>
      </w:pPr>
      <w:r w:rsidRPr="00C936F5">
        <w:rPr>
          <w:noProof/>
          <w:lang w:val="en-GB"/>
        </w:rPr>
        <w:t xml:space="preserve">European Commission. (2014, September 24). </w:t>
      </w:r>
      <w:r w:rsidRPr="00C936F5">
        <w:rPr>
          <w:i/>
          <w:iCs/>
          <w:noProof/>
          <w:lang w:val="en-GB"/>
        </w:rPr>
        <w:t>Air - Internal Market</w:t>
      </w:r>
      <w:r w:rsidRPr="00C936F5">
        <w:rPr>
          <w:noProof/>
          <w:lang w:val="en-GB"/>
        </w:rPr>
        <w:t xml:space="preserve">. </w:t>
      </w:r>
      <w:r>
        <w:rPr>
          <w:noProof/>
        </w:rPr>
        <w:t>Opgehaald van European Commission Europa: http://ec.europa.eu/transport/modes/air/internal_market/index_en.htm</w:t>
      </w:r>
    </w:p>
    <w:p w:rsidR="00C936F5" w:rsidRDefault="00C936F5" w:rsidP="00C936F5">
      <w:pPr>
        <w:pStyle w:val="Bibliography"/>
        <w:ind w:left="720" w:hanging="720"/>
        <w:rPr>
          <w:noProof/>
        </w:rPr>
      </w:pPr>
      <w:r w:rsidRPr="00C936F5">
        <w:rPr>
          <w:noProof/>
          <w:lang w:val="en-GB"/>
        </w:rPr>
        <w:t xml:space="preserve">Falzon, A. (2013, March 21). </w:t>
      </w:r>
      <w:r w:rsidRPr="00C936F5">
        <w:rPr>
          <w:i/>
          <w:iCs/>
          <w:noProof/>
          <w:lang w:val="en-GB"/>
        </w:rPr>
        <w:t>A look back on the 737, as Boeing delivers its 7,500th</w:t>
      </w:r>
      <w:r w:rsidRPr="00C936F5">
        <w:rPr>
          <w:noProof/>
          <w:lang w:val="en-GB"/>
        </w:rPr>
        <w:t xml:space="preserve">. </w:t>
      </w:r>
      <w:r>
        <w:rPr>
          <w:noProof/>
        </w:rPr>
        <w:t>Opgehaald van CNN: http://travel.cnn.com/explorations/life/boeing-737-super-jumbos-forgotten-little-brother-692535</w:t>
      </w:r>
    </w:p>
    <w:p w:rsidR="00C936F5" w:rsidRPr="00C936F5" w:rsidRDefault="00C936F5" w:rsidP="00C936F5">
      <w:pPr>
        <w:pStyle w:val="Bibliography"/>
        <w:ind w:left="720" w:hanging="720"/>
        <w:rPr>
          <w:noProof/>
          <w:lang w:val="en-GB"/>
        </w:rPr>
      </w:pPr>
      <w:r w:rsidRPr="00C936F5">
        <w:rPr>
          <w:noProof/>
          <w:lang w:val="en-GB"/>
        </w:rPr>
        <w:t xml:space="preserve">Fox, E. M. (2001). Mergers in Global Markets: GE/Honeywell and the Future of Merger Control. </w:t>
      </w:r>
      <w:r w:rsidRPr="00C936F5">
        <w:rPr>
          <w:i/>
          <w:iCs/>
          <w:noProof/>
          <w:lang w:val="en-GB"/>
        </w:rPr>
        <w:t>Journal of International Law</w:t>
      </w:r>
      <w:r w:rsidRPr="00C936F5">
        <w:rPr>
          <w:noProof/>
          <w:lang w:val="en-GB"/>
        </w:rPr>
        <w:t>, pp. 457-468.</w:t>
      </w:r>
    </w:p>
    <w:p w:rsidR="00C936F5" w:rsidRDefault="00C936F5" w:rsidP="00C936F5">
      <w:pPr>
        <w:pStyle w:val="Bibliography"/>
        <w:ind w:left="720" w:hanging="720"/>
        <w:rPr>
          <w:noProof/>
        </w:rPr>
      </w:pPr>
      <w:r w:rsidRPr="00C936F5">
        <w:rPr>
          <w:noProof/>
          <w:lang w:val="en-GB"/>
        </w:rPr>
        <w:t xml:space="preserve">GE Capital. (2001). </w:t>
      </w:r>
      <w:r w:rsidRPr="00C936F5">
        <w:rPr>
          <w:i/>
          <w:iCs/>
          <w:noProof/>
          <w:lang w:val="en-GB"/>
        </w:rPr>
        <w:t>GE 2000 Annual Report.</w:t>
      </w:r>
      <w:r w:rsidRPr="00C936F5">
        <w:rPr>
          <w:noProof/>
          <w:lang w:val="en-GB"/>
        </w:rPr>
        <w:t xml:space="preserve"> </w:t>
      </w:r>
      <w:r>
        <w:rPr>
          <w:noProof/>
        </w:rPr>
        <w:t>GE Capital. Opgehaald van http://www.ge.com/annual00/business/capital_services.html</w:t>
      </w:r>
    </w:p>
    <w:p w:rsidR="00C936F5" w:rsidRPr="00C936F5" w:rsidRDefault="00C936F5" w:rsidP="00C936F5">
      <w:pPr>
        <w:pStyle w:val="Bibliography"/>
        <w:ind w:left="720" w:hanging="720"/>
        <w:rPr>
          <w:noProof/>
          <w:lang w:val="en-GB"/>
        </w:rPr>
      </w:pPr>
      <w:r w:rsidRPr="00C936F5">
        <w:rPr>
          <w:noProof/>
          <w:lang w:val="en-GB"/>
        </w:rPr>
        <w:lastRenderedPageBreak/>
        <w:t xml:space="preserve">General Electric Company. (2001). </w:t>
      </w:r>
      <w:r w:rsidRPr="00C936F5">
        <w:rPr>
          <w:i/>
          <w:iCs/>
          <w:noProof/>
          <w:lang w:val="en-GB"/>
        </w:rPr>
        <w:t>GE Annual Report.</w:t>
      </w:r>
      <w:r w:rsidRPr="00C936F5">
        <w:rPr>
          <w:noProof/>
          <w:lang w:val="en-GB"/>
        </w:rPr>
        <w:t xml:space="preserve"> </w:t>
      </w:r>
    </w:p>
    <w:p w:rsidR="00C936F5" w:rsidRDefault="00C936F5" w:rsidP="00C936F5">
      <w:pPr>
        <w:pStyle w:val="Bibliography"/>
        <w:ind w:left="720" w:hanging="720"/>
        <w:rPr>
          <w:noProof/>
        </w:rPr>
      </w:pPr>
      <w:r w:rsidRPr="00C936F5">
        <w:rPr>
          <w:noProof/>
          <w:lang w:val="en-GB"/>
        </w:rPr>
        <w:t xml:space="preserve">Jiang, H. (2013). </w:t>
      </w:r>
      <w:r w:rsidRPr="00C936F5">
        <w:rPr>
          <w:i/>
          <w:iCs/>
          <w:noProof/>
          <w:lang w:val="en-GB"/>
        </w:rPr>
        <w:t>Key findings on Airplane Economic Life.</w:t>
      </w:r>
      <w:r w:rsidRPr="00C936F5">
        <w:rPr>
          <w:noProof/>
          <w:lang w:val="en-GB"/>
        </w:rPr>
        <w:t xml:space="preserve"> </w:t>
      </w:r>
      <w:r>
        <w:rPr>
          <w:noProof/>
        </w:rPr>
        <w:t>Boeing.</w:t>
      </w:r>
    </w:p>
    <w:p w:rsidR="00C936F5" w:rsidRPr="00C936F5" w:rsidRDefault="00C936F5" w:rsidP="00C936F5">
      <w:pPr>
        <w:pStyle w:val="Bibliography"/>
        <w:ind w:left="720" w:hanging="720"/>
        <w:rPr>
          <w:noProof/>
          <w:lang w:val="en-GB"/>
        </w:rPr>
      </w:pPr>
      <w:r>
        <w:rPr>
          <w:noProof/>
        </w:rPr>
        <w:t xml:space="preserve">Katz, M. L., &amp; Shapiro, C. (1985, June). </w:t>
      </w:r>
      <w:r w:rsidRPr="00C936F5">
        <w:rPr>
          <w:noProof/>
          <w:lang w:val="en-GB"/>
        </w:rPr>
        <w:t xml:space="preserve">Network Externalities, Competition and Compatibility. </w:t>
      </w:r>
      <w:r w:rsidRPr="00C936F5">
        <w:rPr>
          <w:i/>
          <w:iCs/>
          <w:noProof/>
          <w:lang w:val="en-GB"/>
        </w:rPr>
        <w:t>The American Economic Review</w:t>
      </w:r>
      <w:r w:rsidRPr="00C936F5">
        <w:rPr>
          <w:noProof/>
          <w:lang w:val="en-GB"/>
        </w:rPr>
        <w:t>, pp. 424-440. Opgehaald van http://www.jstor.org/stable/1814809</w:t>
      </w:r>
    </w:p>
    <w:p w:rsidR="00C936F5" w:rsidRPr="00C936F5" w:rsidRDefault="00C936F5" w:rsidP="00C936F5">
      <w:pPr>
        <w:pStyle w:val="Bibliography"/>
        <w:ind w:left="720" w:hanging="720"/>
        <w:rPr>
          <w:noProof/>
          <w:lang w:val="en-GB"/>
        </w:rPr>
      </w:pPr>
      <w:r w:rsidRPr="00C936F5">
        <w:rPr>
          <w:noProof/>
          <w:lang w:val="en-GB"/>
        </w:rPr>
        <w:t xml:space="preserve">Klemperer, P. (1987, May). Markets with consumer switching costs. </w:t>
      </w:r>
      <w:r w:rsidRPr="00C936F5">
        <w:rPr>
          <w:i/>
          <w:iCs/>
          <w:noProof/>
          <w:lang w:val="en-GB"/>
        </w:rPr>
        <w:t>The Quarterly Journal of Economics</w:t>
      </w:r>
      <w:r w:rsidRPr="00C936F5">
        <w:rPr>
          <w:noProof/>
          <w:lang w:val="en-GB"/>
        </w:rPr>
        <w:t>, pp. 375-393.</w:t>
      </w:r>
    </w:p>
    <w:p w:rsidR="00C936F5" w:rsidRDefault="00C936F5" w:rsidP="00C936F5">
      <w:pPr>
        <w:pStyle w:val="Bibliography"/>
        <w:ind w:left="720" w:hanging="720"/>
        <w:rPr>
          <w:noProof/>
        </w:rPr>
      </w:pPr>
      <w:r w:rsidRPr="00C936F5">
        <w:rPr>
          <w:noProof/>
          <w:lang w:val="en-GB"/>
        </w:rPr>
        <w:t xml:space="preserve">Marsden, C. (2001, June 21). </w:t>
      </w:r>
      <w:r w:rsidRPr="00C936F5">
        <w:rPr>
          <w:i/>
          <w:iCs/>
          <w:noProof/>
          <w:lang w:val="en-GB"/>
        </w:rPr>
        <w:t>US and Europe split on GE takeover of Honeywell</w:t>
      </w:r>
      <w:r w:rsidRPr="00C936F5">
        <w:rPr>
          <w:noProof/>
          <w:lang w:val="en-GB"/>
        </w:rPr>
        <w:t xml:space="preserve">. </w:t>
      </w:r>
      <w:r>
        <w:rPr>
          <w:noProof/>
        </w:rPr>
        <w:t>Opgehaald van World Socialis Web Site: https://www.wsws.org/en/articles/2001/06/gec-j21.html</w:t>
      </w:r>
    </w:p>
    <w:p w:rsidR="00C936F5" w:rsidRPr="00C936F5" w:rsidRDefault="00C936F5" w:rsidP="00C936F5">
      <w:pPr>
        <w:pStyle w:val="Bibliography"/>
        <w:ind w:left="720" w:hanging="720"/>
        <w:rPr>
          <w:noProof/>
          <w:lang w:val="en-GB"/>
        </w:rPr>
      </w:pPr>
      <w:r w:rsidRPr="00C936F5">
        <w:rPr>
          <w:noProof/>
          <w:lang w:val="en-GB"/>
        </w:rPr>
        <w:t xml:space="preserve">Mosca, M. (2008). On the origins of the concept of natural monopolo: Economies of scale and competition. </w:t>
      </w:r>
      <w:r w:rsidRPr="00C936F5">
        <w:rPr>
          <w:i/>
          <w:iCs/>
          <w:noProof/>
          <w:lang w:val="en-GB"/>
        </w:rPr>
        <w:t>The European Journal of the History of Economic Thought</w:t>
      </w:r>
      <w:r w:rsidRPr="00C936F5">
        <w:rPr>
          <w:noProof/>
          <w:lang w:val="en-GB"/>
        </w:rPr>
        <w:t>, 317-353.</w:t>
      </w:r>
    </w:p>
    <w:p w:rsidR="00C936F5" w:rsidRPr="00C936F5" w:rsidRDefault="00C936F5" w:rsidP="00C936F5">
      <w:pPr>
        <w:pStyle w:val="Bibliography"/>
        <w:ind w:left="720" w:hanging="720"/>
        <w:rPr>
          <w:noProof/>
          <w:lang w:val="en-GB"/>
        </w:rPr>
      </w:pPr>
      <w:r w:rsidRPr="00C936F5">
        <w:rPr>
          <w:noProof/>
          <w:lang w:val="en-GB"/>
        </w:rPr>
        <w:t xml:space="preserve">Motta, M. (2004). </w:t>
      </w:r>
      <w:r w:rsidRPr="00C936F5">
        <w:rPr>
          <w:i/>
          <w:iCs/>
          <w:noProof/>
          <w:lang w:val="en-GB"/>
        </w:rPr>
        <w:t>Competition Policy.</w:t>
      </w:r>
      <w:r w:rsidRPr="00C936F5">
        <w:rPr>
          <w:noProof/>
          <w:lang w:val="en-GB"/>
        </w:rPr>
        <w:t xml:space="preserve"> Cambridge University Press.</w:t>
      </w:r>
    </w:p>
    <w:p w:rsidR="00C936F5" w:rsidRDefault="00C936F5" w:rsidP="00C936F5">
      <w:pPr>
        <w:pStyle w:val="Bibliography"/>
        <w:ind w:left="720" w:hanging="720"/>
        <w:rPr>
          <w:noProof/>
        </w:rPr>
      </w:pPr>
      <w:r>
        <w:rPr>
          <w:noProof/>
        </w:rPr>
        <w:t xml:space="preserve">NOS. (2014, Oktober 31). </w:t>
      </w:r>
      <w:r>
        <w:rPr>
          <w:i/>
          <w:iCs/>
          <w:noProof/>
        </w:rPr>
        <w:t>KPN moet newterk toch openhouden voor concurrentie</w:t>
      </w:r>
      <w:r>
        <w:rPr>
          <w:noProof/>
        </w:rPr>
        <w:t>. Opgehaald van NOS: http://nos.nl/artikel/2001541-kpn-moet-netwerk-toch-openhouden-voor-concurrentie.html</w:t>
      </w:r>
    </w:p>
    <w:p w:rsidR="00C936F5" w:rsidRPr="00C936F5" w:rsidRDefault="00C936F5" w:rsidP="00C936F5">
      <w:pPr>
        <w:pStyle w:val="Bibliography"/>
        <w:ind w:left="720" w:hanging="720"/>
        <w:rPr>
          <w:noProof/>
          <w:lang w:val="en-GB"/>
        </w:rPr>
      </w:pPr>
      <w:r w:rsidRPr="00C936F5">
        <w:rPr>
          <w:noProof/>
          <w:lang w:val="en-GB"/>
        </w:rPr>
        <w:t xml:space="preserve">Reynolds, R. J., &amp; Ordover, J. A. (2002). Archimeadean Leveraging and the GE/Honeywell Transaction. </w:t>
      </w:r>
      <w:r w:rsidRPr="00C936F5">
        <w:rPr>
          <w:i/>
          <w:iCs/>
          <w:noProof/>
          <w:lang w:val="en-GB"/>
        </w:rPr>
        <w:t>Antitrust Law Journal</w:t>
      </w:r>
      <w:r w:rsidRPr="00C936F5">
        <w:rPr>
          <w:noProof/>
          <w:lang w:val="en-GB"/>
        </w:rPr>
        <w:t>, pp. 171-198.</w:t>
      </w:r>
    </w:p>
    <w:p w:rsidR="00C936F5" w:rsidRPr="00C936F5" w:rsidRDefault="00C936F5" w:rsidP="00C936F5">
      <w:pPr>
        <w:pStyle w:val="Bibliography"/>
        <w:ind w:left="720" w:hanging="720"/>
        <w:rPr>
          <w:noProof/>
          <w:lang w:val="en-GB"/>
        </w:rPr>
      </w:pPr>
      <w:r w:rsidRPr="00C936F5">
        <w:rPr>
          <w:noProof/>
          <w:lang w:val="en-GB"/>
        </w:rPr>
        <w:t xml:space="preserve">Seristo, H., &amp; Vepsalainen, A. (1997, volume 3 number 1). Airline cost drivers: cost implications of fleet, routes and personnel policies. </w:t>
      </w:r>
      <w:r w:rsidRPr="00C936F5">
        <w:rPr>
          <w:i/>
          <w:iCs/>
          <w:noProof/>
          <w:lang w:val="en-GB"/>
        </w:rPr>
        <w:t>Journal of Air Transport Management</w:t>
      </w:r>
      <w:r w:rsidRPr="00C936F5">
        <w:rPr>
          <w:noProof/>
          <w:lang w:val="en-GB"/>
        </w:rPr>
        <w:t>, pp. 11-22.</w:t>
      </w:r>
    </w:p>
    <w:p w:rsidR="00C936F5" w:rsidRPr="00C936F5" w:rsidRDefault="00C936F5" w:rsidP="00C936F5">
      <w:pPr>
        <w:pStyle w:val="Bibliography"/>
        <w:ind w:left="720" w:hanging="720"/>
        <w:rPr>
          <w:noProof/>
          <w:lang w:val="en-GB"/>
        </w:rPr>
      </w:pPr>
      <w:r w:rsidRPr="00C936F5">
        <w:rPr>
          <w:noProof/>
          <w:lang w:val="en-GB"/>
        </w:rPr>
        <w:t xml:space="preserve">Vives, X., &amp; Staffiero, G. (2009). Horizontal, Vertical and Conglomerate Effects: The GE-Honeywell Merger in the EU. In B. Lyons, </w:t>
      </w:r>
      <w:r w:rsidRPr="00C936F5">
        <w:rPr>
          <w:i/>
          <w:iCs/>
          <w:noProof/>
          <w:lang w:val="en-GB"/>
        </w:rPr>
        <w:t>European Competition Policy</w:t>
      </w:r>
      <w:r w:rsidRPr="00C936F5">
        <w:rPr>
          <w:noProof/>
          <w:lang w:val="en-GB"/>
        </w:rPr>
        <w:t xml:space="preserve"> (pp. 434-464). Cambridge: Cambridge University Press.</w:t>
      </w:r>
    </w:p>
    <w:p w:rsidR="00C936F5" w:rsidRPr="00C936F5" w:rsidRDefault="00C936F5" w:rsidP="00C936F5">
      <w:pPr>
        <w:pStyle w:val="Bibliography"/>
        <w:ind w:left="720" w:hanging="720"/>
        <w:rPr>
          <w:noProof/>
          <w:lang w:val="en-GB"/>
        </w:rPr>
      </w:pPr>
      <w:r w:rsidRPr="00C936F5">
        <w:rPr>
          <w:noProof/>
          <w:lang w:val="en-GB"/>
        </w:rPr>
        <w:t xml:space="preserve">Whinston, M. D. (1990, September). Tying, Foreclosure and Exclusion. </w:t>
      </w:r>
      <w:r w:rsidRPr="00C936F5">
        <w:rPr>
          <w:i/>
          <w:iCs/>
          <w:noProof/>
          <w:lang w:val="en-GB"/>
        </w:rPr>
        <w:t>The American Economic Review</w:t>
      </w:r>
      <w:r w:rsidRPr="00C936F5">
        <w:rPr>
          <w:noProof/>
          <w:lang w:val="en-GB"/>
        </w:rPr>
        <w:t>.</w:t>
      </w:r>
    </w:p>
    <w:p w:rsidR="00C936F5" w:rsidRDefault="00C936F5" w:rsidP="00C936F5">
      <w:pPr>
        <w:pStyle w:val="Bibliography"/>
        <w:ind w:left="720" w:hanging="720"/>
        <w:rPr>
          <w:noProof/>
        </w:rPr>
      </w:pPr>
      <w:r w:rsidRPr="00C936F5">
        <w:rPr>
          <w:noProof/>
          <w:lang w:val="en-GB"/>
        </w:rPr>
        <w:t xml:space="preserve">Willig, R. D., &amp; Panzar, J. C. (1981, May). Economies of Scope. </w:t>
      </w:r>
      <w:r w:rsidRPr="00C936F5">
        <w:rPr>
          <w:i/>
          <w:iCs/>
          <w:noProof/>
          <w:lang w:val="en-GB"/>
        </w:rPr>
        <w:t>The American Economic Review</w:t>
      </w:r>
      <w:r w:rsidRPr="00C936F5">
        <w:rPr>
          <w:noProof/>
          <w:lang w:val="en-GB"/>
        </w:rPr>
        <w:t xml:space="preserve">, pp. 268-272. </w:t>
      </w:r>
      <w:r>
        <w:rPr>
          <w:noProof/>
        </w:rPr>
        <w:t>Opgehaald van http://www.jstor.org/stable/1815729</w:t>
      </w:r>
    </w:p>
    <w:p w:rsidR="00954FD7" w:rsidRPr="00AE2209" w:rsidRDefault="00C936F5" w:rsidP="00C936F5">
      <w:pPr>
        <w:shd w:val="clear" w:color="auto" w:fill="FFFFFF" w:themeFill="background1"/>
        <w:jc w:val="both"/>
        <w:rPr>
          <w:rFonts w:ascii="Times New Roman" w:hAnsi="Times New Roman" w:cs="Times New Roman"/>
          <w:sz w:val="24"/>
          <w:szCs w:val="24"/>
          <w:lang w:val="en-GB"/>
        </w:rPr>
      </w:pPr>
      <w:r>
        <w:rPr>
          <w:rFonts w:ascii="Times New Roman" w:hAnsi="Times New Roman" w:cs="Times New Roman"/>
          <w:sz w:val="24"/>
          <w:szCs w:val="24"/>
          <w:lang w:val="en-GB"/>
        </w:rPr>
        <w:fldChar w:fldCharType="end"/>
      </w:r>
    </w:p>
    <w:p w:rsidR="00954FD7" w:rsidRPr="00AE2209" w:rsidRDefault="00954FD7" w:rsidP="00954FD7">
      <w:pPr>
        <w:shd w:val="clear" w:color="auto" w:fill="FFFFFF" w:themeFill="background1"/>
        <w:jc w:val="both"/>
        <w:rPr>
          <w:rFonts w:ascii="Times New Roman" w:hAnsi="Times New Roman" w:cs="Times New Roman"/>
          <w:sz w:val="24"/>
          <w:szCs w:val="24"/>
          <w:lang w:val="en-GB"/>
        </w:rPr>
      </w:pPr>
      <w:r w:rsidRPr="00AE2209">
        <w:rPr>
          <w:rFonts w:ascii="Times New Roman" w:hAnsi="Times New Roman" w:cs="Times New Roman"/>
          <w:sz w:val="24"/>
          <w:szCs w:val="24"/>
          <w:lang w:val="en-GB"/>
        </w:rPr>
        <w:t xml:space="preserve"> </w:t>
      </w:r>
    </w:p>
    <w:p w:rsidR="00D153DE" w:rsidRPr="00954FD7" w:rsidRDefault="00D153DE">
      <w:pPr>
        <w:rPr>
          <w:lang w:val="en-GB"/>
        </w:rPr>
      </w:pPr>
    </w:p>
    <w:sectPr w:rsidR="00D153DE" w:rsidRPr="00954FD7" w:rsidSect="006C3605">
      <w:footerReference w:type="default" r:id="rId10"/>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5D67" w:rsidRDefault="00965D67" w:rsidP="0016663C">
      <w:pPr>
        <w:spacing w:after="0" w:line="240" w:lineRule="auto"/>
      </w:pPr>
      <w:r>
        <w:separator/>
      </w:r>
    </w:p>
  </w:endnote>
  <w:endnote w:type="continuationSeparator" w:id="0">
    <w:p w:rsidR="00965D67" w:rsidRDefault="00965D67" w:rsidP="00166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2003933"/>
      <w:docPartObj>
        <w:docPartGallery w:val="Page Numbers (Bottom of Page)"/>
        <w:docPartUnique/>
      </w:docPartObj>
    </w:sdtPr>
    <w:sdtEndPr>
      <w:rPr>
        <w:noProof/>
      </w:rPr>
    </w:sdtEndPr>
    <w:sdtContent>
      <w:p w:rsidR="006C3605" w:rsidRDefault="006C3605">
        <w:pPr>
          <w:pStyle w:val="Footer"/>
          <w:jc w:val="right"/>
        </w:pPr>
        <w:r>
          <w:fldChar w:fldCharType="begin"/>
        </w:r>
        <w:r>
          <w:instrText xml:space="preserve"> PAGE   \* MERGEFORMAT </w:instrText>
        </w:r>
        <w:r>
          <w:fldChar w:fldCharType="separate"/>
        </w:r>
        <w:r w:rsidR="001965D3">
          <w:rPr>
            <w:noProof/>
          </w:rPr>
          <w:t>2</w:t>
        </w:r>
        <w:r>
          <w:rPr>
            <w:noProof/>
          </w:rPr>
          <w:fldChar w:fldCharType="end"/>
        </w:r>
      </w:p>
    </w:sdtContent>
  </w:sdt>
  <w:p w:rsidR="006C3605" w:rsidRDefault="006C36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5D67" w:rsidRDefault="00965D67" w:rsidP="0016663C">
      <w:pPr>
        <w:spacing w:after="0" w:line="240" w:lineRule="auto"/>
      </w:pPr>
      <w:r>
        <w:separator/>
      </w:r>
    </w:p>
  </w:footnote>
  <w:footnote w:type="continuationSeparator" w:id="0">
    <w:p w:rsidR="00965D67" w:rsidRDefault="00965D67" w:rsidP="001666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2E4B37"/>
    <w:multiLevelType w:val="hybridMultilevel"/>
    <w:tmpl w:val="70EEDC7A"/>
    <w:lvl w:ilvl="0" w:tplc="B66A7B58">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EB141D4"/>
    <w:multiLevelType w:val="hybridMultilevel"/>
    <w:tmpl w:val="975044D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B4B2DF2"/>
    <w:multiLevelType w:val="hybridMultilevel"/>
    <w:tmpl w:val="6BD07018"/>
    <w:lvl w:ilvl="0" w:tplc="0413000F">
      <w:start w:val="1"/>
      <w:numFmt w:val="decimal"/>
      <w:lvlText w:val="%1."/>
      <w:lvlJc w:val="left"/>
      <w:pPr>
        <w:ind w:left="1776" w:hanging="360"/>
      </w:pPr>
      <w:rPr>
        <w:rFonts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abstractNum w:abstractNumId="3" w15:restartNumberingAfterBreak="0">
    <w:nsid w:val="52EA187A"/>
    <w:multiLevelType w:val="multilevel"/>
    <w:tmpl w:val="7C647116"/>
    <w:lvl w:ilvl="0">
      <w:start w:val="1"/>
      <w:numFmt w:val="decimal"/>
      <w:lvlText w:val="%1."/>
      <w:lvlJc w:val="left"/>
      <w:pPr>
        <w:ind w:left="720" w:hanging="360"/>
      </w:pPr>
      <w:rPr>
        <w:rFonts w:hint="default"/>
      </w:rPr>
    </w:lvl>
    <w:lvl w:ilvl="1">
      <w:start w:val="2"/>
      <w:numFmt w:val="decimal"/>
      <w:isLgl/>
      <w:lvlText w:val="%1.%2"/>
      <w:lvlJc w:val="left"/>
      <w:pPr>
        <w:ind w:left="1068" w:hanging="70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FD7"/>
    <w:rsid w:val="0000086F"/>
    <w:rsid w:val="000034CB"/>
    <w:rsid w:val="00005056"/>
    <w:rsid w:val="00010446"/>
    <w:rsid w:val="000146A7"/>
    <w:rsid w:val="00020B23"/>
    <w:rsid w:val="000237D8"/>
    <w:rsid w:val="00023C22"/>
    <w:rsid w:val="00024FF7"/>
    <w:rsid w:val="000250A6"/>
    <w:rsid w:val="00033249"/>
    <w:rsid w:val="0003375C"/>
    <w:rsid w:val="00041148"/>
    <w:rsid w:val="0004153D"/>
    <w:rsid w:val="00044BC7"/>
    <w:rsid w:val="00046291"/>
    <w:rsid w:val="00051B12"/>
    <w:rsid w:val="00052423"/>
    <w:rsid w:val="00055841"/>
    <w:rsid w:val="00057E08"/>
    <w:rsid w:val="00061903"/>
    <w:rsid w:val="000629D7"/>
    <w:rsid w:val="00063C41"/>
    <w:rsid w:val="000642E0"/>
    <w:rsid w:val="00065046"/>
    <w:rsid w:val="00065663"/>
    <w:rsid w:val="00066029"/>
    <w:rsid w:val="00067827"/>
    <w:rsid w:val="0007274B"/>
    <w:rsid w:val="000736A9"/>
    <w:rsid w:val="0007757C"/>
    <w:rsid w:val="00084373"/>
    <w:rsid w:val="00086C29"/>
    <w:rsid w:val="0009666D"/>
    <w:rsid w:val="000976B5"/>
    <w:rsid w:val="00097C0C"/>
    <w:rsid w:val="000A60E5"/>
    <w:rsid w:val="000A6E9B"/>
    <w:rsid w:val="000A7FA3"/>
    <w:rsid w:val="000B1E84"/>
    <w:rsid w:val="000B5950"/>
    <w:rsid w:val="000B5C55"/>
    <w:rsid w:val="000C4773"/>
    <w:rsid w:val="000C61B6"/>
    <w:rsid w:val="000D1F29"/>
    <w:rsid w:val="000D6E6D"/>
    <w:rsid w:val="000D6F1A"/>
    <w:rsid w:val="000E21CB"/>
    <w:rsid w:val="000E316B"/>
    <w:rsid w:val="000E3CFD"/>
    <w:rsid w:val="000E5A75"/>
    <w:rsid w:val="000E63B6"/>
    <w:rsid w:val="000E65C8"/>
    <w:rsid w:val="000F0CA4"/>
    <w:rsid w:val="00101B09"/>
    <w:rsid w:val="00102011"/>
    <w:rsid w:val="00103597"/>
    <w:rsid w:val="001047EE"/>
    <w:rsid w:val="00106FE9"/>
    <w:rsid w:val="00110BA5"/>
    <w:rsid w:val="0011600C"/>
    <w:rsid w:val="00132842"/>
    <w:rsid w:val="001350C5"/>
    <w:rsid w:val="00140063"/>
    <w:rsid w:val="00143957"/>
    <w:rsid w:val="00144A1F"/>
    <w:rsid w:val="0014697A"/>
    <w:rsid w:val="00150662"/>
    <w:rsid w:val="0015190C"/>
    <w:rsid w:val="00152D73"/>
    <w:rsid w:val="00153A06"/>
    <w:rsid w:val="0015621C"/>
    <w:rsid w:val="00156D6D"/>
    <w:rsid w:val="0016310C"/>
    <w:rsid w:val="0016370D"/>
    <w:rsid w:val="00164DAD"/>
    <w:rsid w:val="0016617C"/>
    <w:rsid w:val="0016663C"/>
    <w:rsid w:val="001716E9"/>
    <w:rsid w:val="001739A9"/>
    <w:rsid w:val="00181735"/>
    <w:rsid w:val="0018333F"/>
    <w:rsid w:val="00186367"/>
    <w:rsid w:val="0019338E"/>
    <w:rsid w:val="001947FA"/>
    <w:rsid w:val="001965D3"/>
    <w:rsid w:val="001A5604"/>
    <w:rsid w:val="001A5B9B"/>
    <w:rsid w:val="001B36FA"/>
    <w:rsid w:val="001B51F2"/>
    <w:rsid w:val="001B547C"/>
    <w:rsid w:val="001C0E23"/>
    <w:rsid w:val="001C31A3"/>
    <w:rsid w:val="001D03D2"/>
    <w:rsid w:val="001D65E7"/>
    <w:rsid w:val="001E0991"/>
    <w:rsid w:val="001E0B8E"/>
    <w:rsid w:val="001E5EA0"/>
    <w:rsid w:val="001F5FB1"/>
    <w:rsid w:val="001F7880"/>
    <w:rsid w:val="002000E6"/>
    <w:rsid w:val="00200F19"/>
    <w:rsid w:val="00202244"/>
    <w:rsid w:val="0020399F"/>
    <w:rsid w:val="002048D2"/>
    <w:rsid w:val="0020542A"/>
    <w:rsid w:val="0020690A"/>
    <w:rsid w:val="00207218"/>
    <w:rsid w:val="00207B6A"/>
    <w:rsid w:val="00210320"/>
    <w:rsid w:val="002109FA"/>
    <w:rsid w:val="00210F63"/>
    <w:rsid w:val="00213883"/>
    <w:rsid w:val="00214006"/>
    <w:rsid w:val="0021790C"/>
    <w:rsid w:val="002216E4"/>
    <w:rsid w:val="00222469"/>
    <w:rsid w:val="00226A0B"/>
    <w:rsid w:val="00227227"/>
    <w:rsid w:val="0022743D"/>
    <w:rsid w:val="0023344F"/>
    <w:rsid w:val="002358C5"/>
    <w:rsid w:val="00236B80"/>
    <w:rsid w:val="00240CE2"/>
    <w:rsid w:val="00241A33"/>
    <w:rsid w:val="0024432B"/>
    <w:rsid w:val="0024488F"/>
    <w:rsid w:val="00244A6B"/>
    <w:rsid w:val="00246583"/>
    <w:rsid w:val="0024711B"/>
    <w:rsid w:val="002545A7"/>
    <w:rsid w:val="00255BEC"/>
    <w:rsid w:val="0025733D"/>
    <w:rsid w:val="002618CB"/>
    <w:rsid w:val="00261FA7"/>
    <w:rsid w:val="00262209"/>
    <w:rsid w:val="00264F5B"/>
    <w:rsid w:val="00270FDB"/>
    <w:rsid w:val="00271666"/>
    <w:rsid w:val="00271FC4"/>
    <w:rsid w:val="002747B4"/>
    <w:rsid w:val="002803A9"/>
    <w:rsid w:val="00281FBF"/>
    <w:rsid w:val="00282F25"/>
    <w:rsid w:val="00283289"/>
    <w:rsid w:val="002838F5"/>
    <w:rsid w:val="0029115F"/>
    <w:rsid w:val="00291C8A"/>
    <w:rsid w:val="002937AC"/>
    <w:rsid w:val="002943B1"/>
    <w:rsid w:val="0029445C"/>
    <w:rsid w:val="002960D7"/>
    <w:rsid w:val="00297B5D"/>
    <w:rsid w:val="002A0657"/>
    <w:rsid w:val="002A24F4"/>
    <w:rsid w:val="002A30AD"/>
    <w:rsid w:val="002A4027"/>
    <w:rsid w:val="002A4E07"/>
    <w:rsid w:val="002A6435"/>
    <w:rsid w:val="002B1F78"/>
    <w:rsid w:val="002C1B88"/>
    <w:rsid w:val="002C3A25"/>
    <w:rsid w:val="002C3CB1"/>
    <w:rsid w:val="002C46B4"/>
    <w:rsid w:val="002D4CF0"/>
    <w:rsid w:val="002D7BFA"/>
    <w:rsid w:val="002E1F5E"/>
    <w:rsid w:val="002E30F8"/>
    <w:rsid w:val="002E3953"/>
    <w:rsid w:val="002E5DBE"/>
    <w:rsid w:val="002E6806"/>
    <w:rsid w:val="002F0DD6"/>
    <w:rsid w:val="002F2E54"/>
    <w:rsid w:val="002F46A6"/>
    <w:rsid w:val="002F4A37"/>
    <w:rsid w:val="00305956"/>
    <w:rsid w:val="00305E2F"/>
    <w:rsid w:val="003067AB"/>
    <w:rsid w:val="00310AD3"/>
    <w:rsid w:val="00310D8A"/>
    <w:rsid w:val="0031122F"/>
    <w:rsid w:val="003112AE"/>
    <w:rsid w:val="00311971"/>
    <w:rsid w:val="00322DB0"/>
    <w:rsid w:val="00327D1F"/>
    <w:rsid w:val="00333652"/>
    <w:rsid w:val="003339E7"/>
    <w:rsid w:val="0033641D"/>
    <w:rsid w:val="00341D4A"/>
    <w:rsid w:val="00341E0C"/>
    <w:rsid w:val="003459C3"/>
    <w:rsid w:val="00345B62"/>
    <w:rsid w:val="00346A03"/>
    <w:rsid w:val="00350236"/>
    <w:rsid w:val="00351186"/>
    <w:rsid w:val="00353283"/>
    <w:rsid w:val="00355018"/>
    <w:rsid w:val="003550BF"/>
    <w:rsid w:val="00355492"/>
    <w:rsid w:val="00355DD7"/>
    <w:rsid w:val="003569AB"/>
    <w:rsid w:val="00364094"/>
    <w:rsid w:val="00364152"/>
    <w:rsid w:val="00364E69"/>
    <w:rsid w:val="003675AE"/>
    <w:rsid w:val="00371C4F"/>
    <w:rsid w:val="0037496C"/>
    <w:rsid w:val="003759CD"/>
    <w:rsid w:val="003761E7"/>
    <w:rsid w:val="003778C8"/>
    <w:rsid w:val="003846A5"/>
    <w:rsid w:val="00385E08"/>
    <w:rsid w:val="0038644F"/>
    <w:rsid w:val="00390F8F"/>
    <w:rsid w:val="0039378F"/>
    <w:rsid w:val="00393F2B"/>
    <w:rsid w:val="0039440E"/>
    <w:rsid w:val="00397A22"/>
    <w:rsid w:val="00397D94"/>
    <w:rsid w:val="003A0ABA"/>
    <w:rsid w:val="003A1078"/>
    <w:rsid w:val="003A2AAA"/>
    <w:rsid w:val="003A36AA"/>
    <w:rsid w:val="003A4E31"/>
    <w:rsid w:val="003B2CE6"/>
    <w:rsid w:val="003B66A0"/>
    <w:rsid w:val="003C3569"/>
    <w:rsid w:val="003C41E4"/>
    <w:rsid w:val="003D156C"/>
    <w:rsid w:val="003D20AF"/>
    <w:rsid w:val="003D24F0"/>
    <w:rsid w:val="003D2C17"/>
    <w:rsid w:val="003D6A37"/>
    <w:rsid w:val="003E2B67"/>
    <w:rsid w:val="003E4647"/>
    <w:rsid w:val="003E74DF"/>
    <w:rsid w:val="003F2941"/>
    <w:rsid w:val="003F2CC8"/>
    <w:rsid w:val="003F40B1"/>
    <w:rsid w:val="003F6581"/>
    <w:rsid w:val="00404C7E"/>
    <w:rsid w:val="00410147"/>
    <w:rsid w:val="004103FF"/>
    <w:rsid w:val="004106E7"/>
    <w:rsid w:val="004152DF"/>
    <w:rsid w:val="004209F2"/>
    <w:rsid w:val="004232B0"/>
    <w:rsid w:val="004260CB"/>
    <w:rsid w:val="00427CE6"/>
    <w:rsid w:val="00432BCC"/>
    <w:rsid w:val="004371F0"/>
    <w:rsid w:val="004419C1"/>
    <w:rsid w:val="00443DEA"/>
    <w:rsid w:val="004448C7"/>
    <w:rsid w:val="00445118"/>
    <w:rsid w:val="0044542A"/>
    <w:rsid w:val="004463A4"/>
    <w:rsid w:val="00447469"/>
    <w:rsid w:val="00453F28"/>
    <w:rsid w:val="00456BC2"/>
    <w:rsid w:val="00456E9A"/>
    <w:rsid w:val="0046123F"/>
    <w:rsid w:val="004614FD"/>
    <w:rsid w:val="0046281C"/>
    <w:rsid w:val="00463106"/>
    <w:rsid w:val="00465D08"/>
    <w:rsid w:val="00466B4D"/>
    <w:rsid w:val="00466D4B"/>
    <w:rsid w:val="00467BF7"/>
    <w:rsid w:val="00473AFA"/>
    <w:rsid w:val="00475AA1"/>
    <w:rsid w:val="00477714"/>
    <w:rsid w:val="004800BA"/>
    <w:rsid w:val="00481C89"/>
    <w:rsid w:val="004874EA"/>
    <w:rsid w:val="0049220B"/>
    <w:rsid w:val="00494648"/>
    <w:rsid w:val="004951EB"/>
    <w:rsid w:val="00495C88"/>
    <w:rsid w:val="0049785C"/>
    <w:rsid w:val="004A2412"/>
    <w:rsid w:val="004A34E8"/>
    <w:rsid w:val="004A473E"/>
    <w:rsid w:val="004A5380"/>
    <w:rsid w:val="004B2291"/>
    <w:rsid w:val="004B24B8"/>
    <w:rsid w:val="004B4A08"/>
    <w:rsid w:val="004B763B"/>
    <w:rsid w:val="004C564F"/>
    <w:rsid w:val="004C5CAA"/>
    <w:rsid w:val="004C64C0"/>
    <w:rsid w:val="004C72AC"/>
    <w:rsid w:val="004C7FFA"/>
    <w:rsid w:val="004D1FA2"/>
    <w:rsid w:val="004E2065"/>
    <w:rsid w:val="004E315E"/>
    <w:rsid w:val="004E3C77"/>
    <w:rsid w:val="004E7FCA"/>
    <w:rsid w:val="004F00F7"/>
    <w:rsid w:val="004F0B4A"/>
    <w:rsid w:val="004F1168"/>
    <w:rsid w:val="004F6163"/>
    <w:rsid w:val="005009C3"/>
    <w:rsid w:val="00501309"/>
    <w:rsid w:val="00503385"/>
    <w:rsid w:val="00503C25"/>
    <w:rsid w:val="0050580C"/>
    <w:rsid w:val="005114FD"/>
    <w:rsid w:val="0051269C"/>
    <w:rsid w:val="00514312"/>
    <w:rsid w:val="00515B5B"/>
    <w:rsid w:val="00516DCD"/>
    <w:rsid w:val="00520858"/>
    <w:rsid w:val="00522FB5"/>
    <w:rsid w:val="00523A3C"/>
    <w:rsid w:val="005248B4"/>
    <w:rsid w:val="0052516D"/>
    <w:rsid w:val="00527A94"/>
    <w:rsid w:val="00531BF5"/>
    <w:rsid w:val="00531C83"/>
    <w:rsid w:val="00531E5A"/>
    <w:rsid w:val="00533219"/>
    <w:rsid w:val="00533C91"/>
    <w:rsid w:val="00537843"/>
    <w:rsid w:val="00540B6E"/>
    <w:rsid w:val="0054134D"/>
    <w:rsid w:val="00541CBA"/>
    <w:rsid w:val="00544D34"/>
    <w:rsid w:val="005455D4"/>
    <w:rsid w:val="00551527"/>
    <w:rsid w:val="005577C0"/>
    <w:rsid w:val="00561CC3"/>
    <w:rsid w:val="00561EFF"/>
    <w:rsid w:val="005654A6"/>
    <w:rsid w:val="00566FF8"/>
    <w:rsid w:val="00570390"/>
    <w:rsid w:val="00571311"/>
    <w:rsid w:val="0057296F"/>
    <w:rsid w:val="00573540"/>
    <w:rsid w:val="0057515A"/>
    <w:rsid w:val="005761D8"/>
    <w:rsid w:val="00584479"/>
    <w:rsid w:val="005915A9"/>
    <w:rsid w:val="00592AFA"/>
    <w:rsid w:val="00592B78"/>
    <w:rsid w:val="00595AA2"/>
    <w:rsid w:val="00597352"/>
    <w:rsid w:val="005A2E18"/>
    <w:rsid w:val="005B633B"/>
    <w:rsid w:val="005C219D"/>
    <w:rsid w:val="005C2B7B"/>
    <w:rsid w:val="005D35C7"/>
    <w:rsid w:val="005E2A74"/>
    <w:rsid w:val="005E4458"/>
    <w:rsid w:val="005E485C"/>
    <w:rsid w:val="005E7645"/>
    <w:rsid w:val="005F3438"/>
    <w:rsid w:val="005F3AF8"/>
    <w:rsid w:val="005F70D5"/>
    <w:rsid w:val="00600382"/>
    <w:rsid w:val="00600461"/>
    <w:rsid w:val="0060195C"/>
    <w:rsid w:val="0060436F"/>
    <w:rsid w:val="00604D19"/>
    <w:rsid w:val="00605913"/>
    <w:rsid w:val="00606308"/>
    <w:rsid w:val="00610870"/>
    <w:rsid w:val="006125C2"/>
    <w:rsid w:val="00616E72"/>
    <w:rsid w:val="00623914"/>
    <w:rsid w:val="00624B80"/>
    <w:rsid w:val="00626FA6"/>
    <w:rsid w:val="00627719"/>
    <w:rsid w:val="006323C2"/>
    <w:rsid w:val="006340A2"/>
    <w:rsid w:val="00640721"/>
    <w:rsid w:val="00642A3A"/>
    <w:rsid w:val="00645FD6"/>
    <w:rsid w:val="00650B66"/>
    <w:rsid w:val="00650D00"/>
    <w:rsid w:val="0065513A"/>
    <w:rsid w:val="006561D1"/>
    <w:rsid w:val="00657BCC"/>
    <w:rsid w:val="00660E4A"/>
    <w:rsid w:val="00661E17"/>
    <w:rsid w:val="00670DC4"/>
    <w:rsid w:val="00673952"/>
    <w:rsid w:val="006800E8"/>
    <w:rsid w:val="00681CAB"/>
    <w:rsid w:val="00682ADC"/>
    <w:rsid w:val="006835D9"/>
    <w:rsid w:val="00683685"/>
    <w:rsid w:val="00686596"/>
    <w:rsid w:val="0069377B"/>
    <w:rsid w:val="006949BF"/>
    <w:rsid w:val="006A17E4"/>
    <w:rsid w:val="006A1CCE"/>
    <w:rsid w:val="006A70B0"/>
    <w:rsid w:val="006B6D96"/>
    <w:rsid w:val="006C183B"/>
    <w:rsid w:val="006C2E7D"/>
    <w:rsid w:val="006C3605"/>
    <w:rsid w:val="006D3006"/>
    <w:rsid w:val="006D5F4C"/>
    <w:rsid w:val="006E01FE"/>
    <w:rsid w:val="006E1A48"/>
    <w:rsid w:val="006F0962"/>
    <w:rsid w:val="006F46ED"/>
    <w:rsid w:val="006F6D37"/>
    <w:rsid w:val="007010AA"/>
    <w:rsid w:val="007014F2"/>
    <w:rsid w:val="007066EB"/>
    <w:rsid w:val="0070695D"/>
    <w:rsid w:val="00706998"/>
    <w:rsid w:val="00714F36"/>
    <w:rsid w:val="00715684"/>
    <w:rsid w:val="00716A0B"/>
    <w:rsid w:val="00716EFE"/>
    <w:rsid w:val="007174F5"/>
    <w:rsid w:val="007234AF"/>
    <w:rsid w:val="00723DA6"/>
    <w:rsid w:val="00725077"/>
    <w:rsid w:val="00725501"/>
    <w:rsid w:val="00730841"/>
    <w:rsid w:val="00734B07"/>
    <w:rsid w:val="007426C1"/>
    <w:rsid w:val="00744999"/>
    <w:rsid w:val="00745ED8"/>
    <w:rsid w:val="007509D6"/>
    <w:rsid w:val="00755A82"/>
    <w:rsid w:val="00764E93"/>
    <w:rsid w:val="007744F2"/>
    <w:rsid w:val="00777081"/>
    <w:rsid w:val="007771FC"/>
    <w:rsid w:val="00780F76"/>
    <w:rsid w:val="00783257"/>
    <w:rsid w:val="007834C1"/>
    <w:rsid w:val="00783AEB"/>
    <w:rsid w:val="0078614B"/>
    <w:rsid w:val="00787EEA"/>
    <w:rsid w:val="00790F25"/>
    <w:rsid w:val="00792084"/>
    <w:rsid w:val="007A26D8"/>
    <w:rsid w:val="007A2F5B"/>
    <w:rsid w:val="007A31B3"/>
    <w:rsid w:val="007A3420"/>
    <w:rsid w:val="007A46E9"/>
    <w:rsid w:val="007A7386"/>
    <w:rsid w:val="007A7608"/>
    <w:rsid w:val="007B6842"/>
    <w:rsid w:val="007B7683"/>
    <w:rsid w:val="007C26CF"/>
    <w:rsid w:val="007C3765"/>
    <w:rsid w:val="007C7915"/>
    <w:rsid w:val="007D52A0"/>
    <w:rsid w:val="007E02A9"/>
    <w:rsid w:val="007E3625"/>
    <w:rsid w:val="007E5C30"/>
    <w:rsid w:val="007E7EE2"/>
    <w:rsid w:val="007F09A5"/>
    <w:rsid w:val="007F2113"/>
    <w:rsid w:val="0080233A"/>
    <w:rsid w:val="008023A8"/>
    <w:rsid w:val="00805E73"/>
    <w:rsid w:val="00807A7F"/>
    <w:rsid w:val="00813537"/>
    <w:rsid w:val="00814315"/>
    <w:rsid w:val="00816621"/>
    <w:rsid w:val="008207E3"/>
    <w:rsid w:val="00820FD2"/>
    <w:rsid w:val="0082413E"/>
    <w:rsid w:val="00826B81"/>
    <w:rsid w:val="00827A9F"/>
    <w:rsid w:val="00827EE0"/>
    <w:rsid w:val="00830472"/>
    <w:rsid w:val="008326EC"/>
    <w:rsid w:val="00832F14"/>
    <w:rsid w:val="00842021"/>
    <w:rsid w:val="00854000"/>
    <w:rsid w:val="008546C3"/>
    <w:rsid w:val="008556E1"/>
    <w:rsid w:val="00856EBA"/>
    <w:rsid w:val="008578FE"/>
    <w:rsid w:val="0086038E"/>
    <w:rsid w:val="00860483"/>
    <w:rsid w:val="008625AC"/>
    <w:rsid w:val="00865262"/>
    <w:rsid w:val="00865C6D"/>
    <w:rsid w:val="00866893"/>
    <w:rsid w:val="00866D92"/>
    <w:rsid w:val="0086739C"/>
    <w:rsid w:val="008715B1"/>
    <w:rsid w:val="00871BF6"/>
    <w:rsid w:val="00871D53"/>
    <w:rsid w:val="00873C71"/>
    <w:rsid w:val="00876C4E"/>
    <w:rsid w:val="00882782"/>
    <w:rsid w:val="008827FA"/>
    <w:rsid w:val="00882CB6"/>
    <w:rsid w:val="008836CE"/>
    <w:rsid w:val="0088465E"/>
    <w:rsid w:val="008875EC"/>
    <w:rsid w:val="008913A4"/>
    <w:rsid w:val="00892851"/>
    <w:rsid w:val="00895839"/>
    <w:rsid w:val="00895E65"/>
    <w:rsid w:val="00897339"/>
    <w:rsid w:val="008B1ADD"/>
    <w:rsid w:val="008B33C6"/>
    <w:rsid w:val="008B3C22"/>
    <w:rsid w:val="008B518A"/>
    <w:rsid w:val="008B6935"/>
    <w:rsid w:val="008B6D5A"/>
    <w:rsid w:val="008C4F06"/>
    <w:rsid w:val="008C689F"/>
    <w:rsid w:val="008D06F0"/>
    <w:rsid w:val="008D2880"/>
    <w:rsid w:val="008D576C"/>
    <w:rsid w:val="008D7660"/>
    <w:rsid w:val="008D7E72"/>
    <w:rsid w:val="008E4D66"/>
    <w:rsid w:val="008E57AD"/>
    <w:rsid w:val="008E5EEE"/>
    <w:rsid w:val="008E72A8"/>
    <w:rsid w:val="008E765D"/>
    <w:rsid w:val="008E7BB2"/>
    <w:rsid w:val="008E7DAB"/>
    <w:rsid w:val="008F1051"/>
    <w:rsid w:val="008F5BA4"/>
    <w:rsid w:val="008F5D49"/>
    <w:rsid w:val="008F761D"/>
    <w:rsid w:val="008F7988"/>
    <w:rsid w:val="00902894"/>
    <w:rsid w:val="00903980"/>
    <w:rsid w:val="00904084"/>
    <w:rsid w:val="0090762B"/>
    <w:rsid w:val="00910750"/>
    <w:rsid w:val="00911026"/>
    <w:rsid w:val="0091200A"/>
    <w:rsid w:val="00913DCC"/>
    <w:rsid w:val="00915CB6"/>
    <w:rsid w:val="00916A1F"/>
    <w:rsid w:val="0092221A"/>
    <w:rsid w:val="00923481"/>
    <w:rsid w:val="009235D8"/>
    <w:rsid w:val="00924BC3"/>
    <w:rsid w:val="0093071E"/>
    <w:rsid w:val="009307D2"/>
    <w:rsid w:val="00930EE7"/>
    <w:rsid w:val="00931993"/>
    <w:rsid w:val="00932900"/>
    <w:rsid w:val="009354DC"/>
    <w:rsid w:val="00935EE5"/>
    <w:rsid w:val="00937849"/>
    <w:rsid w:val="009401FB"/>
    <w:rsid w:val="00940B61"/>
    <w:rsid w:val="00944783"/>
    <w:rsid w:val="00944803"/>
    <w:rsid w:val="00944D79"/>
    <w:rsid w:val="00945DC4"/>
    <w:rsid w:val="00954ABF"/>
    <w:rsid w:val="00954FD7"/>
    <w:rsid w:val="009550D6"/>
    <w:rsid w:val="00956CFA"/>
    <w:rsid w:val="00957315"/>
    <w:rsid w:val="00960316"/>
    <w:rsid w:val="00963BE3"/>
    <w:rsid w:val="00965D67"/>
    <w:rsid w:val="0097091F"/>
    <w:rsid w:val="00970E97"/>
    <w:rsid w:val="00972A2B"/>
    <w:rsid w:val="00974254"/>
    <w:rsid w:val="00977A49"/>
    <w:rsid w:val="00980AAB"/>
    <w:rsid w:val="00985770"/>
    <w:rsid w:val="00993C68"/>
    <w:rsid w:val="009942AD"/>
    <w:rsid w:val="00995C0A"/>
    <w:rsid w:val="009966F4"/>
    <w:rsid w:val="009A2EA0"/>
    <w:rsid w:val="009A39F4"/>
    <w:rsid w:val="009A3B01"/>
    <w:rsid w:val="009A51F0"/>
    <w:rsid w:val="009A6180"/>
    <w:rsid w:val="009A623E"/>
    <w:rsid w:val="009B2967"/>
    <w:rsid w:val="009B4685"/>
    <w:rsid w:val="009B5C12"/>
    <w:rsid w:val="009C18D1"/>
    <w:rsid w:val="009C36C4"/>
    <w:rsid w:val="009D0243"/>
    <w:rsid w:val="009D0EDB"/>
    <w:rsid w:val="009D27B3"/>
    <w:rsid w:val="009D66FA"/>
    <w:rsid w:val="009E00D5"/>
    <w:rsid w:val="009E0BE1"/>
    <w:rsid w:val="009E1310"/>
    <w:rsid w:val="009E5404"/>
    <w:rsid w:val="009E596D"/>
    <w:rsid w:val="009E5ECF"/>
    <w:rsid w:val="009E64E8"/>
    <w:rsid w:val="009E78E8"/>
    <w:rsid w:val="009F1C2C"/>
    <w:rsid w:val="009F2BB1"/>
    <w:rsid w:val="009F31D2"/>
    <w:rsid w:val="009F3C51"/>
    <w:rsid w:val="009F7242"/>
    <w:rsid w:val="009F7938"/>
    <w:rsid w:val="00A020D1"/>
    <w:rsid w:val="00A07E14"/>
    <w:rsid w:val="00A07ECA"/>
    <w:rsid w:val="00A100D4"/>
    <w:rsid w:val="00A11A1C"/>
    <w:rsid w:val="00A12731"/>
    <w:rsid w:val="00A12F5C"/>
    <w:rsid w:val="00A13314"/>
    <w:rsid w:val="00A168F3"/>
    <w:rsid w:val="00A21002"/>
    <w:rsid w:val="00A237AF"/>
    <w:rsid w:val="00A239CA"/>
    <w:rsid w:val="00A23D8E"/>
    <w:rsid w:val="00A30D82"/>
    <w:rsid w:val="00A32454"/>
    <w:rsid w:val="00A33D32"/>
    <w:rsid w:val="00A35CC2"/>
    <w:rsid w:val="00A40421"/>
    <w:rsid w:val="00A41569"/>
    <w:rsid w:val="00A42F2F"/>
    <w:rsid w:val="00A440D6"/>
    <w:rsid w:val="00A454D7"/>
    <w:rsid w:val="00A5052C"/>
    <w:rsid w:val="00A52AE2"/>
    <w:rsid w:val="00A5310F"/>
    <w:rsid w:val="00A53915"/>
    <w:rsid w:val="00A56DDF"/>
    <w:rsid w:val="00A57605"/>
    <w:rsid w:val="00A66B78"/>
    <w:rsid w:val="00A66EA3"/>
    <w:rsid w:val="00A6740F"/>
    <w:rsid w:val="00A80BB1"/>
    <w:rsid w:val="00A84240"/>
    <w:rsid w:val="00A84BED"/>
    <w:rsid w:val="00A856E5"/>
    <w:rsid w:val="00A94235"/>
    <w:rsid w:val="00A94923"/>
    <w:rsid w:val="00AA21A4"/>
    <w:rsid w:val="00AA473E"/>
    <w:rsid w:val="00AA5006"/>
    <w:rsid w:val="00AA6E44"/>
    <w:rsid w:val="00AB4EF7"/>
    <w:rsid w:val="00AB5704"/>
    <w:rsid w:val="00AB634F"/>
    <w:rsid w:val="00AB6FF8"/>
    <w:rsid w:val="00AC195D"/>
    <w:rsid w:val="00AC2D90"/>
    <w:rsid w:val="00AD276D"/>
    <w:rsid w:val="00AD2AA4"/>
    <w:rsid w:val="00AD6076"/>
    <w:rsid w:val="00AE46C2"/>
    <w:rsid w:val="00AE5BA0"/>
    <w:rsid w:val="00AE7995"/>
    <w:rsid w:val="00AE7DF6"/>
    <w:rsid w:val="00AF2C14"/>
    <w:rsid w:val="00AF2FFE"/>
    <w:rsid w:val="00AF5759"/>
    <w:rsid w:val="00AF6AA2"/>
    <w:rsid w:val="00AF76B2"/>
    <w:rsid w:val="00B03CF4"/>
    <w:rsid w:val="00B0423D"/>
    <w:rsid w:val="00B06867"/>
    <w:rsid w:val="00B1169C"/>
    <w:rsid w:val="00B11BB4"/>
    <w:rsid w:val="00B11CB5"/>
    <w:rsid w:val="00B12503"/>
    <w:rsid w:val="00B16BA1"/>
    <w:rsid w:val="00B2029C"/>
    <w:rsid w:val="00B20B2B"/>
    <w:rsid w:val="00B24C06"/>
    <w:rsid w:val="00B317EA"/>
    <w:rsid w:val="00B31CB1"/>
    <w:rsid w:val="00B32DBC"/>
    <w:rsid w:val="00B35143"/>
    <w:rsid w:val="00B41BBC"/>
    <w:rsid w:val="00B43BFC"/>
    <w:rsid w:val="00B44D8A"/>
    <w:rsid w:val="00B56E6D"/>
    <w:rsid w:val="00B57180"/>
    <w:rsid w:val="00B57230"/>
    <w:rsid w:val="00B57283"/>
    <w:rsid w:val="00B603FF"/>
    <w:rsid w:val="00B67458"/>
    <w:rsid w:val="00B70437"/>
    <w:rsid w:val="00B7350E"/>
    <w:rsid w:val="00B775BD"/>
    <w:rsid w:val="00B8056A"/>
    <w:rsid w:val="00B8583C"/>
    <w:rsid w:val="00B86AF2"/>
    <w:rsid w:val="00B96EB5"/>
    <w:rsid w:val="00BA41C8"/>
    <w:rsid w:val="00BA4928"/>
    <w:rsid w:val="00BA4B6D"/>
    <w:rsid w:val="00BA74BD"/>
    <w:rsid w:val="00BA7735"/>
    <w:rsid w:val="00BB1D7B"/>
    <w:rsid w:val="00BB3867"/>
    <w:rsid w:val="00BB40E8"/>
    <w:rsid w:val="00BC3252"/>
    <w:rsid w:val="00BC330B"/>
    <w:rsid w:val="00BC4106"/>
    <w:rsid w:val="00BC5552"/>
    <w:rsid w:val="00BD1B20"/>
    <w:rsid w:val="00BD2177"/>
    <w:rsid w:val="00BD3163"/>
    <w:rsid w:val="00BD42B5"/>
    <w:rsid w:val="00BD5883"/>
    <w:rsid w:val="00BE586D"/>
    <w:rsid w:val="00BE6F56"/>
    <w:rsid w:val="00BF5EDE"/>
    <w:rsid w:val="00BF7204"/>
    <w:rsid w:val="00C00BD8"/>
    <w:rsid w:val="00C05E2E"/>
    <w:rsid w:val="00C0621A"/>
    <w:rsid w:val="00C12A93"/>
    <w:rsid w:val="00C15825"/>
    <w:rsid w:val="00C16046"/>
    <w:rsid w:val="00C20A43"/>
    <w:rsid w:val="00C21F32"/>
    <w:rsid w:val="00C22FA6"/>
    <w:rsid w:val="00C25D0C"/>
    <w:rsid w:val="00C26DE6"/>
    <w:rsid w:val="00C30F9A"/>
    <w:rsid w:val="00C31AB5"/>
    <w:rsid w:val="00C332DE"/>
    <w:rsid w:val="00C33478"/>
    <w:rsid w:val="00C36AEB"/>
    <w:rsid w:val="00C42C06"/>
    <w:rsid w:val="00C452E6"/>
    <w:rsid w:val="00C46B06"/>
    <w:rsid w:val="00C50971"/>
    <w:rsid w:val="00C5533B"/>
    <w:rsid w:val="00C5706D"/>
    <w:rsid w:val="00C6042B"/>
    <w:rsid w:val="00C62F0B"/>
    <w:rsid w:val="00C66BF6"/>
    <w:rsid w:val="00C738E6"/>
    <w:rsid w:val="00C771FD"/>
    <w:rsid w:val="00C772EC"/>
    <w:rsid w:val="00C8074B"/>
    <w:rsid w:val="00C80938"/>
    <w:rsid w:val="00C81CE1"/>
    <w:rsid w:val="00C84CB0"/>
    <w:rsid w:val="00C903D6"/>
    <w:rsid w:val="00C9274E"/>
    <w:rsid w:val="00C931CE"/>
    <w:rsid w:val="00C934FD"/>
    <w:rsid w:val="00C936F5"/>
    <w:rsid w:val="00CA1215"/>
    <w:rsid w:val="00CA1BB7"/>
    <w:rsid w:val="00CA2CA7"/>
    <w:rsid w:val="00CB3EFF"/>
    <w:rsid w:val="00CB5D6F"/>
    <w:rsid w:val="00CB7A05"/>
    <w:rsid w:val="00CC0716"/>
    <w:rsid w:val="00CC362D"/>
    <w:rsid w:val="00CC3B12"/>
    <w:rsid w:val="00CC63F4"/>
    <w:rsid w:val="00CC68AE"/>
    <w:rsid w:val="00CC7D9E"/>
    <w:rsid w:val="00CD4AE1"/>
    <w:rsid w:val="00CD7B10"/>
    <w:rsid w:val="00CE3600"/>
    <w:rsid w:val="00CE4016"/>
    <w:rsid w:val="00CE6DBF"/>
    <w:rsid w:val="00CF104F"/>
    <w:rsid w:val="00CF25E5"/>
    <w:rsid w:val="00CF2E25"/>
    <w:rsid w:val="00CF36E2"/>
    <w:rsid w:val="00CF3AD8"/>
    <w:rsid w:val="00CF3D2E"/>
    <w:rsid w:val="00CF692D"/>
    <w:rsid w:val="00D02253"/>
    <w:rsid w:val="00D053BA"/>
    <w:rsid w:val="00D06859"/>
    <w:rsid w:val="00D153DE"/>
    <w:rsid w:val="00D154FD"/>
    <w:rsid w:val="00D20AC5"/>
    <w:rsid w:val="00D2187D"/>
    <w:rsid w:val="00D2298E"/>
    <w:rsid w:val="00D24F37"/>
    <w:rsid w:val="00D310F7"/>
    <w:rsid w:val="00D315A7"/>
    <w:rsid w:val="00D3687C"/>
    <w:rsid w:val="00D37D05"/>
    <w:rsid w:val="00D42E4B"/>
    <w:rsid w:val="00D444B1"/>
    <w:rsid w:val="00D46890"/>
    <w:rsid w:val="00D47ABB"/>
    <w:rsid w:val="00D51C0F"/>
    <w:rsid w:val="00D53402"/>
    <w:rsid w:val="00D56A7A"/>
    <w:rsid w:val="00D60527"/>
    <w:rsid w:val="00D63CF0"/>
    <w:rsid w:val="00D64036"/>
    <w:rsid w:val="00D66A6C"/>
    <w:rsid w:val="00D67AC0"/>
    <w:rsid w:val="00D7050D"/>
    <w:rsid w:val="00D718D7"/>
    <w:rsid w:val="00D72CDD"/>
    <w:rsid w:val="00D748F5"/>
    <w:rsid w:val="00D74921"/>
    <w:rsid w:val="00D77D21"/>
    <w:rsid w:val="00D80167"/>
    <w:rsid w:val="00D8679A"/>
    <w:rsid w:val="00D90AA0"/>
    <w:rsid w:val="00D96841"/>
    <w:rsid w:val="00DA2587"/>
    <w:rsid w:val="00DA4F39"/>
    <w:rsid w:val="00DA70C0"/>
    <w:rsid w:val="00DB112C"/>
    <w:rsid w:val="00DC39B7"/>
    <w:rsid w:val="00DC40A2"/>
    <w:rsid w:val="00DC610C"/>
    <w:rsid w:val="00DC78BF"/>
    <w:rsid w:val="00DE153C"/>
    <w:rsid w:val="00DE18D3"/>
    <w:rsid w:val="00DE1F06"/>
    <w:rsid w:val="00DE38A8"/>
    <w:rsid w:val="00DE613B"/>
    <w:rsid w:val="00DE6C20"/>
    <w:rsid w:val="00DE71C0"/>
    <w:rsid w:val="00DF3146"/>
    <w:rsid w:val="00DF74F3"/>
    <w:rsid w:val="00E027BF"/>
    <w:rsid w:val="00E128FA"/>
    <w:rsid w:val="00E170B5"/>
    <w:rsid w:val="00E17CFF"/>
    <w:rsid w:val="00E20B53"/>
    <w:rsid w:val="00E215E9"/>
    <w:rsid w:val="00E21A5E"/>
    <w:rsid w:val="00E255D5"/>
    <w:rsid w:val="00E25740"/>
    <w:rsid w:val="00E25EFA"/>
    <w:rsid w:val="00E313D5"/>
    <w:rsid w:val="00E3556B"/>
    <w:rsid w:val="00E40154"/>
    <w:rsid w:val="00E40D9C"/>
    <w:rsid w:val="00E410CE"/>
    <w:rsid w:val="00E41781"/>
    <w:rsid w:val="00E42DF6"/>
    <w:rsid w:val="00E446E7"/>
    <w:rsid w:val="00E45E1C"/>
    <w:rsid w:val="00E47E8A"/>
    <w:rsid w:val="00E55A0D"/>
    <w:rsid w:val="00E57B3D"/>
    <w:rsid w:val="00E60018"/>
    <w:rsid w:val="00E62B03"/>
    <w:rsid w:val="00E642AE"/>
    <w:rsid w:val="00E6548A"/>
    <w:rsid w:val="00E67103"/>
    <w:rsid w:val="00E67981"/>
    <w:rsid w:val="00E732A3"/>
    <w:rsid w:val="00E744BF"/>
    <w:rsid w:val="00E75B90"/>
    <w:rsid w:val="00E82890"/>
    <w:rsid w:val="00E836C2"/>
    <w:rsid w:val="00E838D2"/>
    <w:rsid w:val="00E86B28"/>
    <w:rsid w:val="00E86C9A"/>
    <w:rsid w:val="00E87FA1"/>
    <w:rsid w:val="00E90CDD"/>
    <w:rsid w:val="00E910B6"/>
    <w:rsid w:val="00E91B52"/>
    <w:rsid w:val="00E921C7"/>
    <w:rsid w:val="00E939D0"/>
    <w:rsid w:val="00EA1948"/>
    <w:rsid w:val="00EA36B3"/>
    <w:rsid w:val="00EB0F78"/>
    <w:rsid w:val="00EB218B"/>
    <w:rsid w:val="00EB77A6"/>
    <w:rsid w:val="00EC000A"/>
    <w:rsid w:val="00EC014F"/>
    <w:rsid w:val="00EC0155"/>
    <w:rsid w:val="00EC0E81"/>
    <w:rsid w:val="00EC551C"/>
    <w:rsid w:val="00EC6367"/>
    <w:rsid w:val="00ED4E6A"/>
    <w:rsid w:val="00ED5DC2"/>
    <w:rsid w:val="00ED60FC"/>
    <w:rsid w:val="00ED70BB"/>
    <w:rsid w:val="00EE0143"/>
    <w:rsid w:val="00EE0DD3"/>
    <w:rsid w:val="00EE14B3"/>
    <w:rsid w:val="00EE18B9"/>
    <w:rsid w:val="00EE7024"/>
    <w:rsid w:val="00EE746D"/>
    <w:rsid w:val="00EF0CFA"/>
    <w:rsid w:val="00EF1A52"/>
    <w:rsid w:val="00EF58F2"/>
    <w:rsid w:val="00F02514"/>
    <w:rsid w:val="00F03D47"/>
    <w:rsid w:val="00F1049E"/>
    <w:rsid w:val="00F113C4"/>
    <w:rsid w:val="00F13308"/>
    <w:rsid w:val="00F15EDA"/>
    <w:rsid w:val="00F16449"/>
    <w:rsid w:val="00F207C8"/>
    <w:rsid w:val="00F20BFA"/>
    <w:rsid w:val="00F225F0"/>
    <w:rsid w:val="00F264BD"/>
    <w:rsid w:val="00F275D1"/>
    <w:rsid w:val="00F27FA4"/>
    <w:rsid w:val="00F32781"/>
    <w:rsid w:val="00F36F6D"/>
    <w:rsid w:val="00F42B10"/>
    <w:rsid w:val="00F44033"/>
    <w:rsid w:val="00F50248"/>
    <w:rsid w:val="00F50990"/>
    <w:rsid w:val="00F52945"/>
    <w:rsid w:val="00F529C7"/>
    <w:rsid w:val="00F54E7D"/>
    <w:rsid w:val="00F553BE"/>
    <w:rsid w:val="00F556ED"/>
    <w:rsid w:val="00F558B2"/>
    <w:rsid w:val="00F55B49"/>
    <w:rsid w:val="00F57B51"/>
    <w:rsid w:val="00F63F99"/>
    <w:rsid w:val="00F67A1E"/>
    <w:rsid w:val="00F74664"/>
    <w:rsid w:val="00F74F69"/>
    <w:rsid w:val="00F764F6"/>
    <w:rsid w:val="00F77770"/>
    <w:rsid w:val="00F77BA0"/>
    <w:rsid w:val="00F80AB4"/>
    <w:rsid w:val="00F84CE2"/>
    <w:rsid w:val="00F85093"/>
    <w:rsid w:val="00F85E9B"/>
    <w:rsid w:val="00F86EBF"/>
    <w:rsid w:val="00F87030"/>
    <w:rsid w:val="00F900F1"/>
    <w:rsid w:val="00F93068"/>
    <w:rsid w:val="00F93B77"/>
    <w:rsid w:val="00F93DE9"/>
    <w:rsid w:val="00F9414C"/>
    <w:rsid w:val="00F94928"/>
    <w:rsid w:val="00F95FEC"/>
    <w:rsid w:val="00F96291"/>
    <w:rsid w:val="00F966E6"/>
    <w:rsid w:val="00F96957"/>
    <w:rsid w:val="00F97594"/>
    <w:rsid w:val="00F97B0B"/>
    <w:rsid w:val="00F97D8C"/>
    <w:rsid w:val="00FA23E2"/>
    <w:rsid w:val="00FA7C0C"/>
    <w:rsid w:val="00FB293F"/>
    <w:rsid w:val="00FB319D"/>
    <w:rsid w:val="00FB387F"/>
    <w:rsid w:val="00FB444E"/>
    <w:rsid w:val="00FB6234"/>
    <w:rsid w:val="00FB62F6"/>
    <w:rsid w:val="00FC1F0F"/>
    <w:rsid w:val="00FC1F82"/>
    <w:rsid w:val="00FC23D6"/>
    <w:rsid w:val="00FC3842"/>
    <w:rsid w:val="00FC5346"/>
    <w:rsid w:val="00FC5F02"/>
    <w:rsid w:val="00FC632B"/>
    <w:rsid w:val="00FD1438"/>
    <w:rsid w:val="00FD1B63"/>
    <w:rsid w:val="00FD3702"/>
    <w:rsid w:val="00FD5EFC"/>
    <w:rsid w:val="00FD6B70"/>
    <w:rsid w:val="00FE5DCA"/>
    <w:rsid w:val="00FF3ABD"/>
    <w:rsid w:val="00FF436F"/>
    <w:rsid w:val="00FF5676"/>
    <w:rsid w:val="00FF66E3"/>
    <w:rsid w:val="00FF66F1"/>
    <w:rsid w:val="00FF6C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83F63BAC-969B-4A14-A7AF-F85C4F29F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4FD7"/>
  </w:style>
  <w:style w:type="paragraph" w:styleId="Heading1">
    <w:name w:val="heading 1"/>
    <w:basedOn w:val="Normal"/>
    <w:next w:val="Normal"/>
    <w:link w:val="Heading1Char"/>
    <w:uiPriority w:val="9"/>
    <w:qFormat/>
    <w:rsid w:val="00E744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4FD7"/>
    <w:rPr>
      <w:color w:val="0563C1" w:themeColor="hyperlink"/>
      <w:u w:val="single"/>
    </w:rPr>
  </w:style>
  <w:style w:type="character" w:customStyle="1" w:styleId="apple-converted-space">
    <w:name w:val="apple-converted-space"/>
    <w:basedOn w:val="DefaultParagraphFont"/>
    <w:rsid w:val="00954FD7"/>
  </w:style>
  <w:style w:type="paragraph" w:styleId="ListParagraph">
    <w:name w:val="List Paragraph"/>
    <w:basedOn w:val="Normal"/>
    <w:uiPriority w:val="34"/>
    <w:qFormat/>
    <w:rsid w:val="00954FD7"/>
    <w:pPr>
      <w:ind w:left="720"/>
      <w:contextualSpacing/>
    </w:pPr>
  </w:style>
  <w:style w:type="table" w:styleId="TableGrid">
    <w:name w:val="Table Grid"/>
    <w:basedOn w:val="TableNormal"/>
    <w:uiPriority w:val="39"/>
    <w:rsid w:val="00954F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54FD7"/>
    <w:pPr>
      <w:spacing w:after="0" w:line="240" w:lineRule="auto"/>
    </w:pPr>
  </w:style>
  <w:style w:type="paragraph" w:customStyle="1" w:styleId="Kopjes">
    <w:name w:val="Kopjes"/>
    <w:basedOn w:val="Normal"/>
    <w:link w:val="KopjesChar"/>
    <w:qFormat/>
    <w:rsid w:val="0016663C"/>
    <w:rPr>
      <w:rFonts w:ascii="Times New Roman" w:hAnsi="Times New Roman" w:cs="Times New Roman"/>
      <w:b/>
      <w:sz w:val="26"/>
      <w:szCs w:val="28"/>
      <w:lang w:val="en-GB"/>
    </w:rPr>
  </w:style>
  <w:style w:type="paragraph" w:styleId="Header">
    <w:name w:val="header"/>
    <w:basedOn w:val="Normal"/>
    <w:link w:val="HeaderChar"/>
    <w:uiPriority w:val="99"/>
    <w:unhideWhenUsed/>
    <w:rsid w:val="0016663C"/>
    <w:pPr>
      <w:tabs>
        <w:tab w:val="center" w:pos="4536"/>
        <w:tab w:val="right" w:pos="9072"/>
      </w:tabs>
      <w:spacing w:after="0" w:line="240" w:lineRule="auto"/>
    </w:pPr>
  </w:style>
  <w:style w:type="character" w:customStyle="1" w:styleId="KopjesChar">
    <w:name w:val="Kopjes Char"/>
    <w:basedOn w:val="DefaultParagraphFont"/>
    <w:link w:val="Kopjes"/>
    <w:rsid w:val="0016663C"/>
    <w:rPr>
      <w:rFonts w:ascii="Times New Roman" w:hAnsi="Times New Roman" w:cs="Times New Roman"/>
      <w:b/>
      <w:sz w:val="26"/>
      <w:szCs w:val="28"/>
      <w:lang w:val="en-GB"/>
    </w:rPr>
  </w:style>
  <w:style w:type="character" w:customStyle="1" w:styleId="HeaderChar">
    <w:name w:val="Header Char"/>
    <w:basedOn w:val="DefaultParagraphFont"/>
    <w:link w:val="Header"/>
    <w:uiPriority w:val="99"/>
    <w:rsid w:val="0016663C"/>
  </w:style>
  <w:style w:type="paragraph" w:styleId="Footer">
    <w:name w:val="footer"/>
    <w:basedOn w:val="Normal"/>
    <w:link w:val="FooterChar"/>
    <w:uiPriority w:val="99"/>
    <w:unhideWhenUsed/>
    <w:rsid w:val="0016663C"/>
    <w:pPr>
      <w:tabs>
        <w:tab w:val="center" w:pos="4536"/>
        <w:tab w:val="right" w:pos="9072"/>
      </w:tabs>
      <w:spacing w:after="0" w:line="240" w:lineRule="auto"/>
    </w:pPr>
  </w:style>
  <w:style w:type="character" w:customStyle="1" w:styleId="FooterChar">
    <w:name w:val="Footer Char"/>
    <w:basedOn w:val="DefaultParagraphFont"/>
    <w:link w:val="Footer"/>
    <w:uiPriority w:val="99"/>
    <w:rsid w:val="0016663C"/>
  </w:style>
  <w:style w:type="character" w:customStyle="1" w:styleId="Heading1Char">
    <w:name w:val="Heading 1 Char"/>
    <w:basedOn w:val="DefaultParagraphFont"/>
    <w:link w:val="Heading1"/>
    <w:uiPriority w:val="9"/>
    <w:rsid w:val="00E744BF"/>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E744BF"/>
    <w:pPr>
      <w:outlineLvl w:val="9"/>
    </w:pPr>
    <w:rPr>
      <w:lang w:val="en-US"/>
    </w:rPr>
  </w:style>
  <w:style w:type="paragraph" w:styleId="Bibliography">
    <w:name w:val="Bibliography"/>
    <w:basedOn w:val="Normal"/>
    <w:next w:val="Normal"/>
    <w:uiPriority w:val="37"/>
    <w:unhideWhenUsed/>
    <w:rsid w:val="00C936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286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Mar01</b:Tag>
    <b:SourceType>InternetSite</b:SourceType>
    <b:Guid>{F72D3162-03A3-453D-8A36-E9460BF104FE}</b:Guid>
    <b:Title>US and Europe split on GE takeover of Honeywell</b:Title>
    <b:Year>2001</b:Year>
    <b:InternetSiteTitle>World Socialis Web Site</b:InternetSiteTitle>
    <b:Month>June</b:Month>
    <b:Day>21</b:Day>
    <b:URL>https://www.wsws.org/en/articles/2001/06/gec-j21.html</b:URL>
    <b:Author>
      <b:Author>
        <b:NameList>
          <b:Person>
            <b:Last>Marsden</b:Last>
            <b:First>Chris</b:First>
          </b:Person>
        </b:NameList>
      </b:Author>
    </b:Author>
    <b:RefOrder>1</b:RefOrder>
  </b:Source>
  <b:Source>
    <b:Tag>BBC01</b:Tag>
    <b:SourceType>InternetSite</b:SourceType>
    <b:Guid>{96DE217A-56A9-4DA4-B132-4C65C5CE1ABC}</b:Guid>
    <b:Author>
      <b:Author>
        <b:Corporate>BBC</b:Corporate>
      </b:Author>
    </b:Author>
    <b:Title>EU blocks GE/Honeywell deal</b:Title>
    <b:InternetSiteTitle>BBC</b:InternetSiteTitle>
    <b:Year>2001</b:Year>
    <b:Month>July</b:Month>
    <b:Day>3</b:Day>
    <b:URL>http://news.bbc.co.uk/2/hi/business/1420398.stm</b:URL>
    <b:RefOrder>2</b:RefOrder>
  </b:Source>
  <b:Source>
    <b:Tag>Gen01</b:Tag>
    <b:SourceType>Report</b:SourceType>
    <b:Guid>{5414B72F-86FD-47E5-AD8A-D2112F3959EC}</b:Guid>
    <b:Title>GE Annual Report</b:Title>
    <b:Year>2001</b:Year>
    <b:Author>
      <b:Author>
        <b:Corporate>General Electric Company</b:Corporate>
      </b:Author>
    </b:Author>
    <b:RefOrder>3</b:RefOrder>
  </b:Source>
  <b:Source>
    <b:Tag>Eur91</b:Tag>
    <b:SourceType>Case</b:SourceType>
    <b:Guid>{6027D197-0B29-41DE-90E9-B7305B9CB6F7}</b:Guid>
    <b:Title>91/619/EEC: Commission Decision of 2 October 1991 declaring the incompatibility with the common market of a concentration; Alenia/De Havilland</b:Title>
    <b:CaseNumber>Case No IV/M.053</b:CaseNumber>
    <b:Court>European Commission</b:Court>
    <b:Year>1991</b:Year>
    <b:Month>October</b:Month>
    <b:Day>2</b:Day>
    <b:Author>
      <b:Author>
        <b:Corporate>European Commission</b:Corporate>
      </b:Author>
    </b:Author>
    <b:Publisher>European Commission</b:Publisher>
    <b:RefOrder>4</b:RefOrder>
  </b:Source>
  <b:Source>
    <b:Tag>97897</b:Tag>
    <b:SourceType>Case</b:SourceType>
    <b:Guid>{DB9C28DB-163B-4BAC-8214-57C28A50C1D9}</b:Guid>
    <b:Title>97/816/EC: Commission Decision of 30 July 1997 declaring a concentration compatible with the common market and the functioning of the EEA Agreement; Boeing/McDonnell Douglas</b:Title>
    <b:CaseNumber>Case No IV/M.877</b:CaseNumber>
    <b:Court>European Commission</b:Court>
    <b:Year>1997</b:Year>
    <b:Month>July</b:Month>
    <b:Day>30</b:Day>
    <b:RefOrder>5</b:RefOrder>
  </b:Source>
  <b:Source>
    <b:Tag>20099</b:Tag>
    <b:SourceType>Case</b:SourceType>
    <b:Guid>{50327D82-BDA2-4D13-A178-BC292C3321B3}</b:Guid>
    <b:Title>2001/417/EC: Commission Decision of 1 December 1999 declaring a concentration compatible with the common market and the functioning of the EEA Agreement; AlliedSignal/Honeywell</b:Title>
    <b:CaseNumber>Case COMP/M.1601</b:CaseNumber>
    <b:Court>European Commission</b:Court>
    <b:Year>1999</b:Year>
    <b:Month>December</b:Month>
    <b:Day>1</b:Day>
    <b:RefOrder>6</b:RefOrder>
  </b:Source>
  <b:Source>
    <b:Tag>Fal13</b:Tag>
    <b:SourceType>InternetSite</b:SourceType>
    <b:Guid>{25299022-072D-4540-8804-ACB412D9DDFE}</b:Guid>
    <b:Title>A look back on the 737, as Boeing delivers its 7,500th</b:Title>
    <b:Year>2013</b:Year>
    <b:Month>March</b:Month>
    <b:Day>21</b:Day>
    <b:Author>
      <b:Author>
        <b:NameList>
          <b:Person>
            <b:Last>Falzon</b:Last>
            <b:First>Adward</b:First>
          </b:Person>
        </b:NameList>
      </b:Author>
    </b:Author>
    <b:InternetSiteTitle>CNN</b:InternetSiteTitle>
    <b:URL>http://travel.cnn.com/explorations/life/boeing-737-super-jumbos-forgotten-little-brother-692535</b:URL>
    <b:RefOrder>7</b:RefOrder>
  </b:Source>
  <b:Source>
    <b:Tag>Viv09</b:Tag>
    <b:SourceType>BookSection</b:SourceType>
    <b:Guid>{5F8A9443-0D13-4355-AF70-83A66D563072}</b:Guid>
    <b:Title>Horizontal, Vertical and Conglomerate Effects: The GE-Honeywell Merger in the EU</b:Title>
    <b:Year>2009</b:Year>
    <b:BookTitle>European Competition Policy</b:BookTitle>
    <b:Pages>434-464</b:Pages>
    <b:City>Cambridge</b:City>
    <b:Publisher>Cambridge University Press</b:Publisher>
    <b:Author>
      <b:Author>
        <b:NameList>
          <b:Person>
            <b:Last>Vives</b:Last>
            <b:First>Xavier</b:First>
          </b:Person>
          <b:Person>
            <b:Last>Staffiero</b:Last>
            <b:First>Gianandrea</b:First>
          </b:Person>
        </b:NameList>
      </b:Author>
      <b:BookAuthor>
        <b:NameList>
          <b:Person>
            <b:Last>Lyons</b:Last>
            <b:First>Bruce</b:First>
          </b:Person>
        </b:NameList>
      </b:BookAuthor>
    </b:Author>
    <b:RefOrder>8</b:RefOrder>
  </b:Source>
  <b:Source>
    <b:Tag>Ser97</b:Tag>
    <b:SourceType>ArticleInAPeriodical</b:SourceType>
    <b:Guid>{CC8A1BD4-A866-4AF2-8EAA-DCC4A3205333}</b:Guid>
    <b:Title>Airline cost drivers: cost implications of fleet, routes and personnel policies</b:Title>
    <b:Year>1997</b:Year>
    <b:Pages>11-22</b:Pages>
    <b:PeriodicalTitle>Journal of Air Transport Management</b:PeriodicalTitle>
    <b:Month>volume 3</b:Month>
    <b:Day>number 1</b:Day>
    <b:Author>
      <b:Author>
        <b:NameList>
          <b:Person>
            <b:Last>Seristo</b:Last>
            <b:First>H.</b:First>
          </b:Person>
          <b:Person>
            <b:Last>Vepsalainen</b:Last>
            <b:First>A.P.J.</b:First>
          </b:Person>
        </b:NameList>
      </b:Author>
    </b:Author>
    <b:RefOrder>9</b:RefOrder>
  </b:Source>
  <b:Source>
    <b:Tag>Brü10</b:Tag>
    <b:SourceType>ArticleInAPeriodical</b:SourceType>
    <b:Guid>{D7BF335B-8BB5-48AB-94B6-780A5D44CD8C}</b:Guid>
    <b:Title>How fleet commonality influences low-cost airline operating performance: Empirical evidence</b:Title>
    <b:PeriodicalTitle>Journal of Air Transport Management</b:PeriodicalTitle>
    <b:Year>2010</b:Year>
    <b:Month>November</b:Month>
    <b:Day>1</b:Day>
    <b:Pages>299-303</b:Pages>
    <b:Author>
      <b:Author>
        <b:NameList>
          <b:Person>
            <b:Last>Brüggen</b:Last>
            <b:First>Alexander</b:First>
          </b:Person>
          <b:Person>
            <b:Last>Klose</b:Last>
            <b:First>Levin</b:First>
          </b:Person>
        </b:NameList>
      </b:Author>
    </b:Author>
    <b:RefOrder>10</b:RefOrder>
  </b:Source>
  <b:Source>
    <b:Tag>Kle87</b:Tag>
    <b:SourceType>ArticleInAPeriodical</b:SourceType>
    <b:Guid>{1048E917-EA25-44E7-B2CA-ED4F865E9548}</b:Guid>
    <b:Title>Markets with consumer switching costs</b:Title>
    <b:PeriodicalTitle>The Quarterly Journal of Economics</b:PeriodicalTitle>
    <b:Year>1987</b:Year>
    <b:Month>May</b:Month>
    <b:Pages>375-393</b:Pages>
    <b:Author>
      <b:Author>
        <b:NameList>
          <b:Person>
            <b:Last>Klemperer</b:Last>
            <b:First>Paul</b:First>
          </b:Person>
        </b:NameList>
      </b:Author>
    </b:Author>
    <b:RefOrder>11</b:RefOrder>
  </b:Source>
  <b:Source>
    <b:Tag>Hel13</b:Tag>
    <b:SourceType>Report</b:SourceType>
    <b:Guid>{3EA783FF-0BFF-4128-B100-86C26B49A55A}</b:Guid>
    <b:Title>Key findings on Airplane Economic Life</b:Title>
    <b:Year>2013</b:Year>
    <b:Author>
      <b:Author>
        <b:NameList>
          <b:Person>
            <b:Last>Jiang</b:Last>
            <b:First>Helen</b:First>
          </b:Person>
        </b:NameList>
      </b:Author>
    </b:Author>
    <b:Publisher>Boeing</b:Publisher>
    <b:RefOrder>12</b:RefOrder>
  </b:Source>
  <b:Source>
    <b:Tag>Eur01</b:Tag>
    <b:SourceType>Case</b:SourceType>
    <b:Guid>{8F547028-C88C-44DF-9D8F-6B8320B5B4B0}</b:Guid>
    <b:Title>Commission Decision General Electric/Honeywell</b:Title>
    <b:Year>2001</b:Year>
    <b:City>Official Journal of the European Union</b:City>
    <b:CaseNumber>COMP/M.2220</b:CaseNumber>
    <b:Court>Court of First Instances</b:Court>
    <b:Month>July</b:Month>
    <b:Day>3</b:Day>
    <b:Author>
      <b:Author>
        <b:Corporate>European Commission</b:Corporate>
      </b:Author>
    </b:Author>
    <b:RefOrder>13</b:RefOrder>
  </b:Source>
  <b:Source>
    <b:Tag>GEC01</b:Tag>
    <b:SourceType>Report</b:SourceType>
    <b:Guid>{BA8C9EAF-AFDA-49B8-8124-0EF4C24EAD05}</b:Guid>
    <b:Title>GE 2000 Annual Report</b:Title>
    <b:Year>2001</b:Year>
    <b:Publisher>GE Capital</b:Publisher>
    <b:Author>
      <b:Author>
        <b:Corporate>GE Capital</b:Corporate>
      </b:Author>
    </b:Author>
    <b:URL>http://www.ge.com/annual00/business/capital_services.html</b:URL>
    <b:RefOrder>14</b:RefOrder>
  </b:Source>
  <b:Source>
    <b:Tag>Cha01</b:Tag>
    <b:SourceType>DocumentFromInternetSite</b:SourceType>
    <b:Guid>{874B554D-B402-44A8-B9E4-FEFE2E6BACE9}</b:Guid>
    <b:Title>Charles River Associates Publications</b:Title>
    <b:Year>2001</b:Year>
    <b:Month>August</b:Month>
    <b:Day>31</b:Day>
    <b:Author>
      <b:Author>
        <b:Corporate>Charles River Associates</b:Corporate>
      </b:Author>
    </b:Author>
    <b:InternetSiteTitle>Charles River Associates</b:InternetSiteTitle>
    <b:URL>http://ecp.crai.com/ecp/assets/GE_GECAS_Part_2_Sept2001.pdf</b:URL>
    <b:RefOrder>15</b:RefOrder>
  </b:Source>
  <b:Source>
    <b:Tag>Com99</b:Tag>
    <b:SourceType>Case</b:SourceType>
    <b:Guid>{11CB7D91-0353-4440-9A8D-B2AFD7214773}</b:Guid>
    <b:Title>Commission Decision of 25 May 1999 declaring a concentration to be compatible with the common market; United Technologies/Sundstrand</b:Title>
    <b:CaseNumber>Case No IV/M.1493</b:CaseNumber>
    <b:Court>European Commission</b:Court>
    <b:Year>1999</b:Year>
    <b:Month>May</b:Month>
    <b:Day>25</b:Day>
    <b:RefOrder>16</b:RefOrder>
  </b:Source>
  <b:Source>
    <b:Tag>Whi90</b:Tag>
    <b:SourceType>ArticleInAPeriodical</b:SourceType>
    <b:Guid>{BD8C1490-F24E-4539-B96D-C3F8C284EE9F}</b:Guid>
    <b:Title>Tying, Foreclosure and Exclusion</b:Title>
    <b:PeriodicalTitle>The American Economic Review</b:PeriodicalTitle>
    <b:Year>1990</b:Year>
    <b:Month>September</b:Month>
    <b:Author>
      <b:Author>
        <b:NameList>
          <b:Person>
            <b:Last>Whinston</b:Last>
            <b:Middle>D.</b:Middle>
            <b:First>Michael</b:First>
          </b:Person>
        </b:NameList>
      </b:Author>
    </b:Author>
    <b:RefOrder>17</b:RefOrder>
  </b:Source>
  <b:Source>
    <b:Tag>Den85</b:Tag>
    <b:SourceType>ArticleInAPeriodical</b:SourceType>
    <b:Guid>{F2F324CF-1F99-4BE4-88D2-5EFAFA2A4D27}</b:Guid>
    <b:Title>Incentives to form coalitions with Bertrand competition</b:Title>
    <b:Year>1985</b:Year>
    <b:Pages>473-486</b:Pages>
    <b:Author>
      <b:Author>
        <b:NameList>
          <b:Person>
            <b:Last>Deneckere</b:Last>
            <b:First>Raymond</b:First>
          </b:Person>
          <b:Person>
            <b:Last>Davidson</b:Last>
            <b:First>Carl</b:First>
          </b:Person>
        </b:NameList>
      </b:Author>
    </b:Author>
    <b:PeriodicalTitle>The RAND Journal of Economics</b:PeriodicalTitle>
    <b:RefOrder>18</b:RefOrder>
  </b:Source>
  <b:Source>
    <b:Tag>Mot04</b:Tag>
    <b:SourceType>Book</b:SourceType>
    <b:Guid>{27801F7A-1141-4B65-B89B-B6BA1448825E}</b:Guid>
    <b:Title>Competition Policy</b:Title>
    <b:Year>2004</b:Year>
    <b:Publisher>Cambridge University Press</b:Publisher>
    <b:Author>
      <b:Author>
        <b:NameList>
          <b:Person>
            <b:Last>Motta</b:Last>
            <b:First>Massimo</b:First>
          </b:Person>
        </b:NameList>
      </b:Author>
    </b:Author>
    <b:RefOrder>19</b:RefOrder>
  </b:Source>
  <b:Source>
    <b:Tag>Fox01</b:Tag>
    <b:SourceType>ArticleInAPeriodical</b:SourceType>
    <b:Guid>{12F25713-B0D4-4AFE-B808-2979C5BD9EE9}</b:Guid>
    <b:Title>Mergers in Global Markets: GE/Honeywell and the Future of Merger Control</b:Title>
    <b:Year>2001</b:Year>
    <b:Pages>457-468</b:Pages>
    <b:PeriodicalTitle>Journal of International Law</b:PeriodicalTitle>
    <b:Author>
      <b:Author>
        <b:NameList>
          <b:Person>
            <b:Last>Fox</b:Last>
            <b:Middle>M.</b:Middle>
            <b:First>Eleanor</b:First>
          </b:Person>
        </b:NameList>
      </b:Author>
    </b:Author>
    <b:RefOrder>20</b:RefOrder>
  </b:Source>
  <b:Source>
    <b:Tag>Rey02</b:Tag>
    <b:SourceType>ArticleInAPeriodical</b:SourceType>
    <b:Guid>{2F7148AF-8D9E-4222-84D7-EF252B04B8AF}</b:Guid>
    <b:Title>Archimeadean Leveraging and the GE/Honeywell Transaction</b:Title>
    <b:PeriodicalTitle>Antitrust Law Journal</b:PeriodicalTitle>
    <b:Year>2002</b:Year>
    <b:Pages>171-198</b:Pages>
    <b:Author>
      <b:Author>
        <b:NameList>
          <b:Person>
            <b:Last>Reynolds</b:Last>
            <b:Middle>J.</b:Middle>
            <b:First>Robert</b:First>
          </b:Person>
          <b:Person>
            <b:Last>Ordover</b:Last>
            <b:Middle>A.</b:Middle>
            <b:First>Janusz</b:First>
          </b:Person>
        </b:NameList>
      </b:Author>
    </b:Author>
    <b:RefOrder>21</b:RefOrder>
  </b:Source>
  <b:Source>
    <b:Tag>Cre04</b:Tag>
    <b:SourceType>ArticleInAPeriodical</b:SourceType>
    <b:Guid>{92289C1E-17E2-44A5-B4C1-D63D447F3F1A}</b:Guid>
    <b:Title>Multidivisional firms, internal competition, and the merger paradox</b:Title>
    <b:Year>2004</b:Year>
    <b:Month>October</b:Month>
    <b:Day>18</b:Day>
    <b:PeriodicalTitle>Canadian Journal of Economics</b:PeriodicalTitle>
    <b:Pages>951-977</b:Pages>
    <b:Author>
      <b:Author>
        <b:NameList>
          <b:Person>
            <b:Last>Creane</b:Last>
            <b:First>Anthony</b:First>
          </b:Person>
          <b:Person>
            <b:Last>Davidson</b:Last>
            <b:First>Carl</b:First>
          </b:Person>
        </b:NameList>
      </b:Author>
    </b:Author>
    <b:RefOrder>22</b:RefOrder>
  </b:Source>
  <b:Source>
    <b:Tag>Mos08</b:Tag>
    <b:SourceType>JournalArticle</b:SourceType>
    <b:Guid>{1B329431-07C8-4667-A198-03970DD47A7F}</b:Guid>
    <b:Title>On the origins of the concept of natural monopolo: Economies of scale and competition</b:Title>
    <b:JournalName>The European Journal of the History of Economic Thought</b:JournalName>
    <b:Year>2008</b:Year>
    <b:Pages>317-353</b:Pages>
    <b:Author>
      <b:Author>
        <b:NameList>
          <b:Person>
            <b:Last>Mosca</b:Last>
            <b:First>Manuela</b:First>
          </b:Person>
        </b:NameList>
      </b:Author>
    </b:Author>
    <b:RefOrder>23</b:RefOrder>
  </b:Source>
  <b:Source>
    <b:Tag>ANP14</b:Tag>
    <b:SourceType>InternetSite</b:SourceType>
    <b:Guid>{DE143C71-8E65-4D4F-AA51-BA8C18619663}</b:Guid>
    <b:Title>KPN moet newterk toch openhouden voor concurrentie</b:Title>
    <b:Year>2014</b:Year>
    <b:Month>Oktober</b:Month>
    <b:Day>31</b:Day>
    <b:Author>
      <b:Author>
        <b:Corporate>NOS</b:Corporate>
      </b:Author>
    </b:Author>
    <b:InternetSiteTitle>NOS</b:InternetSiteTitle>
    <b:URL>http://nos.nl/artikel/2001541-kpn-moet-netwerk-toch-openhouden-voor-concurrentie.html</b:URL>
    <b:RefOrder>24</b:RefOrder>
  </b:Source>
  <b:Source>
    <b:Tag>Bes10</b:Tag>
    <b:SourceType>Book</b:SourceType>
    <b:Guid>{E9396DB1-C506-4A5D-875F-670C33BEFD18}</b:Guid>
    <b:Title>Economics of Strategy</b:Title>
    <b:Year>2010</b:Year>
    <b:City>Singapore</b:City>
    <b:Publisher>John Wiley &amp; Sons</b:Publisher>
    <b:Author>
      <b:Author>
        <b:NameList>
          <b:Person>
            <b:Last>Besanko</b:Last>
            <b:First>David</b:First>
          </b:Person>
          <b:Person>
            <b:Last>Dranove</b:Last>
            <b:First>David</b:First>
          </b:Person>
          <b:Person>
            <b:Last>Shanley</b:Last>
            <b:First>Mark</b:First>
          </b:Person>
          <b:Person>
            <b:Last>Schaefer</b:Last>
            <b:First>Scott</b:First>
          </b:Person>
        </b:NameList>
      </b:Author>
    </b:Author>
    <b:RefOrder>25</b:RefOrder>
  </b:Source>
  <b:Source>
    <b:Tag>Wil81</b:Tag>
    <b:SourceType>ArticleInAPeriodical</b:SourceType>
    <b:Guid>{9FAD0EB2-81FF-432F-8039-F21173E3BFD3}</b:Guid>
    <b:Title>Economies of Scope</b:Title>
    <b:Year>1981</b:Year>
    <b:PeriodicalTitle>The American Economic Review</b:PeriodicalTitle>
    <b:Month>May</b:Month>
    <b:Pages>268-272</b:Pages>
    <b:Author>
      <b:Author>
        <b:NameList>
          <b:Person>
            <b:Last>Willig</b:Last>
            <b:Middle>D.</b:Middle>
            <b:First>Robert</b:First>
          </b:Person>
          <b:Person>
            <b:Last>Panzar</b:Last>
            <b:Middle>C.</b:Middle>
            <b:First>John</b:First>
          </b:Person>
        </b:NameList>
      </b:Author>
    </b:Author>
    <b:URL>http://www.jstor.org/stable/1815729</b:URL>
    <b:RefOrder>26</b:RefOrder>
  </b:Source>
  <b:Source>
    <b:Tag>Kat85</b:Tag>
    <b:SourceType>ArticleInAPeriodical</b:SourceType>
    <b:Guid>{B5B5F62A-5AC1-443A-9695-51D8036563A9}</b:Guid>
    <b:Title>Network Externalities, Competition and Compatibility</b:Title>
    <b:Year>1985</b:Year>
    <b:Month>June</b:Month>
    <b:URL>http://www.jstor.org/stable/1814809</b:URL>
    <b:Author>
      <b:Author>
        <b:NameList>
          <b:Person>
            <b:Last>Katz</b:Last>
            <b:Middle>L.</b:Middle>
            <b:First>Michael</b:First>
          </b:Person>
          <b:Person>
            <b:Last>Shapiro</b:Last>
            <b:First>Carl</b:First>
          </b:Person>
        </b:NameList>
      </b:Author>
    </b:Author>
    <b:PeriodicalTitle>The American Economic Review</b:PeriodicalTitle>
    <b:Pages>424-440</b:Pages>
    <b:RefOrder>27</b:RefOrder>
  </b:Source>
  <b:Source>
    <b:Tag>Eur14</b:Tag>
    <b:SourceType>InternetSite</b:SourceType>
    <b:Guid>{D1A1DB90-AFAD-4440-9FFE-450397A96DBA}</b:Guid>
    <b:Author>
      <b:Author>
        <b:Corporate>European Commission</b:Corporate>
      </b:Author>
    </b:Author>
    <b:Title>Air - Internal Market</b:Title>
    <b:InternetSiteTitle>European Commission Europa</b:InternetSiteTitle>
    <b:Year>2014</b:Year>
    <b:Month>September</b:Month>
    <b:Day>24</b:Day>
    <b:URL>http://ec.europa.eu/transport/modes/air/internal_market/index_en.htm</b:URL>
    <b:RefOrder>28</b:RefOrder>
  </b:Source>
</b:Sources>
</file>

<file path=customXml/itemProps1.xml><?xml version="1.0" encoding="utf-8"?>
<ds:datastoreItem xmlns:ds="http://schemas.openxmlformats.org/officeDocument/2006/customXml" ds:itemID="{89899CED-6000-46D4-A8E8-2E5EF4779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8883</Words>
  <Characters>48857</Characters>
  <Application>Microsoft Office Word</Application>
  <DocSecurity>0</DocSecurity>
  <Lines>407</Lines>
  <Paragraphs>115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Wouter Jans</dc:creator>
  <cp:keywords/>
  <dc:description/>
  <cp:lastModifiedBy>M.M. Viola Gonzalez</cp:lastModifiedBy>
  <cp:revision>2</cp:revision>
  <dcterms:created xsi:type="dcterms:W3CDTF">2015-08-31T09:39:00Z</dcterms:created>
  <dcterms:modified xsi:type="dcterms:W3CDTF">2015-08-31T09:39:00Z</dcterms:modified>
</cp:coreProperties>
</file>