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305" w:rsidRPr="00ED2F2C" w:rsidRDefault="00ED2F2C" w:rsidP="00ED2F2C">
      <w:pPr>
        <w:shd w:val="clear" w:color="auto" w:fill="FFFFFF"/>
        <w:spacing w:after="0" w:line="240" w:lineRule="auto"/>
        <w:jc w:val="center"/>
        <w:rPr>
          <w:rFonts w:eastAsia="Times New Roman" w:cs="Times New Roman"/>
          <w:b/>
          <w:sz w:val="48"/>
          <w:szCs w:val="36"/>
          <w:lang w:eastAsia="en-GB"/>
        </w:rPr>
      </w:pPr>
      <w:r w:rsidRPr="00ED2F2C">
        <w:rPr>
          <w:rFonts w:eastAsia="Times New Roman" w:cs="Times New Roman"/>
          <w:b/>
          <w:sz w:val="48"/>
          <w:szCs w:val="36"/>
          <w:lang w:eastAsia="en-GB"/>
        </w:rPr>
        <w:t>FC Twente: gegokt en verloren</w:t>
      </w:r>
    </w:p>
    <w:p w:rsidR="00ED2F2C" w:rsidRPr="009E3F5D" w:rsidRDefault="00ED2F2C" w:rsidP="00ED2F2C">
      <w:pPr>
        <w:shd w:val="clear" w:color="auto" w:fill="FFFFFF"/>
        <w:spacing w:after="0" w:line="240" w:lineRule="auto"/>
        <w:jc w:val="center"/>
        <w:rPr>
          <w:rFonts w:eastAsia="Times New Roman" w:cs="Times New Roman"/>
          <w:b/>
          <w:sz w:val="28"/>
          <w:szCs w:val="36"/>
          <w:lang w:eastAsia="en-GB"/>
        </w:rPr>
      </w:pPr>
      <w:r w:rsidRPr="009E3F5D">
        <w:rPr>
          <w:rFonts w:eastAsia="Times New Roman" w:cs="Times New Roman"/>
          <w:b/>
          <w:sz w:val="28"/>
          <w:szCs w:val="36"/>
          <w:lang w:eastAsia="en-GB"/>
        </w:rPr>
        <w:t xml:space="preserve">Het verhaal achter de financiële malaise </w:t>
      </w:r>
      <w:r w:rsidR="009E3F5D" w:rsidRPr="009E3F5D">
        <w:rPr>
          <w:rFonts w:eastAsia="Times New Roman" w:cs="Times New Roman"/>
          <w:b/>
          <w:sz w:val="28"/>
          <w:szCs w:val="36"/>
          <w:lang w:eastAsia="en-GB"/>
        </w:rPr>
        <w:t xml:space="preserve">vanuit </w:t>
      </w:r>
      <w:r w:rsidR="00230512">
        <w:rPr>
          <w:rFonts w:eastAsia="Times New Roman" w:cs="Times New Roman"/>
          <w:b/>
          <w:sz w:val="28"/>
          <w:szCs w:val="36"/>
          <w:lang w:eastAsia="en-GB"/>
        </w:rPr>
        <w:t>accounting</w:t>
      </w:r>
      <w:r w:rsidR="009E3F5D" w:rsidRPr="009E3F5D">
        <w:rPr>
          <w:rFonts w:eastAsia="Times New Roman" w:cs="Times New Roman"/>
          <w:b/>
          <w:sz w:val="28"/>
          <w:szCs w:val="36"/>
          <w:lang w:eastAsia="en-GB"/>
        </w:rPr>
        <w:t xml:space="preserve"> perspectief</w:t>
      </w:r>
    </w:p>
    <w:p w:rsidR="00104305" w:rsidRDefault="00104305" w:rsidP="00104305">
      <w:pPr>
        <w:shd w:val="clear" w:color="auto" w:fill="FFFFFF"/>
        <w:tabs>
          <w:tab w:val="left" w:pos="5031"/>
        </w:tabs>
        <w:spacing w:after="0" w:line="240" w:lineRule="auto"/>
        <w:jc w:val="both"/>
        <w:rPr>
          <w:rFonts w:eastAsia="Times New Roman" w:cs="Times New Roman"/>
          <w:b/>
          <w:sz w:val="40"/>
          <w:szCs w:val="36"/>
          <w:lang w:eastAsia="en-GB"/>
        </w:rPr>
      </w:pPr>
    </w:p>
    <w:p w:rsidR="00104305" w:rsidRDefault="00104305" w:rsidP="00247AA1">
      <w:pPr>
        <w:shd w:val="clear" w:color="auto" w:fill="FFFFFF"/>
        <w:spacing w:after="0" w:line="240" w:lineRule="auto"/>
        <w:jc w:val="both"/>
        <w:rPr>
          <w:rFonts w:eastAsia="Times New Roman" w:cs="Times New Roman"/>
          <w:b/>
          <w:sz w:val="40"/>
          <w:szCs w:val="36"/>
          <w:lang w:eastAsia="en-GB"/>
        </w:rPr>
      </w:pPr>
    </w:p>
    <w:p w:rsidR="00104305" w:rsidRDefault="00104305" w:rsidP="00A2660B">
      <w:pPr>
        <w:shd w:val="clear" w:color="auto" w:fill="FFFFFF"/>
        <w:spacing w:after="0" w:line="240" w:lineRule="auto"/>
        <w:jc w:val="center"/>
        <w:rPr>
          <w:rFonts w:eastAsia="Times New Roman" w:cs="Times New Roman"/>
          <w:b/>
          <w:sz w:val="40"/>
          <w:szCs w:val="36"/>
          <w:lang w:eastAsia="en-GB"/>
        </w:rPr>
      </w:pPr>
      <w:r>
        <w:rPr>
          <w:noProof/>
          <w:lang w:val="en-US"/>
        </w:rPr>
        <w:drawing>
          <wp:inline distT="0" distB="0" distL="0" distR="0">
            <wp:extent cx="2539687" cy="3188158"/>
            <wp:effectExtent l="0" t="0" r="0" b="0"/>
            <wp:docPr id="65" name="Afbeelding 65" descr="https://upload.wikimedia.org/wikipedia/en/thumb/e/e3/FC_Twente.svg/815px-FC_Twent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en/thumb/e/e3/FC_Twente.svg/815px-FC_Twente.svg.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39687" cy="3188158"/>
                    </a:xfrm>
                    <a:prstGeom prst="rect">
                      <a:avLst/>
                    </a:prstGeom>
                    <a:noFill/>
                    <a:ln>
                      <a:noFill/>
                    </a:ln>
                  </pic:spPr>
                </pic:pic>
              </a:graphicData>
            </a:graphic>
          </wp:inline>
        </w:drawing>
      </w:r>
    </w:p>
    <w:p w:rsidR="00104305" w:rsidRDefault="00104305" w:rsidP="00247AA1">
      <w:pPr>
        <w:shd w:val="clear" w:color="auto" w:fill="FFFFFF"/>
        <w:spacing w:after="0" w:line="240" w:lineRule="auto"/>
        <w:jc w:val="both"/>
        <w:rPr>
          <w:rFonts w:eastAsia="Times New Roman" w:cs="Times New Roman"/>
          <w:b/>
          <w:sz w:val="40"/>
          <w:szCs w:val="36"/>
          <w:lang w:eastAsia="en-GB"/>
        </w:rPr>
      </w:pPr>
    </w:p>
    <w:p w:rsidR="00104305" w:rsidRPr="00ED2F2C" w:rsidRDefault="00ED2F2C" w:rsidP="00ED2F2C">
      <w:pPr>
        <w:shd w:val="clear" w:color="auto" w:fill="FFFFFF"/>
        <w:spacing w:after="0" w:line="240" w:lineRule="auto"/>
        <w:jc w:val="center"/>
        <w:rPr>
          <w:rFonts w:eastAsia="Times New Roman" w:cs="Times New Roman"/>
          <w:b/>
          <w:sz w:val="32"/>
          <w:szCs w:val="36"/>
          <w:lang w:eastAsia="en-GB"/>
        </w:rPr>
      </w:pPr>
      <w:r w:rsidRPr="00ED2F2C">
        <w:rPr>
          <w:rFonts w:eastAsia="Times New Roman" w:cs="Times New Roman"/>
          <w:b/>
          <w:sz w:val="32"/>
          <w:szCs w:val="36"/>
          <w:lang w:eastAsia="en-GB"/>
        </w:rPr>
        <w:t xml:space="preserve">Guy van </w:t>
      </w:r>
      <w:proofErr w:type="spellStart"/>
      <w:r w:rsidRPr="00ED2F2C">
        <w:rPr>
          <w:rFonts w:eastAsia="Times New Roman" w:cs="Times New Roman"/>
          <w:b/>
          <w:sz w:val="32"/>
          <w:szCs w:val="36"/>
          <w:lang w:eastAsia="en-GB"/>
        </w:rPr>
        <w:t>Merrië</w:t>
      </w:r>
      <w:r w:rsidR="00104305" w:rsidRPr="00ED2F2C">
        <w:rPr>
          <w:rFonts w:eastAsia="Times New Roman" w:cs="Times New Roman"/>
          <w:b/>
          <w:sz w:val="32"/>
          <w:szCs w:val="36"/>
          <w:lang w:eastAsia="en-GB"/>
        </w:rPr>
        <w:t>nboer</w:t>
      </w:r>
      <w:proofErr w:type="spellEnd"/>
    </w:p>
    <w:p w:rsidR="00104305" w:rsidRPr="00ED2F2C" w:rsidRDefault="00104305" w:rsidP="00104305">
      <w:pPr>
        <w:shd w:val="clear" w:color="auto" w:fill="FFFFFF"/>
        <w:spacing w:after="0" w:line="240" w:lineRule="auto"/>
        <w:jc w:val="center"/>
        <w:rPr>
          <w:rFonts w:eastAsia="Times New Roman" w:cs="Times New Roman"/>
          <w:b/>
          <w:sz w:val="32"/>
          <w:szCs w:val="36"/>
          <w:lang w:eastAsia="en-GB"/>
        </w:rPr>
      </w:pPr>
      <w:r w:rsidRPr="00ED2F2C">
        <w:rPr>
          <w:rFonts w:eastAsia="Times New Roman" w:cs="Times New Roman"/>
          <w:b/>
          <w:sz w:val="32"/>
          <w:szCs w:val="36"/>
          <w:lang w:eastAsia="en-GB"/>
        </w:rPr>
        <w:t>Studentennummer</w:t>
      </w:r>
      <w:r w:rsidR="00ED2F2C">
        <w:rPr>
          <w:rFonts w:eastAsia="Times New Roman" w:cs="Times New Roman"/>
          <w:b/>
          <w:sz w:val="32"/>
          <w:szCs w:val="36"/>
          <w:lang w:eastAsia="en-GB"/>
        </w:rPr>
        <w:t>:</w:t>
      </w:r>
      <w:r w:rsidRPr="00ED2F2C">
        <w:rPr>
          <w:rFonts w:eastAsia="Times New Roman" w:cs="Times New Roman"/>
          <w:b/>
          <w:sz w:val="32"/>
          <w:szCs w:val="36"/>
          <w:lang w:eastAsia="en-GB"/>
        </w:rPr>
        <w:t xml:space="preserve"> 359713</w:t>
      </w:r>
    </w:p>
    <w:p w:rsidR="00104305" w:rsidRPr="00ED2F2C" w:rsidRDefault="0024076F" w:rsidP="00104305">
      <w:pPr>
        <w:shd w:val="clear" w:color="auto" w:fill="FFFFFF"/>
        <w:spacing w:after="0" w:line="240" w:lineRule="auto"/>
        <w:jc w:val="center"/>
        <w:rPr>
          <w:rFonts w:eastAsia="Times New Roman" w:cs="Times New Roman"/>
          <w:b/>
          <w:sz w:val="32"/>
          <w:szCs w:val="36"/>
          <w:lang w:eastAsia="en-GB"/>
        </w:rPr>
      </w:pPr>
      <w:r w:rsidRPr="00ED2F2C">
        <w:rPr>
          <w:rFonts w:eastAsia="Times New Roman" w:cs="Times New Roman"/>
          <w:b/>
          <w:sz w:val="32"/>
          <w:szCs w:val="36"/>
          <w:lang w:eastAsia="en-GB"/>
        </w:rPr>
        <w:t>Bachelor scriptie</w:t>
      </w:r>
      <w:r w:rsidR="00104305" w:rsidRPr="00ED2F2C">
        <w:rPr>
          <w:rFonts w:eastAsia="Times New Roman" w:cs="Times New Roman"/>
          <w:b/>
          <w:sz w:val="32"/>
          <w:szCs w:val="36"/>
          <w:lang w:eastAsia="en-GB"/>
        </w:rPr>
        <w:t xml:space="preserve"> Economie &amp; Bedrijfseconomie</w:t>
      </w:r>
    </w:p>
    <w:p w:rsidR="00104305" w:rsidRDefault="00104305" w:rsidP="00104305">
      <w:pPr>
        <w:shd w:val="clear" w:color="auto" w:fill="FFFFFF"/>
        <w:spacing w:after="0" w:line="240" w:lineRule="auto"/>
        <w:jc w:val="center"/>
        <w:rPr>
          <w:rFonts w:eastAsia="Times New Roman" w:cs="Times New Roman"/>
          <w:b/>
          <w:sz w:val="32"/>
          <w:szCs w:val="36"/>
          <w:lang w:eastAsia="en-GB"/>
        </w:rPr>
      </w:pPr>
      <w:r w:rsidRPr="00ED2F2C">
        <w:rPr>
          <w:rFonts w:eastAsia="Times New Roman" w:cs="Times New Roman"/>
          <w:b/>
          <w:sz w:val="32"/>
          <w:szCs w:val="36"/>
          <w:lang w:eastAsia="en-GB"/>
        </w:rPr>
        <w:t>Onder begeleiding van Drs. R.</w:t>
      </w:r>
      <w:r w:rsidR="00ED2F2C" w:rsidRPr="00ED2F2C">
        <w:rPr>
          <w:rFonts w:eastAsia="Times New Roman" w:cs="Times New Roman"/>
          <w:b/>
          <w:sz w:val="32"/>
          <w:szCs w:val="36"/>
          <w:lang w:eastAsia="en-GB"/>
        </w:rPr>
        <w:t>D.</w:t>
      </w:r>
      <w:r w:rsidRPr="00ED2F2C">
        <w:rPr>
          <w:rFonts w:eastAsia="Times New Roman" w:cs="Times New Roman"/>
          <w:b/>
          <w:sz w:val="32"/>
          <w:szCs w:val="36"/>
          <w:lang w:eastAsia="en-GB"/>
        </w:rPr>
        <w:t xml:space="preserve"> </w:t>
      </w:r>
      <w:proofErr w:type="spellStart"/>
      <w:r w:rsidRPr="00ED2F2C">
        <w:rPr>
          <w:rFonts w:eastAsia="Times New Roman" w:cs="Times New Roman"/>
          <w:b/>
          <w:sz w:val="32"/>
          <w:szCs w:val="36"/>
          <w:lang w:eastAsia="en-GB"/>
        </w:rPr>
        <w:t>Achaibersing</w:t>
      </w:r>
      <w:proofErr w:type="spellEnd"/>
    </w:p>
    <w:p w:rsidR="00EB1947" w:rsidRPr="00ED2F2C" w:rsidRDefault="00EB1947" w:rsidP="00104305">
      <w:pPr>
        <w:shd w:val="clear" w:color="auto" w:fill="FFFFFF"/>
        <w:spacing w:after="0" w:line="240" w:lineRule="auto"/>
        <w:jc w:val="center"/>
        <w:rPr>
          <w:rFonts w:eastAsia="Times New Roman" w:cs="Times New Roman"/>
          <w:b/>
          <w:sz w:val="32"/>
          <w:szCs w:val="36"/>
          <w:lang w:eastAsia="en-GB"/>
        </w:rPr>
      </w:pPr>
      <w:r>
        <w:rPr>
          <w:rFonts w:eastAsia="Times New Roman" w:cs="Times New Roman"/>
          <w:b/>
          <w:sz w:val="32"/>
          <w:szCs w:val="36"/>
          <w:lang w:eastAsia="en-GB"/>
        </w:rPr>
        <w:t>Meelezer: Drs. T.P.M. Welten</w:t>
      </w:r>
    </w:p>
    <w:p w:rsidR="00104305" w:rsidRPr="00E01DA4" w:rsidRDefault="00ED2F2C" w:rsidP="00104305">
      <w:pPr>
        <w:shd w:val="clear" w:color="auto" w:fill="FFFFFF"/>
        <w:spacing w:after="0" w:line="240" w:lineRule="auto"/>
        <w:jc w:val="center"/>
        <w:rPr>
          <w:rFonts w:eastAsia="Times New Roman" w:cs="Times New Roman"/>
          <w:b/>
          <w:sz w:val="32"/>
          <w:szCs w:val="36"/>
          <w:lang w:val="en-GB" w:eastAsia="en-GB"/>
        </w:rPr>
      </w:pPr>
      <w:r w:rsidRPr="00633A13">
        <w:rPr>
          <w:rFonts w:eastAsia="Times New Roman" w:cs="Times New Roman"/>
          <w:b/>
          <w:sz w:val="32"/>
          <w:szCs w:val="36"/>
          <w:lang w:val="en-GB" w:eastAsia="en-GB"/>
        </w:rPr>
        <w:t>Erasmus School of Economics</w:t>
      </w:r>
    </w:p>
    <w:p w:rsidR="00ED2F2C" w:rsidRPr="00633A13" w:rsidRDefault="00ED2F2C" w:rsidP="00104305">
      <w:pPr>
        <w:shd w:val="clear" w:color="auto" w:fill="FFFFFF"/>
        <w:spacing w:after="0" w:line="240" w:lineRule="auto"/>
        <w:jc w:val="center"/>
        <w:rPr>
          <w:rFonts w:eastAsia="Times New Roman" w:cs="Times New Roman"/>
          <w:b/>
          <w:sz w:val="32"/>
          <w:szCs w:val="36"/>
          <w:lang w:val="en-GB" w:eastAsia="en-GB"/>
        </w:rPr>
      </w:pPr>
      <w:proofErr w:type="spellStart"/>
      <w:r w:rsidRPr="00E01DA4">
        <w:rPr>
          <w:rFonts w:eastAsia="Times New Roman" w:cs="Times New Roman"/>
          <w:b/>
          <w:sz w:val="32"/>
          <w:szCs w:val="36"/>
          <w:lang w:val="en-GB" w:eastAsia="en-GB"/>
        </w:rPr>
        <w:t>Sectie</w:t>
      </w:r>
      <w:proofErr w:type="spellEnd"/>
      <w:r w:rsidRPr="00633A13">
        <w:rPr>
          <w:rFonts w:eastAsia="Times New Roman" w:cs="Times New Roman"/>
          <w:b/>
          <w:sz w:val="32"/>
          <w:szCs w:val="36"/>
          <w:lang w:val="en-GB" w:eastAsia="en-GB"/>
        </w:rPr>
        <w:t xml:space="preserve"> Accounting, Auditing &amp; Control (AA&amp;C)</w:t>
      </w:r>
    </w:p>
    <w:p w:rsidR="00ED2F2C" w:rsidRPr="00ED2F2C" w:rsidRDefault="00ED2F2C" w:rsidP="00104305">
      <w:pPr>
        <w:shd w:val="clear" w:color="auto" w:fill="FFFFFF"/>
        <w:spacing w:after="0" w:line="240" w:lineRule="auto"/>
        <w:jc w:val="center"/>
        <w:rPr>
          <w:rFonts w:eastAsia="Times New Roman" w:cs="Times New Roman"/>
          <w:b/>
          <w:sz w:val="32"/>
          <w:szCs w:val="36"/>
          <w:lang w:eastAsia="en-GB"/>
        </w:rPr>
      </w:pPr>
      <w:r w:rsidRPr="00ED2F2C">
        <w:rPr>
          <w:rFonts w:eastAsia="Times New Roman" w:cs="Times New Roman"/>
          <w:b/>
          <w:sz w:val="32"/>
          <w:szCs w:val="36"/>
          <w:lang w:eastAsia="en-GB"/>
        </w:rPr>
        <w:t>27 juli 2015, Rotterdam</w:t>
      </w:r>
    </w:p>
    <w:p w:rsidR="00104305" w:rsidRPr="00A2660B" w:rsidRDefault="00104305" w:rsidP="00104305">
      <w:pPr>
        <w:shd w:val="clear" w:color="auto" w:fill="FFFFFF"/>
        <w:spacing w:after="0" w:line="240" w:lineRule="auto"/>
        <w:rPr>
          <w:rFonts w:eastAsia="Times New Roman" w:cs="Times New Roman"/>
          <w:b/>
          <w:sz w:val="40"/>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CA3382" w:rsidRDefault="00CA3382" w:rsidP="00262DC0">
      <w:pPr>
        <w:shd w:val="clear" w:color="auto" w:fill="FFFFFF"/>
        <w:spacing w:after="0" w:line="240" w:lineRule="auto"/>
        <w:rPr>
          <w:rFonts w:eastAsia="Times New Roman" w:cs="Times New Roman"/>
          <w:b/>
          <w:sz w:val="24"/>
          <w:szCs w:val="36"/>
          <w:lang w:eastAsia="en-GB"/>
        </w:rPr>
      </w:pPr>
    </w:p>
    <w:p w:rsidR="00104305" w:rsidRDefault="00262DC0" w:rsidP="00262DC0">
      <w:pPr>
        <w:shd w:val="clear" w:color="auto" w:fill="FFFFFF"/>
        <w:spacing w:after="0" w:line="240" w:lineRule="auto"/>
        <w:rPr>
          <w:rFonts w:eastAsia="Times New Roman" w:cs="Times New Roman"/>
          <w:b/>
          <w:sz w:val="24"/>
          <w:szCs w:val="36"/>
          <w:lang w:eastAsia="en-GB"/>
        </w:rPr>
      </w:pPr>
      <w:r>
        <w:rPr>
          <w:rFonts w:eastAsia="Times New Roman" w:cs="Times New Roman"/>
          <w:b/>
          <w:sz w:val="24"/>
          <w:szCs w:val="36"/>
          <w:lang w:eastAsia="en-GB"/>
        </w:rPr>
        <w:t>Abstract</w:t>
      </w:r>
    </w:p>
    <w:p w:rsidR="00CA3382" w:rsidRDefault="00CA3382" w:rsidP="00CA3382">
      <w:pPr>
        <w:spacing w:line="360" w:lineRule="auto"/>
        <w:jc w:val="both"/>
        <w:rPr>
          <w:sz w:val="24"/>
          <w:szCs w:val="36"/>
        </w:rPr>
      </w:pPr>
      <w:r>
        <w:rPr>
          <w:sz w:val="24"/>
          <w:szCs w:val="36"/>
        </w:rPr>
        <w:t xml:space="preserve">Gedurende de thesis is onderzoek gedaan naar de oorzaak voor de problematiek in de waardering van het stadion van de voetbalclub FC Twente, genaamd De Grolsch Veste. Het stadion is, sinds de ingebruikneming in het seizoen 2008/2009, als onderdeel van de materiële vaste activa op de balans ondergebracht onder de post </w:t>
      </w:r>
      <w:r>
        <w:rPr>
          <w:i/>
          <w:sz w:val="24"/>
          <w:szCs w:val="36"/>
        </w:rPr>
        <w:t>Bedrijfsgebouwen en –terreinen</w:t>
      </w:r>
      <w:r>
        <w:rPr>
          <w:sz w:val="24"/>
          <w:szCs w:val="36"/>
        </w:rPr>
        <w:t xml:space="preserve">. FC Twente staat als gevolg van </w:t>
      </w:r>
      <w:r w:rsidR="00EB1947">
        <w:rPr>
          <w:sz w:val="24"/>
          <w:szCs w:val="36"/>
        </w:rPr>
        <w:t>een negatief resultaat van 7,2 miljoen euro</w:t>
      </w:r>
      <w:r>
        <w:rPr>
          <w:sz w:val="24"/>
          <w:szCs w:val="36"/>
        </w:rPr>
        <w:t xml:space="preserve"> over het boekjaar 2013/2014 onder </w:t>
      </w:r>
      <w:proofErr w:type="gramStart"/>
      <w:r>
        <w:rPr>
          <w:sz w:val="24"/>
          <w:szCs w:val="36"/>
        </w:rPr>
        <w:t>verscherpte</w:t>
      </w:r>
      <w:proofErr w:type="gramEnd"/>
      <w:r>
        <w:rPr>
          <w:sz w:val="24"/>
          <w:szCs w:val="36"/>
        </w:rPr>
        <w:t xml:space="preserve"> toezicht van de KNVB licentiecommissie. Aan de hand van het Financieel Rating Systeem (FRS) is FC Twente in categorie 1 van het licentiesysteem geplaatst, waardoor de benodigde licentie voor het spelen van betaald voetbal in gevaar </w:t>
      </w:r>
      <w:r w:rsidR="00EB1947">
        <w:rPr>
          <w:sz w:val="24"/>
          <w:szCs w:val="36"/>
        </w:rPr>
        <w:t>komt</w:t>
      </w:r>
      <w:r>
        <w:rPr>
          <w:sz w:val="24"/>
          <w:szCs w:val="36"/>
        </w:rPr>
        <w:t xml:space="preserve">. Middels een financieel plan van aanpak moet de club, financieel gezien, structurele verbetering </w:t>
      </w:r>
      <w:proofErr w:type="gramStart"/>
      <w:r>
        <w:rPr>
          <w:sz w:val="24"/>
          <w:szCs w:val="36"/>
        </w:rPr>
        <w:t xml:space="preserve">naar  </w:t>
      </w:r>
      <w:proofErr w:type="gramEnd"/>
      <w:r w:rsidR="00EB1947">
        <w:rPr>
          <w:sz w:val="24"/>
          <w:szCs w:val="36"/>
        </w:rPr>
        <w:t xml:space="preserve">de veilige </w:t>
      </w:r>
      <w:r>
        <w:rPr>
          <w:sz w:val="24"/>
          <w:szCs w:val="36"/>
        </w:rPr>
        <w:t>categorie 2 of 3 afdwingen. Echter, de afschrijvingsmethodiek toegepast</w:t>
      </w:r>
      <w:r w:rsidR="00EB1947">
        <w:rPr>
          <w:sz w:val="24"/>
          <w:szCs w:val="36"/>
        </w:rPr>
        <w:t xml:space="preserve"> op het stadion De Grolsch Veste</w:t>
      </w:r>
      <w:r>
        <w:rPr>
          <w:sz w:val="24"/>
          <w:szCs w:val="36"/>
        </w:rPr>
        <w:t xml:space="preserve"> in de jaarrekening over het boekjaar 2013/2014 werd verworpen door de licentiecommissie van de KNVB, waardoor de normstelling uit het plan van aanpak niet behaald werd. Als gevolg hiervan kreeg FC Twente 3 winstpunten in mindering in de competitie. Uit de analyse van de jaarrekening van 2013/2014 bleek dat de restwaarde en de economische levensduur van het </w:t>
      </w:r>
      <w:r w:rsidR="00EB1947">
        <w:rPr>
          <w:sz w:val="24"/>
          <w:szCs w:val="36"/>
        </w:rPr>
        <w:t>stadion niet onderbouwd was en gaf zodoende geen getrouwe weergave.</w:t>
      </w:r>
      <w:r>
        <w:rPr>
          <w:sz w:val="24"/>
          <w:szCs w:val="36"/>
        </w:rPr>
        <w:t xml:space="preserve"> Naar aanleiding van </w:t>
      </w:r>
      <w:r w:rsidR="00EB1947">
        <w:rPr>
          <w:sz w:val="24"/>
          <w:szCs w:val="36"/>
        </w:rPr>
        <w:t xml:space="preserve">meerdere </w:t>
      </w:r>
      <w:r>
        <w:rPr>
          <w:sz w:val="24"/>
          <w:szCs w:val="36"/>
        </w:rPr>
        <w:t>waarderingsfouten in de oorspronkelijke jaarrekening over het boekjaar 2013/2014, werd een herziende jaarrekening opgemaakt en ingeleverd. Met betrekking tot de</w:t>
      </w:r>
      <w:r w:rsidR="00AA2D28" w:rsidRPr="00AA2D28">
        <w:rPr>
          <w:sz w:val="24"/>
          <w:szCs w:val="36"/>
        </w:rPr>
        <w:t xml:space="preserve"> </w:t>
      </w:r>
      <w:r w:rsidR="00AA2D28">
        <w:rPr>
          <w:sz w:val="24"/>
          <w:szCs w:val="36"/>
        </w:rPr>
        <w:t>materiële vaste activa</w:t>
      </w:r>
      <w:r>
        <w:rPr>
          <w:sz w:val="24"/>
          <w:szCs w:val="36"/>
        </w:rPr>
        <w:t xml:space="preserve">, werd in de herziende jaarrekening de restwaarde van het stadion van groot 20 miljoen euro geschrapt en de economische levensduur van het stadion verlengd van 25 naar 40 jaar. </w:t>
      </w:r>
      <w:r w:rsidR="00E55BAD">
        <w:rPr>
          <w:sz w:val="24"/>
          <w:szCs w:val="36"/>
        </w:rPr>
        <w:t xml:space="preserve">De doorgevoerde schattingswijziging met betrekking tot het stadion </w:t>
      </w:r>
      <w:r w:rsidR="00D236A7">
        <w:rPr>
          <w:sz w:val="24"/>
          <w:szCs w:val="36"/>
        </w:rPr>
        <w:t>geeft</w:t>
      </w:r>
      <w:r w:rsidR="00E55BAD">
        <w:rPr>
          <w:sz w:val="24"/>
          <w:szCs w:val="36"/>
        </w:rPr>
        <w:t xml:space="preserve"> de </w:t>
      </w:r>
      <w:proofErr w:type="gramStart"/>
      <w:r w:rsidR="00E55BAD">
        <w:rPr>
          <w:sz w:val="24"/>
          <w:szCs w:val="36"/>
        </w:rPr>
        <w:t>licentiecommissie</w:t>
      </w:r>
      <w:proofErr w:type="gramEnd"/>
      <w:r w:rsidR="00E55BAD">
        <w:rPr>
          <w:sz w:val="24"/>
          <w:szCs w:val="36"/>
        </w:rPr>
        <w:t xml:space="preserve"> geen aanleiding tot verdere sancties en </w:t>
      </w:r>
      <w:r w:rsidR="00D236A7">
        <w:rPr>
          <w:sz w:val="24"/>
          <w:szCs w:val="36"/>
        </w:rPr>
        <w:t>presenteert zodoende</w:t>
      </w:r>
      <w:r w:rsidR="00E55BAD">
        <w:rPr>
          <w:sz w:val="24"/>
          <w:szCs w:val="36"/>
        </w:rPr>
        <w:t xml:space="preserve"> een getrouwe weergave van de feitelijke waardering.</w:t>
      </w:r>
    </w:p>
    <w:p w:rsidR="00262DC0" w:rsidRPr="003F0FC9" w:rsidRDefault="00CA3382" w:rsidP="00E55BAD">
      <w:pPr>
        <w:shd w:val="clear" w:color="auto" w:fill="FFFFFF"/>
        <w:spacing w:after="0" w:line="360" w:lineRule="auto"/>
        <w:rPr>
          <w:rFonts w:eastAsia="Times New Roman" w:cs="Times New Roman"/>
          <w:sz w:val="24"/>
          <w:szCs w:val="36"/>
          <w:lang w:eastAsia="en-GB"/>
        </w:rPr>
      </w:pPr>
      <w:proofErr w:type="spellStart"/>
      <w:r>
        <w:rPr>
          <w:rFonts w:eastAsia="Times New Roman" w:cs="Times New Roman"/>
          <w:b/>
          <w:sz w:val="24"/>
          <w:szCs w:val="36"/>
          <w:lang w:eastAsia="en-GB"/>
        </w:rPr>
        <w:t>Keywords</w:t>
      </w:r>
      <w:proofErr w:type="spellEnd"/>
      <w:r>
        <w:rPr>
          <w:rFonts w:eastAsia="Times New Roman" w:cs="Times New Roman"/>
          <w:b/>
          <w:sz w:val="24"/>
          <w:szCs w:val="36"/>
          <w:lang w:eastAsia="en-GB"/>
        </w:rPr>
        <w:t>:</w:t>
      </w:r>
      <w:r>
        <w:rPr>
          <w:rFonts w:eastAsia="Times New Roman" w:cs="Times New Roman"/>
          <w:sz w:val="24"/>
          <w:szCs w:val="36"/>
          <w:lang w:eastAsia="en-GB"/>
        </w:rPr>
        <w:t xml:space="preserve"> </w:t>
      </w:r>
      <w:r w:rsidR="00EB1947">
        <w:rPr>
          <w:rFonts w:eastAsia="Times New Roman" w:cs="Times New Roman"/>
          <w:sz w:val="24"/>
          <w:szCs w:val="36"/>
          <w:lang w:eastAsia="en-GB"/>
        </w:rPr>
        <w:t xml:space="preserve">Licentiecommissie, Financieel Rating Systeem, </w:t>
      </w:r>
      <w:r w:rsidR="003F0FC9">
        <w:rPr>
          <w:rFonts w:eastAsia="Times New Roman" w:cs="Times New Roman"/>
          <w:i/>
          <w:sz w:val="24"/>
          <w:szCs w:val="36"/>
          <w:lang w:eastAsia="en-GB"/>
        </w:rPr>
        <w:t>Bedrijfsgebouwen en –terreinen</w:t>
      </w:r>
      <w:r w:rsidR="003F0FC9">
        <w:rPr>
          <w:rFonts w:eastAsia="Times New Roman" w:cs="Times New Roman"/>
          <w:sz w:val="24"/>
          <w:szCs w:val="36"/>
          <w:lang w:eastAsia="en-GB"/>
        </w:rPr>
        <w:t xml:space="preserve">, </w:t>
      </w:r>
      <w:r w:rsidR="00AA2D28">
        <w:rPr>
          <w:rFonts w:eastAsia="Times New Roman" w:cs="Times New Roman"/>
          <w:sz w:val="24"/>
          <w:szCs w:val="36"/>
          <w:lang w:eastAsia="en-GB"/>
        </w:rPr>
        <w:t xml:space="preserve">lineaire afschrijving, plan van aanpak, categorie 1, </w:t>
      </w:r>
      <w:r w:rsidR="00AA2D28">
        <w:rPr>
          <w:sz w:val="24"/>
          <w:szCs w:val="36"/>
        </w:rPr>
        <w:t>materiële vaste activa, kernvariabele, jaarrekening, resultaat</w:t>
      </w:r>
      <w:r w:rsidR="00E55BAD">
        <w:rPr>
          <w:sz w:val="24"/>
          <w:szCs w:val="36"/>
        </w:rPr>
        <w:t>, De Grolsch Veste</w:t>
      </w:r>
    </w:p>
    <w:p w:rsidR="00A2660B" w:rsidRDefault="00A2660B" w:rsidP="00ED2F2C">
      <w:pPr>
        <w:shd w:val="clear" w:color="auto" w:fill="FFFFFF"/>
        <w:spacing w:after="0" w:line="240" w:lineRule="auto"/>
        <w:jc w:val="center"/>
        <w:rPr>
          <w:rFonts w:eastAsia="Times New Roman" w:cs="Times New Roman"/>
          <w:b/>
          <w:sz w:val="40"/>
          <w:szCs w:val="36"/>
          <w:lang w:eastAsia="en-GB"/>
        </w:rPr>
      </w:pPr>
    </w:p>
    <w:p w:rsidR="00A2660B" w:rsidRDefault="00A2660B" w:rsidP="00ED2F2C">
      <w:pPr>
        <w:shd w:val="clear" w:color="auto" w:fill="FFFFFF"/>
        <w:spacing w:after="0" w:line="240" w:lineRule="auto"/>
        <w:jc w:val="center"/>
        <w:rPr>
          <w:rFonts w:eastAsia="Times New Roman" w:cs="Times New Roman"/>
          <w:b/>
          <w:sz w:val="40"/>
          <w:szCs w:val="36"/>
          <w:lang w:eastAsia="en-GB"/>
        </w:rPr>
      </w:pPr>
    </w:p>
    <w:p w:rsidR="00CA3382" w:rsidRDefault="00CA3382" w:rsidP="00ED2F2C">
      <w:pPr>
        <w:shd w:val="clear" w:color="auto" w:fill="FFFFFF"/>
        <w:spacing w:after="0" w:line="240" w:lineRule="auto"/>
        <w:jc w:val="center"/>
        <w:rPr>
          <w:rFonts w:eastAsia="Times New Roman" w:cs="Times New Roman"/>
          <w:b/>
          <w:sz w:val="40"/>
          <w:szCs w:val="36"/>
          <w:lang w:eastAsia="en-GB"/>
        </w:rPr>
      </w:pPr>
    </w:p>
    <w:p w:rsidR="00EB1947" w:rsidRPr="00A2660B" w:rsidRDefault="00EB1947" w:rsidP="00A66C23">
      <w:pPr>
        <w:shd w:val="clear" w:color="auto" w:fill="FFFFFF"/>
        <w:spacing w:after="0" w:line="240" w:lineRule="auto"/>
        <w:rPr>
          <w:rFonts w:eastAsia="Times New Roman" w:cs="Times New Roman"/>
          <w:b/>
          <w:sz w:val="40"/>
          <w:szCs w:val="36"/>
          <w:lang w:eastAsia="en-GB"/>
        </w:rPr>
      </w:pPr>
    </w:p>
    <w:p w:rsidR="00C05D5A" w:rsidRPr="00413820" w:rsidRDefault="00C05D5A" w:rsidP="00C05D5A">
      <w:pPr>
        <w:pStyle w:val="Heading1"/>
        <w:rPr>
          <w:rFonts w:eastAsia="Times New Roman"/>
          <w:sz w:val="40"/>
          <w:lang w:eastAsia="en-GB"/>
        </w:rPr>
      </w:pPr>
      <w:bookmarkStart w:id="0" w:name="_Toc425516466"/>
      <w:r w:rsidRPr="00413820">
        <w:rPr>
          <w:rFonts w:eastAsia="Times New Roman"/>
          <w:sz w:val="40"/>
          <w:lang w:eastAsia="en-GB"/>
        </w:rPr>
        <w:t>Voorwoord</w:t>
      </w:r>
      <w:bookmarkEnd w:id="0"/>
    </w:p>
    <w:p w:rsidR="00C05D5A" w:rsidRDefault="00C05D5A" w:rsidP="00C05D5A">
      <w:pPr>
        <w:shd w:val="clear" w:color="auto" w:fill="FFFFFF"/>
        <w:spacing w:after="0" w:line="240" w:lineRule="auto"/>
        <w:jc w:val="both"/>
        <w:rPr>
          <w:rFonts w:eastAsia="Times New Roman" w:cs="Times New Roman"/>
          <w:b/>
          <w:sz w:val="36"/>
          <w:szCs w:val="36"/>
          <w:lang w:eastAsia="en-GB"/>
        </w:rPr>
      </w:pPr>
    </w:p>
    <w:p w:rsidR="00C05D5A" w:rsidRPr="00247AA1" w:rsidRDefault="00C05D5A" w:rsidP="00C05D5A">
      <w:pPr>
        <w:shd w:val="clear" w:color="auto" w:fill="FFFFFF"/>
        <w:spacing w:after="0" w:line="360" w:lineRule="auto"/>
        <w:jc w:val="both"/>
        <w:rPr>
          <w:rFonts w:eastAsia="Times New Roman" w:cs="Times New Roman"/>
          <w:sz w:val="24"/>
          <w:szCs w:val="24"/>
          <w:lang w:eastAsia="en-GB"/>
        </w:rPr>
      </w:pPr>
      <w:r>
        <w:rPr>
          <w:rFonts w:eastAsia="Times New Roman" w:cs="Times New Roman"/>
          <w:sz w:val="24"/>
          <w:szCs w:val="24"/>
          <w:lang w:eastAsia="en-GB"/>
        </w:rPr>
        <w:t>Deze</w:t>
      </w:r>
      <w:r w:rsidRPr="00247AA1">
        <w:rPr>
          <w:rFonts w:eastAsia="Times New Roman" w:cs="Times New Roman"/>
          <w:sz w:val="24"/>
          <w:szCs w:val="24"/>
          <w:lang w:eastAsia="en-GB"/>
        </w:rPr>
        <w:t xml:space="preserve"> </w:t>
      </w:r>
      <w:r>
        <w:rPr>
          <w:rFonts w:eastAsia="Times New Roman" w:cs="Times New Roman"/>
          <w:sz w:val="24"/>
          <w:szCs w:val="24"/>
          <w:lang w:eastAsia="en-GB"/>
        </w:rPr>
        <w:t>thesis</w:t>
      </w:r>
      <w:r w:rsidRPr="00247AA1">
        <w:rPr>
          <w:rFonts w:eastAsia="Times New Roman" w:cs="Times New Roman"/>
          <w:sz w:val="24"/>
          <w:szCs w:val="24"/>
          <w:lang w:eastAsia="en-GB"/>
        </w:rPr>
        <w:t xml:space="preserve"> is geschreven ten behoeve van de afronding van de </w:t>
      </w:r>
      <w:r>
        <w:rPr>
          <w:rFonts w:eastAsia="Times New Roman" w:cs="Times New Roman"/>
          <w:sz w:val="24"/>
          <w:szCs w:val="24"/>
          <w:lang w:eastAsia="en-GB"/>
        </w:rPr>
        <w:t>bachelor</w:t>
      </w:r>
      <w:r w:rsidRPr="00247AA1">
        <w:rPr>
          <w:rFonts w:eastAsia="Times New Roman" w:cs="Times New Roman"/>
          <w:sz w:val="24"/>
          <w:szCs w:val="24"/>
          <w:lang w:eastAsia="en-GB"/>
        </w:rPr>
        <w:t xml:space="preserve"> studie Economie &amp; Bedrijfseconomie aan de Erasmus</w:t>
      </w:r>
      <w:r w:rsidRPr="00247AA1">
        <w:rPr>
          <w:rFonts w:eastAsia="Times New Roman" w:cs="Times New Roman"/>
          <w:color w:val="5B9BD5" w:themeColor="accent1"/>
          <w:sz w:val="24"/>
          <w:szCs w:val="24"/>
          <w:lang w:eastAsia="en-GB"/>
        </w:rPr>
        <w:t xml:space="preserve"> </w:t>
      </w:r>
      <w:r w:rsidRPr="00247AA1">
        <w:rPr>
          <w:rFonts w:eastAsia="Times New Roman" w:cs="Times New Roman"/>
          <w:sz w:val="24"/>
          <w:szCs w:val="24"/>
          <w:lang w:eastAsia="en-GB"/>
        </w:rPr>
        <w:t xml:space="preserve">Universiteit Rotterdam. De laatste fase van deze bachelor wordt afgerond </w:t>
      </w:r>
      <w:proofErr w:type="gramStart"/>
      <w:r>
        <w:rPr>
          <w:rFonts w:eastAsia="Times New Roman" w:cs="Times New Roman"/>
          <w:sz w:val="24"/>
          <w:szCs w:val="24"/>
          <w:lang w:eastAsia="en-GB"/>
        </w:rPr>
        <w:t>middels</w:t>
      </w:r>
      <w:proofErr w:type="gramEnd"/>
      <w:r w:rsidRPr="00247AA1">
        <w:rPr>
          <w:rFonts w:eastAsia="Times New Roman" w:cs="Times New Roman"/>
          <w:sz w:val="24"/>
          <w:szCs w:val="24"/>
          <w:lang w:eastAsia="en-GB"/>
        </w:rPr>
        <w:t xml:space="preserve"> een </w:t>
      </w:r>
      <w:r>
        <w:rPr>
          <w:rFonts w:eastAsia="Times New Roman" w:cs="Times New Roman"/>
          <w:sz w:val="24"/>
          <w:szCs w:val="24"/>
          <w:lang w:eastAsia="en-GB"/>
        </w:rPr>
        <w:t>scriptie. Na een aantal jaren</w:t>
      </w:r>
      <w:r w:rsidRPr="00247AA1">
        <w:rPr>
          <w:rFonts w:eastAsia="Times New Roman" w:cs="Times New Roman"/>
          <w:sz w:val="24"/>
          <w:szCs w:val="24"/>
          <w:lang w:eastAsia="en-GB"/>
        </w:rPr>
        <w:t xml:space="preserve"> deze studie te hebben gevolgd en kennis </w:t>
      </w:r>
      <w:r>
        <w:rPr>
          <w:rFonts w:eastAsia="Times New Roman" w:cs="Times New Roman"/>
          <w:sz w:val="24"/>
          <w:szCs w:val="24"/>
          <w:lang w:eastAsia="en-GB"/>
        </w:rPr>
        <w:t>te hebben gemaakt</w:t>
      </w:r>
      <w:r w:rsidRPr="00247AA1">
        <w:rPr>
          <w:rFonts w:eastAsia="Times New Roman" w:cs="Times New Roman"/>
          <w:sz w:val="24"/>
          <w:szCs w:val="24"/>
          <w:lang w:eastAsia="en-GB"/>
        </w:rPr>
        <w:t xml:space="preserve"> met </w:t>
      </w:r>
      <w:r>
        <w:rPr>
          <w:rFonts w:eastAsia="Times New Roman" w:cs="Times New Roman"/>
          <w:sz w:val="24"/>
          <w:szCs w:val="24"/>
          <w:lang w:eastAsia="en-GB"/>
        </w:rPr>
        <w:t>diverse</w:t>
      </w:r>
      <w:r w:rsidRPr="00247AA1">
        <w:rPr>
          <w:rFonts w:eastAsia="Times New Roman" w:cs="Times New Roman"/>
          <w:sz w:val="24"/>
          <w:szCs w:val="24"/>
          <w:lang w:eastAsia="en-GB"/>
        </w:rPr>
        <w:t xml:space="preserve"> vakken in </w:t>
      </w:r>
      <w:proofErr w:type="gramStart"/>
      <w:r w:rsidRPr="00247AA1">
        <w:rPr>
          <w:rFonts w:eastAsia="Times New Roman" w:cs="Times New Roman"/>
          <w:sz w:val="24"/>
          <w:szCs w:val="24"/>
          <w:lang w:eastAsia="en-GB"/>
        </w:rPr>
        <w:t>de</w:t>
      </w:r>
      <w:proofErr w:type="gramEnd"/>
      <w:r w:rsidRPr="00247AA1">
        <w:rPr>
          <w:rFonts w:eastAsia="Times New Roman" w:cs="Times New Roman"/>
          <w:sz w:val="24"/>
          <w:szCs w:val="24"/>
          <w:lang w:eastAsia="en-GB"/>
        </w:rPr>
        <w:t xml:space="preserve"> (</w:t>
      </w:r>
      <w:proofErr w:type="spellStart"/>
      <w:r w:rsidRPr="00247AA1">
        <w:rPr>
          <w:rFonts w:eastAsia="Times New Roman" w:cs="Times New Roman"/>
          <w:sz w:val="24"/>
          <w:szCs w:val="24"/>
          <w:lang w:eastAsia="en-GB"/>
        </w:rPr>
        <w:t>bedrijfs</w:t>
      </w:r>
      <w:proofErr w:type="spellEnd"/>
      <w:r w:rsidRPr="00247AA1">
        <w:rPr>
          <w:rFonts w:eastAsia="Times New Roman" w:cs="Times New Roman"/>
          <w:sz w:val="24"/>
          <w:szCs w:val="24"/>
          <w:lang w:eastAsia="en-GB"/>
        </w:rPr>
        <w:t xml:space="preserve">)economische richting, ben ik tot de conclusie gekomen dat mijn mogelijke maatschappelijke carrière in de accounting, </w:t>
      </w:r>
      <w:proofErr w:type="spellStart"/>
      <w:r w:rsidRPr="00247AA1">
        <w:rPr>
          <w:rFonts w:eastAsia="Times New Roman" w:cs="Times New Roman"/>
          <w:sz w:val="24"/>
          <w:szCs w:val="24"/>
          <w:lang w:eastAsia="en-GB"/>
        </w:rPr>
        <w:t>auditing</w:t>
      </w:r>
      <w:proofErr w:type="spellEnd"/>
      <w:r w:rsidRPr="00247AA1">
        <w:rPr>
          <w:rFonts w:eastAsia="Times New Roman" w:cs="Times New Roman"/>
          <w:sz w:val="24"/>
          <w:szCs w:val="24"/>
          <w:lang w:eastAsia="en-GB"/>
        </w:rPr>
        <w:t xml:space="preserve"> &amp; </w:t>
      </w:r>
      <w:proofErr w:type="spellStart"/>
      <w:r w:rsidRPr="00247AA1">
        <w:rPr>
          <w:rFonts w:eastAsia="Times New Roman" w:cs="Times New Roman"/>
          <w:sz w:val="24"/>
          <w:szCs w:val="24"/>
          <w:lang w:eastAsia="en-GB"/>
        </w:rPr>
        <w:t>control</w:t>
      </w:r>
      <w:proofErr w:type="spellEnd"/>
      <w:r w:rsidRPr="00247AA1">
        <w:rPr>
          <w:rFonts w:eastAsia="Times New Roman" w:cs="Times New Roman"/>
          <w:sz w:val="24"/>
          <w:szCs w:val="24"/>
          <w:lang w:eastAsia="en-GB"/>
        </w:rPr>
        <w:t xml:space="preserve"> richting kan </w:t>
      </w:r>
      <w:r>
        <w:rPr>
          <w:rFonts w:eastAsia="Times New Roman" w:cs="Times New Roman"/>
          <w:sz w:val="24"/>
          <w:szCs w:val="24"/>
          <w:lang w:eastAsia="en-GB"/>
        </w:rPr>
        <w:t>liggen</w:t>
      </w:r>
      <w:r w:rsidRPr="00247AA1">
        <w:rPr>
          <w:rFonts w:eastAsia="Times New Roman" w:cs="Times New Roman"/>
          <w:sz w:val="24"/>
          <w:szCs w:val="24"/>
          <w:lang w:eastAsia="en-GB"/>
        </w:rPr>
        <w:t>. In de voorgaande studieperiode tijdens de werkcollege</w:t>
      </w:r>
      <w:r>
        <w:rPr>
          <w:rFonts w:eastAsia="Times New Roman" w:cs="Times New Roman"/>
          <w:sz w:val="24"/>
          <w:szCs w:val="24"/>
          <w:lang w:eastAsia="en-GB"/>
        </w:rPr>
        <w:t>s van</w:t>
      </w:r>
      <w:r w:rsidRPr="00247AA1">
        <w:rPr>
          <w:rFonts w:eastAsia="Times New Roman" w:cs="Times New Roman"/>
          <w:sz w:val="24"/>
          <w:szCs w:val="24"/>
          <w:lang w:eastAsia="en-GB"/>
        </w:rPr>
        <w:t xml:space="preserve"> Externe Verslaggeving is dat g</w:t>
      </w:r>
      <w:r w:rsidR="0040633B">
        <w:rPr>
          <w:rFonts w:eastAsia="Times New Roman" w:cs="Times New Roman"/>
          <w:sz w:val="24"/>
          <w:szCs w:val="24"/>
          <w:lang w:eastAsia="en-GB"/>
        </w:rPr>
        <w:t>evoel bevestigd en versterkt. Dit</w:t>
      </w:r>
      <w:r w:rsidRPr="00247AA1">
        <w:rPr>
          <w:rFonts w:eastAsia="Times New Roman" w:cs="Times New Roman"/>
          <w:sz w:val="24"/>
          <w:szCs w:val="24"/>
          <w:lang w:eastAsia="en-GB"/>
        </w:rPr>
        <w:t xml:space="preserve"> was voor mij de aanleiding om </w:t>
      </w:r>
      <w:r w:rsidR="0040633B">
        <w:rPr>
          <w:rFonts w:eastAsia="Times New Roman" w:cs="Times New Roman"/>
          <w:sz w:val="24"/>
          <w:szCs w:val="24"/>
          <w:lang w:eastAsia="en-GB"/>
        </w:rPr>
        <w:t>mijn onderzoek</w:t>
      </w:r>
      <w:r w:rsidRPr="00247AA1">
        <w:rPr>
          <w:rFonts w:eastAsia="Times New Roman" w:cs="Times New Roman"/>
          <w:sz w:val="24"/>
          <w:szCs w:val="24"/>
          <w:lang w:eastAsia="en-GB"/>
        </w:rPr>
        <w:t xml:space="preserve"> </w:t>
      </w:r>
      <w:r w:rsidR="0040633B">
        <w:rPr>
          <w:rFonts w:eastAsia="Times New Roman" w:cs="Times New Roman"/>
          <w:sz w:val="24"/>
          <w:szCs w:val="24"/>
          <w:lang w:eastAsia="en-GB"/>
        </w:rPr>
        <w:t>in dit gedeelte van de accountancy</w:t>
      </w:r>
      <w:r w:rsidRPr="00247AA1">
        <w:rPr>
          <w:rFonts w:eastAsia="Times New Roman" w:cs="Times New Roman"/>
          <w:sz w:val="24"/>
          <w:szCs w:val="24"/>
          <w:lang w:eastAsia="en-GB"/>
        </w:rPr>
        <w:t xml:space="preserve">, </w:t>
      </w:r>
      <w:r w:rsidR="0040633B">
        <w:rPr>
          <w:rFonts w:eastAsia="Times New Roman" w:cs="Times New Roman"/>
          <w:sz w:val="24"/>
          <w:szCs w:val="24"/>
          <w:lang w:eastAsia="en-GB"/>
        </w:rPr>
        <w:t>waardoor ik diepgaandere kennis kon vergaren.</w:t>
      </w:r>
      <w:r w:rsidRPr="00247AA1">
        <w:rPr>
          <w:rFonts w:eastAsia="Times New Roman" w:cs="Times New Roman"/>
          <w:sz w:val="24"/>
          <w:szCs w:val="24"/>
          <w:lang w:eastAsia="en-GB"/>
        </w:rPr>
        <w:t xml:space="preserve"> Omdat de bachelor </w:t>
      </w:r>
      <w:r>
        <w:rPr>
          <w:rFonts w:eastAsia="Times New Roman" w:cs="Times New Roman"/>
          <w:sz w:val="24"/>
          <w:szCs w:val="24"/>
          <w:lang w:eastAsia="en-GB"/>
        </w:rPr>
        <w:t>thesis</w:t>
      </w:r>
      <w:r w:rsidRPr="00247AA1">
        <w:rPr>
          <w:rFonts w:eastAsia="Times New Roman" w:cs="Times New Roman"/>
          <w:sz w:val="24"/>
          <w:szCs w:val="24"/>
          <w:lang w:eastAsia="en-GB"/>
        </w:rPr>
        <w:t xml:space="preserve"> een belangrijk, omvattend en tijdrovend onderdeel van de studie is, wil ik bij voorkeur een ond</w:t>
      </w:r>
      <w:r w:rsidR="0040633B">
        <w:rPr>
          <w:rFonts w:eastAsia="Times New Roman" w:cs="Times New Roman"/>
          <w:sz w:val="24"/>
          <w:szCs w:val="24"/>
          <w:lang w:eastAsia="en-GB"/>
        </w:rPr>
        <w:t>erwerp dat mijn interesse wekt. Tegelijkertijd moet het onderwerp boeiend zijn</w:t>
      </w:r>
      <w:r w:rsidRPr="00247AA1">
        <w:rPr>
          <w:rFonts w:eastAsia="Times New Roman" w:cs="Times New Roman"/>
          <w:sz w:val="24"/>
          <w:szCs w:val="24"/>
          <w:lang w:eastAsia="en-GB"/>
        </w:rPr>
        <w:t xml:space="preserve"> voor zowel mensen uit de accountancy </w:t>
      </w:r>
      <w:r w:rsidR="0040633B">
        <w:rPr>
          <w:rFonts w:eastAsia="Times New Roman" w:cs="Times New Roman"/>
          <w:sz w:val="24"/>
          <w:szCs w:val="24"/>
          <w:lang w:eastAsia="en-GB"/>
        </w:rPr>
        <w:t>als</w:t>
      </w:r>
      <w:r w:rsidRPr="00247AA1">
        <w:rPr>
          <w:rFonts w:eastAsia="Times New Roman" w:cs="Times New Roman"/>
          <w:sz w:val="24"/>
          <w:szCs w:val="24"/>
          <w:lang w:eastAsia="en-GB"/>
        </w:rPr>
        <w:t xml:space="preserve"> medestudenten</w:t>
      </w:r>
      <w:r w:rsidR="0040633B">
        <w:rPr>
          <w:rFonts w:eastAsia="Times New Roman" w:cs="Times New Roman"/>
          <w:sz w:val="24"/>
          <w:szCs w:val="24"/>
          <w:lang w:eastAsia="en-GB"/>
        </w:rPr>
        <w:t>,</w:t>
      </w:r>
      <w:r w:rsidRPr="00247AA1">
        <w:rPr>
          <w:rFonts w:eastAsia="Times New Roman" w:cs="Times New Roman"/>
          <w:sz w:val="24"/>
          <w:szCs w:val="24"/>
          <w:lang w:eastAsia="en-GB"/>
        </w:rPr>
        <w:t xml:space="preserve"> maar ook maatschappelijk een relevant </w:t>
      </w:r>
      <w:proofErr w:type="gramStart"/>
      <w:r w:rsidRPr="00247AA1">
        <w:rPr>
          <w:rFonts w:eastAsia="Times New Roman" w:cs="Times New Roman"/>
          <w:sz w:val="24"/>
          <w:szCs w:val="24"/>
          <w:lang w:eastAsia="en-GB"/>
        </w:rPr>
        <w:t>item</w:t>
      </w:r>
      <w:proofErr w:type="gramEnd"/>
      <w:r w:rsidRPr="00247AA1">
        <w:rPr>
          <w:rFonts w:eastAsia="Times New Roman" w:cs="Times New Roman"/>
          <w:sz w:val="24"/>
          <w:szCs w:val="24"/>
          <w:lang w:eastAsia="en-GB"/>
        </w:rPr>
        <w:t xml:space="preserve"> is.</w:t>
      </w:r>
    </w:p>
    <w:p w:rsidR="00C05D5A" w:rsidRPr="00247AA1" w:rsidRDefault="00C05D5A" w:rsidP="00C05D5A">
      <w:pPr>
        <w:shd w:val="clear" w:color="auto" w:fill="FFFFFF"/>
        <w:spacing w:after="0" w:line="360" w:lineRule="auto"/>
        <w:jc w:val="both"/>
        <w:rPr>
          <w:rFonts w:eastAsia="Times New Roman" w:cs="Times New Roman"/>
          <w:sz w:val="24"/>
          <w:szCs w:val="24"/>
          <w:lang w:eastAsia="en-GB"/>
        </w:rPr>
      </w:pP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D</w:t>
      </w:r>
      <w:r w:rsidRPr="00247AA1">
        <w:rPr>
          <w:rFonts w:eastAsia="Times New Roman" w:cs="Times New Roman"/>
          <w:color w:val="222222"/>
          <w:sz w:val="24"/>
          <w:szCs w:val="24"/>
          <w:lang w:eastAsia="en-GB"/>
        </w:rPr>
        <w:t xml:space="preserve">e financiële perikelen rondom de voetbalclub FC Twente </w:t>
      </w:r>
      <w:r>
        <w:rPr>
          <w:rFonts w:eastAsia="Times New Roman" w:cs="Times New Roman"/>
          <w:color w:val="222222"/>
          <w:sz w:val="24"/>
          <w:szCs w:val="24"/>
          <w:lang w:eastAsia="en-GB"/>
        </w:rPr>
        <w:t>gaven aanleiding voor een</w:t>
      </w:r>
      <w:r w:rsidRPr="00247AA1">
        <w:rPr>
          <w:rFonts w:eastAsia="Times New Roman" w:cs="Times New Roman"/>
          <w:color w:val="222222"/>
          <w:sz w:val="24"/>
          <w:szCs w:val="24"/>
          <w:lang w:eastAsia="en-GB"/>
        </w:rPr>
        <w:t xml:space="preserve"> onderwerp dat aan bovenstaande wensen voldeed. De eredivisionist kampt al langere tijd met financiële problemen en is daardoor teruggezet naar de door KNVB opgezette ‘Categorie 1’, waarin clubs worden geacht te werken aan hun financieel herstel </w:t>
      </w:r>
      <w:sdt>
        <w:sdtPr>
          <w:rPr>
            <w:rFonts w:eastAsia="Times New Roman" w:cs="Times New Roman"/>
            <w:color w:val="222222"/>
            <w:sz w:val="24"/>
            <w:szCs w:val="24"/>
            <w:lang w:eastAsia="en-GB"/>
          </w:rPr>
          <w:id w:val="-2040740123"/>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CITATION KNV14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(KNVB, 2015)</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xml:space="preserve">. De financiële problemen ontstonden in het voorjaar van 2014, nadat de licentiecommissie van de KNVB de </w:t>
      </w:r>
      <w:r>
        <w:rPr>
          <w:rFonts w:eastAsia="Times New Roman" w:cs="Times New Roman"/>
          <w:color w:val="222222"/>
          <w:sz w:val="24"/>
          <w:szCs w:val="24"/>
          <w:lang w:eastAsia="en-GB"/>
        </w:rPr>
        <w:t>voetbalclub</w:t>
      </w:r>
      <w:r w:rsidR="00A2660B">
        <w:rPr>
          <w:rFonts w:eastAsia="Times New Roman" w:cs="Times New Roman"/>
          <w:color w:val="222222"/>
          <w:sz w:val="24"/>
          <w:szCs w:val="24"/>
          <w:lang w:eastAsia="en-GB"/>
        </w:rPr>
        <w:t xml:space="preserve"> twee</w:t>
      </w:r>
      <w:r w:rsidRPr="00247AA1">
        <w:rPr>
          <w:rFonts w:eastAsia="Times New Roman" w:cs="Times New Roman"/>
          <w:color w:val="222222"/>
          <w:sz w:val="24"/>
          <w:szCs w:val="24"/>
          <w:lang w:eastAsia="en-GB"/>
        </w:rPr>
        <w:t xml:space="preserve"> boetes had opgelegd. Allereerst </w:t>
      </w:r>
      <w:r>
        <w:rPr>
          <w:rFonts w:eastAsia="Times New Roman" w:cs="Times New Roman"/>
          <w:color w:val="222222"/>
          <w:sz w:val="24"/>
          <w:szCs w:val="24"/>
          <w:lang w:eastAsia="en-GB"/>
        </w:rPr>
        <w:t xml:space="preserve">kreeg FC Twente </w:t>
      </w:r>
      <w:r w:rsidRPr="00247AA1">
        <w:rPr>
          <w:rFonts w:eastAsia="Times New Roman" w:cs="Times New Roman"/>
          <w:color w:val="222222"/>
          <w:sz w:val="24"/>
          <w:szCs w:val="24"/>
          <w:lang w:eastAsia="en-GB"/>
        </w:rPr>
        <w:t xml:space="preserve">een boete van 10.000 euro omdat de deadline voor het inleveren van de jaarrekening over het seizoen 2012-2013 voor de deadline van 1 november 2013 niet werd gehaald. Daar kwam een boete van 25.000 euro bovenop omdat een aantal voor de licentiecommissie noodzakelijke toelichtingen ontbraken </w:t>
      </w:r>
      <w:r>
        <w:rPr>
          <w:rFonts w:eastAsia="Times New Roman" w:cs="Times New Roman"/>
          <w:color w:val="222222"/>
          <w:sz w:val="24"/>
          <w:szCs w:val="24"/>
          <w:lang w:eastAsia="en-GB"/>
        </w:rPr>
        <w:t xml:space="preserve">in het jaarverslag </w:t>
      </w:r>
      <w:sdt>
        <w:sdtPr>
          <w:rPr>
            <w:rFonts w:eastAsia="Times New Roman" w:cs="Times New Roman"/>
            <w:color w:val="222222"/>
            <w:sz w:val="24"/>
            <w:szCs w:val="24"/>
            <w:lang w:eastAsia="en-GB"/>
          </w:rPr>
          <w:id w:val="-272249048"/>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 CITATION NOS14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(NOS, 2014)</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Vervolgens kreeg de</w:t>
      </w:r>
      <w:r>
        <w:rPr>
          <w:rFonts w:eastAsia="Times New Roman" w:cs="Times New Roman"/>
          <w:color w:val="222222"/>
          <w:sz w:val="24"/>
          <w:szCs w:val="24"/>
          <w:lang w:eastAsia="en-GB"/>
        </w:rPr>
        <w:t xml:space="preserve"> voetbalclub</w:t>
      </w:r>
      <w:r w:rsidRPr="00247AA1">
        <w:rPr>
          <w:rFonts w:eastAsia="Times New Roman" w:cs="Times New Roman"/>
          <w:color w:val="222222"/>
          <w:sz w:val="24"/>
          <w:szCs w:val="24"/>
          <w:lang w:eastAsia="en-GB"/>
        </w:rPr>
        <w:t>, nadat eerder een publieke waarschuwing werd uitgedeeld, in maart van dit jaar 3 winstpunten in mindering</w:t>
      </w:r>
      <w:r w:rsidR="0040633B">
        <w:rPr>
          <w:rFonts w:eastAsia="Times New Roman" w:cs="Times New Roman"/>
          <w:color w:val="222222"/>
          <w:sz w:val="24"/>
          <w:szCs w:val="24"/>
          <w:lang w:eastAsia="en-GB"/>
        </w:rPr>
        <w:t xml:space="preserve"> in de competitie</w:t>
      </w:r>
      <w:r w:rsidRPr="00247AA1">
        <w:rPr>
          <w:rFonts w:eastAsia="Times New Roman" w:cs="Times New Roman"/>
          <w:color w:val="222222"/>
          <w:sz w:val="24"/>
          <w:szCs w:val="24"/>
          <w:lang w:eastAsia="en-GB"/>
        </w:rPr>
        <w:t xml:space="preserve"> nadat de licentiecommissie van de KNVB het financiële plan van aanpak had afgekeurd </w:t>
      </w:r>
      <w:sdt>
        <w:sdtPr>
          <w:rPr>
            <w:rFonts w:eastAsia="Times New Roman" w:cs="Times New Roman"/>
            <w:color w:val="222222"/>
            <w:sz w:val="24"/>
            <w:szCs w:val="24"/>
            <w:lang w:eastAsia="en-GB"/>
          </w:rPr>
          <w:id w:val="-115833384"/>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 CITATION deG15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(de Groot, 2015)</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Per slot van rekening kreeg de club zeer recentelijk wederom 3 winstpunten in mindering</w:t>
      </w:r>
      <w:r w:rsidR="0040633B">
        <w:rPr>
          <w:rFonts w:eastAsia="Times New Roman" w:cs="Times New Roman"/>
          <w:color w:val="222222"/>
          <w:sz w:val="24"/>
          <w:szCs w:val="24"/>
          <w:lang w:eastAsia="en-GB"/>
        </w:rPr>
        <w:t xml:space="preserve"> in de competitie</w:t>
      </w:r>
      <w:r w:rsidRPr="00247AA1">
        <w:rPr>
          <w:rFonts w:eastAsia="Times New Roman" w:cs="Times New Roman"/>
          <w:color w:val="222222"/>
          <w:sz w:val="24"/>
          <w:szCs w:val="24"/>
          <w:lang w:eastAsia="en-GB"/>
        </w:rPr>
        <w:t xml:space="preserve">. De licentiecommissie van de KNVB legde FC Twente in april van dit jaar dezelfde </w:t>
      </w:r>
      <w:r w:rsidRPr="00247AA1">
        <w:rPr>
          <w:rFonts w:eastAsia="Times New Roman" w:cs="Times New Roman"/>
          <w:color w:val="222222"/>
          <w:sz w:val="24"/>
          <w:szCs w:val="24"/>
          <w:lang w:eastAsia="en-GB"/>
        </w:rPr>
        <w:lastRenderedPageBreak/>
        <w:t xml:space="preserve">straf op nadat er voor de derde keer niet voldaan werd aan de normstelling in het plan van aanpak. Naar aanleiding van deze straf is er wederom een plan van aanpak opgesteld </w:t>
      </w:r>
      <w:sdt>
        <w:sdtPr>
          <w:rPr>
            <w:rFonts w:eastAsia="Times New Roman" w:cs="Times New Roman"/>
            <w:color w:val="222222"/>
            <w:sz w:val="24"/>
            <w:szCs w:val="24"/>
            <w:lang w:eastAsia="en-GB"/>
          </w:rPr>
          <w:id w:val="-1731608858"/>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 CITATION Vol15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(Volkskrant, 2015)</w:t>
          </w:r>
          <w:r w:rsidR="000C5AB6" w:rsidRPr="00247AA1">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 xml:space="preserve">. </w:t>
      </w: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Na enig vooronderzoek over de haalbaarheid naar dit onderwerp, besloot ik werk te maken van dit interessante onderzoek. Gedurende de thesis worden verschillende facetten van de accountancy besproken, om vervolgens gekoppeld te worden aan een soort casestudy die gericht is op FC Twente. Tijdens de thesis kom ik wederom veel in aanraking met meerdere balansen, winst-en-verliesrekeningen, waarderingsgrondslagen en andere interessante onderdelen van de jaarrekening. Met behulp van dit onderzoek hoop ik meer ervaring op het gebied van accountancy</w:t>
      </w:r>
      <w:r w:rsidR="0040633B">
        <w:rPr>
          <w:rFonts w:eastAsia="Times New Roman" w:cs="Times New Roman"/>
          <w:color w:val="222222"/>
          <w:sz w:val="24"/>
          <w:szCs w:val="24"/>
          <w:lang w:eastAsia="en-GB"/>
        </w:rPr>
        <w:t xml:space="preserve"> op te doen</w:t>
      </w:r>
      <w:r>
        <w:rPr>
          <w:rFonts w:eastAsia="Times New Roman" w:cs="Times New Roman"/>
          <w:color w:val="222222"/>
          <w:sz w:val="24"/>
          <w:szCs w:val="24"/>
          <w:lang w:eastAsia="en-GB"/>
        </w:rPr>
        <w:t>, zodat ik meer en meer bij machte zal zijn om de belangrijkste punten uit de jaarrekening in de toekomst te kunnen herkennen.</w:t>
      </w: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Mijn dank gaat uit naar drs. R.D. </w:t>
      </w:r>
      <w:proofErr w:type="spellStart"/>
      <w:r>
        <w:rPr>
          <w:rFonts w:eastAsia="Times New Roman" w:cs="Times New Roman"/>
          <w:color w:val="222222"/>
          <w:sz w:val="24"/>
          <w:szCs w:val="24"/>
          <w:lang w:eastAsia="en-GB"/>
        </w:rPr>
        <w:t>Achaibersing</w:t>
      </w:r>
      <w:proofErr w:type="spellEnd"/>
      <w:r>
        <w:rPr>
          <w:rFonts w:eastAsia="Times New Roman" w:cs="Times New Roman"/>
          <w:color w:val="222222"/>
          <w:sz w:val="24"/>
          <w:szCs w:val="24"/>
          <w:lang w:eastAsia="en-GB"/>
        </w:rPr>
        <w:t>, die mij tijdens het schrijven van de thesis heeft begeleid om de thesis tot een succesvol einde te brengen. Ten</w:t>
      </w:r>
      <w:r w:rsidR="00711F54">
        <w:rPr>
          <w:rFonts w:eastAsia="Times New Roman" w:cs="Times New Roman"/>
          <w:color w:val="222222"/>
          <w:sz w:val="24"/>
          <w:szCs w:val="24"/>
          <w:lang w:eastAsia="en-GB"/>
        </w:rPr>
        <w:t xml:space="preserve"> </w:t>
      </w:r>
      <w:r>
        <w:rPr>
          <w:rFonts w:eastAsia="Times New Roman" w:cs="Times New Roman"/>
          <w:color w:val="222222"/>
          <w:sz w:val="24"/>
          <w:szCs w:val="24"/>
          <w:lang w:eastAsia="en-GB"/>
        </w:rPr>
        <w:t xml:space="preserve">slotte wens ik U veel plezier met het lezen van de thesis, die zowel voor de accountants als de voetballiefhebbers </w:t>
      </w:r>
      <w:proofErr w:type="gramStart"/>
      <w:r>
        <w:rPr>
          <w:rFonts w:eastAsia="Times New Roman" w:cs="Times New Roman"/>
          <w:color w:val="222222"/>
          <w:sz w:val="24"/>
          <w:szCs w:val="24"/>
          <w:lang w:eastAsia="en-GB"/>
        </w:rPr>
        <w:t>een</w:t>
      </w:r>
      <w:proofErr w:type="gramEnd"/>
      <w:r>
        <w:rPr>
          <w:rFonts w:eastAsia="Times New Roman" w:cs="Times New Roman"/>
          <w:color w:val="222222"/>
          <w:sz w:val="24"/>
          <w:szCs w:val="24"/>
          <w:lang w:eastAsia="en-GB"/>
        </w:rPr>
        <w:t xml:space="preserve"> interessante vraagstukken bevatten.</w:t>
      </w:r>
    </w:p>
    <w:p w:rsidR="00C05D5A" w:rsidRDefault="00C05D5A" w:rsidP="00C05D5A">
      <w:pPr>
        <w:shd w:val="clear" w:color="auto" w:fill="FFFFFF"/>
        <w:spacing w:after="0" w:line="360" w:lineRule="auto"/>
        <w:jc w:val="both"/>
        <w:rPr>
          <w:rFonts w:eastAsia="Times New Roman" w:cs="Times New Roman"/>
          <w:color w:val="222222"/>
          <w:sz w:val="24"/>
          <w:szCs w:val="24"/>
          <w:lang w:eastAsia="en-GB"/>
        </w:rPr>
      </w:pPr>
    </w:p>
    <w:p w:rsidR="00C05D5A" w:rsidRPr="00247AA1" w:rsidRDefault="00C05D5A" w:rsidP="00C05D5A">
      <w:pPr>
        <w:shd w:val="clear" w:color="auto" w:fill="FFFFFF"/>
        <w:spacing w:after="0" w:line="276"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Guy van </w:t>
      </w:r>
      <w:proofErr w:type="spellStart"/>
      <w:r>
        <w:rPr>
          <w:rFonts w:eastAsia="Times New Roman" w:cs="Times New Roman"/>
          <w:color w:val="222222"/>
          <w:sz w:val="24"/>
          <w:szCs w:val="24"/>
          <w:lang w:eastAsia="en-GB"/>
        </w:rPr>
        <w:t>Merrië</w:t>
      </w:r>
      <w:r w:rsidRPr="00247AA1">
        <w:rPr>
          <w:rFonts w:eastAsia="Times New Roman" w:cs="Times New Roman"/>
          <w:color w:val="222222"/>
          <w:sz w:val="24"/>
          <w:szCs w:val="24"/>
          <w:lang w:eastAsia="en-GB"/>
        </w:rPr>
        <w:t>nboer</w:t>
      </w:r>
      <w:proofErr w:type="spellEnd"/>
    </w:p>
    <w:p w:rsidR="00C05D5A" w:rsidRDefault="00C05D5A" w:rsidP="00C05D5A">
      <w:pPr>
        <w:shd w:val="clear" w:color="auto" w:fill="FFFFFF"/>
        <w:spacing w:after="0" w:line="276"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t>Erasmus Universiteit Rotterdam</w:t>
      </w:r>
    </w:p>
    <w:p w:rsidR="00C05D5A" w:rsidRPr="00633A13" w:rsidRDefault="00C05D5A" w:rsidP="00C05D5A">
      <w:pPr>
        <w:shd w:val="clear" w:color="auto" w:fill="FFFFFF"/>
        <w:spacing w:after="0" w:line="276" w:lineRule="auto"/>
        <w:jc w:val="both"/>
        <w:rPr>
          <w:rFonts w:eastAsia="Times New Roman" w:cs="Times New Roman"/>
          <w:color w:val="222222"/>
          <w:sz w:val="24"/>
          <w:szCs w:val="24"/>
          <w:lang w:val="en-GB" w:eastAsia="en-GB"/>
        </w:rPr>
      </w:pPr>
      <w:r w:rsidRPr="00633A13">
        <w:rPr>
          <w:rFonts w:eastAsia="Times New Roman" w:cs="Times New Roman"/>
          <w:color w:val="222222"/>
          <w:sz w:val="24"/>
          <w:szCs w:val="24"/>
          <w:lang w:val="en-GB" w:eastAsia="en-GB"/>
        </w:rPr>
        <w:t>Erasmus School of Economics,</w:t>
      </w:r>
      <w:r w:rsidRPr="00E01DA4">
        <w:rPr>
          <w:rFonts w:eastAsia="Times New Roman" w:cs="Times New Roman"/>
          <w:color w:val="222222"/>
          <w:sz w:val="24"/>
          <w:szCs w:val="24"/>
          <w:lang w:val="en-GB" w:eastAsia="en-GB"/>
        </w:rPr>
        <w:t xml:space="preserve"> </w:t>
      </w:r>
      <w:proofErr w:type="spellStart"/>
      <w:r w:rsidRPr="00E01DA4">
        <w:rPr>
          <w:rFonts w:eastAsia="Times New Roman" w:cs="Times New Roman"/>
          <w:color w:val="222222"/>
          <w:sz w:val="24"/>
          <w:szCs w:val="24"/>
          <w:lang w:val="en-GB" w:eastAsia="en-GB"/>
        </w:rPr>
        <w:t>sectie</w:t>
      </w:r>
      <w:proofErr w:type="spellEnd"/>
      <w:r w:rsidRPr="00633A13">
        <w:rPr>
          <w:rFonts w:eastAsia="Times New Roman" w:cs="Times New Roman"/>
          <w:color w:val="222222"/>
          <w:sz w:val="24"/>
          <w:szCs w:val="24"/>
          <w:lang w:val="en-GB" w:eastAsia="en-GB"/>
        </w:rPr>
        <w:t xml:space="preserve"> Accounting, Auditing &amp; Control (AA&amp;C)</w:t>
      </w:r>
    </w:p>
    <w:p w:rsidR="00C05D5A" w:rsidRDefault="00C05D5A" w:rsidP="00C05D5A">
      <w:pPr>
        <w:shd w:val="clear" w:color="auto" w:fill="FFFFFF"/>
        <w:spacing w:after="0" w:line="276"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Onder begeleiding van drs. R.D. </w:t>
      </w:r>
      <w:proofErr w:type="spellStart"/>
      <w:r>
        <w:rPr>
          <w:rFonts w:eastAsia="Times New Roman" w:cs="Times New Roman"/>
          <w:color w:val="222222"/>
          <w:sz w:val="24"/>
          <w:szCs w:val="24"/>
          <w:lang w:eastAsia="en-GB"/>
        </w:rPr>
        <w:t>Achaibersing</w:t>
      </w:r>
      <w:proofErr w:type="spellEnd"/>
    </w:p>
    <w:p w:rsidR="00E55BAD" w:rsidRPr="00247AA1" w:rsidRDefault="00E55BAD" w:rsidP="00C05D5A">
      <w:pPr>
        <w:shd w:val="clear" w:color="auto" w:fill="FFFFFF"/>
        <w:spacing w:after="0" w:line="276"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Meelezer: Drs. T.P.M. Welten</w:t>
      </w: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C05D5A" w:rsidRPr="00955D5F" w:rsidRDefault="00C05D5A" w:rsidP="00C05D5A">
      <w:pPr>
        <w:shd w:val="clear" w:color="auto" w:fill="FFFFFF"/>
        <w:spacing w:after="0" w:line="240" w:lineRule="auto"/>
        <w:jc w:val="both"/>
        <w:rPr>
          <w:rFonts w:eastAsia="Times New Roman" w:cs="Times New Roman"/>
          <w:b/>
          <w:sz w:val="40"/>
          <w:szCs w:val="36"/>
          <w:lang w:eastAsia="en-GB"/>
        </w:rPr>
      </w:pPr>
    </w:p>
    <w:p w:rsidR="00554074" w:rsidRPr="00955D5F" w:rsidRDefault="00554074" w:rsidP="00247AA1">
      <w:pPr>
        <w:shd w:val="clear" w:color="auto" w:fill="FFFFFF"/>
        <w:spacing w:after="0" w:line="240" w:lineRule="auto"/>
        <w:jc w:val="both"/>
        <w:rPr>
          <w:rFonts w:eastAsia="Times New Roman" w:cs="Times New Roman"/>
          <w:b/>
          <w:sz w:val="40"/>
          <w:szCs w:val="36"/>
          <w:lang w:eastAsia="en-GB"/>
        </w:rPr>
      </w:pPr>
    </w:p>
    <w:p w:rsidR="00554074" w:rsidRDefault="00554074" w:rsidP="00247AA1">
      <w:pPr>
        <w:shd w:val="clear" w:color="auto" w:fill="FFFFFF"/>
        <w:spacing w:after="0" w:line="240" w:lineRule="auto"/>
        <w:jc w:val="both"/>
        <w:rPr>
          <w:rFonts w:eastAsia="Times New Roman" w:cs="Times New Roman"/>
          <w:b/>
          <w:sz w:val="40"/>
          <w:szCs w:val="36"/>
          <w:lang w:eastAsia="en-GB"/>
        </w:rPr>
      </w:pPr>
    </w:p>
    <w:p w:rsidR="00A66C23" w:rsidRDefault="00A66C23" w:rsidP="00247AA1">
      <w:pPr>
        <w:shd w:val="clear" w:color="auto" w:fill="FFFFFF"/>
        <w:spacing w:after="0" w:line="240" w:lineRule="auto"/>
        <w:jc w:val="both"/>
        <w:rPr>
          <w:rFonts w:eastAsia="Times New Roman" w:cs="Times New Roman"/>
          <w:b/>
          <w:sz w:val="40"/>
          <w:szCs w:val="36"/>
          <w:lang w:eastAsia="en-GB"/>
        </w:rPr>
      </w:pPr>
    </w:p>
    <w:p w:rsidR="00A66C23" w:rsidRPr="00955D5F" w:rsidRDefault="00A66C23" w:rsidP="00247AA1">
      <w:pPr>
        <w:shd w:val="clear" w:color="auto" w:fill="FFFFFF"/>
        <w:spacing w:after="0" w:line="240" w:lineRule="auto"/>
        <w:jc w:val="both"/>
        <w:rPr>
          <w:rFonts w:eastAsia="Times New Roman" w:cs="Times New Roman"/>
          <w:b/>
          <w:sz w:val="40"/>
          <w:szCs w:val="36"/>
          <w:lang w:eastAsia="en-GB"/>
        </w:rPr>
      </w:pPr>
    </w:p>
    <w:sdt>
      <w:sdtPr>
        <w:rPr>
          <w:rFonts w:asciiTheme="minorHAnsi" w:eastAsiaTheme="minorEastAsia" w:hAnsiTheme="minorHAnsi" w:cstheme="minorBidi"/>
          <w:color w:val="auto"/>
          <w:sz w:val="20"/>
          <w:szCs w:val="20"/>
        </w:rPr>
        <w:id w:val="-683122969"/>
        <w:docPartObj>
          <w:docPartGallery w:val="Table of Contents"/>
          <w:docPartUnique/>
        </w:docPartObj>
      </w:sdtPr>
      <w:sdtEndPr>
        <w:rPr>
          <w:b/>
          <w:bCs/>
        </w:rPr>
      </w:sdtEndPr>
      <w:sdtContent>
        <w:p w:rsidR="00C05D5A" w:rsidRDefault="00C05D5A" w:rsidP="00C05D5A">
          <w:pPr>
            <w:pStyle w:val="TOCHeading"/>
          </w:pPr>
          <w:r>
            <w:t>Inhoud</w:t>
          </w:r>
        </w:p>
        <w:p w:rsidR="00776867" w:rsidRDefault="000C5AB6">
          <w:pPr>
            <w:pStyle w:val="TOC1"/>
            <w:tabs>
              <w:tab w:val="right" w:leader="dot" w:pos="9062"/>
            </w:tabs>
            <w:rPr>
              <w:rFonts w:cstheme="minorBidi"/>
              <w:noProof/>
              <w:lang w:val="en-GB"/>
            </w:rPr>
          </w:pPr>
          <w:r w:rsidRPr="000C5AB6">
            <w:fldChar w:fldCharType="begin"/>
          </w:r>
          <w:r w:rsidR="00C05D5A">
            <w:instrText xml:space="preserve"> TOC \o "1-3" \h \z \u </w:instrText>
          </w:r>
          <w:r w:rsidRPr="000C5AB6">
            <w:fldChar w:fldCharType="separate"/>
          </w:r>
          <w:hyperlink w:anchor="_Toc425516466" w:history="1">
            <w:r w:rsidR="00776867" w:rsidRPr="00273F8C">
              <w:rPr>
                <w:rStyle w:val="Hyperlink"/>
                <w:rFonts w:eastAsia="Times New Roman"/>
                <w:noProof/>
              </w:rPr>
              <w:t>Voorwoord</w:t>
            </w:r>
            <w:r w:rsidR="00776867">
              <w:rPr>
                <w:noProof/>
                <w:webHidden/>
              </w:rPr>
              <w:tab/>
            </w:r>
            <w:r>
              <w:rPr>
                <w:noProof/>
                <w:webHidden/>
              </w:rPr>
              <w:fldChar w:fldCharType="begin"/>
            </w:r>
            <w:r w:rsidR="00776867">
              <w:rPr>
                <w:noProof/>
                <w:webHidden/>
              </w:rPr>
              <w:instrText xml:space="preserve"> PAGEREF _Toc425516466 \h </w:instrText>
            </w:r>
            <w:r>
              <w:rPr>
                <w:noProof/>
                <w:webHidden/>
              </w:rPr>
            </w:r>
            <w:r>
              <w:rPr>
                <w:noProof/>
                <w:webHidden/>
              </w:rPr>
              <w:fldChar w:fldCharType="separate"/>
            </w:r>
            <w:r w:rsidR="00776867">
              <w:rPr>
                <w:noProof/>
                <w:webHidden/>
              </w:rPr>
              <w:t>3</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467" w:history="1">
            <w:r w:rsidR="00776867" w:rsidRPr="00273F8C">
              <w:rPr>
                <w:rStyle w:val="Hyperlink"/>
                <w:rFonts w:eastAsia="Times New Roman"/>
                <w:noProof/>
              </w:rPr>
              <w:t>Hoofdstuk 1: Inleiding</w:t>
            </w:r>
            <w:r w:rsidR="00776867">
              <w:rPr>
                <w:noProof/>
                <w:webHidden/>
              </w:rPr>
              <w:tab/>
            </w:r>
            <w:r>
              <w:rPr>
                <w:noProof/>
                <w:webHidden/>
              </w:rPr>
              <w:fldChar w:fldCharType="begin"/>
            </w:r>
            <w:r w:rsidR="00776867">
              <w:rPr>
                <w:noProof/>
                <w:webHidden/>
              </w:rPr>
              <w:instrText xml:space="preserve"> PAGEREF _Toc425516467 \h </w:instrText>
            </w:r>
            <w:r>
              <w:rPr>
                <w:noProof/>
                <w:webHidden/>
              </w:rPr>
            </w:r>
            <w:r>
              <w:rPr>
                <w:noProof/>
                <w:webHidden/>
              </w:rPr>
              <w:fldChar w:fldCharType="separate"/>
            </w:r>
            <w:r w:rsidR="00776867">
              <w:rPr>
                <w:noProof/>
                <w:webHidden/>
              </w:rPr>
              <w:t>7</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468" w:history="1">
            <w:r w:rsidR="00776867" w:rsidRPr="00273F8C">
              <w:rPr>
                <w:rStyle w:val="Hyperlink"/>
                <w:noProof/>
              </w:rPr>
              <w:t>Hoofdstuk 2: Materiële vaste activa volgens IAS 16 en RJ 212</w:t>
            </w:r>
            <w:r w:rsidR="00776867">
              <w:rPr>
                <w:noProof/>
                <w:webHidden/>
              </w:rPr>
              <w:tab/>
            </w:r>
            <w:r>
              <w:rPr>
                <w:noProof/>
                <w:webHidden/>
              </w:rPr>
              <w:fldChar w:fldCharType="begin"/>
            </w:r>
            <w:r w:rsidR="00776867">
              <w:rPr>
                <w:noProof/>
                <w:webHidden/>
              </w:rPr>
              <w:instrText xml:space="preserve"> PAGEREF _Toc425516468 \h </w:instrText>
            </w:r>
            <w:r>
              <w:rPr>
                <w:noProof/>
                <w:webHidden/>
              </w:rPr>
            </w:r>
            <w:r>
              <w:rPr>
                <w:noProof/>
                <w:webHidden/>
              </w:rPr>
              <w:fldChar w:fldCharType="separate"/>
            </w:r>
            <w:r w:rsidR="00776867">
              <w:rPr>
                <w:noProof/>
                <w:webHidden/>
              </w:rPr>
              <w:t>12</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69" w:history="1">
            <w:r w:rsidR="00776867" w:rsidRPr="00273F8C">
              <w:rPr>
                <w:rStyle w:val="Hyperlink"/>
                <w:noProof/>
              </w:rPr>
              <w:t>2.1. Inleiding hoofdstuk 2</w:t>
            </w:r>
            <w:r w:rsidR="00776867">
              <w:rPr>
                <w:noProof/>
                <w:webHidden/>
              </w:rPr>
              <w:tab/>
            </w:r>
            <w:r>
              <w:rPr>
                <w:noProof/>
                <w:webHidden/>
              </w:rPr>
              <w:fldChar w:fldCharType="begin"/>
            </w:r>
            <w:r w:rsidR="00776867">
              <w:rPr>
                <w:noProof/>
                <w:webHidden/>
              </w:rPr>
              <w:instrText xml:space="preserve"> PAGEREF _Toc425516469 \h </w:instrText>
            </w:r>
            <w:r>
              <w:rPr>
                <w:noProof/>
                <w:webHidden/>
              </w:rPr>
            </w:r>
            <w:r>
              <w:rPr>
                <w:noProof/>
                <w:webHidden/>
              </w:rPr>
              <w:fldChar w:fldCharType="separate"/>
            </w:r>
            <w:r w:rsidR="00776867">
              <w:rPr>
                <w:noProof/>
                <w:webHidden/>
              </w:rPr>
              <w:t>12</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70" w:history="1">
            <w:r w:rsidR="00776867" w:rsidRPr="00273F8C">
              <w:rPr>
                <w:rStyle w:val="Hyperlink"/>
                <w:noProof/>
              </w:rPr>
              <w:t>2.2. Definitie materiële vaste activa</w:t>
            </w:r>
            <w:r w:rsidR="00776867">
              <w:rPr>
                <w:noProof/>
                <w:webHidden/>
              </w:rPr>
              <w:tab/>
            </w:r>
            <w:r>
              <w:rPr>
                <w:noProof/>
                <w:webHidden/>
              </w:rPr>
              <w:fldChar w:fldCharType="begin"/>
            </w:r>
            <w:r w:rsidR="00776867">
              <w:rPr>
                <w:noProof/>
                <w:webHidden/>
              </w:rPr>
              <w:instrText xml:space="preserve"> PAGEREF _Toc425516470 \h </w:instrText>
            </w:r>
            <w:r>
              <w:rPr>
                <w:noProof/>
                <w:webHidden/>
              </w:rPr>
            </w:r>
            <w:r>
              <w:rPr>
                <w:noProof/>
                <w:webHidden/>
              </w:rPr>
              <w:fldChar w:fldCharType="separate"/>
            </w:r>
            <w:r w:rsidR="00776867">
              <w:rPr>
                <w:noProof/>
                <w:webHidden/>
              </w:rPr>
              <w:t>13</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1" w:history="1">
            <w:r w:rsidR="00776867" w:rsidRPr="00273F8C">
              <w:rPr>
                <w:rStyle w:val="Hyperlink"/>
                <w:noProof/>
              </w:rPr>
              <w:t>2.2.1. Algemene activeringscriteria</w:t>
            </w:r>
            <w:r w:rsidR="00776867">
              <w:rPr>
                <w:noProof/>
                <w:webHidden/>
              </w:rPr>
              <w:tab/>
            </w:r>
            <w:r>
              <w:rPr>
                <w:noProof/>
                <w:webHidden/>
              </w:rPr>
              <w:fldChar w:fldCharType="begin"/>
            </w:r>
            <w:r w:rsidR="00776867">
              <w:rPr>
                <w:noProof/>
                <w:webHidden/>
              </w:rPr>
              <w:instrText xml:space="preserve"> PAGEREF _Toc425516471 \h </w:instrText>
            </w:r>
            <w:r>
              <w:rPr>
                <w:noProof/>
                <w:webHidden/>
              </w:rPr>
            </w:r>
            <w:r>
              <w:rPr>
                <w:noProof/>
                <w:webHidden/>
              </w:rPr>
              <w:fldChar w:fldCharType="separate"/>
            </w:r>
            <w:r w:rsidR="00776867">
              <w:rPr>
                <w:noProof/>
                <w:webHidden/>
              </w:rPr>
              <w:t>14</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2" w:history="1">
            <w:r w:rsidR="00776867" w:rsidRPr="00273F8C">
              <w:rPr>
                <w:rStyle w:val="Hyperlink"/>
                <w:noProof/>
              </w:rPr>
              <w:t>2.2.2. Substance over form</w:t>
            </w:r>
            <w:r w:rsidR="00776867">
              <w:rPr>
                <w:noProof/>
                <w:webHidden/>
              </w:rPr>
              <w:tab/>
            </w:r>
            <w:r>
              <w:rPr>
                <w:noProof/>
                <w:webHidden/>
              </w:rPr>
              <w:fldChar w:fldCharType="begin"/>
            </w:r>
            <w:r w:rsidR="00776867">
              <w:rPr>
                <w:noProof/>
                <w:webHidden/>
              </w:rPr>
              <w:instrText xml:space="preserve"> PAGEREF _Toc425516472 \h </w:instrText>
            </w:r>
            <w:r>
              <w:rPr>
                <w:noProof/>
                <w:webHidden/>
              </w:rPr>
            </w:r>
            <w:r>
              <w:rPr>
                <w:noProof/>
                <w:webHidden/>
              </w:rPr>
              <w:fldChar w:fldCharType="separate"/>
            </w:r>
            <w:r w:rsidR="00776867">
              <w:rPr>
                <w:noProof/>
                <w:webHidden/>
              </w:rPr>
              <w:t>15</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73" w:history="1">
            <w:r w:rsidR="00776867" w:rsidRPr="00273F8C">
              <w:rPr>
                <w:rStyle w:val="Hyperlink"/>
                <w:noProof/>
              </w:rPr>
              <w:t>2.3. Waarderingsmethoden materiële vaste activa</w:t>
            </w:r>
            <w:r w:rsidR="00776867">
              <w:rPr>
                <w:noProof/>
                <w:webHidden/>
              </w:rPr>
              <w:tab/>
            </w:r>
            <w:r>
              <w:rPr>
                <w:noProof/>
                <w:webHidden/>
              </w:rPr>
              <w:fldChar w:fldCharType="begin"/>
            </w:r>
            <w:r w:rsidR="00776867">
              <w:rPr>
                <w:noProof/>
                <w:webHidden/>
              </w:rPr>
              <w:instrText xml:space="preserve"> PAGEREF _Toc425516473 \h </w:instrText>
            </w:r>
            <w:r>
              <w:rPr>
                <w:noProof/>
                <w:webHidden/>
              </w:rPr>
            </w:r>
            <w:r>
              <w:rPr>
                <w:noProof/>
                <w:webHidden/>
              </w:rPr>
              <w:fldChar w:fldCharType="separate"/>
            </w:r>
            <w:r w:rsidR="00776867">
              <w:rPr>
                <w:noProof/>
                <w:webHidden/>
              </w:rPr>
              <w:t>16</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74" w:history="1">
            <w:r w:rsidR="00776867" w:rsidRPr="00273F8C">
              <w:rPr>
                <w:rStyle w:val="Hyperlink"/>
                <w:noProof/>
              </w:rPr>
              <w:t>2.3.1. Kostprijsaccounting volgens IAS 16 en RJ 212</w:t>
            </w:r>
            <w:r w:rsidR="00776867">
              <w:rPr>
                <w:noProof/>
                <w:webHidden/>
              </w:rPr>
              <w:tab/>
            </w:r>
            <w:r>
              <w:rPr>
                <w:noProof/>
                <w:webHidden/>
              </w:rPr>
              <w:fldChar w:fldCharType="begin"/>
            </w:r>
            <w:r w:rsidR="00776867">
              <w:rPr>
                <w:noProof/>
                <w:webHidden/>
              </w:rPr>
              <w:instrText xml:space="preserve"> PAGEREF _Toc425516474 \h </w:instrText>
            </w:r>
            <w:r>
              <w:rPr>
                <w:noProof/>
                <w:webHidden/>
              </w:rPr>
            </w:r>
            <w:r>
              <w:rPr>
                <w:noProof/>
                <w:webHidden/>
              </w:rPr>
              <w:fldChar w:fldCharType="separate"/>
            </w:r>
            <w:r w:rsidR="00776867">
              <w:rPr>
                <w:noProof/>
                <w:webHidden/>
              </w:rPr>
              <w:t>17</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5" w:history="1">
            <w:r w:rsidR="00776867" w:rsidRPr="00273F8C">
              <w:rPr>
                <w:rStyle w:val="Hyperlink"/>
                <w:noProof/>
              </w:rPr>
              <w:t>2.3.2. Resultaatbepaling</w:t>
            </w:r>
            <w:r w:rsidR="00776867">
              <w:rPr>
                <w:noProof/>
                <w:webHidden/>
              </w:rPr>
              <w:tab/>
            </w:r>
            <w:r>
              <w:rPr>
                <w:noProof/>
                <w:webHidden/>
              </w:rPr>
              <w:fldChar w:fldCharType="begin"/>
            </w:r>
            <w:r w:rsidR="00776867">
              <w:rPr>
                <w:noProof/>
                <w:webHidden/>
              </w:rPr>
              <w:instrText xml:space="preserve"> PAGEREF _Toc425516475 \h </w:instrText>
            </w:r>
            <w:r>
              <w:rPr>
                <w:noProof/>
                <w:webHidden/>
              </w:rPr>
            </w:r>
            <w:r>
              <w:rPr>
                <w:noProof/>
                <w:webHidden/>
              </w:rPr>
              <w:fldChar w:fldCharType="separate"/>
            </w:r>
            <w:r w:rsidR="00776867">
              <w:rPr>
                <w:noProof/>
                <w:webHidden/>
              </w:rPr>
              <w:t>18</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6" w:history="1">
            <w:r w:rsidR="00776867" w:rsidRPr="00273F8C">
              <w:rPr>
                <w:rStyle w:val="Hyperlink"/>
                <w:noProof/>
              </w:rPr>
              <w:t>2.3.3. Beoordelingsaspecten bij gebruiksduur en restwaarde</w:t>
            </w:r>
            <w:r w:rsidR="00776867">
              <w:rPr>
                <w:noProof/>
                <w:webHidden/>
              </w:rPr>
              <w:tab/>
            </w:r>
            <w:r>
              <w:rPr>
                <w:noProof/>
                <w:webHidden/>
              </w:rPr>
              <w:fldChar w:fldCharType="begin"/>
            </w:r>
            <w:r w:rsidR="00776867">
              <w:rPr>
                <w:noProof/>
                <w:webHidden/>
              </w:rPr>
              <w:instrText xml:space="preserve"> PAGEREF _Toc425516476 \h </w:instrText>
            </w:r>
            <w:r>
              <w:rPr>
                <w:noProof/>
                <w:webHidden/>
              </w:rPr>
            </w:r>
            <w:r>
              <w:rPr>
                <w:noProof/>
                <w:webHidden/>
              </w:rPr>
              <w:fldChar w:fldCharType="separate"/>
            </w:r>
            <w:r w:rsidR="00776867">
              <w:rPr>
                <w:noProof/>
                <w:webHidden/>
              </w:rPr>
              <w:t>20</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7" w:history="1">
            <w:r w:rsidR="00776867" w:rsidRPr="00273F8C">
              <w:rPr>
                <w:rStyle w:val="Hyperlink"/>
                <w:noProof/>
              </w:rPr>
              <w:t>2.3.4. Componentenbenadering</w:t>
            </w:r>
            <w:r w:rsidR="00776867">
              <w:rPr>
                <w:noProof/>
                <w:webHidden/>
              </w:rPr>
              <w:tab/>
            </w:r>
            <w:r>
              <w:rPr>
                <w:noProof/>
                <w:webHidden/>
              </w:rPr>
              <w:fldChar w:fldCharType="begin"/>
            </w:r>
            <w:r w:rsidR="00776867">
              <w:rPr>
                <w:noProof/>
                <w:webHidden/>
              </w:rPr>
              <w:instrText xml:space="preserve"> PAGEREF _Toc425516477 \h </w:instrText>
            </w:r>
            <w:r>
              <w:rPr>
                <w:noProof/>
                <w:webHidden/>
              </w:rPr>
            </w:r>
            <w:r>
              <w:rPr>
                <w:noProof/>
                <w:webHidden/>
              </w:rPr>
              <w:fldChar w:fldCharType="separate"/>
            </w:r>
            <w:r w:rsidR="00776867">
              <w:rPr>
                <w:noProof/>
                <w:webHidden/>
              </w:rPr>
              <w:t>20</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8" w:history="1">
            <w:r w:rsidR="00776867" w:rsidRPr="00273F8C">
              <w:rPr>
                <w:rStyle w:val="Hyperlink"/>
                <w:noProof/>
              </w:rPr>
              <w:t>2.3.5. Wijzigingen in de geschatte gebruiksduur, restwaarde en afschrijvingsmethode</w:t>
            </w:r>
            <w:r w:rsidR="00776867">
              <w:rPr>
                <w:noProof/>
                <w:webHidden/>
              </w:rPr>
              <w:tab/>
            </w:r>
            <w:r>
              <w:rPr>
                <w:noProof/>
                <w:webHidden/>
              </w:rPr>
              <w:fldChar w:fldCharType="begin"/>
            </w:r>
            <w:r w:rsidR="00776867">
              <w:rPr>
                <w:noProof/>
                <w:webHidden/>
              </w:rPr>
              <w:instrText xml:space="preserve"> PAGEREF _Toc425516478 \h </w:instrText>
            </w:r>
            <w:r>
              <w:rPr>
                <w:noProof/>
                <w:webHidden/>
              </w:rPr>
            </w:r>
            <w:r>
              <w:rPr>
                <w:noProof/>
                <w:webHidden/>
              </w:rPr>
              <w:fldChar w:fldCharType="separate"/>
            </w:r>
            <w:r w:rsidR="00776867">
              <w:rPr>
                <w:noProof/>
                <w:webHidden/>
              </w:rPr>
              <w:t>21</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79" w:history="1">
            <w:r w:rsidR="00776867" w:rsidRPr="00273F8C">
              <w:rPr>
                <w:rStyle w:val="Hyperlink"/>
                <w:noProof/>
              </w:rPr>
              <w:t>2.3.6. Bijzondere waardeverminderingen</w:t>
            </w:r>
            <w:r w:rsidR="00776867">
              <w:rPr>
                <w:noProof/>
                <w:webHidden/>
              </w:rPr>
              <w:tab/>
            </w:r>
            <w:r>
              <w:rPr>
                <w:noProof/>
                <w:webHidden/>
              </w:rPr>
              <w:fldChar w:fldCharType="begin"/>
            </w:r>
            <w:r w:rsidR="00776867">
              <w:rPr>
                <w:noProof/>
                <w:webHidden/>
              </w:rPr>
              <w:instrText xml:space="preserve"> PAGEREF _Toc425516479 \h </w:instrText>
            </w:r>
            <w:r>
              <w:rPr>
                <w:noProof/>
                <w:webHidden/>
              </w:rPr>
            </w:r>
            <w:r>
              <w:rPr>
                <w:noProof/>
                <w:webHidden/>
              </w:rPr>
              <w:fldChar w:fldCharType="separate"/>
            </w:r>
            <w:r w:rsidR="00776867">
              <w:rPr>
                <w:noProof/>
                <w:webHidden/>
              </w:rPr>
              <w:t>22</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80" w:history="1">
            <w:r w:rsidR="00776867" w:rsidRPr="00273F8C">
              <w:rPr>
                <w:rStyle w:val="Hyperlink"/>
                <w:noProof/>
              </w:rPr>
              <w:t>2.3.7. Herwaarderingen</w:t>
            </w:r>
            <w:r w:rsidR="00776867">
              <w:rPr>
                <w:noProof/>
                <w:webHidden/>
              </w:rPr>
              <w:tab/>
            </w:r>
            <w:r>
              <w:rPr>
                <w:noProof/>
                <w:webHidden/>
              </w:rPr>
              <w:fldChar w:fldCharType="begin"/>
            </w:r>
            <w:r w:rsidR="00776867">
              <w:rPr>
                <w:noProof/>
                <w:webHidden/>
              </w:rPr>
              <w:instrText xml:space="preserve"> PAGEREF _Toc425516480 \h </w:instrText>
            </w:r>
            <w:r>
              <w:rPr>
                <w:noProof/>
                <w:webHidden/>
              </w:rPr>
            </w:r>
            <w:r>
              <w:rPr>
                <w:noProof/>
                <w:webHidden/>
              </w:rPr>
              <w:fldChar w:fldCharType="separate"/>
            </w:r>
            <w:r w:rsidR="00776867">
              <w:rPr>
                <w:noProof/>
                <w:webHidden/>
              </w:rPr>
              <w:t>24</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81" w:history="1">
            <w:r w:rsidR="00776867" w:rsidRPr="00273F8C">
              <w:rPr>
                <w:rStyle w:val="Hyperlink"/>
                <w:noProof/>
              </w:rPr>
              <w:t>2.3.8. Literature review op het historische kostprijsmodel</w:t>
            </w:r>
            <w:r w:rsidR="00776867">
              <w:rPr>
                <w:noProof/>
                <w:webHidden/>
              </w:rPr>
              <w:tab/>
            </w:r>
            <w:r>
              <w:rPr>
                <w:noProof/>
                <w:webHidden/>
              </w:rPr>
              <w:fldChar w:fldCharType="begin"/>
            </w:r>
            <w:r w:rsidR="00776867">
              <w:rPr>
                <w:noProof/>
                <w:webHidden/>
              </w:rPr>
              <w:instrText xml:space="preserve"> PAGEREF _Toc425516481 \h </w:instrText>
            </w:r>
            <w:r>
              <w:rPr>
                <w:noProof/>
                <w:webHidden/>
              </w:rPr>
            </w:r>
            <w:r>
              <w:rPr>
                <w:noProof/>
                <w:webHidden/>
              </w:rPr>
              <w:fldChar w:fldCharType="separate"/>
            </w:r>
            <w:r w:rsidR="00776867">
              <w:rPr>
                <w:noProof/>
                <w:webHidden/>
              </w:rPr>
              <w:t>25</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82" w:history="1">
            <w:r w:rsidR="00776867" w:rsidRPr="00273F8C">
              <w:rPr>
                <w:rStyle w:val="Hyperlink"/>
                <w:noProof/>
              </w:rPr>
              <w:t>2.4. Actuele waarde accounting onder RJ 212</w:t>
            </w:r>
            <w:r w:rsidR="00776867">
              <w:rPr>
                <w:noProof/>
                <w:webHidden/>
              </w:rPr>
              <w:tab/>
            </w:r>
            <w:r>
              <w:rPr>
                <w:noProof/>
                <w:webHidden/>
              </w:rPr>
              <w:fldChar w:fldCharType="begin"/>
            </w:r>
            <w:r w:rsidR="00776867">
              <w:rPr>
                <w:noProof/>
                <w:webHidden/>
              </w:rPr>
              <w:instrText xml:space="preserve"> PAGEREF _Toc425516482 \h </w:instrText>
            </w:r>
            <w:r>
              <w:rPr>
                <w:noProof/>
                <w:webHidden/>
              </w:rPr>
            </w:r>
            <w:r>
              <w:rPr>
                <w:noProof/>
                <w:webHidden/>
              </w:rPr>
              <w:fldChar w:fldCharType="separate"/>
            </w:r>
            <w:r w:rsidR="00776867">
              <w:rPr>
                <w:noProof/>
                <w:webHidden/>
              </w:rPr>
              <w:t>26</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83" w:history="1">
            <w:r w:rsidR="00776867" w:rsidRPr="00273F8C">
              <w:rPr>
                <w:rStyle w:val="Hyperlink"/>
                <w:noProof/>
              </w:rPr>
              <w:t>2.5. Actuele waarde accounting onder IAS 16</w:t>
            </w:r>
            <w:r w:rsidR="00776867">
              <w:rPr>
                <w:noProof/>
                <w:webHidden/>
              </w:rPr>
              <w:tab/>
            </w:r>
            <w:r>
              <w:rPr>
                <w:noProof/>
                <w:webHidden/>
              </w:rPr>
              <w:fldChar w:fldCharType="begin"/>
            </w:r>
            <w:r w:rsidR="00776867">
              <w:rPr>
                <w:noProof/>
                <w:webHidden/>
              </w:rPr>
              <w:instrText xml:space="preserve"> PAGEREF _Toc425516483 \h </w:instrText>
            </w:r>
            <w:r>
              <w:rPr>
                <w:noProof/>
                <w:webHidden/>
              </w:rPr>
            </w:r>
            <w:r>
              <w:rPr>
                <w:noProof/>
                <w:webHidden/>
              </w:rPr>
              <w:fldChar w:fldCharType="separate"/>
            </w:r>
            <w:r w:rsidR="00776867">
              <w:rPr>
                <w:noProof/>
                <w:webHidden/>
              </w:rPr>
              <w:t>29</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84" w:history="1">
            <w:r w:rsidR="00776867" w:rsidRPr="00273F8C">
              <w:rPr>
                <w:rStyle w:val="Hyperlink"/>
                <w:noProof/>
              </w:rPr>
              <w:t>2.5.1. Resultaatbepaling</w:t>
            </w:r>
            <w:r w:rsidR="00776867">
              <w:rPr>
                <w:noProof/>
                <w:webHidden/>
              </w:rPr>
              <w:tab/>
            </w:r>
            <w:r>
              <w:rPr>
                <w:noProof/>
                <w:webHidden/>
              </w:rPr>
              <w:fldChar w:fldCharType="begin"/>
            </w:r>
            <w:r w:rsidR="00776867">
              <w:rPr>
                <w:noProof/>
                <w:webHidden/>
              </w:rPr>
              <w:instrText xml:space="preserve"> PAGEREF _Toc425516484 \h </w:instrText>
            </w:r>
            <w:r>
              <w:rPr>
                <w:noProof/>
                <w:webHidden/>
              </w:rPr>
            </w:r>
            <w:r>
              <w:rPr>
                <w:noProof/>
                <w:webHidden/>
              </w:rPr>
              <w:fldChar w:fldCharType="separate"/>
            </w:r>
            <w:r w:rsidR="00776867">
              <w:rPr>
                <w:noProof/>
                <w:webHidden/>
              </w:rPr>
              <w:t>29</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85" w:history="1">
            <w:r w:rsidR="00776867" w:rsidRPr="00273F8C">
              <w:rPr>
                <w:rStyle w:val="Hyperlink"/>
                <w:noProof/>
              </w:rPr>
              <w:t>2.5.2. Literature review actuele waarde model</w:t>
            </w:r>
            <w:r w:rsidR="00776867">
              <w:rPr>
                <w:noProof/>
                <w:webHidden/>
              </w:rPr>
              <w:tab/>
            </w:r>
            <w:r>
              <w:rPr>
                <w:noProof/>
                <w:webHidden/>
              </w:rPr>
              <w:fldChar w:fldCharType="begin"/>
            </w:r>
            <w:r w:rsidR="00776867">
              <w:rPr>
                <w:noProof/>
                <w:webHidden/>
              </w:rPr>
              <w:instrText xml:space="preserve"> PAGEREF _Toc425516485 \h </w:instrText>
            </w:r>
            <w:r>
              <w:rPr>
                <w:noProof/>
                <w:webHidden/>
              </w:rPr>
            </w:r>
            <w:r>
              <w:rPr>
                <w:noProof/>
                <w:webHidden/>
              </w:rPr>
              <w:fldChar w:fldCharType="separate"/>
            </w:r>
            <w:r w:rsidR="00776867">
              <w:rPr>
                <w:noProof/>
                <w:webHidden/>
              </w:rPr>
              <w:t>30</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86" w:history="1">
            <w:r w:rsidR="00776867" w:rsidRPr="00273F8C">
              <w:rPr>
                <w:rStyle w:val="Hyperlink"/>
                <w:noProof/>
              </w:rPr>
              <w:t>2.6. Historisch kostprijsmodel versus actuele waarde model</w:t>
            </w:r>
            <w:r w:rsidR="00776867">
              <w:rPr>
                <w:noProof/>
                <w:webHidden/>
              </w:rPr>
              <w:tab/>
            </w:r>
            <w:r>
              <w:rPr>
                <w:noProof/>
                <w:webHidden/>
              </w:rPr>
              <w:fldChar w:fldCharType="begin"/>
            </w:r>
            <w:r w:rsidR="00776867">
              <w:rPr>
                <w:noProof/>
                <w:webHidden/>
              </w:rPr>
              <w:instrText xml:space="preserve"> PAGEREF _Toc425516486 \h </w:instrText>
            </w:r>
            <w:r>
              <w:rPr>
                <w:noProof/>
                <w:webHidden/>
              </w:rPr>
            </w:r>
            <w:r>
              <w:rPr>
                <w:noProof/>
                <w:webHidden/>
              </w:rPr>
              <w:fldChar w:fldCharType="separate"/>
            </w:r>
            <w:r w:rsidR="00776867">
              <w:rPr>
                <w:noProof/>
                <w:webHidden/>
              </w:rPr>
              <w:t>32</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487" w:history="1">
            <w:r w:rsidR="00776867" w:rsidRPr="00273F8C">
              <w:rPr>
                <w:rStyle w:val="Hyperlink"/>
                <w:noProof/>
              </w:rPr>
              <w:t>Hoofdstuk 3: Licentiesysteem KNVB</w:t>
            </w:r>
            <w:r w:rsidR="00776867">
              <w:rPr>
                <w:noProof/>
                <w:webHidden/>
              </w:rPr>
              <w:tab/>
            </w:r>
            <w:r>
              <w:rPr>
                <w:noProof/>
                <w:webHidden/>
              </w:rPr>
              <w:fldChar w:fldCharType="begin"/>
            </w:r>
            <w:r w:rsidR="00776867">
              <w:rPr>
                <w:noProof/>
                <w:webHidden/>
              </w:rPr>
              <w:instrText xml:space="preserve"> PAGEREF _Toc425516487 \h </w:instrText>
            </w:r>
            <w:r>
              <w:rPr>
                <w:noProof/>
                <w:webHidden/>
              </w:rPr>
            </w:r>
            <w:r>
              <w:rPr>
                <w:noProof/>
                <w:webHidden/>
              </w:rPr>
              <w:fldChar w:fldCharType="separate"/>
            </w:r>
            <w:r w:rsidR="00776867">
              <w:rPr>
                <w:noProof/>
                <w:webHidden/>
              </w:rPr>
              <w:t>34</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88" w:history="1">
            <w:r w:rsidR="00776867" w:rsidRPr="00273F8C">
              <w:rPr>
                <w:rStyle w:val="Hyperlink"/>
                <w:noProof/>
              </w:rPr>
              <w:t>3.1. Inleiding hoofdstuk 2</w:t>
            </w:r>
            <w:r w:rsidR="00776867">
              <w:rPr>
                <w:noProof/>
                <w:webHidden/>
              </w:rPr>
              <w:tab/>
            </w:r>
            <w:r>
              <w:rPr>
                <w:noProof/>
                <w:webHidden/>
              </w:rPr>
              <w:fldChar w:fldCharType="begin"/>
            </w:r>
            <w:r w:rsidR="00776867">
              <w:rPr>
                <w:noProof/>
                <w:webHidden/>
              </w:rPr>
              <w:instrText xml:space="preserve"> PAGEREF _Toc425516488 \h </w:instrText>
            </w:r>
            <w:r>
              <w:rPr>
                <w:noProof/>
                <w:webHidden/>
              </w:rPr>
            </w:r>
            <w:r>
              <w:rPr>
                <w:noProof/>
                <w:webHidden/>
              </w:rPr>
              <w:fldChar w:fldCharType="separate"/>
            </w:r>
            <w:r w:rsidR="00776867">
              <w:rPr>
                <w:noProof/>
                <w:webHidden/>
              </w:rPr>
              <w:t>34</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89" w:history="1">
            <w:r w:rsidR="00776867" w:rsidRPr="00273F8C">
              <w:rPr>
                <w:rStyle w:val="Hyperlink"/>
                <w:noProof/>
              </w:rPr>
              <w:t>3.2. Het licentiesysteem: historie van het systeem, haar organen en doelstellingen</w:t>
            </w:r>
            <w:r w:rsidR="00776867">
              <w:rPr>
                <w:noProof/>
                <w:webHidden/>
              </w:rPr>
              <w:tab/>
            </w:r>
            <w:r>
              <w:rPr>
                <w:noProof/>
                <w:webHidden/>
              </w:rPr>
              <w:fldChar w:fldCharType="begin"/>
            </w:r>
            <w:r w:rsidR="00776867">
              <w:rPr>
                <w:noProof/>
                <w:webHidden/>
              </w:rPr>
              <w:instrText xml:space="preserve"> PAGEREF _Toc425516489 \h </w:instrText>
            </w:r>
            <w:r>
              <w:rPr>
                <w:noProof/>
                <w:webHidden/>
              </w:rPr>
            </w:r>
            <w:r>
              <w:rPr>
                <w:noProof/>
                <w:webHidden/>
              </w:rPr>
              <w:fldChar w:fldCharType="separate"/>
            </w:r>
            <w:r w:rsidR="00776867">
              <w:rPr>
                <w:noProof/>
                <w:webHidden/>
              </w:rPr>
              <w:t>35</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0" w:history="1">
            <w:r w:rsidR="00776867" w:rsidRPr="00273F8C">
              <w:rPr>
                <w:rStyle w:val="Hyperlink"/>
                <w:noProof/>
              </w:rPr>
              <w:t>3.2.1. Conceptueel raamwerk KNVB licentiesysteem</w:t>
            </w:r>
            <w:r w:rsidR="00776867">
              <w:rPr>
                <w:noProof/>
                <w:webHidden/>
              </w:rPr>
              <w:tab/>
            </w:r>
            <w:r>
              <w:rPr>
                <w:noProof/>
                <w:webHidden/>
              </w:rPr>
              <w:fldChar w:fldCharType="begin"/>
            </w:r>
            <w:r w:rsidR="00776867">
              <w:rPr>
                <w:noProof/>
                <w:webHidden/>
              </w:rPr>
              <w:instrText xml:space="preserve"> PAGEREF _Toc425516490 \h </w:instrText>
            </w:r>
            <w:r>
              <w:rPr>
                <w:noProof/>
                <w:webHidden/>
              </w:rPr>
            </w:r>
            <w:r>
              <w:rPr>
                <w:noProof/>
                <w:webHidden/>
              </w:rPr>
              <w:fldChar w:fldCharType="separate"/>
            </w:r>
            <w:r w:rsidR="00776867">
              <w:rPr>
                <w:noProof/>
                <w:webHidden/>
              </w:rPr>
              <w:t>37</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91" w:history="1">
            <w:r w:rsidR="00776867" w:rsidRPr="00273F8C">
              <w:rPr>
                <w:rStyle w:val="Hyperlink"/>
                <w:noProof/>
              </w:rPr>
              <w:t>3.2.2. Licentie-eisen KNVB licentiesysteem</w:t>
            </w:r>
            <w:r w:rsidR="00776867">
              <w:rPr>
                <w:noProof/>
                <w:webHidden/>
              </w:rPr>
              <w:tab/>
            </w:r>
            <w:r>
              <w:rPr>
                <w:noProof/>
                <w:webHidden/>
              </w:rPr>
              <w:fldChar w:fldCharType="begin"/>
            </w:r>
            <w:r w:rsidR="00776867">
              <w:rPr>
                <w:noProof/>
                <w:webHidden/>
              </w:rPr>
              <w:instrText xml:space="preserve"> PAGEREF _Toc425516491 \h </w:instrText>
            </w:r>
            <w:r>
              <w:rPr>
                <w:noProof/>
                <w:webHidden/>
              </w:rPr>
            </w:r>
            <w:r>
              <w:rPr>
                <w:noProof/>
                <w:webHidden/>
              </w:rPr>
              <w:fldChar w:fldCharType="separate"/>
            </w:r>
            <w:r w:rsidR="00776867">
              <w:rPr>
                <w:noProof/>
                <w:webHidden/>
              </w:rPr>
              <w:t>40</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2" w:history="1">
            <w:r w:rsidR="00776867" w:rsidRPr="00273F8C">
              <w:rPr>
                <w:rStyle w:val="Hyperlink"/>
                <w:noProof/>
              </w:rPr>
              <w:t>3.3. Financieel Rating Systeem</w:t>
            </w:r>
            <w:r w:rsidR="00776867">
              <w:rPr>
                <w:noProof/>
                <w:webHidden/>
              </w:rPr>
              <w:tab/>
            </w:r>
            <w:r>
              <w:rPr>
                <w:noProof/>
                <w:webHidden/>
              </w:rPr>
              <w:fldChar w:fldCharType="begin"/>
            </w:r>
            <w:r w:rsidR="00776867">
              <w:rPr>
                <w:noProof/>
                <w:webHidden/>
              </w:rPr>
              <w:instrText xml:space="preserve"> PAGEREF _Toc425516492 \h </w:instrText>
            </w:r>
            <w:r>
              <w:rPr>
                <w:noProof/>
                <w:webHidden/>
              </w:rPr>
            </w:r>
            <w:r>
              <w:rPr>
                <w:noProof/>
                <w:webHidden/>
              </w:rPr>
              <w:fldChar w:fldCharType="separate"/>
            </w:r>
            <w:r w:rsidR="00776867">
              <w:rPr>
                <w:noProof/>
                <w:webHidden/>
              </w:rPr>
              <w:t>42</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93" w:history="1">
            <w:r w:rsidR="00776867" w:rsidRPr="00273F8C">
              <w:rPr>
                <w:rStyle w:val="Hyperlink"/>
                <w:noProof/>
              </w:rPr>
              <w:t>3.3.1. Maatregelen en sancties Financieel Rating Systeem</w:t>
            </w:r>
            <w:r w:rsidR="00776867">
              <w:rPr>
                <w:noProof/>
                <w:webHidden/>
              </w:rPr>
              <w:tab/>
            </w:r>
            <w:r>
              <w:rPr>
                <w:noProof/>
                <w:webHidden/>
              </w:rPr>
              <w:fldChar w:fldCharType="begin"/>
            </w:r>
            <w:r w:rsidR="00776867">
              <w:rPr>
                <w:noProof/>
                <w:webHidden/>
              </w:rPr>
              <w:instrText xml:space="preserve"> PAGEREF _Toc425516493 \h </w:instrText>
            </w:r>
            <w:r>
              <w:rPr>
                <w:noProof/>
                <w:webHidden/>
              </w:rPr>
            </w:r>
            <w:r>
              <w:rPr>
                <w:noProof/>
                <w:webHidden/>
              </w:rPr>
              <w:fldChar w:fldCharType="separate"/>
            </w:r>
            <w:r w:rsidR="00776867">
              <w:rPr>
                <w:noProof/>
                <w:webHidden/>
              </w:rPr>
              <w:t>44</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494" w:history="1">
            <w:r w:rsidR="00776867" w:rsidRPr="00273F8C">
              <w:rPr>
                <w:rStyle w:val="Hyperlink"/>
                <w:noProof/>
              </w:rPr>
              <w:t>3.3.2. Vangnetbepaling Financieel Rating Systeem</w:t>
            </w:r>
            <w:r w:rsidR="00776867">
              <w:rPr>
                <w:noProof/>
                <w:webHidden/>
              </w:rPr>
              <w:tab/>
            </w:r>
            <w:r>
              <w:rPr>
                <w:noProof/>
                <w:webHidden/>
              </w:rPr>
              <w:fldChar w:fldCharType="begin"/>
            </w:r>
            <w:r w:rsidR="00776867">
              <w:rPr>
                <w:noProof/>
                <w:webHidden/>
              </w:rPr>
              <w:instrText xml:space="preserve"> PAGEREF _Toc425516494 \h </w:instrText>
            </w:r>
            <w:r>
              <w:rPr>
                <w:noProof/>
                <w:webHidden/>
              </w:rPr>
            </w:r>
            <w:r>
              <w:rPr>
                <w:noProof/>
                <w:webHidden/>
              </w:rPr>
              <w:fldChar w:fldCharType="separate"/>
            </w:r>
            <w:r w:rsidR="00776867">
              <w:rPr>
                <w:noProof/>
                <w:webHidden/>
              </w:rPr>
              <w:t>47</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5" w:history="1">
            <w:r w:rsidR="00776867" w:rsidRPr="00273F8C">
              <w:rPr>
                <w:rStyle w:val="Hyperlink"/>
                <w:noProof/>
              </w:rPr>
              <w:t>3.4. Conclusie hoofdstuk 3</w:t>
            </w:r>
            <w:r w:rsidR="00776867">
              <w:rPr>
                <w:noProof/>
                <w:webHidden/>
              </w:rPr>
              <w:tab/>
            </w:r>
            <w:r>
              <w:rPr>
                <w:noProof/>
                <w:webHidden/>
              </w:rPr>
              <w:fldChar w:fldCharType="begin"/>
            </w:r>
            <w:r w:rsidR="00776867">
              <w:rPr>
                <w:noProof/>
                <w:webHidden/>
              </w:rPr>
              <w:instrText xml:space="preserve"> PAGEREF _Toc425516495 \h </w:instrText>
            </w:r>
            <w:r>
              <w:rPr>
                <w:noProof/>
                <w:webHidden/>
              </w:rPr>
            </w:r>
            <w:r>
              <w:rPr>
                <w:noProof/>
                <w:webHidden/>
              </w:rPr>
              <w:fldChar w:fldCharType="separate"/>
            </w:r>
            <w:r w:rsidR="00776867">
              <w:rPr>
                <w:noProof/>
                <w:webHidden/>
              </w:rPr>
              <w:t>48</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496" w:history="1">
            <w:r w:rsidR="00776867" w:rsidRPr="00273F8C">
              <w:rPr>
                <w:rStyle w:val="Hyperlink"/>
                <w:noProof/>
              </w:rPr>
              <w:t>Hoofdstuk 4: FC Twente in categorie 1 van het Financieel Rating Systeem</w:t>
            </w:r>
            <w:r w:rsidR="00776867">
              <w:rPr>
                <w:noProof/>
                <w:webHidden/>
              </w:rPr>
              <w:tab/>
            </w:r>
            <w:r>
              <w:rPr>
                <w:noProof/>
                <w:webHidden/>
              </w:rPr>
              <w:fldChar w:fldCharType="begin"/>
            </w:r>
            <w:r w:rsidR="00776867">
              <w:rPr>
                <w:noProof/>
                <w:webHidden/>
              </w:rPr>
              <w:instrText xml:space="preserve"> PAGEREF _Toc425516496 \h </w:instrText>
            </w:r>
            <w:r>
              <w:rPr>
                <w:noProof/>
                <w:webHidden/>
              </w:rPr>
            </w:r>
            <w:r>
              <w:rPr>
                <w:noProof/>
                <w:webHidden/>
              </w:rPr>
              <w:fldChar w:fldCharType="separate"/>
            </w:r>
            <w:r w:rsidR="00776867">
              <w:rPr>
                <w:noProof/>
                <w:webHidden/>
              </w:rPr>
              <w:t>49</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7" w:history="1">
            <w:r w:rsidR="00776867" w:rsidRPr="00273F8C">
              <w:rPr>
                <w:rStyle w:val="Hyperlink"/>
                <w:noProof/>
              </w:rPr>
              <w:t>4.1 Inleiding hoofdstuk 4</w:t>
            </w:r>
            <w:r w:rsidR="00776867">
              <w:rPr>
                <w:noProof/>
                <w:webHidden/>
              </w:rPr>
              <w:tab/>
            </w:r>
            <w:r>
              <w:rPr>
                <w:noProof/>
                <w:webHidden/>
              </w:rPr>
              <w:fldChar w:fldCharType="begin"/>
            </w:r>
            <w:r w:rsidR="00776867">
              <w:rPr>
                <w:noProof/>
                <w:webHidden/>
              </w:rPr>
              <w:instrText xml:space="preserve"> PAGEREF _Toc425516497 \h </w:instrText>
            </w:r>
            <w:r>
              <w:rPr>
                <w:noProof/>
                <w:webHidden/>
              </w:rPr>
            </w:r>
            <w:r>
              <w:rPr>
                <w:noProof/>
                <w:webHidden/>
              </w:rPr>
              <w:fldChar w:fldCharType="separate"/>
            </w:r>
            <w:r w:rsidR="00776867">
              <w:rPr>
                <w:noProof/>
                <w:webHidden/>
              </w:rPr>
              <w:t>49</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8" w:history="1">
            <w:r w:rsidR="00776867" w:rsidRPr="00273F8C">
              <w:rPr>
                <w:rStyle w:val="Hyperlink"/>
                <w:rFonts w:eastAsia="Times New Roman"/>
                <w:noProof/>
              </w:rPr>
              <w:t>4.2. Praktische informatie Financieel Rating Systeem</w:t>
            </w:r>
            <w:r w:rsidR="00776867">
              <w:rPr>
                <w:noProof/>
                <w:webHidden/>
              </w:rPr>
              <w:tab/>
            </w:r>
            <w:r>
              <w:rPr>
                <w:noProof/>
                <w:webHidden/>
              </w:rPr>
              <w:fldChar w:fldCharType="begin"/>
            </w:r>
            <w:r w:rsidR="00776867">
              <w:rPr>
                <w:noProof/>
                <w:webHidden/>
              </w:rPr>
              <w:instrText xml:space="preserve"> PAGEREF _Toc425516498 \h </w:instrText>
            </w:r>
            <w:r>
              <w:rPr>
                <w:noProof/>
                <w:webHidden/>
              </w:rPr>
            </w:r>
            <w:r>
              <w:rPr>
                <w:noProof/>
                <w:webHidden/>
              </w:rPr>
              <w:fldChar w:fldCharType="separate"/>
            </w:r>
            <w:r w:rsidR="00776867">
              <w:rPr>
                <w:noProof/>
                <w:webHidden/>
              </w:rPr>
              <w:t>50</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499" w:history="1">
            <w:r w:rsidR="00776867" w:rsidRPr="00273F8C">
              <w:rPr>
                <w:rStyle w:val="Hyperlink"/>
                <w:rFonts w:eastAsia="Times New Roman"/>
                <w:noProof/>
              </w:rPr>
              <w:t>4.3. Toetsing FC Twente middels Financieel Rating Systeem</w:t>
            </w:r>
            <w:r w:rsidR="00776867">
              <w:rPr>
                <w:noProof/>
                <w:webHidden/>
              </w:rPr>
              <w:tab/>
            </w:r>
            <w:r>
              <w:rPr>
                <w:noProof/>
                <w:webHidden/>
              </w:rPr>
              <w:fldChar w:fldCharType="begin"/>
            </w:r>
            <w:r w:rsidR="00776867">
              <w:rPr>
                <w:noProof/>
                <w:webHidden/>
              </w:rPr>
              <w:instrText xml:space="preserve"> PAGEREF _Toc425516499 \h </w:instrText>
            </w:r>
            <w:r>
              <w:rPr>
                <w:noProof/>
                <w:webHidden/>
              </w:rPr>
            </w:r>
            <w:r>
              <w:rPr>
                <w:noProof/>
                <w:webHidden/>
              </w:rPr>
              <w:fldChar w:fldCharType="separate"/>
            </w:r>
            <w:r w:rsidR="00776867">
              <w:rPr>
                <w:noProof/>
                <w:webHidden/>
              </w:rPr>
              <w:t>51</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0" w:history="1">
            <w:r w:rsidR="00776867" w:rsidRPr="00273F8C">
              <w:rPr>
                <w:rStyle w:val="Hyperlink"/>
                <w:rFonts w:eastAsia="Times New Roman"/>
                <w:noProof/>
              </w:rPr>
              <w:t>4.3.1. Kernvariabele 1: Buffer liquide middelen op basis van historie</w:t>
            </w:r>
            <w:r w:rsidR="00776867">
              <w:rPr>
                <w:noProof/>
                <w:webHidden/>
              </w:rPr>
              <w:tab/>
            </w:r>
            <w:r>
              <w:rPr>
                <w:noProof/>
                <w:webHidden/>
              </w:rPr>
              <w:fldChar w:fldCharType="begin"/>
            </w:r>
            <w:r w:rsidR="00776867">
              <w:rPr>
                <w:noProof/>
                <w:webHidden/>
              </w:rPr>
              <w:instrText xml:space="preserve"> PAGEREF _Toc425516500 \h </w:instrText>
            </w:r>
            <w:r>
              <w:rPr>
                <w:noProof/>
                <w:webHidden/>
              </w:rPr>
            </w:r>
            <w:r>
              <w:rPr>
                <w:noProof/>
                <w:webHidden/>
              </w:rPr>
              <w:fldChar w:fldCharType="separate"/>
            </w:r>
            <w:r w:rsidR="00776867">
              <w:rPr>
                <w:noProof/>
                <w:webHidden/>
              </w:rPr>
              <w:t>51</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1" w:history="1">
            <w:r w:rsidR="00776867" w:rsidRPr="00273F8C">
              <w:rPr>
                <w:rStyle w:val="Hyperlink"/>
                <w:noProof/>
              </w:rPr>
              <w:t>4.3.2. Kernvariabele 2: Buffer liquide middelen op basis van toekomst</w:t>
            </w:r>
            <w:r w:rsidR="00776867">
              <w:rPr>
                <w:noProof/>
                <w:webHidden/>
              </w:rPr>
              <w:tab/>
            </w:r>
            <w:r>
              <w:rPr>
                <w:noProof/>
                <w:webHidden/>
              </w:rPr>
              <w:fldChar w:fldCharType="begin"/>
            </w:r>
            <w:r w:rsidR="00776867">
              <w:rPr>
                <w:noProof/>
                <w:webHidden/>
              </w:rPr>
              <w:instrText xml:space="preserve"> PAGEREF _Toc425516501 \h </w:instrText>
            </w:r>
            <w:r>
              <w:rPr>
                <w:noProof/>
                <w:webHidden/>
              </w:rPr>
            </w:r>
            <w:r>
              <w:rPr>
                <w:noProof/>
                <w:webHidden/>
              </w:rPr>
              <w:fldChar w:fldCharType="separate"/>
            </w:r>
            <w:r w:rsidR="00776867">
              <w:rPr>
                <w:noProof/>
                <w:webHidden/>
              </w:rPr>
              <w:t>52</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2" w:history="1">
            <w:r w:rsidR="00776867" w:rsidRPr="00273F8C">
              <w:rPr>
                <w:rStyle w:val="Hyperlink"/>
                <w:noProof/>
              </w:rPr>
              <w:t>4.3.3. Kernvariabele 3: Werkkapitaalpositie</w:t>
            </w:r>
            <w:r w:rsidR="00776867">
              <w:rPr>
                <w:noProof/>
                <w:webHidden/>
              </w:rPr>
              <w:tab/>
            </w:r>
            <w:r>
              <w:rPr>
                <w:noProof/>
                <w:webHidden/>
              </w:rPr>
              <w:fldChar w:fldCharType="begin"/>
            </w:r>
            <w:r w:rsidR="00776867">
              <w:rPr>
                <w:noProof/>
                <w:webHidden/>
              </w:rPr>
              <w:instrText xml:space="preserve"> PAGEREF _Toc425516502 \h </w:instrText>
            </w:r>
            <w:r>
              <w:rPr>
                <w:noProof/>
                <w:webHidden/>
              </w:rPr>
            </w:r>
            <w:r>
              <w:rPr>
                <w:noProof/>
                <w:webHidden/>
              </w:rPr>
              <w:fldChar w:fldCharType="separate"/>
            </w:r>
            <w:r w:rsidR="00776867">
              <w:rPr>
                <w:noProof/>
                <w:webHidden/>
              </w:rPr>
              <w:t>54</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3" w:history="1">
            <w:r w:rsidR="00776867" w:rsidRPr="00273F8C">
              <w:rPr>
                <w:rStyle w:val="Hyperlink"/>
                <w:noProof/>
              </w:rPr>
              <w:t>4.3.4. Kernvariabele 4: Solvabiliteit</w:t>
            </w:r>
            <w:r w:rsidR="00776867">
              <w:rPr>
                <w:noProof/>
                <w:webHidden/>
              </w:rPr>
              <w:tab/>
            </w:r>
            <w:r>
              <w:rPr>
                <w:noProof/>
                <w:webHidden/>
              </w:rPr>
              <w:fldChar w:fldCharType="begin"/>
            </w:r>
            <w:r w:rsidR="00776867">
              <w:rPr>
                <w:noProof/>
                <w:webHidden/>
              </w:rPr>
              <w:instrText xml:space="preserve"> PAGEREF _Toc425516503 \h </w:instrText>
            </w:r>
            <w:r>
              <w:rPr>
                <w:noProof/>
                <w:webHidden/>
              </w:rPr>
            </w:r>
            <w:r>
              <w:rPr>
                <w:noProof/>
                <w:webHidden/>
              </w:rPr>
              <w:fldChar w:fldCharType="separate"/>
            </w:r>
            <w:r w:rsidR="00776867">
              <w:rPr>
                <w:noProof/>
                <w:webHidden/>
              </w:rPr>
              <w:t>55</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4" w:history="1">
            <w:r w:rsidR="00776867" w:rsidRPr="00273F8C">
              <w:rPr>
                <w:rStyle w:val="Hyperlink"/>
                <w:noProof/>
              </w:rPr>
              <w:t>4.3.5. Kernvariabele 5: Historisch netto marge</w:t>
            </w:r>
            <w:r w:rsidR="00776867">
              <w:rPr>
                <w:noProof/>
                <w:webHidden/>
              </w:rPr>
              <w:tab/>
            </w:r>
            <w:r>
              <w:rPr>
                <w:noProof/>
                <w:webHidden/>
              </w:rPr>
              <w:fldChar w:fldCharType="begin"/>
            </w:r>
            <w:r w:rsidR="00776867">
              <w:rPr>
                <w:noProof/>
                <w:webHidden/>
              </w:rPr>
              <w:instrText xml:space="preserve"> PAGEREF _Toc425516504 \h </w:instrText>
            </w:r>
            <w:r>
              <w:rPr>
                <w:noProof/>
                <w:webHidden/>
              </w:rPr>
            </w:r>
            <w:r>
              <w:rPr>
                <w:noProof/>
                <w:webHidden/>
              </w:rPr>
              <w:fldChar w:fldCharType="separate"/>
            </w:r>
            <w:r w:rsidR="00776867">
              <w:rPr>
                <w:noProof/>
                <w:webHidden/>
              </w:rPr>
              <w:t>56</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5" w:history="1">
            <w:r w:rsidR="00776867" w:rsidRPr="00273F8C">
              <w:rPr>
                <w:rStyle w:val="Hyperlink"/>
                <w:noProof/>
              </w:rPr>
              <w:t>4.3.6. Kernvariabele 6: Historisch bruto marge</w:t>
            </w:r>
            <w:r w:rsidR="00776867">
              <w:rPr>
                <w:noProof/>
                <w:webHidden/>
              </w:rPr>
              <w:tab/>
            </w:r>
            <w:r>
              <w:rPr>
                <w:noProof/>
                <w:webHidden/>
              </w:rPr>
              <w:fldChar w:fldCharType="begin"/>
            </w:r>
            <w:r w:rsidR="00776867">
              <w:rPr>
                <w:noProof/>
                <w:webHidden/>
              </w:rPr>
              <w:instrText xml:space="preserve"> PAGEREF _Toc425516505 \h </w:instrText>
            </w:r>
            <w:r>
              <w:rPr>
                <w:noProof/>
                <w:webHidden/>
              </w:rPr>
            </w:r>
            <w:r>
              <w:rPr>
                <w:noProof/>
                <w:webHidden/>
              </w:rPr>
              <w:fldChar w:fldCharType="separate"/>
            </w:r>
            <w:r w:rsidR="00776867">
              <w:rPr>
                <w:noProof/>
                <w:webHidden/>
              </w:rPr>
              <w:t>57</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6" w:history="1">
            <w:r w:rsidR="00776867" w:rsidRPr="00273F8C">
              <w:rPr>
                <w:rStyle w:val="Hyperlink"/>
                <w:noProof/>
              </w:rPr>
              <w:t>4.3.7. Kernvariabele 7: Toekomstig netto marge</w:t>
            </w:r>
            <w:r w:rsidR="00776867">
              <w:rPr>
                <w:noProof/>
                <w:webHidden/>
              </w:rPr>
              <w:tab/>
            </w:r>
            <w:r>
              <w:rPr>
                <w:noProof/>
                <w:webHidden/>
              </w:rPr>
              <w:fldChar w:fldCharType="begin"/>
            </w:r>
            <w:r w:rsidR="00776867">
              <w:rPr>
                <w:noProof/>
                <w:webHidden/>
              </w:rPr>
              <w:instrText xml:space="preserve"> PAGEREF _Toc425516506 \h </w:instrText>
            </w:r>
            <w:r>
              <w:rPr>
                <w:noProof/>
                <w:webHidden/>
              </w:rPr>
            </w:r>
            <w:r>
              <w:rPr>
                <w:noProof/>
                <w:webHidden/>
              </w:rPr>
              <w:fldChar w:fldCharType="separate"/>
            </w:r>
            <w:r w:rsidR="00776867">
              <w:rPr>
                <w:noProof/>
                <w:webHidden/>
              </w:rPr>
              <w:t>58</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7" w:history="1">
            <w:r w:rsidR="00776867" w:rsidRPr="00273F8C">
              <w:rPr>
                <w:rStyle w:val="Hyperlink"/>
                <w:noProof/>
              </w:rPr>
              <w:t>4.3.8. Kernvariabele 8: Toekomstig bruto marge</w:t>
            </w:r>
            <w:r w:rsidR="00776867">
              <w:rPr>
                <w:noProof/>
                <w:webHidden/>
              </w:rPr>
              <w:tab/>
            </w:r>
            <w:r>
              <w:rPr>
                <w:noProof/>
                <w:webHidden/>
              </w:rPr>
              <w:fldChar w:fldCharType="begin"/>
            </w:r>
            <w:r w:rsidR="00776867">
              <w:rPr>
                <w:noProof/>
                <w:webHidden/>
              </w:rPr>
              <w:instrText xml:space="preserve"> PAGEREF _Toc425516507 \h </w:instrText>
            </w:r>
            <w:r>
              <w:rPr>
                <w:noProof/>
                <w:webHidden/>
              </w:rPr>
            </w:r>
            <w:r>
              <w:rPr>
                <w:noProof/>
                <w:webHidden/>
              </w:rPr>
              <w:fldChar w:fldCharType="separate"/>
            </w:r>
            <w:r w:rsidR="00776867">
              <w:rPr>
                <w:noProof/>
                <w:webHidden/>
              </w:rPr>
              <w:t>59</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8" w:history="1">
            <w:r w:rsidR="00776867" w:rsidRPr="00273F8C">
              <w:rPr>
                <w:rStyle w:val="Hyperlink"/>
                <w:noProof/>
              </w:rPr>
              <w:t>4.3.9. Kernvariabele 9: Personeelskostenratio</w:t>
            </w:r>
            <w:r w:rsidR="00776867">
              <w:rPr>
                <w:noProof/>
                <w:webHidden/>
              </w:rPr>
              <w:tab/>
            </w:r>
            <w:r>
              <w:rPr>
                <w:noProof/>
                <w:webHidden/>
              </w:rPr>
              <w:fldChar w:fldCharType="begin"/>
            </w:r>
            <w:r w:rsidR="00776867">
              <w:rPr>
                <w:noProof/>
                <w:webHidden/>
              </w:rPr>
              <w:instrText xml:space="preserve"> PAGEREF _Toc425516508 \h </w:instrText>
            </w:r>
            <w:r>
              <w:rPr>
                <w:noProof/>
                <w:webHidden/>
              </w:rPr>
            </w:r>
            <w:r>
              <w:rPr>
                <w:noProof/>
                <w:webHidden/>
              </w:rPr>
              <w:fldChar w:fldCharType="separate"/>
            </w:r>
            <w:r w:rsidR="00776867">
              <w:rPr>
                <w:noProof/>
                <w:webHidden/>
              </w:rPr>
              <w:t>60</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09" w:history="1">
            <w:r w:rsidR="00776867" w:rsidRPr="00273F8C">
              <w:rPr>
                <w:rStyle w:val="Hyperlink"/>
                <w:noProof/>
              </w:rPr>
              <w:t>4.3.10. Kernvariabele 10: Begrotingsdiscipline</w:t>
            </w:r>
            <w:r w:rsidR="00776867">
              <w:rPr>
                <w:noProof/>
                <w:webHidden/>
              </w:rPr>
              <w:tab/>
            </w:r>
            <w:r>
              <w:rPr>
                <w:noProof/>
                <w:webHidden/>
              </w:rPr>
              <w:fldChar w:fldCharType="begin"/>
            </w:r>
            <w:r w:rsidR="00776867">
              <w:rPr>
                <w:noProof/>
                <w:webHidden/>
              </w:rPr>
              <w:instrText xml:space="preserve"> PAGEREF _Toc425516509 \h </w:instrText>
            </w:r>
            <w:r>
              <w:rPr>
                <w:noProof/>
                <w:webHidden/>
              </w:rPr>
            </w:r>
            <w:r>
              <w:rPr>
                <w:noProof/>
                <w:webHidden/>
              </w:rPr>
              <w:fldChar w:fldCharType="separate"/>
            </w:r>
            <w:r w:rsidR="00776867">
              <w:rPr>
                <w:noProof/>
                <w:webHidden/>
              </w:rPr>
              <w:t>62</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510" w:history="1">
            <w:r w:rsidR="00776867" w:rsidRPr="00273F8C">
              <w:rPr>
                <w:rStyle w:val="Hyperlink"/>
                <w:noProof/>
              </w:rPr>
              <w:t>4.4. Conclusie hoofdstuk 4</w:t>
            </w:r>
            <w:r w:rsidR="00776867">
              <w:rPr>
                <w:noProof/>
                <w:webHidden/>
              </w:rPr>
              <w:tab/>
            </w:r>
            <w:r>
              <w:rPr>
                <w:noProof/>
                <w:webHidden/>
              </w:rPr>
              <w:fldChar w:fldCharType="begin"/>
            </w:r>
            <w:r w:rsidR="00776867">
              <w:rPr>
                <w:noProof/>
                <w:webHidden/>
              </w:rPr>
              <w:instrText xml:space="preserve"> PAGEREF _Toc425516510 \h </w:instrText>
            </w:r>
            <w:r>
              <w:rPr>
                <w:noProof/>
                <w:webHidden/>
              </w:rPr>
            </w:r>
            <w:r>
              <w:rPr>
                <w:noProof/>
                <w:webHidden/>
              </w:rPr>
              <w:fldChar w:fldCharType="separate"/>
            </w:r>
            <w:r w:rsidR="00776867">
              <w:rPr>
                <w:noProof/>
                <w:webHidden/>
              </w:rPr>
              <w:t>63</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511" w:history="1">
            <w:r w:rsidR="00776867" w:rsidRPr="00273F8C">
              <w:rPr>
                <w:rStyle w:val="Hyperlink"/>
                <w:noProof/>
              </w:rPr>
              <w:t>Hoofdstuk 5: Analyse materiële vaste activa FC Twente</w:t>
            </w:r>
            <w:r w:rsidR="00776867">
              <w:rPr>
                <w:noProof/>
                <w:webHidden/>
              </w:rPr>
              <w:tab/>
            </w:r>
            <w:r>
              <w:rPr>
                <w:noProof/>
                <w:webHidden/>
              </w:rPr>
              <w:fldChar w:fldCharType="begin"/>
            </w:r>
            <w:r w:rsidR="00776867">
              <w:rPr>
                <w:noProof/>
                <w:webHidden/>
              </w:rPr>
              <w:instrText xml:space="preserve"> PAGEREF _Toc425516511 \h </w:instrText>
            </w:r>
            <w:r>
              <w:rPr>
                <w:noProof/>
                <w:webHidden/>
              </w:rPr>
            </w:r>
            <w:r>
              <w:rPr>
                <w:noProof/>
                <w:webHidden/>
              </w:rPr>
              <w:fldChar w:fldCharType="separate"/>
            </w:r>
            <w:r w:rsidR="00776867">
              <w:rPr>
                <w:noProof/>
                <w:webHidden/>
              </w:rPr>
              <w:t>64</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512" w:history="1">
            <w:r w:rsidR="00776867" w:rsidRPr="00273F8C">
              <w:rPr>
                <w:rStyle w:val="Hyperlink"/>
                <w:noProof/>
              </w:rPr>
              <w:t>5.1. Inleiding hoofdstuk 5</w:t>
            </w:r>
            <w:r w:rsidR="00776867">
              <w:rPr>
                <w:noProof/>
                <w:webHidden/>
              </w:rPr>
              <w:tab/>
            </w:r>
            <w:r>
              <w:rPr>
                <w:noProof/>
                <w:webHidden/>
              </w:rPr>
              <w:fldChar w:fldCharType="begin"/>
            </w:r>
            <w:r w:rsidR="00776867">
              <w:rPr>
                <w:noProof/>
                <w:webHidden/>
              </w:rPr>
              <w:instrText xml:space="preserve"> PAGEREF _Toc425516512 \h </w:instrText>
            </w:r>
            <w:r>
              <w:rPr>
                <w:noProof/>
                <w:webHidden/>
              </w:rPr>
            </w:r>
            <w:r>
              <w:rPr>
                <w:noProof/>
                <w:webHidden/>
              </w:rPr>
              <w:fldChar w:fldCharType="separate"/>
            </w:r>
            <w:r w:rsidR="00776867">
              <w:rPr>
                <w:noProof/>
                <w:webHidden/>
              </w:rPr>
              <w:t>64</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513" w:history="1">
            <w:r w:rsidR="00776867" w:rsidRPr="00273F8C">
              <w:rPr>
                <w:rStyle w:val="Hyperlink"/>
                <w:rFonts w:eastAsia="Times New Roman"/>
                <w:noProof/>
              </w:rPr>
              <w:t>5.2. Jaarrekening FC Twente 2012/2013</w:t>
            </w:r>
            <w:r w:rsidR="00776867">
              <w:rPr>
                <w:noProof/>
                <w:webHidden/>
              </w:rPr>
              <w:tab/>
            </w:r>
            <w:r>
              <w:rPr>
                <w:noProof/>
                <w:webHidden/>
              </w:rPr>
              <w:fldChar w:fldCharType="begin"/>
            </w:r>
            <w:r w:rsidR="00776867">
              <w:rPr>
                <w:noProof/>
                <w:webHidden/>
              </w:rPr>
              <w:instrText xml:space="preserve"> PAGEREF _Toc425516513 \h </w:instrText>
            </w:r>
            <w:r>
              <w:rPr>
                <w:noProof/>
                <w:webHidden/>
              </w:rPr>
            </w:r>
            <w:r>
              <w:rPr>
                <w:noProof/>
                <w:webHidden/>
              </w:rPr>
              <w:fldChar w:fldCharType="separate"/>
            </w:r>
            <w:r w:rsidR="00776867">
              <w:rPr>
                <w:noProof/>
                <w:webHidden/>
              </w:rPr>
              <w:t>66</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14" w:history="1">
            <w:r w:rsidR="00776867" w:rsidRPr="00273F8C">
              <w:rPr>
                <w:rStyle w:val="Hyperlink"/>
                <w:noProof/>
              </w:rPr>
              <w:t>5.3. Oorspronkelijke jaarrekening FC Twente 2013/2014</w:t>
            </w:r>
            <w:r w:rsidR="00776867">
              <w:rPr>
                <w:noProof/>
                <w:webHidden/>
              </w:rPr>
              <w:tab/>
            </w:r>
            <w:r>
              <w:rPr>
                <w:noProof/>
                <w:webHidden/>
              </w:rPr>
              <w:fldChar w:fldCharType="begin"/>
            </w:r>
            <w:r w:rsidR="00776867">
              <w:rPr>
                <w:noProof/>
                <w:webHidden/>
              </w:rPr>
              <w:instrText xml:space="preserve"> PAGEREF _Toc425516514 \h </w:instrText>
            </w:r>
            <w:r>
              <w:rPr>
                <w:noProof/>
                <w:webHidden/>
              </w:rPr>
            </w:r>
            <w:r>
              <w:rPr>
                <w:noProof/>
                <w:webHidden/>
              </w:rPr>
              <w:fldChar w:fldCharType="separate"/>
            </w:r>
            <w:r w:rsidR="00776867">
              <w:rPr>
                <w:noProof/>
                <w:webHidden/>
              </w:rPr>
              <w:t>69</w:t>
            </w:r>
            <w:r>
              <w:rPr>
                <w:noProof/>
                <w:webHidden/>
              </w:rPr>
              <w:fldChar w:fldCharType="end"/>
            </w:r>
          </w:hyperlink>
        </w:p>
        <w:p w:rsidR="00776867" w:rsidRDefault="000C5AB6">
          <w:pPr>
            <w:pStyle w:val="TOC3"/>
            <w:tabs>
              <w:tab w:val="right" w:leader="dot" w:pos="9062"/>
            </w:tabs>
            <w:rPr>
              <w:rFonts w:cstheme="minorBidi"/>
              <w:noProof/>
              <w:lang w:val="en-GB"/>
            </w:rPr>
          </w:pPr>
          <w:hyperlink w:anchor="_Toc425516515" w:history="1">
            <w:r w:rsidR="00776867" w:rsidRPr="00273F8C">
              <w:rPr>
                <w:rStyle w:val="Hyperlink"/>
                <w:noProof/>
              </w:rPr>
              <w:t>(Datum vaststelling: 23 januari 2015)</w:t>
            </w:r>
            <w:r w:rsidR="00776867">
              <w:rPr>
                <w:noProof/>
                <w:webHidden/>
              </w:rPr>
              <w:tab/>
            </w:r>
            <w:r>
              <w:rPr>
                <w:noProof/>
                <w:webHidden/>
              </w:rPr>
              <w:fldChar w:fldCharType="begin"/>
            </w:r>
            <w:r w:rsidR="00776867">
              <w:rPr>
                <w:noProof/>
                <w:webHidden/>
              </w:rPr>
              <w:instrText xml:space="preserve"> PAGEREF _Toc425516515 \h </w:instrText>
            </w:r>
            <w:r>
              <w:rPr>
                <w:noProof/>
                <w:webHidden/>
              </w:rPr>
            </w:r>
            <w:r>
              <w:rPr>
                <w:noProof/>
                <w:webHidden/>
              </w:rPr>
              <w:fldChar w:fldCharType="separate"/>
            </w:r>
            <w:r w:rsidR="00776867">
              <w:rPr>
                <w:noProof/>
                <w:webHidden/>
              </w:rPr>
              <w:t>69</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516" w:history="1">
            <w:r w:rsidR="00776867" w:rsidRPr="00273F8C">
              <w:rPr>
                <w:rStyle w:val="Hyperlink"/>
                <w:noProof/>
              </w:rPr>
              <w:t>5.4. Herziende jaarrekening FC Twente 2013/2014 (Datum vaststelling: 8 april 2015)</w:t>
            </w:r>
            <w:r w:rsidR="00776867">
              <w:rPr>
                <w:noProof/>
                <w:webHidden/>
              </w:rPr>
              <w:tab/>
            </w:r>
            <w:r>
              <w:rPr>
                <w:noProof/>
                <w:webHidden/>
              </w:rPr>
              <w:fldChar w:fldCharType="begin"/>
            </w:r>
            <w:r w:rsidR="00776867">
              <w:rPr>
                <w:noProof/>
                <w:webHidden/>
              </w:rPr>
              <w:instrText xml:space="preserve"> PAGEREF _Toc425516516 \h </w:instrText>
            </w:r>
            <w:r>
              <w:rPr>
                <w:noProof/>
                <w:webHidden/>
              </w:rPr>
            </w:r>
            <w:r>
              <w:rPr>
                <w:noProof/>
                <w:webHidden/>
              </w:rPr>
              <w:fldChar w:fldCharType="separate"/>
            </w:r>
            <w:r w:rsidR="00776867">
              <w:rPr>
                <w:noProof/>
                <w:webHidden/>
              </w:rPr>
              <w:t>72</w:t>
            </w:r>
            <w:r>
              <w:rPr>
                <w:noProof/>
                <w:webHidden/>
              </w:rPr>
              <w:fldChar w:fldCharType="end"/>
            </w:r>
          </w:hyperlink>
        </w:p>
        <w:p w:rsidR="00776867" w:rsidRDefault="000C5AB6">
          <w:pPr>
            <w:pStyle w:val="TOC2"/>
            <w:tabs>
              <w:tab w:val="right" w:leader="dot" w:pos="9062"/>
            </w:tabs>
            <w:rPr>
              <w:rFonts w:cstheme="minorBidi"/>
              <w:noProof/>
              <w:lang w:val="en-GB"/>
            </w:rPr>
          </w:pPr>
          <w:hyperlink w:anchor="_Toc425516517" w:history="1">
            <w:r w:rsidR="00776867" w:rsidRPr="00273F8C">
              <w:rPr>
                <w:rStyle w:val="Hyperlink"/>
                <w:noProof/>
              </w:rPr>
              <w:t>5.5. Conclusie hoofdstuk 5</w:t>
            </w:r>
            <w:r w:rsidR="00776867">
              <w:rPr>
                <w:noProof/>
                <w:webHidden/>
              </w:rPr>
              <w:tab/>
            </w:r>
            <w:r>
              <w:rPr>
                <w:noProof/>
                <w:webHidden/>
              </w:rPr>
              <w:fldChar w:fldCharType="begin"/>
            </w:r>
            <w:r w:rsidR="00776867">
              <w:rPr>
                <w:noProof/>
                <w:webHidden/>
              </w:rPr>
              <w:instrText xml:space="preserve"> PAGEREF _Toc425516517 \h </w:instrText>
            </w:r>
            <w:r>
              <w:rPr>
                <w:noProof/>
                <w:webHidden/>
              </w:rPr>
            </w:r>
            <w:r>
              <w:rPr>
                <w:noProof/>
                <w:webHidden/>
              </w:rPr>
              <w:fldChar w:fldCharType="separate"/>
            </w:r>
            <w:r w:rsidR="00776867">
              <w:rPr>
                <w:noProof/>
                <w:webHidden/>
              </w:rPr>
              <w:t>76</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518" w:history="1">
            <w:r w:rsidR="00776867" w:rsidRPr="00273F8C">
              <w:rPr>
                <w:rStyle w:val="Hyperlink"/>
                <w:noProof/>
              </w:rPr>
              <w:t>Hoofdstuk 6: Conclusie en aanbevelingen</w:t>
            </w:r>
            <w:r w:rsidR="00776867">
              <w:rPr>
                <w:noProof/>
                <w:webHidden/>
              </w:rPr>
              <w:tab/>
            </w:r>
            <w:r>
              <w:rPr>
                <w:noProof/>
                <w:webHidden/>
              </w:rPr>
              <w:fldChar w:fldCharType="begin"/>
            </w:r>
            <w:r w:rsidR="00776867">
              <w:rPr>
                <w:noProof/>
                <w:webHidden/>
              </w:rPr>
              <w:instrText xml:space="preserve"> PAGEREF _Toc425516518 \h </w:instrText>
            </w:r>
            <w:r>
              <w:rPr>
                <w:noProof/>
                <w:webHidden/>
              </w:rPr>
            </w:r>
            <w:r>
              <w:rPr>
                <w:noProof/>
                <w:webHidden/>
              </w:rPr>
              <w:fldChar w:fldCharType="separate"/>
            </w:r>
            <w:r w:rsidR="00776867">
              <w:rPr>
                <w:noProof/>
                <w:webHidden/>
              </w:rPr>
              <w:t>77</w:t>
            </w:r>
            <w:r>
              <w:rPr>
                <w:noProof/>
                <w:webHidden/>
              </w:rPr>
              <w:fldChar w:fldCharType="end"/>
            </w:r>
          </w:hyperlink>
        </w:p>
        <w:p w:rsidR="00776867" w:rsidRDefault="000C5AB6">
          <w:pPr>
            <w:pStyle w:val="TOC1"/>
            <w:tabs>
              <w:tab w:val="right" w:leader="dot" w:pos="9062"/>
            </w:tabs>
            <w:rPr>
              <w:rFonts w:cstheme="minorBidi"/>
              <w:noProof/>
              <w:lang w:val="en-GB"/>
            </w:rPr>
          </w:pPr>
          <w:hyperlink w:anchor="_Toc425516519" w:history="1">
            <w:r w:rsidR="00776867" w:rsidRPr="00273F8C">
              <w:rPr>
                <w:rStyle w:val="Hyperlink"/>
                <w:noProof/>
              </w:rPr>
              <w:t>Bibliografie</w:t>
            </w:r>
            <w:r w:rsidR="00776867">
              <w:rPr>
                <w:noProof/>
                <w:webHidden/>
              </w:rPr>
              <w:tab/>
            </w:r>
            <w:r>
              <w:rPr>
                <w:noProof/>
                <w:webHidden/>
              </w:rPr>
              <w:fldChar w:fldCharType="begin"/>
            </w:r>
            <w:r w:rsidR="00776867">
              <w:rPr>
                <w:noProof/>
                <w:webHidden/>
              </w:rPr>
              <w:instrText xml:space="preserve"> PAGEREF _Toc425516519 \h </w:instrText>
            </w:r>
            <w:r>
              <w:rPr>
                <w:noProof/>
                <w:webHidden/>
              </w:rPr>
            </w:r>
            <w:r>
              <w:rPr>
                <w:noProof/>
                <w:webHidden/>
              </w:rPr>
              <w:fldChar w:fldCharType="separate"/>
            </w:r>
            <w:r w:rsidR="00776867">
              <w:rPr>
                <w:noProof/>
                <w:webHidden/>
              </w:rPr>
              <w:t>81</w:t>
            </w:r>
            <w:r>
              <w:rPr>
                <w:noProof/>
                <w:webHidden/>
              </w:rPr>
              <w:fldChar w:fldCharType="end"/>
            </w:r>
          </w:hyperlink>
        </w:p>
        <w:p w:rsidR="00C05D5A" w:rsidRDefault="000C5AB6" w:rsidP="00C05D5A">
          <w:pPr>
            <w:rPr>
              <w:b/>
              <w:bCs/>
            </w:rPr>
          </w:pPr>
          <w:r>
            <w:rPr>
              <w:b/>
              <w:bCs/>
            </w:rPr>
            <w:fldChar w:fldCharType="end"/>
          </w:r>
        </w:p>
      </w:sdtContent>
    </w:sdt>
    <w:p w:rsidR="00554074" w:rsidRDefault="00554074" w:rsidP="00247AA1">
      <w:pPr>
        <w:shd w:val="clear" w:color="auto" w:fill="FFFFFF"/>
        <w:spacing w:after="0" w:line="240" w:lineRule="auto"/>
        <w:jc w:val="both"/>
        <w:rPr>
          <w:rFonts w:eastAsia="Times New Roman" w:cs="Times New Roman"/>
          <w:b/>
          <w:sz w:val="40"/>
          <w:szCs w:val="36"/>
          <w:lang w:eastAsia="en-GB"/>
        </w:rPr>
      </w:pPr>
    </w:p>
    <w:p w:rsidR="00CA2541" w:rsidRPr="00CA2541" w:rsidRDefault="00CA2541" w:rsidP="00247AA1">
      <w:pPr>
        <w:shd w:val="clear" w:color="auto" w:fill="FFFFFF"/>
        <w:spacing w:after="0" w:line="240" w:lineRule="auto"/>
        <w:jc w:val="both"/>
        <w:rPr>
          <w:rFonts w:eastAsia="Times New Roman" w:cs="Times New Roman"/>
          <w:sz w:val="24"/>
          <w:szCs w:val="24"/>
          <w:lang w:eastAsia="en-GB"/>
        </w:rPr>
      </w:pPr>
      <w:proofErr w:type="gramStart"/>
      <w:r>
        <w:rPr>
          <w:rFonts w:eastAsia="Times New Roman" w:cs="Times New Roman"/>
          <w:sz w:val="24"/>
          <w:szCs w:val="24"/>
          <w:lang w:eastAsia="en-GB"/>
        </w:rPr>
        <w:t>De</w:t>
      </w:r>
      <w:proofErr w:type="gramEnd"/>
      <w:r>
        <w:rPr>
          <w:rFonts w:eastAsia="Times New Roman" w:cs="Times New Roman"/>
          <w:sz w:val="24"/>
          <w:szCs w:val="24"/>
          <w:lang w:eastAsia="en-GB"/>
        </w:rPr>
        <w:t xml:space="preserve"> appendix is als apart onderdeel toegevoegd aan de thesis.</w:t>
      </w:r>
    </w:p>
    <w:p w:rsidR="000E7B85" w:rsidRDefault="000E7B85" w:rsidP="00247AA1">
      <w:pPr>
        <w:shd w:val="clear" w:color="auto" w:fill="FFFFFF"/>
        <w:spacing w:after="0" w:line="240" w:lineRule="auto"/>
        <w:jc w:val="both"/>
        <w:rPr>
          <w:rFonts w:eastAsia="Times New Roman" w:cs="Times New Roman"/>
          <w:color w:val="5B9BD5" w:themeColor="accent1"/>
          <w:sz w:val="40"/>
          <w:szCs w:val="24"/>
          <w:lang w:eastAsia="en-GB"/>
        </w:rPr>
      </w:pPr>
    </w:p>
    <w:p w:rsidR="00A64B5B" w:rsidRDefault="00A64B5B" w:rsidP="00A64B5B">
      <w:pPr>
        <w:rPr>
          <w:rFonts w:asciiTheme="majorHAnsi" w:eastAsia="Times New Roman" w:hAnsiTheme="majorHAnsi" w:cstheme="majorBidi"/>
          <w:color w:val="2E74B5" w:themeColor="accent1" w:themeShade="BF"/>
          <w:sz w:val="40"/>
          <w:szCs w:val="32"/>
          <w:lang w:eastAsia="en-GB"/>
        </w:rPr>
      </w:pPr>
    </w:p>
    <w:p w:rsidR="00E55BAD" w:rsidRDefault="00E55BAD" w:rsidP="00A64B5B">
      <w:pPr>
        <w:rPr>
          <w:lang w:eastAsia="en-GB"/>
        </w:rPr>
      </w:pPr>
    </w:p>
    <w:p w:rsidR="00A64B5B" w:rsidRPr="00A64B5B" w:rsidRDefault="00A64B5B" w:rsidP="00A64B5B">
      <w:pPr>
        <w:rPr>
          <w:lang w:eastAsia="en-GB"/>
        </w:rPr>
      </w:pPr>
    </w:p>
    <w:p w:rsidR="00E55BAD" w:rsidRDefault="00E55BAD" w:rsidP="00413820">
      <w:pPr>
        <w:pStyle w:val="Heading1"/>
        <w:rPr>
          <w:rFonts w:eastAsia="Times New Roman"/>
          <w:sz w:val="40"/>
          <w:lang w:eastAsia="en-GB"/>
        </w:rPr>
      </w:pPr>
    </w:p>
    <w:p w:rsidR="00E55BAD" w:rsidRDefault="00E55BAD" w:rsidP="00413820">
      <w:pPr>
        <w:pStyle w:val="Heading1"/>
        <w:rPr>
          <w:rFonts w:eastAsia="Times New Roman"/>
          <w:sz w:val="40"/>
          <w:lang w:eastAsia="en-GB"/>
        </w:rPr>
      </w:pPr>
    </w:p>
    <w:p w:rsidR="00E55BAD" w:rsidRDefault="00E55BAD" w:rsidP="00E55BAD">
      <w:pPr>
        <w:rPr>
          <w:lang w:eastAsia="en-GB"/>
        </w:rPr>
      </w:pPr>
    </w:p>
    <w:p w:rsidR="00A66C23" w:rsidRDefault="00A66C23" w:rsidP="00E55BAD">
      <w:pPr>
        <w:rPr>
          <w:lang w:eastAsia="en-GB"/>
        </w:rPr>
      </w:pPr>
    </w:p>
    <w:p w:rsidR="00A66C23" w:rsidRPr="00E55BAD" w:rsidRDefault="00A66C23" w:rsidP="00E55BAD">
      <w:pPr>
        <w:rPr>
          <w:lang w:eastAsia="en-GB"/>
        </w:rPr>
      </w:pPr>
    </w:p>
    <w:p w:rsidR="00247AA1" w:rsidRPr="00413820" w:rsidRDefault="00776867" w:rsidP="00413820">
      <w:pPr>
        <w:pStyle w:val="Heading1"/>
        <w:rPr>
          <w:rFonts w:eastAsia="Times New Roman"/>
          <w:sz w:val="40"/>
          <w:lang w:eastAsia="en-GB"/>
        </w:rPr>
      </w:pPr>
      <w:bookmarkStart w:id="1" w:name="_Toc425516467"/>
      <w:r>
        <w:rPr>
          <w:rFonts w:eastAsia="Times New Roman"/>
          <w:sz w:val="40"/>
          <w:lang w:eastAsia="en-GB"/>
        </w:rPr>
        <w:lastRenderedPageBreak/>
        <w:t xml:space="preserve">Hoofdstuk 1: </w:t>
      </w:r>
      <w:r w:rsidR="00B33280" w:rsidRPr="0082361F">
        <w:rPr>
          <w:rFonts w:eastAsia="Times New Roman"/>
          <w:sz w:val="40"/>
          <w:lang w:eastAsia="en-GB"/>
        </w:rPr>
        <w:t>Inleiding</w:t>
      </w:r>
      <w:bookmarkEnd w:id="1"/>
      <w:r w:rsidR="00B33280" w:rsidRPr="0082361F">
        <w:rPr>
          <w:rFonts w:eastAsia="Times New Roman"/>
          <w:sz w:val="40"/>
          <w:lang w:eastAsia="en-GB"/>
        </w:rPr>
        <w:t xml:space="preserve"> </w:t>
      </w:r>
    </w:p>
    <w:p w:rsidR="00247AA1" w:rsidRPr="00247AA1" w:rsidRDefault="00247AA1" w:rsidP="00247AA1">
      <w:pPr>
        <w:shd w:val="clear" w:color="auto" w:fill="FFFFFF"/>
        <w:spacing w:after="0" w:line="240" w:lineRule="auto"/>
        <w:jc w:val="both"/>
        <w:rPr>
          <w:rFonts w:eastAsia="Times New Roman" w:cs="Times New Roman"/>
          <w:color w:val="5B9BD5" w:themeColor="accent1"/>
          <w:sz w:val="24"/>
          <w:szCs w:val="24"/>
          <w:lang w:eastAsia="en-GB"/>
        </w:rPr>
      </w:pPr>
    </w:p>
    <w:p w:rsidR="00247AA1" w:rsidRDefault="00373300"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Nadat FC Twente in 2003 technisch failliet werd verklaard, ontwikkelde de club zich in minder dan 10 jaar tot een uitdager van de traditionele top-drie in de Eredivisie. Als bekroning werd de voetbalclub landskampioen in het seizoen 2009/2010. Het succes was grotendeels toe te wijzen aan de (ondertussen afgetreden) voorzitt</w:t>
      </w:r>
      <w:r w:rsidR="00E01DA4">
        <w:rPr>
          <w:rFonts w:eastAsia="Times New Roman" w:cs="Times New Roman"/>
          <w:color w:val="222222"/>
          <w:sz w:val="24"/>
          <w:szCs w:val="24"/>
          <w:lang w:eastAsia="en-GB"/>
        </w:rPr>
        <w:t>er en ex-eigenaar van FC Twente,</w:t>
      </w:r>
      <w:r>
        <w:rPr>
          <w:rFonts w:eastAsia="Times New Roman" w:cs="Times New Roman"/>
          <w:color w:val="222222"/>
          <w:sz w:val="24"/>
          <w:szCs w:val="24"/>
          <w:lang w:eastAsia="en-GB"/>
        </w:rPr>
        <w:t xml:space="preserve"> Joop Munsterman. Munsterman investeerde </w:t>
      </w:r>
      <w:proofErr w:type="gramStart"/>
      <w:r w:rsidR="00E01DA4">
        <w:rPr>
          <w:rFonts w:eastAsia="Times New Roman" w:cs="Times New Roman"/>
          <w:color w:val="222222"/>
          <w:sz w:val="24"/>
          <w:szCs w:val="24"/>
          <w:lang w:eastAsia="en-GB"/>
        </w:rPr>
        <w:t>dermate</w:t>
      </w:r>
      <w:proofErr w:type="gramEnd"/>
      <w:r w:rsidR="00E01DA4">
        <w:rPr>
          <w:rFonts w:eastAsia="Times New Roman" w:cs="Times New Roman"/>
          <w:color w:val="222222"/>
          <w:sz w:val="24"/>
          <w:szCs w:val="24"/>
          <w:lang w:eastAsia="en-GB"/>
        </w:rPr>
        <w:t xml:space="preserve"> veel</w:t>
      </w:r>
      <w:r>
        <w:rPr>
          <w:rFonts w:eastAsia="Times New Roman" w:cs="Times New Roman"/>
          <w:color w:val="222222"/>
          <w:sz w:val="24"/>
          <w:szCs w:val="24"/>
          <w:lang w:eastAsia="en-GB"/>
        </w:rPr>
        <w:t xml:space="preserve"> in de club om de begroting structureel te verhogen, met als gevolg een groeiende achterban in het gloednieuwe stadion De Grolsch Veste en grote investeringen in nieuwe spelers. Eind 2014 bleek Munsterman hiermee onverantwoord </w:t>
      </w:r>
      <w:r w:rsidR="009D3023">
        <w:rPr>
          <w:rFonts w:eastAsia="Times New Roman" w:cs="Times New Roman"/>
          <w:color w:val="222222"/>
          <w:sz w:val="24"/>
          <w:szCs w:val="24"/>
          <w:lang w:eastAsia="en-GB"/>
        </w:rPr>
        <w:t xml:space="preserve">hoge financiële risico’s genomen te hebben, die momenteel de oorzaak vormen voor de teloorgang van FC Twente als stabiele subtopper in de Eredivisie met bezuinigingen en ontslagen tot gevolg. </w:t>
      </w:r>
    </w:p>
    <w:p w:rsidR="009D3023" w:rsidRDefault="009D3023" w:rsidP="00247AA1">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t>Om in Nederland betaald voetbal te mogen spelen, heeft een voetbalclub een licentie nodig. De voorwaarden om een licentie te krijgen zijn onderdeel van het licentiesysteem</w:t>
      </w:r>
      <w:proofErr w:type="gramStart"/>
      <w:r w:rsidRPr="00247AA1">
        <w:rPr>
          <w:rFonts w:eastAsia="Times New Roman" w:cs="Times New Roman"/>
          <w:color w:val="222222"/>
          <w:sz w:val="24"/>
          <w:szCs w:val="24"/>
          <w:lang w:eastAsia="en-GB"/>
        </w:rPr>
        <w:t>, die</w:t>
      </w:r>
      <w:proofErr w:type="gramEnd"/>
      <w:r w:rsidRPr="00247AA1">
        <w:rPr>
          <w:rFonts w:eastAsia="Times New Roman" w:cs="Times New Roman"/>
          <w:color w:val="222222"/>
          <w:sz w:val="24"/>
          <w:szCs w:val="24"/>
          <w:lang w:eastAsia="en-GB"/>
        </w:rPr>
        <w:t xml:space="preserve"> de KNVB in samenwerking met de clubs heeft opgesteld om de continuïteit van de competities betaald voetbal te waarborgen</w:t>
      </w:r>
      <w:r w:rsidR="00AD5B19">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733283725"/>
          <w:citation/>
        </w:sdtPr>
        <w:sdtContent>
          <w:r w:rsidR="000C5AB6">
            <w:rPr>
              <w:rFonts w:eastAsia="Times New Roman" w:cs="Times New Roman"/>
              <w:color w:val="222222"/>
              <w:sz w:val="24"/>
              <w:szCs w:val="24"/>
              <w:lang w:eastAsia="en-GB"/>
            </w:rPr>
            <w:fldChar w:fldCharType="begin"/>
          </w:r>
          <w:r w:rsidR="00AD5B19">
            <w:rPr>
              <w:rFonts w:eastAsia="Times New Roman" w:cs="Times New Roman"/>
              <w:color w:val="222222"/>
              <w:sz w:val="24"/>
              <w:szCs w:val="24"/>
              <w:lang w:eastAsia="en-GB"/>
            </w:rPr>
            <w:instrText xml:space="preserve"> CITATION Han12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(Handboek Bestuurders Betaald Voetbal Licentiecommissie, 2012)</w:t>
          </w:r>
          <w:r w:rsidR="000C5AB6">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xml:space="preserve">. De licentie-eisen bestaat uit vijf hoofdgebieden met bijbehorende criteria, waar de KNVB de taak heeft om clubs op </w:t>
      </w:r>
      <w:r>
        <w:rPr>
          <w:rFonts w:eastAsia="Times New Roman" w:cs="Times New Roman"/>
          <w:color w:val="222222"/>
          <w:sz w:val="24"/>
          <w:szCs w:val="24"/>
          <w:lang w:eastAsia="en-GB"/>
        </w:rPr>
        <w:t>deze</w:t>
      </w:r>
      <w:r w:rsidRPr="00247AA1">
        <w:rPr>
          <w:rFonts w:eastAsia="Times New Roman" w:cs="Times New Roman"/>
          <w:color w:val="222222"/>
          <w:sz w:val="24"/>
          <w:szCs w:val="24"/>
          <w:lang w:eastAsia="en-GB"/>
        </w:rPr>
        <w:t xml:space="preserve"> gebied</w:t>
      </w:r>
      <w:r>
        <w:rPr>
          <w:rFonts w:eastAsia="Times New Roman" w:cs="Times New Roman"/>
          <w:color w:val="222222"/>
          <w:sz w:val="24"/>
          <w:szCs w:val="24"/>
          <w:lang w:eastAsia="en-GB"/>
        </w:rPr>
        <w:t>en</w:t>
      </w:r>
      <w:r w:rsidRPr="00247AA1">
        <w:rPr>
          <w:rFonts w:eastAsia="Times New Roman" w:cs="Times New Roman"/>
          <w:color w:val="222222"/>
          <w:sz w:val="24"/>
          <w:szCs w:val="24"/>
          <w:lang w:eastAsia="en-GB"/>
        </w:rPr>
        <w:t xml:space="preserve"> adviseert en ondersteunt. De licentiecommissie toetst of de clubs aan de eisen voldoen en worden vervolgens ingedeeld in de categorie 3 (goed), categorie </w:t>
      </w:r>
      <w:r w:rsidR="00AD5B19">
        <w:rPr>
          <w:rFonts w:eastAsia="Times New Roman" w:cs="Times New Roman"/>
          <w:color w:val="222222"/>
          <w:sz w:val="24"/>
          <w:szCs w:val="24"/>
          <w:lang w:eastAsia="en-GB"/>
        </w:rPr>
        <w:t>2 (voldoende), of in categorie 1</w:t>
      </w:r>
      <w:r w:rsidRPr="00247AA1">
        <w:rPr>
          <w:rFonts w:eastAsia="Times New Roman" w:cs="Times New Roman"/>
          <w:color w:val="222222"/>
          <w:sz w:val="24"/>
          <w:szCs w:val="24"/>
          <w:lang w:eastAsia="en-GB"/>
        </w:rPr>
        <w:t xml:space="preserve"> (onvoldoende). Deze categorieën geven een indicatie van de financiële positie van de clubs. De indeling wordt bepaald op basis van de ingediende financiële rapportages en getoetst aan de hand van de normen van het </w:t>
      </w:r>
      <w:r w:rsidR="008E0342">
        <w:rPr>
          <w:rFonts w:eastAsia="Times New Roman" w:cs="Times New Roman"/>
          <w:color w:val="222222"/>
          <w:sz w:val="24"/>
          <w:szCs w:val="24"/>
          <w:lang w:eastAsia="en-GB"/>
        </w:rPr>
        <w:t>Financiee</w:t>
      </w:r>
      <w:r w:rsidRPr="008E0342">
        <w:rPr>
          <w:rFonts w:eastAsia="Times New Roman" w:cs="Times New Roman"/>
          <w:color w:val="222222"/>
          <w:sz w:val="24"/>
          <w:szCs w:val="24"/>
          <w:lang w:eastAsia="en-GB"/>
        </w:rPr>
        <w:t>l Rating Syste</w:t>
      </w:r>
      <w:r w:rsidR="008E0342">
        <w:rPr>
          <w:rFonts w:eastAsia="Times New Roman" w:cs="Times New Roman"/>
          <w:color w:val="222222"/>
          <w:sz w:val="24"/>
          <w:szCs w:val="24"/>
          <w:lang w:eastAsia="en-GB"/>
        </w:rPr>
        <w:t>e</w:t>
      </w:r>
      <w:r w:rsidRPr="008E0342">
        <w:rPr>
          <w:rFonts w:eastAsia="Times New Roman" w:cs="Times New Roman"/>
          <w:color w:val="222222"/>
          <w:sz w:val="24"/>
          <w:szCs w:val="24"/>
          <w:lang w:eastAsia="en-GB"/>
        </w:rPr>
        <w:t>m</w:t>
      </w:r>
      <w:r>
        <w:rPr>
          <w:rFonts w:eastAsia="Times New Roman" w:cs="Times New Roman"/>
          <w:color w:val="222222"/>
          <w:sz w:val="24"/>
          <w:szCs w:val="24"/>
          <w:lang w:eastAsia="en-GB"/>
        </w:rPr>
        <w:t xml:space="preserve"> (FRS</w:t>
      </w:r>
      <w:r w:rsidRPr="00247AA1">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363878164"/>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CITATION htt14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(KNVB, 2014)</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w:t>
      </w:r>
    </w:p>
    <w:p w:rsidR="00E01DA4" w:rsidRDefault="00AD5B19" w:rsidP="00AD5B19">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Tijdens het meetmoment van maart 2015 werd FC Twente in categorie 1 ingedeeld, waardoor de club </w:t>
      </w:r>
      <w:proofErr w:type="gramStart"/>
      <w:r>
        <w:rPr>
          <w:rFonts w:eastAsia="Times New Roman" w:cs="Times New Roman"/>
          <w:color w:val="222222"/>
          <w:sz w:val="24"/>
          <w:szCs w:val="24"/>
          <w:lang w:eastAsia="en-GB"/>
        </w:rPr>
        <w:t>genoodzaakt</w:t>
      </w:r>
      <w:proofErr w:type="gramEnd"/>
      <w:r>
        <w:rPr>
          <w:rFonts w:eastAsia="Times New Roman" w:cs="Times New Roman"/>
          <w:color w:val="222222"/>
          <w:sz w:val="24"/>
          <w:szCs w:val="24"/>
          <w:lang w:eastAsia="en-GB"/>
        </w:rPr>
        <w:t xml:space="preserve"> was om te wer</w:t>
      </w:r>
      <w:r w:rsidRPr="00247AA1">
        <w:rPr>
          <w:rFonts w:eastAsia="Times New Roman" w:cs="Times New Roman"/>
          <w:color w:val="222222"/>
          <w:sz w:val="24"/>
          <w:szCs w:val="24"/>
          <w:lang w:eastAsia="en-GB"/>
        </w:rPr>
        <w:t>ken aan financieel herstel door middel van een finan</w:t>
      </w:r>
      <w:r>
        <w:rPr>
          <w:rFonts w:eastAsia="Times New Roman" w:cs="Times New Roman"/>
          <w:color w:val="222222"/>
          <w:sz w:val="24"/>
          <w:szCs w:val="24"/>
          <w:lang w:eastAsia="en-GB"/>
        </w:rPr>
        <w:t xml:space="preserve">cieel plan van aanpak. </w:t>
      </w:r>
      <w:r w:rsidRPr="00247AA1">
        <w:rPr>
          <w:rFonts w:eastAsia="Times New Roman" w:cs="Times New Roman"/>
          <w:color w:val="222222"/>
          <w:sz w:val="24"/>
          <w:szCs w:val="24"/>
          <w:lang w:eastAsia="en-GB"/>
        </w:rPr>
        <w:t>Het doel van het plan van aanpak is om de club binnen maximaal 9 meetmomenten</w:t>
      </w:r>
      <w:r w:rsidRPr="00247AA1">
        <w:rPr>
          <w:rStyle w:val="FootnoteReference"/>
          <w:rFonts w:eastAsia="Times New Roman" w:cs="Times New Roman"/>
          <w:color w:val="222222"/>
          <w:sz w:val="24"/>
          <w:szCs w:val="24"/>
          <w:lang w:eastAsia="en-GB"/>
        </w:rPr>
        <w:footnoteReference w:id="1"/>
      </w:r>
      <w:r w:rsidRPr="00247AA1">
        <w:rPr>
          <w:rFonts w:eastAsia="Times New Roman" w:cs="Times New Roman"/>
          <w:color w:val="222222"/>
          <w:sz w:val="24"/>
          <w:szCs w:val="24"/>
          <w:lang w:eastAsia="en-GB"/>
        </w:rPr>
        <w:t xml:space="preserve"> structureel naar categorie 2 of 3 te brengen. Tijdens dit proces houdt de licentiecommissie streng toezicht op de afspraken in dit plan van aanpak. Indien zonder geldige reden wordt afgeweken van dit plan, zal de KNVB overgaan tot </w:t>
      </w:r>
      <w:r w:rsidR="00E01DA4">
        <w:rPr>
          <w:rFonts w:eastAsia="Times New Roman" w:cs="Times New Roman"/>
          <w:color w:val="222222"/>
          <w:sz w:val="24"/>
          <w:szCs w:val="24"/>
          <w:lang w:eastAsia="en-GB"/>
        </w:rPr>
        <w:t>sancties tegen</w:t>
      </w:r>
      <w:r w:rsidRPr="00247AA1">
        <w:rPr>
          <w:rFonts w:eastAsia="Times New Roman" w:cs="Times New Roman"/>
          <w:color w:val="222222"/>
          <w:sz w:val="24"/>
          <w:szCs w:val="24"/>
          <w:lang w:eastAsia="en-GB"/>
        </w:rPr>
        <w:t xml:space="preserve"> desbetreffende club. </w:t>
      </w:r>
    </w:p>
    <w:p w:rsidR="00AD5B19" w:rsidRDefault="00AD5B19" w:rsidP="00AD5B19">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lastRenderedPageBreak/>
        <w:t>In eerste instantie leidt dit, zoals bij FC Twente, tot een publieke waarschuwing. Vervolgens worden winstpunten in mindering gebracht en uiteindelijk kan het leiden tot het intrekken van de licentie</w:t>
      </w:r>
      <w:sdt>
        <w:sdtPr>
          <w:rPr>
            <w:rFonts w:eastAsia="Times New Roman" w:cs="Times New Roman"/>
            <w:color w:val="222222"/>
            <w:sz w:val="24"/>
            <w:szCs w:val="24"/>
            <w:lang w:eastAsia="en-GB"/>
          </w:rPr>
          <w:id w:val="1962453941"/>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 CITATION htt14 \l 1043 </w:instrText>
          </w:r>
          <w:r w:rsidR="000C5AB6" w:rsidRPr="00247AA1">
            <w:rPr>
              <w:rFonts w:eastAsia="Times New Roman" w:cs="Times New Roman"/>
              <w:color w:val="222222"/>
              <w:sz w:val="24"/>
              <w:szCs w:val="24"/>
              <w:lang w:eastAsia="en-GB"/>
            </w:rPr>
            <w:fldChar w:fldCharType="separate"/>
          </w:r>
          <w:r w:rsidR="00062BB9">
            <w:rPr>
              <w:rFonts w:eastAsia="Times New Roman" w:cs="Times New Roman"/>
              <w:noProof/>
              <w:color w:val="222222"/>
              <w:sz w:val="24"/>
              <w:szCs w:val="24"/>
              <w:lang w:eastAsia="en-GB"/>
            </w:rPr>
            <w:t xml:space="preserve"> </w:t>
          </w:r>
          <w:r w:rsidR="00062BB9" w:rsidRPr="00062BB9">
            <w:rPr>
              <w:rFonts w:eastAsia="Times New Roman" w:cs="Times New Roman"/>
              <w:noProof/>
              <w:color w:val="222222"/>
              <w:sz w:val="24"/>
              <w:szCs w:val="24"/>
              <w:lang w:eastAsia="en-GB"/>
            </w:rPr>
            <w:t>(KNVB, 2014)</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xml:space="preserve">. </w:t>
      </w:r>
    </w:p>
    <w:p w:rsidR="00AD5B19" w:rsidRDefault="00AD5B19" w:rsidP="00AD5B19">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Kort na de publieke waarschuwing kreeg FC Twente drie winstpunten in mindering, omdat de normstelling in het financiële plan van aanpak van FC Twente niet werd behaald. </w:t>
      </w:r>
      <w:r w:rsidRPr="00247AA1">
        <w:rPr>
          <w:rFonts w:eastAsia="Times New Roman" w:cs="Times New Roman"/>
          <w:color w:val="222222"/>
          <w:sz w:val="24"/>
          <w:szCs w:val="24"/>
          <w:lang w:eastAsia="en-GB"/>
        </w:rPr>
        <w:t>De licentiecommissie van de KNVB was het niet eens met de afschrijvingsmethodiek op het stadion De Grolsch Veste die in het jaarverslag van he</w:t>
      </w:r>
      <w:r w:rsidR="00B33280">
        <w:rPr>
          <w:rFonts w:eastAsia="Times New Roman" w:cs="Times New Roman"/>
          <w:color w:val="222222"/>
          <w:sz w:val="24"/>
          <w:szCs w:val="24"/>
          <w:lang w:eastAsia="en-GB"/>
        </w:rPr>
        <w:t>t seizoen 2013/2014 gebruikt</w:t>
      </w:r>
      <w:r w:rsidR="00E01DA4">
        <w:rPr>
          <w:rFonts w:eastAsia="Times New Roman" w:cs="Times New Roman"/>
          <w:color w:val="222222"/>
          <w:sz w:val="24"/>
          <w:szCs w:val="24"/>
          <w:lang w:eastAsia="en-GB"/>
        </w:rPr>
        <w:t xml:space="preserve"> is</w:t>
      </w:r>
      <w:r w:rsidR="00B33280">
        <w:rPr>
          <w:rFonts w:eastAsia="Times New Roman" w:cs="Times New Roman"/>
          <w:color w:val="222222"/>
          <w:sz w:val="24"/>
          <w:szCs w:val="24"/>
          <w:lang w:eastAsia="en-GB"/>
        </w:rPr>
        <w:t xml:space="preserve">, ondanks dat de afschrijvingsmethodiek is gecontroleerd en goedgekeurd door de accountant van FC Twente. Mede door het afkeuren van deze afschrijvingsmethode, viel het netto verlies negatiever uit, waardoor de normstelling uit het plan van aanpak niet werd behaald </w:t>
      </w:r>
      <w:sdt>
        <w:sdtPr>
          <w:rPr>
            <w:rFonts w:eastAsia="Times New Roman" w:cs="Times New Roman"/>
            <w:color w:val="222222"/>
            <w:sz w:val="24"/>
            <w:szCs w:val="24"/>
            <w:lang w:eastAsia="en-GB"/>
          </w:rPr>
          <w:id w:val="1810821763"/>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 CITATION Acc15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(Accountancy vanmorgen, 2015)</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w:t>
      </w:r>
      <w:r>
        <w:rPr>
          <w:rFonts w:eastAsia="Times New Roman" w:cs="Times New Roman"/>
          <w:color w:val="222222"/>
          <w:sz w:val="24"/>
          <w:szCs w:val="24"/>
          <w:lang w:eastAsia="en-GB"/>
        </w:rPr>
        <w:t xml:space="preserve"> Als gevolg van de wijziging in de jaarrekening over het boekjaar 2013/2014, heeft FC Twente twee jaarrekeningen ingeleverd over desbetreffend boekjaar met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verschillen. De ontwikkelingen en verschillen tussen bepaalde posten op de jaarrekeningen zijn de oorzaak van de drie winstpunten in mindering</w:t>
      </w:r>
      <w:r w:rsidR="00F67EA4">
        <w:rPr>
          <w:rFonts w:eastAsia="Times New Roman" w:cs="Times New Roman"/>
          <w:color w:val="222222"/>
          <w:sz w:val="24"/>
          <w:szCs w:val="24"/>
          <w:lang w:eastAsia="en-GB"/>
        </w:rPr>
        <w:t>. Door deze verschillen te onderzoeken, kan de oorzaak achter de straf gevonden worden in de jaarrekeningen. Bovenstaande probleemstelling heeft geleid tot de volgende onderzoeksvraag:</w:t>
      </w:r>
    </w:p>
    <w:p w:rsidR="00F67EA4" w:rsidRDefault="00F67EA4" w:rsidP="00AD5B19">
      <w:pPr>
        <w:shd w:val="clear" w:color="auto" w:fill="FFFFFF"/>
        <w:spacing w:after="0" w:line="360" w:lineRule="auto"/>
        <w:jc w:val="both"/>
        <w:rPr>
          <w:rFonts w:eastAsia="Times New Roman" w:cs="Times New Roman"/>
          <w:color w:val="222222"/>
          <w:sz w:val="24"/>
          <w:szCs w:val="24"/>
          <w:lang w:eastAsia="en-GB"/>
        </w:rPr>
      </w:pPr>
    </w:p>
    <w:p w:rsidR="00F67EA4" w:rsidRDefault="00F67EA4" w:rsidP="00AD5B19">
      <w:pPr>
        <w:shd w:val="clear" w:color="auto" w:fill="FFFFFF"/>
        <w:spacing w:after="0" w:line="360" w:lineRule="auto"/>
        <w:jc w:val="both"/>
        <w:rPr>
          <w:rFonts w:eastAsia="Times New Roman" w:cs="Times New Roman"/>
          <w:i/>
          <w:color w:val="222222"/>
          <w:sz w:val="24"/>
          <w:szCs w:val="24"/>
          <w:lang w:eastAsia="en-GB"/>
        </w:rPr>
      </w:pPr>
      <w:r>
        <w:rPr>
          <w:rFonts w:eastAsia="Times New Roman" w:cs="Times New Roman"/>
          <w:i/>
          <w:color w:val="222222"/>
          <w:sz w:val="24"/>
          <w:szCs w:val="24"/>
          <w:lang w:eastAsia="en-GB"/>
        </w:rPr>
        <w:t xml:space="preserve">‘Welke wijzigingen in de post </w:t>
      </w:r>
      <w:r w:rsidR="00E01DA4">
        <w:rPr>
          <w:rFonts w:eastAsia="Times New Roman" w:cs="Times New Roman"/>
          <w:i/>
          <w:color w:val="222222"/>
          <w:sz w:val="24"/>
          <w:szCs w:val="24"/>
          <w:lang w:eastAsia="en-GB"/>
        </w:rPr>
        <w:t>materiële</w:t>
      </w:r>
      <w:r>
        <w:rPr>
          <w:rFonts w:eastAsia="Times New Roman" w:cs="Times New Roman"/>
          <w:i/>
          <w:color w:val="222222"/>
          <w:sz w:val="24"/>
          <w:szCs w:val="24"/>
          <w:lang w:eastAsia="en-GB"/>
        </w:rPr>
        <w:t xml:space="preserve"> vaste activa en de daarbij horende afschrijvingen op </w:t>
      </w:r>
      <w:r w:rsidR="00E01DA4">
        <w:rPr>
          <w:rFonts w:eastAsia="Times New Roman" w:cs="Times New Roman"/>
          <w:i/>
          <w:color w:val="222222"/>
          <w:sz w:val="24"/>
          <w:szCs w:val="24"/>
          <w:lang w:eastAsia="en-GB"/>
        </w:rPr>
        <w:t>materiële</w:t>
      </w:r>
      <w:r>
        <w:rPr>
          <w:rFonts w:eastAsia="Times New Roman" w:cs="Times New Roman"/>
          <w:i/>
          <w:color w:val="222222"/>
          <w:sz w:val="24"/>
          <w:szCs w:val="24"/>
          <w:lang w:eastAsia="en-GB"/>
        </w:rPr>
        <w:t xml:space="preserve"> vaste activa met betrekking tot het stadion De Grolsch Veste in het boekjaar 2013/2014 hebben geleid tot de 3 winstpunten in mindering?’</w:t>
      </w:r>
    </w:p>
    <w:p w:rsidR="00F67EA4" w:rsidRDefault="00F67EA4" w:rsidP="00AD5B19">
      <w:pPr>
        <w:shd w:val="clear" w:color="auto" w:fill="FFFFFF"/>
        <w:spacing w:after="0" w:line="360" w:lineRule="auto"/>
        <w:jc w:val="both"/>
        <w:rPr>
          <w:rFonts w:eastAsia="Times New Roman" w:cs="Times New Roman"/>
          <w:i/>
          <w:color w:val="222222"/>
          <w:sz w:val="24"/>
          <w:szCs w:val="24"/>
          <w:lang w:eastAsia="en-GB"/>
        </w:rPr>
      </w:pPr>
    </w:p>
    <w:p w:rsidR="00E01DA4" w:rsidRDefault="00F67EA4"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Om een passend antwoord te gev</w:t>
      </w:r>
      <w:r w:rsidR="00B33280">
        <w:rPr>
          <w:rFonts w:eastAsia="Times New Roman" w:cs="Times New Roman"/>
          <w:color w:val="222222"/>
          <w:sz w:val="24"/>
          <w:szCs w:val="24"/>
          <w:lang w:eastAsia="en-GB"/>
        </w:rPr>
        <w:t>en op de onder</w:t>
      </w:r>
      <w:r w:rsidR="00F229D6">
        <w:rPr>
          <w:rFonts w:eastAsia="Times New Roman" w:cs="Times New Roman"/>
          <w:color w:val="222222"/>
          <w:sz w:val="24"/>
          <w:szCs w:val="24"/>
          <w:lang w:eastAsia="en-GB"/>
        </w:rPr>
        <w:t>zoeksvraag, wordt in hoofdstuk 2</w:t>
      </w:r>
      <w:r>
        <w:rPr>
          <w:rFonts w:eastAsia="Times New Roman" w:cs="Times New Roman"/>
          <w:color w:val="222222"/>
          <w:sz w:val="24"/>
          <w:szCs w:val="24"/>
          <w:lang w:eastAsia="en-GB"/>
        </w:rPr>
        <w:t xml:space="preserve"> de boekhoudkundig relevante onderwerpen besproken. Het stadion De Grolsch Veste wordt in de accountancy onder de </w:t>
      </w:r>
      <w:r w:rsidR="00006DC0">
        <w:rPr>
          <w:rFonts w:eastAsia="Times New Roman" w:cs="Times New Roman"/>
          <w:color w:val="222222"/>
          <w:sz w:val="24"/>
          <w:szCs w:val="24"/>
          <w:lang w:eastAsia="en-GB"/>
        </w:rPr>
        <w:t xml:space="preserve">post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w:t>
      </w:r>
      <w:r w:rsidR="00006DC0">
        <w:rPr>
          <w:rFonts w:eastAsia="Times New Roman" w:cs="Times New Roman"/>
          <w:color w:val="222222"/>
          <w:sz w:val="24"/>
          <w:szCs w:val="24"/>
          <w:lang w:eastAsia="en-GB"/>
        </w:rPr>
        <w:t xml:space="preserve"> geschaard</w:t>
      </w:r>
      <w:r>
        <w:rPr>
          <w:rFonts w:eastAsia="Times New Roman" w:cs="Times New Roman"/>
          <w:color w:val="222222"/>
          <w:sz w:val="24"/>
          <w:szCs w:val="24"/>
          <w:lang w:eastAsia="en-GB"/>
        </w:rPr>
        <w:t xml:space="preserve">. </w:t>
      </w:r>
      <w:r w:rsidR="00E01DA4">
        <w:rPr>
          <w:rFonts w:eastAsia="Times New Roman" w:cs="Times New Roman"/>
          <w:color w:val="222222"/>
          <w:sz w:val="24"/>
          <w:szCs w:val="24"/>
          <w:lang w:eastAsia="en-GB"/>
        </w:rPr>
        <w:t>Materiële</w:t>
      </w:r>
      <w:r w:rsidR="00247AA1" w:rsidRPr="00247AA1">
        <w:rPr>
          <w:rFonts w:eastAsia="Times New Roman" w:cs="Times New Roman"/>
          <w:color w:val="222222"/>
          <w:sz w:val="24"/>
          <w:szCs w:val="24"/>
          <w:lang w:eastAsia="en-GB"/>
        </w:rPr>
        <w:t xml:space="preserve"> vast activa zijn activa die worden aangehouden voor gebruik in productie of levering van goederen of diensten, verhuur aan derden, of voor bestuurlijke doeleinden en waarvan men verwacht dat ze de uitoefening van de werkzaamheden van de rechtspersoon duurzaam</w:t>
      </w:r>
      <w:r w:rsidR="00247AA1" w:rsidRPr="00247AA1">
        <w:rPr>
          <w:rStyle w:val="FootnoteReference"/>
          <w:rFonts w:eastAsia="Times New Roman" w:cs="Times New Roman"/>
          <w:color w:val="222222"/>
          <w:sz w:val="24"/>
          <w:szCs w:val="24"/>
          <w:lang w:eastAsia="en-GB"/>
        </w:rPr>
        <w:footnoteReference w:id="2"/>
      </w:r>
      <w:r w:rsidR="00247AA1" w:rsidRPr="00247AA1">
        <w:rPr>
          <w:rFonts w:eastAsia="Times New Roman" w:cs="Times New Roman"/>
          <w:color w:val="222222"/>
          <w:sz w:val="24"/>
          <w:szCs w:val="24"/>
          <w:lang w:eastAsia="en-GB"/>
        </w:rPr>
        <w:t xml:space="preserve"> dienen </w:t>
      </w:r>
      <w:sdt>
        <w:sdtPr>
          <w:rPr>
            <w:rFonts w:eastAsia="Times New Roman" w:cs="Times New Roman"/>
            <w:color w:val="222222"/>
            <w:sz w:val="24"/>
            <w:szCs w:val="24"/>
            <w:lang w:eastAsia="en-GB"/>
          </w:rPr>
          <w:id w:val="-1192529133"/>
          <w:citation/>
        </w:sdtPr>
        <w:sdtContent>
          <w:r w:rsidR="000C5AB6" w:rsidRPr="00247AA1">
            <w:rPr>
              <w:rFonts w:eastAsia="Times New Roman" w:cs="Times New Roman"/>
              <w:color w:val="222222"/>
              <w:sz w:val="24"/>
              <w:szCs w:val="24"/>
              <w:lang w:eastAsia="en-GB"/>
            </w:rPr>
            <w:fldChar w:fldCharType="begin"/>
          </w:r>
          <w:r w:rsidR="00247AA1" w:rsidRPr="00247AA1">
            <w:rPr>
              <w:rFonts w:eastAsia="Times New Roman" w:cs="Times New Roman"/>
              <w:color w:val="222222"/>
              <w:sz w:val="24"/>
              <w:szCs w:val="24"/>
              <w:lang w:eastAsia="en-GB"/>
            </w:rPr>
            <w:instrText xml:space="preserve"> CITATION Del14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(Deloitte, 2014)</w:t>
          </w:r>
          <w:r w:rsidR="000C5AB6" w:rsidRPr="00247AA1">
            <w:rPr>
              <w:rFonts w:eastAsia="Times New Roman" w:cs="Times New Roman"/>
              <w:color w:val="222222"/>
              <w:sz w:val="24"/>
              <w:szCs w:val="24"/>
              <w:lang w:eastAsia="en-GB"/>
            </w:rPr>
            <w:fldChar w:fldCharType="end"/>
          </w:r>
        </w:sdtContent>
      </w:sdt>
      <w:r w:rsidR="00247AA1" w:rsidRPr="00247AA1">
        <w:rPr>
          <w:rFonts w:eastAsia="Times New Roman" w:cs="Times New Roman"/>
          <w:color w:val="222222"/>
          <w:sz w:val="24"/>
          <w:szCs w:val="24"/>
          <w:lang w:eastAsia="en-GB"/>
        </w:rPr>
        <w:t xml:space="preserve">. </w:t>
      </w:r>
      <w:r w:rsidR="00006DC0">
        <w:rPr>
          <w:rFonts w:eastAsia="Times New Roman" w:cs="Times New Roman"/>
          <w:color w:val="222222"/>
          <w:sz w:val="24"/>
          <w:szCs w:val="24"/>
          <w:lang w:eastAsia="en-GB"/>
        </w:rPr>
        <w:t xml:space="preserve">De regelgeving met betrekking tot het opnemen van </w:t>
      </w:r>
      <w:r w:rsidR="00E01DA4">
        <w:rPr>
          <w:rFonts w:eastAsia="Times New Roman" w:cs="Times New Roman"/>
          <w:color w:val="222222"/>
          <w:sz w:val="24"/>
          <w:szCs w:val="24"/>
          <w:lang w:eastAsia="en-GB"/>
        </w:rPr>
        <w:t>materiële</w:t>
      </w:r>
      <w:r w:rsidR="00006DC0">
        <w:rPr>
          <w:rFonts w:eastAsia="Times New Roman" w:cs="Times New Roman"/>
          <w:color w:val="222222"/>
          <w:sz w:val="24"/>
          <w:szCs w:val="24"/>
          <w:lang w:eastAsia="en-GB"/>
        </w:rPr>
        <w:t xml:space="preserve"> vaste activa in de jaarrekening kan verschillen per land. Omdat de jaarrekening van FC Twente is opgesteld volgens de Richtlijnen voor de Jaarverslaggeving (RJ), speelt deze </w:t>
      </w:r>
      <w:r w:rsidR="00006DC0">
        <w:rPr>
          <w:rFonts w:eastAsia="Times New Roman" w:cs="Times New Roman"/>
          <w:color w:val="222222"/>
          <w:sz w:val="24"/>
          <w:szCs w:val="24"/>
          <w:lang w:eastAsia="en-GB"/>
        </w:rPr>
        <w:lastRenderedPageBreak/>
        <w:t xml:space="preserve">verslaggevingswijze een belangrijke rol gedurende de thesis. Om de kwaliteit van de Nederlandse accountingstandaard te toetsen, wordt deze vergeleken met een van de meest invloedrijke accountingstandaard ter wereld: de </w:t>
      </w:r>
      <w:r w:rsidR="00006DC0" w:rsidRPr="00006DC0">
        <w:rPr>
          <w:rFonts w:eastAsia="Times New Roman" w:cs="Times New Roman"/>
          <w:i/>
          <w:color w:val="222222"/>
          <w:sz w:val="24"/>
          <w:szCs w:val="24"/>
          <w:lang w:eastAsia="en-GB"/>
        </w:rPr>
        <w:t>International Financial Reporting Standard</w:t>
      </w:r>
      <w:r w:rsidR="00006DC0">
        <w:rPr>
          <w:rFonts w:eastAsia="Times New Roman" w:cs="Times New Roman"/>
          <w:color w:val="222222"/>
          <w:sz w:val="24"/>
          <w:szCs w:val="24"/>
          <w:lang w:eastAsia="en-GB"/>
        </w:rPr>
        <w:t xml:space="preserve"> (IFRS).</w:t>
      </w:r>
      <w:r w:rsidR="00492E71">
        <w:rPr>
          <w:rFonts w:eastAsia="Times New Roman" w:cs="Times New Roman"/>
          <w:color w:val="222222"/>
          <w:sz w:val="24"/>
          <w:szCs w:val="24"/>
          <w:lang w:eastAsia="en-GB"/>
        </w:rPr>
        <w:t xml:space="preserve"> Omdat de onderzoeksvraag gericht is op </w:t>
      </w:r>
      <w:r w:rsidR="00E01DA4">
        <w:rPr>
          <w:rFonts w:eastAsia="Times New Roman" w:cs="Times New Roman"/>
          <w:color w:val="222222"/>
          <w:sz w:val="24"/>
          <w:szCs w:val="24"/>
          <w:lang w:eastAsia="en-GB"/>
        </w:rPr>
        <w:t>materiële</w:t>
      </w:r>
      <w:r w:rsidR="00492E71">
        <w:rPr>
          <w:rFonts w:eastAsia="Times New Roman" w:cs="Times New Roman"/>
          <w:color w:val="222222"/>
          <w:sz w:val="24"/>
          <w:szCs w:val="24"/>
          <w:lang w:eastAsia="en-GB"/>
        </w:rPr>
        <w:t xml:space="preserve"> vaste activa, wordt de regelgeving van I</w:t>
      </w:r>
      <w:r w:rsidR="00E01DA4">
        <w:rPr>
          <w:rFonts w:eastAsia="Times New Roman" w:cs="Times New Roman"/>
          <w:color w:val="222222"/>
          <w:sz w:val="24"/>
          <w:szCs w:val="24"/>
          <w:lang w:eastAsia="en-GB"/>
        </w:rPr>
        <w:t xml:space="preserve">nternational </w:t>
      </w:r>
      <w:r w:rsidR="00492E71">
        <w:rPr>
          <w:rFonts w:eastAsia="Times New Roman" w:cs="Times New Roman"/>
          <w:color w:val="222222"/>
          <w:sz w:val="24"/>
          <w:szCs w:val="24"/>
          <w:lang w:eastAsia="en-GB"/>
        </w:rPr>
        <w:t>A</w:t>
      </w:r>
      <w:r w:rsidR="00E01DA4">
        <w:rPr>
          <w:rFonts w:eastAsia="Times New Roman" w:cs="Times New Roman"/>
          <w:color w:val="222222"/>
          <w:sz w:val="24"/>
          <w:szCs w:val="24"/>
          <w:lang w:eastAsia="en-GB"/>
        </w:rPr>
        <w:t xml:space="preserve">ccounting </w:t>
      </w:r>
      <w:r w:rsidR="00492E71">
        <w:rPr>
          <w:rFonts w:eastAsia="Times New Roman" w:cs="Times New Roman"/>
          <w:color w:val="222222"/>
          <w:sz w:val="24"/>
          <w:szCs w:val="24"/>
          <w:lang w:eastAsia="en-GB"/>
        </w:rPr>
        <w:t>S</w:t>
      </w:r>
      <w:r w:rsidR="00E01DA4">
        <w:rPr>
          <w:rFonts w:eastAsia="Times New Roman" w:cs="Times New Roman"/>
          <w:color w:val="222222"/>
          <w:sz w:val="24"/>
          <w:szCs w:val="24"/>
          <w:lang w:eastAsia="en-GB"/>
        </w:rPr>
        <w:t>tandards</w:t>
      </w:r>
      <w:r w:rsidR="00492E71">
        <w:rPr>
          <w:rFonts w:eastAsia="Times New Roman" w:cs="Times New Roman"/>
          <w:color w:val="222222"/>
          <w:sz w:val="24"/>
          <w:szCs w:val="24"/>
          <w:lang w:eastAsia="en-GB"/>
        </w:rPr>
        <w:t xml:space="preserve"> 16, </w:t>
      </w:r>
      <w:r w:rsidR="00492E71">
        <w:rPr>
          <w:rFonts w:eastAsia="Times New Roman" w:cs="Times New Roman"/>
          <w:i/>
          <w:color w:val="222222"/>
          <w:sz w:val="24"/>
          <w:szCs w:val="24"/>
          <w:lang w:eastAsia="en-GB"/>
        </w:rPr>
        <w:t>Property, Plant &amp; Equipment</w:t>
      </w:r>
      <w:r w:rsidR="00492E71">
        <w:rPr>
          <w:rFonts w:eastAsia="Times New Roman" w:cs="Times New Roman"/>
          <w:color w:val="222222"/>
          <w:sz w:val="24"/>
          <w:szCs w:val="24"/>
          <w:lang w:eastAsia="en-GB"/>
        </w:rPr>
        <w:t xml:space="preserve"> </w:t>
      </w:r>
      <w:r w:rsidR="00E01DA4">
        <w:rPr>
          <w:rFonts w:eastAsia="Times New Roman" w:cs="Times New Roman"/>
          <w:color w:val="222222"/>
          <w:sz w:val="24"/>
          <w:szCs w:val="24"/>
          <w:lang w:eastAsia="en-GB"/>
        </w:rPr>
        <w:t xml:space="preserve">(IAS 16) </w:t>
      </w:r>
      <w:r w:rsidR="00492E71">
        <w:rPr>
          <w:rFonts w:eastAsia="Times New Roman" w:cs="Times New Roman"/>
          <w:color w:val="222222"/>
          <w:sz w:val="24"/>
          <w:szCs w:val="24"/>
          <w:lang w:eastAsia="en-GB"/>
        </w:rPr>
        <w:t xml:space="preserve">vergeleken met </w:t>
      </w:r>
      <w:proofErr w:type="gramStart"/>
      <w:r w:rsidR="00492E71">
        <w:rPr>
          <w:rFonts w:eastAsia="Times New Roman" w:cs="Times New Roman"/>
          <w:color w:val="222222"/>
          <w:sz w:val="24"/>
          <w:szCs w:val="24"/>
          <w:lang w:eastAsia="en-GB"/>
        </w:rPr>
        <w:t>de</w:t>
      </w:r>
      <w:proofErr w:type="gramEnd"/>
      <w:r w:rsidR="00492E71">
        <w:rPr>
          <w:rFonts w:eastAsia="Times New Roman" w:cs="Times New Roman"/>
          <w:color w:val="222222"/>
          <w:sz w:val="24"/>
          <w:szCs w:val="24"/>
          <w:lang w:eastAsia="en-GB"/>
        </w:rPr>
        <w:t xml:space="preserve"> Nederlandse equivalent; RJ 212, </w:t>
      </w:r>
      <w:r w:rsidR="00E01DA4">
        <w:rPr>
          <w:rFonts w:eastAsia="Times New Roman" w:cs="Times New Roman"/>
          <w:color w:val="222222"/>
          <w:sz w:val="24"/>
          <w:szCs w:val="24"/>
          <w:lang w:eastAsia="en-GB"/>
        </w:rPr>
        <w:t>materiële</w:t>
      </w:r>
      <w:r w:rsidR="00492E71">
        <w:rPr>
          <w:rFonts w:eastAsia="Times New Roman" w:cs="Times New Roman"/>
          <w:color w:val="222222"/>
          <w:sz w:val="24"/>
          <w:szCs w:val="24"/>
          <w:lang w:eastAsia="en-GB"/>
        </w:rPr>
        <w:t xml:space="preserve"> vaste activa. </w:t>
      </w:r>
      <w:r w:rsidR="00247AA1" w:rsidRPr="00247AA1">
        <w:rPr>
          <w:rFonts w:eastAsia="Times New Roman" w:cs="Times New Roman"/>
          <w:color w:val="222222"/>
          <w:sz w:val="24"/>
          <w:szCs w:val="24"/>
          <w:lang w:eastAsia="en-GB"/>
        </w:rPr>
        <w:t xml:space="preserve">Bovenstaande </w:t>
      </w:r>
      <w:proofErr w:type="gramStart"/>
      <w:r w:rsidR="00247AA1" w:rsidRPr="00247AA1">
        <w:rPr>
          <w:rFonts w:eastAsia="Times New Roman" w:cs="Times New Roman"/>
          <w:color w:val="222222"/>
          <w:sz w:val="24"/>
          <w:szCs w:val="24"/>
          <w:lang w:eastAsia="en-GB"/>
        </w:rPr>
        <w:t>items</w:t>
      </w:r>
      <w:proofErr w:type="gramEnd"/>
      <w:r w:rsidR="00247AA1" w:rsidRPr="00247AA1">
        <w:rPr>
          <w:rFonts w:eastAsia="Times New Roman" w:cs="Times New Roman"/>
          <w:color w:val="222222"/>
          <w:sz w:val="24"/>
          <w:szCs w:val="24"/>
          <w:lang w:eastAsia="en-GB"/>
        </w:rPr>
        <w:t xml:space="preserve"> zullen aan de hand van de volgende deelvraag </w:t>
      </w:r>
      <w:r w:rsidR="00711F54" w:rsidRPr="00247AA1">
        <w:rPr>
          <w:rFonts w:eastAsia="Times New Roman" w:cs="Times New Roman"/>
          <w:color w:val="222222"/>
          <w:sz w:val="24"/>
          <w:szCs w:val="24"/>
          <w:lang w:eastAsia="en-GB"/>
        </w:rPr>
        <w:t>beantwoordt</w:t>
      </w:r>
      <w:r w:rsidR="00247AA1" w:rsidRPr="00247AA1">
        <w:rPr>
          <w:rFonts w:eastAsia="Times New Roman" w:cs="Times New Roman"/>
          <w:color w:val="222222"/>
          <w:sz w:val="24"/>
          <w:szCs w:val="24"/>
          <w:lang w:eastAsia="en-GB"/>
        </w:rPr>
        <w:t xml:space="preserve"> worden:</w:t>
      </w:r>
    </w:p>
    <w:p w:rsidR="00247AA1" w:rsidRPr="00247AA1" w:rsidRDefault="00247AA1" w:rsidP="00247AA1">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br/>
      </w:r>
      <w:r w:rsidRPr="00247AA1">
        <w:rPr>
          <w:rFonts w:eastAsia="Times New Roman" w:cs="Times New Roman"/>
          <w:i/>
          <w:color w:val="222222"/>
          <w:sz w:val="24"/>
          <w:szCs w:val="24"/>
          <w:lang w:eastAsia="en-GB"/>
        </w:rPr>
        <w:t xml:space="preserve">‘Wat is het doel en de inhoud van IAS 16 en wat zijn de opties om </w:t>
      </w:r>
      <w:r w:rsidR="00E01DA4">
        <w:rPr>
          <w:rFonts w:eastAsia="Times New Roman" w:cs="Times New Roman"/>
          <w:i/>
          <w:color w:val="222222"/>
          <w:sz w:val="24"/>
          <w:szCs w:val="24"/>
          <w:lang w:eastAsia="en-GB"/>
        </w:rPr>
        <w:t>materiële</w:t>
      </w:r>
      <w:r w:rsidRPr="00247AA1">
        <w:rPr>
          <w:rFonts w:eastAsia="Times New Roman" w:cs="Times New Roman"/>
          <w:i/>
          <w:color w:val="222222"/>
          <w:sz w:val="24"/>
          <w:szCs w:val="24"/>
          <w:lang w:eastAsia="en-GB"/>
        </w:rPr>
        <w:t xml:space="preserve"> vaste activa op te nemen in de jaarrekening?’</w:t>
      </w:r>
    </w:p>
    <w:p w:rsidR="00492E71" w:rsidRDefault="00247AA1" w:rsidP="00247AA1">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br/>
      </w:r>
      <w:r w:rsidR="00F229D6">
        <w:rPr>
          <w:rFonts w:eastAsia="Times New Roman" w:cs="Times New Roman"/>
          <w:color w:val="222222"/>
          <w:sz w:val="24"/>
          <w:szCs w:val="24"/>
          <w:lang w:eastAsia="en-GB"/>
        </w:rPr>
        <w:t>Gedurende hoofdstuk 3</w:t>
      </w:r>
      <w:r w:rsidR="001A6D90">
        <w:rPr>
          <w:rFonts w:eastAsia="Times New Roman" w:cs="Times New Roman"/>
          <w:color w:val="222222"/>
          <w:sz w:val="24"/>
          <w:szCs w:val="24"/>
          <w:lang w:eastAsia="en-GB"/>
        </w:rPr>
        <w:t xml:space="preserve"> wordt de volgende stap</w:t>
      </w:r>
      <w:r w:rsidR="00492E71">
        <w:rPr>
          <w:rFonts w:eastAsia="Times New Roman" w:cs="Times New Roman"/>
          <w:color w:val="222222"/>
          <w:sz w:val="24"/>
          <w:szCs w:val="24"/>
          <w:lang w:eastAsia="en-GB"/>
        </w:rPr>
        <w:t xml:space="preserve"> in het onderzoek</w:t>
      </w:r>
      <w:r w:rsidR="001A6D90">
        <w:rPr>
          <w:rFonts w:eastAsia="Times New Roman" w:cs="Times New Roman"/>
          <w:color w:val="222222"/>
          <w:sz w:val="24"/>
          <w:szCs w:val="24"/>
          <w:lang w:eastAsia="en-GB"/>
        </w:rPr>
        <w:t xml:space="preserve"> gezet, betreffende</w:t>
      </w:r>
      <w:r w:rsidR="00492E71">
        <w:rPr>
          <w:rFonts w:eastAsia="Times New Roman" w:cs="Times New Roman"/>
          <w:color w:val="222222"/>
          <w:sz w:val="24"/>
          <w:szCs w:val="24"/>
          <w:lang w:eastAsia="en-GB"/>
        </w:rPr>
        <w:t xml:space="preserve"> de oorzaak van de financiële positionering in categorie 1 van het Financieel Rating Systeem van het KNVB licentiesysteem.</w:t>
      </w:r>
      <w:r w:rsidR="002278A9">
        <w:rPr>
          <w:rFonts w:eastAsia="Times New Roman" w:cs="Times New Roman"/>
          <w:color w:val="222222"/>
          <w:sz w:val="24"/>
          <w:szCs w:val="24"/>
          <w:lang w:eastAsia="en-GB"/>
        </w:rPr>
        <w:t xml:space="preserve"> Als gevolg van deze indeling was FC Twente </w:t>
      </w:r>
      <w:proofErr w:type="gramStart"/>
      <w:r w:rsidR="002278A9">
        <w:rPr>
          <w:rFonts w:eastAsia="Times New Roman" w:cs="Times New Roman"/>
          <w:color w:val="222222"/>
          <w:sz w:val="24"/>
          <w:szCs w:val="24"/>
          <w:lang w:eastAsia="en-GB"/>
        </w:rPr>
        <w:t>genoodzaakt</w:t>
      </w:r>
      <w:proofErr w:type="gramEnd"/>
      <w:r w:rsidR="002278A9">
        <w:rPr>
          <w:rFonts w:eastAsia="Times New Roman" w:cs="Times New Roman"/>
          <w:color w:val="222222"/>
          <w:sz w:val="24"/>
          <w:szCs w:val="24"/>
          <w:lang w:eastAsia="en-GB"/>
        </w:rPr>
        <w:t xml:space="preserve"> een financieel plan van aanpak op te stellen om uit de zorgwekkende categorie 1 te geraken. Daarnaast is de licentie van FC Twente in gevaar (geweest). Om de relevantie van dit onderwerp aan te tonen, wordt onderzocht wat de eisen zijn om in Nederland betaald voetbal te spelen. Vervolgens wordt het Financieel Rating Systeem uiteengezet om de verschillende financiële posities van Betaald Voetbalorganisaties (BVO) te verklaren. Bovenstaande </w:t>
      </w:r>
      <w:proofErr w:type="gramStart"/>
      <w:r w:rsidR="002278A9">
        <w:rPr>
          <w:rFonts w:eastAsia="Times New Roman" w:cs="Times New Roman"/>
          <w:color w:val="222222"/>
          <w:sz w:val="24"/>
          <w:szCs w:val="24"/>
          <w:lang w:eastAsia="en-GB"/>
        </w:rPr>
        <w:t>issues</w:t>
      </w:r>
      <w:proofErr w:type="gramEnd"/>
      <w:r w:rsidR="002278A9">
        <w:rPr>
          <w:rFonts w:eastAsia="Times New Roman" w:cs="Times New Roman"/>
          <w:color w:val="222222"/>
          <w:sz w:val="24"/>
          <w:szCs w:val="24"/>
          <w:lang w:eastAsia="en-GB"/>
        </w:rPr>
        <w:t xml:space="preserve"> worden beantwoord middels de volgende deelvraag:</w:t>
      </w:r>
    </w:p>
    <w:p w:rsidR="002278A9" w:rsidRDefault="002278A9" w:rsidP="00247AA1">
      <w:pPr>
        <w:shd w:val="clear" w:color="auto" w:fill="FFFFFF"/>
        <w:spacing w:after="0" w:line="360" w:lineRule="auto"/>
        <w:jc w:val="both"/>
        <w:rPr>
          <w:rFonts w:eastAsia="Times New Roman" w:cs="Times New Roman"/>
          <w:color w:val="222222"/>
          <w:sz w:val="24"/>
          <w:szCs w:val="24"/>
          <w:lang w:eastAsia="en-GB"/>
        </w:rPr>
      </w:pPr>
    </w:p>
    <w:p w:rsidR="002278A9" w:rsidRPr="00247AA1" w:rsidRDefault="002278A9" w:rsidP="002278A9">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i/>
          <w:color w:val="222222"/>
          <w:sz w:val="24"/>
          <w:szCs w:val="24"/>
          <w:lang w:eastAsia="en-GB"/>
        </w:rPr>
        <w:t>‘Wat zijn de eisen van het licentiesysteem van de KNVB en aan de hand van welke kernvariabelen uit het Financi</w:t>
      </w:r>
      <w:r w:rsidR="00521E79">
        <w:rPr>
          <w:rFonts w:eastAsia="Times New Roman" w:cs="Times New Roman"/>
          <w:i/>
          <w:color w:val="222222"/>
          <w:sz w:val="24"/>
          <w:szCs w:val="24"/>
          <w:lang w:eastAsia="en-GB"/>
        </w:rPr>
        <w:t>ee</w:t>
      </w:r>
      <w:r w:rsidRPr="00247AA1">
        <w:rPr>
          <w:rFonts w:eastAsia="Times New Roman" w:cs="Times New Roman"/>
          <w:i/>
          <w:color w:val="222222"/>
          <w:sz w:val="24"/>
          <w:szCs w:val="24"/>
          <w:lang w:eastAsia="en-GB"/>
        </w:rPr>
        <w:t>l Rating Syst</w:t>
      </w:r>
      <w:r w:rsidR="008E0342">
        <w:rPr>
          <w:rFonts w:eastAsia="Times New Roman" w:cs="Times New Roman"/>
          <w:i/>
          <w:color w:val="222222"/>
          <w:sz w:val="24"/>
          <w:szCs w:val="24"/>
          <w:lang w:eastAsia="en-GB"/>
        </w:rPr>
        <w:t>e</w:t>
      </w:r>
      <w:r w:rsidRPr="00247AA1">
        <w:rPr>
          <w:rFonts w:eastAsia="Times New Roman" w:cs="Times New Roman"/>
          <w:i/>
          <w:color w:val="222222"/>
          <w:sz w:val="24"/>
          <w:szCs w:val="24"/>
          <w:lang w:eastAsia="en-GB"/>
        </w:rPr>
        <w:t>em worden de clubs uit het betaalde voetbal ingedeeld in de categorieën 1, 2 en 3?’</w:t>
      </w:r>
    </w:p>
    <w:p w:rsidR="002278A9" w:rsidRDefault="002278A9" w:rsidP="00247AA1">
      <w:pPr>
        <w:shd w:val="clear" w:color="auto" w:fill="FFFFFF"/>
        <w:spacing w:after="0" w:line="360" w:lineRule="auto"/>
        <w:jc w:val="both"/>
        <w:rPr>
          <w:rFonts w:eastAsia="Times New Roman" w:cs="Times New Roman"/>
          <w:color w:val="222222"/>
          <w:sz w:val="24"/>
          <w:szCs w:val="24"/>
          <w:lang w:eastAsia="en-GB"/>
        </w:rPr>
      </w:pPr>
    </w:p>
    <w:p w:rsidR="00492E71" w:rsidRDefault="003F269E"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Nadat de achtergronden van het Financieel Rating</w:t>
      </w:r>
      <w:r w:rsidR="001A6D90">
        <w:rPr>
          <w:rFonts w:eastAsia="Times New Roman" w:cs="Times New Roman"/>
          <w:color w:val="222222"/>
          <w:sz w:val="24"/>
          <w:szCs w:val="24"/>
          <w:lang w:eastAsia="en-GB"/>
        </w:rPr>
        <w:t xml:space="preserve"> Systeem</w:t>
      </w:r>
      <w:r w:rsidR="00F229D6">
        <w:rPr>
          <w:rFonts w:eastAsia="Times New Roman" w:cs="Times New Roman"/>
          <w:color w:val="222222"/>
          <w:sz w:val="24"/>
          <w:szCs w:val="24"/>
          <w:lang w:eastAsia="en-GB"/>
        </w:rPr>
        <w:t xml:space="preserve"> bekend zijn, focust hoofdstuk 4</w:t>
      </w:r>
      <w:r w:rsidR="001A6D90">
        <w:rPr>
          <w:rFonts w:eastAsia="Times New Roman" w:cs="Times New Roman"/>
          <w:color w:val="222222"/>
          <w:sz w:val="24"/>
          <w:szCs w:val="24"/>
          <w:lang w:eastAsia="en-GB"/>
        </w:rPr>
        <w:t xml:space="preserve"> </w:t>
      </w:r>
      <w:r>
        <w:rPr>
          <w:rFonts w:eastAsia="Times New Roman" w:cs="Times New Roman"/>
          <w:color w:val="222222"/>
          <w:sz w:val="24"/>
          <w:szCs w:val="24"/>
          <w:lang w:eastAsia="en-GB"/>
        </w:rPr>
        <w:t xml:space="preserve">zich specifiek op de positie van FC Twente in dit systeem. Aan de hand van de 10 kernvariabelen, die allen berekend worden op basis van de cijfers uit de jaarrekening van desbetreffend boekjaar, wordt een puntenaantal behaald die bepalend is voor de indeling in categorie 1, 2 of 3. Aan de hand van de jaarrekening van FC Twente over het boekjaar van 2013/2014 </w:t>
      </w:r>
      <w:r w:rsidR="00327C97">
        <w:rPr>
          <w:rFonts w:eastAsia="Times New Roman" w:cs="Times New Roman"/>
          <w:color w:val="222222"/>
          <w:sz w:val="24"/>
          <w:szCs w:val="24"/>
          <w:lang w:eastAsia="en-GB"/>
        </w:rPr>
        <w:t>kan antwoord gegeven worden op de volgende deelvraag:</w:t>
      </w:r>
    </w:p>
    <w:p w:rsidR="00327C97" w:rsidRDefault="00327C97" w:rsidP="00247AA1">
      <w:pPr>
        <w:shd w:val="clear" w:color="auto" w:fill="FFFFFF"/>
        <w:spacing w:after="0" w:line="360" w:lineRule="auto"/>
        <w:jc w:val="both"/>
        <w:rPr>
          <w:rFonts w:eastAsia="Times New Roman" w:cs="Times New Roman"/>
          <w:color w:val="222222"/>
          <w:sz w:val="24"/>
          <w:szCs w:val="24"/>
          <w:lang w:eastAsia="en-GB"/>
        </w:rPr>
      </w:pPr>
    </w:p>
    <w:p w:rsidR="00327C97" w:rsidRDefault="00327C97" w:rsidP="00247AA1">
      <w:pPr>
        <w:shd w:val="clear" w:color="auto" w:fill="FFFFFF"/>
        <w:spacing w:after="0" w:line="360" w:lineRule="auto"/>
        <w:jc w:val="both"/>
        <w:rPr>
          <w:rFonts w:eastAsia="Times New Roman" w:cs="Times New Roman"/>
          <w:i/>
          <w:color w:val="222222"/>
          <w:sz w:val="24"/>
          <w:szCs w:val="24"/>
          <w:lang w:eastAsia="en-GB"/>
        </w:rPr>
      </w:pPr>
      <w:r>
        <w:rPr>
          <w:rFonts w:eastAsia="Times New Roman" w:cs="Times New Roman"/>
          <w:i/>
          <w:color w:val="222222"/>
          <w:sz w:val="24"/>
          <w:szCs w:val="24"/>
          <w:lang w:eastAsia="en-GB"/>
        </w:rPr>
        <w:lastRenderedPageBreak/>
        <w:t>‘Welke score behaalde FC Twente in maart 2015 waardoor de club ingedeeld werd in categorie 1 van het Financieel Rating Systeem?’</w:t>
      </w:r>
    </w:p>
    <w:p w:rsidR="00327C97" w:rsidRDefault="00327C97" w:rsidP="00247AA1">
      <w:pPr>
        <w:shd w:val="clear" w:color="auto" w:fill="FFFFFF"/>
        <w:spacing w:after="0" w:line="360" w:lineRule="auto"/>
        <w:jc w:val="both"/>
        <w:rPr>
          <w:rFonts w:eastAsia="Times New Roman" w:cs="Times New Roman"/>
          <w:i/>
          <w:color w:val="222222"/>
          <w:sz w:val="24"/>
          <w:szCs w:val="24"/>
          <w:lang w:eastAsia="en-GB"/>
        </w:rPr>
      </w:pPr>
    </w:p>
    <w:p w:rsidR="00327C97" w:rsidRDefault="001129AC"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Ter ondersteuning van de onderzoeksvraag, </w:t>
      </w:r>
      <w:r w:rsidR="001A6D90">
        <w:rPr>
          <w:rFonts w:eastAsia="Times New Roman" w:cs="Times New Roman"/>
          <w:color w:val="222222"/>
          <w:sz w:val="24"/>
          <w:szCs w:val="24"/>
          <w:lang w:eastAsia="en-GB"/>
        </w:rPr>
        <w:t xml:space="preserve">wordt in hoofdstuk </w:t>
      </w:r>
      <w:r w:rsidR="00F229D6">
        <w:rPr>
          <w:rFonts w:eastAsia="Times New Roman" w:cs="Times New Roman"/>
          <w:color w:val="222222"/>
          <w:sz w:val="24"/>
          <w:szCs w:val="24"/>
          <w:lang w:eastAsia="en-GB"/>
        </w:rPr>
        <w:t>5</w:t>
      </w:r>
      <w:r>
        <w:rPr>
          <w:rFonts w:eastAsia="Times New Roman" w:cs="Times New Roman"/>
          <w:color w:val="222222"/>
          <w:sz w:val="24"/>
          <w:szCs w:val="24"/>
          <w:lang w:eastAsia="en-GB"/>
        </w:rPr>
        <w:t xml:space="preserve"> de post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in de jaarrekening van FC Twente zo uitvoerig mogelijk onderzocht. Logischerwijs speelt het stadion De Grolsch Veste de centrale rol in dit onderzoek. Om een zo compleet mogelijk beeld van desbetreffende post te verkrijgen, wordt niet alleen de meest recente jaarrekening gebruikt. De ontwikkelingen gedurende de tijd kunnen uitsluitsel geven over de door de KNVB opgelegde sancties aan FC Twente. Bovenstaande </w:t>
      </w:r>
      <w:proofErr w:type="gramStart"/>
      <w:r>
        <w:rPr>
          <w:rFonts w:eastAsia="Times New Roman" w:cs="Times New Roman"/>
          <w:color w:val="222222"/>
          <w:sz w:val="24"/>
          <w:szCs w:val="24"/>
          <w:lang w:eastAsia="en-GB"/>
        </w:rPr>
        <w:t>issues</w:t>
      </w:r>
      <w:proofErr w:type="gramEnd"/>
      <w:r>
        <w:rPr>
          <w:rFonts w:eastAsia="Times New Roman" w:cs="Times New Roman"/>
          <w:color w:val="222222"/>
          <w:sz w:val="24"/>
          <w:szCs w:val="24"/>
          <w:lang w:eastAsia="en-GB"/>
        </w:rPr>
        <w:t xml:space="preserve"> worden middels de volgende deelvraag onderzocht:</w:t>
      </w:r>
    </w:p>
    <w:p w:rsidR="001129AC" w:rsidRDefault="001129AC" w:rsidP="00247AA1">
      <w:pPr>
        <w:shd w:val="clear" w:color="auto" w:fill="FFFFFF"/>
        <w:spacing w:after="0" w:line="360" w:lineRule="auto"/>
        <w:jc w:val="both"/>
        <w:rPr>
          <w:rFonts w:eastAsia="Times New Roman" w:cs="Times New Roman"/>
          <w:color w:val="222222"/>
          <w:sz w:val="24"/>
          <w:szCs w:val="24"/>
          <w:lang w:eastAsia="en-GB"/>
        </w:rPr>
      </w:pPr>
    </w:p>
    <w:p w:rsidR="00247AA1" w:rsidRDefault="001129AC"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w:t>
      </w:r>
      <w:r>
        <w:rPr>
          <w:rFonts w:eastAsia="Times New Roman" w:cs="Times New Roman"/>
          <w:i/>
          <w:color w:val="222222"/>
          <w:sz w:val="24"/>
          <w:szCs w:val="24"/>
          <w:lang w:eastAsia="en-GB"/>
        </w:rPr>
        <w:t xml:space="preserve">Wat is de ontwikkeling van </w:t>
      </w:r>
      <w:r w:rsidR="000D4B95">
        <w:rPr>
          <w:rFonts w:eastAsia="Times New Roman" w:cs="Times New Roman"/>
          <w:i/>
          <w:color w:val="222222"/>
          <w:sz w:val="24"/>
          <w:szCs w:val="24"/>
          <w:lang w:eastAsia="en-GB"/>
        </w:rPr>
        <w:t>de</w:t>
      </w:r>
      <w:r>
        <w:rPr>
          <w:rFonts w:eastAsia="Times New Roman" w:cs="Times New Roman"/>
          <w:i/>
          <w:color w:val="222222"/>
          <w:sz w:val="24"/>
          <w:szCs w:val="24"/>
          <w:lang w:eastAsia="en-GB"/>
        </w:rPr>
        <w:t xml:space="preserve"> materieel vast actiefpost stadion De Grolsch Veste gedurende de boekjaren 2012/2013, 2013/2014 en de </w:t>
      </w:r>
      <w:r w:rsidR="003F4A16">
        <w:rPr>
          <w:rFonts w:eastAsia="Times New Roman" w:cs="Times New Roman"/>
          <w:i/>
          <w:color w:val="222222"/>
          <w:sz w:val="24"/>
          <w:szCs w:val="24"/>
          <w:lang w:eastAsia="en-GB"/>
        </w:rPr>
        <w:t>aanpaste jaarrekening van het boekjaar 2013/2014?’</w:t>
      </w:r>
    </w:p>
    <w:p w:rsidR="003F4A16" w:rsidRPr="003F4A16" w:rsidRDefault="003F4A16" w:rsidP="00247AA1">
      <w:pPr>
        <w:shd w:val="clear" w:color="auto" w:fill="FFFFFF"/>
        <w:spacing w:after="0" w:line="360" w:lineRule="auto"/>
        <w:jc w:val="both"/>
        <w:rPr>
          <w:rFonts w:eastAsia="Times New Roman" w:cs="Times New Roman"/>
          <w:color w:val="222222"/>
          <w:sz w:val="24"/>
          <w:szCs w:val="24"/>
          <w:lang w:eastAsia="en-GB"/>
        </w:rPr>
      </w:pPr>
    </w:p>
    <w:p w:rsidR="003F4A16" w:rsidRDefault="00247AA1" w:rsidP="00247AA1">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t>Zodoende bestaat deze thesis uit de volgende structuur</w:t>
      </w:r>
      <w:r w:rsidR="00342E67">
        <w:rPr>
          <w:rFonts w:eastAsia="Times New Roman" w:cs="Times New Roman"/>
          <w:color w:val="222222"/>
          <w:sz w:val="24"/>
          <w:szCs w:val="24"/>
          <w:lang w:eastAsia="en-GB"/>
        </w:rPr>
        <w:t>, waarbij verschillende onderzoeksmethodes gebruikt zijn</w:t>
      </w:r>
      <w:r w:rsidRPr="00247AA1">
        <w:rPr>
          <w:rFonts w:eastAsia="Times New Roman" w:cs="Times New Roman"/>
          <w:color w:val="222222"/>
          <w:sz w:val="24"/>
          <w:szCs w:val="24"/>
          <w:lang w:eastAsia="en-GB"/>
        </w:rPr>
        <w:t xml:space="preserve">. Allereerst wordt IAS 16 volledig besproken door de regels te beschrijven en het doel van IAS 16 te benadrukken. </w:t>
      </w:r>
      <w:r w:rsidR="003F4A16">
        <w:rPr>
          <w:rFonts w:eastAsia="Times New Roman" w:cs="Times New Roman"/>
          <w:color w:val="222222"/>
          <w:sz w:val="24"/>
          <w:szCs w:val="24"/>
          <w:lang w:eastAsia="en-GB"/>
        </w:rPr>
        <w:t xml:space="preserve">Eventuele verschillen met de RJ 212 worden daarbij vermeld. </w:t>
      </w:r>
      <w:r w:rsidRPr="00247AA1">
        <w:rPr>
          <w:rFonts w:eastAsia="Times New Roman" w:cs="Times New Roman"/>
          <w:color w:val="222222"/>
          <w:sz w:val="24"/>
          <w:szCs w:val="24"/>
          <w:lang w:eastAsia="en-GB"/>
        </w:rPr>
        <w:t>Daarna worden de algemene activeringscriteria besproken en worden de waarderingsmethodes uitgelegd en kritisch doorgelicht. Ten</w:t>
      </w:r>
      <w:r w:rsidR="00711F54">
        <w:rPr>
          <w:rFonts w:eastAsia="Times New Roman" w:cs="Times New Roman"/>
          <w:color w:val="222222"/>
          <w:sz w:val="24"/>
          <w:szCs w:val="24"/>
          <w:lang w:eastAsia="en-GB"/>
        </w:rPr>
        <w:t xml:space="preserve"> </w:t>
      </w:r>
      <w:r w:rsidRPr="00247AA1">
        <w:rPr>
          <w:rFonts w:eastAsia="Times New Roman" w:cs="Times New Roman"/>
          <w:color w:val="222222"/>
          <w:sz w:val="24"/>
          <w:szCs w:val="24"/>
          <w:lang w:eastAsia="en-GB"/>
        </w:rPr>
        <w:t xml:space="preserve">slotte wordt uitgelegd wat voor invloed dit heeft op het resultaat met de bijbehorende afschrijvingsmethoden. </w:t>
      </w:r>
    </w:p>
    <w:p w:rsidR="003F4A16" w:rsidRDefault="00247AA1" w:rsidP="00247AA1">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t>Daarna</w:t>
      </w:r>
      <w:r w:rsidR="003F4A16">
        <w:rPr>
          <w:rFonts w:eastAsia="Times New Roman" w:cs="Times New Roman"/>
          <w:color w:val="222222"/>
          <w:sz w:val="24"/>
          <w:szCs w:val="24"/>
          <w:lang w:eastAsia="en-GB"/>
        </w:rPr>
        <w:t xml:space="preserve"> </w:t>
      </w:r>
      <w:r w:rsidR="00711F54">
        <w:rPr>
          <w:rFonts w:eastAsia="Times New Roman" w:cs="Times New Roman"/>
          <w:color w:val="222222"/>
          <w:sz w:val="24"/>
          <w:szCs w:val="24"/>
          <w:lang w:eastAsia="en-GB"/>
        </w:rPr>
        <w:t xml:space="preserve">wordt </w:t>
      </w:r>
      <w:r w:rsidR="003F4A16">
        <w:rPr>
          <w:rFonts w:eastAsia="Times New Roman" w:cs="Times New Roman"/>
          <w:color w:val="222222"/>
          <w:sz w:val="24"/>
          <w:szCs w:val="24"/>
          <w:lang w:eastAsia="en-GB"/>
        </w:rPr>
        <w:t xml:space="preserve">het algemeen raamwerk achter het licentiesysteem van de KNVB onderzocht. </w:t>
      </w:r>
      <w:proofErr w:type="gramStart"/>
      <w:r w:rsidR="003F4A16">
        <w:rPr>
          <w:rFonts w:eastAsia="Times New Roman" w:cs="Times New Roman"/>
          <w:color w:val="222222"/>
          <w:sz w:val="24"/>
          <w:szCs w:val="24"/>
          <w:lang w:eastAsia="en-GB"/>
        </w:rPr>
        <w:t>Middels</w:t>
      </w:r>
      <w:proofErr w:type="gramEnd"/>
      <w:r w:rsidR="003F4A16">
        <w:rPr>
          <w:rFonts w:eastAsia="Times New Roman" w:cs="Times New Roman"/>
          <w:color w:val="222222"/>
          <w:sz w:val="24"/>
          <w:szCs w:val="24"/>
          <w:lang w:eastAsia="en-GB"/>
        </w:rPr>
        <w:t xml:space="preserve"> het Handboek Betaald Voetbal Licentiecommissie en de daarbij behorende richtlijnen voor de licentie-eisen en het Financieel Rating Systeem kan worden verklaard onder welke voorwaarden betaald voetbal gespeeld mag worden in Nederland.</w:t>
      </w:r>
    </w:p>
    <w:p w:rsidR="008E0342" w:rsidRDefault="003F4A16"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Daaropvolgend wordt de koppeling met FC Twente gemaakt. Door de cijfers uit de </w:t>
      </w:r>
      <w:r w:rsidR="007845C4">
        <w:rPr>
          <w:rFonts w:eastAsia="Times New Roman" w:cs="Times New Roman"/>
          <w:color w:val="222222"/>
          <w:sz w:val="24"/>
          <w:szCs w:val="24"/>
          <w:u w:val="single"/>
          <w:lang w:eastAsia="en-GB"/>
        </w:rPr>
        <w:t>oorspronkelijke</w:t>
      </w:r>
      <w:r>
        <w:rPr>
          <w:rFonts w:eastAsia="Times New Roman" w:cs="Times New Roman"/>
          <w:color w:val="222222"/>
          <w:sz w:val="24"/>
          <w:szCs w:val="24"/>
          <w:lang w:eastAsia="en-GB"/>
        </w:rPr>
        <w:t xml:space="preserve"> jaarrekening van de club over het boekjaar 2013/2014 te gebruiken, worden de 10 variabelen van het Financieel Rating Systeem berekend, die verklaring bieden voor de huidige indeling van FC Twente in categorie 1.</w:t>
      </w:r>
    </w:p>
    <w:p w:rsidR="00521E79" w:rsidRDefault="00FF171E"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Tot slot wordt </w:t>
      </w:r>
      <w:r w:rsidR="00521E79">
        <w:rPr>
          <w:rFonts w:eastAsia="Times New Roman" w:cs="Times New Roman"/>
          <w:color w:val="222222"/>
          <w:sz w:val="24"/>
          <w:szCs w:val="24"/>
          <w:lang w:eastAsia="en-GB"/>
        </w:rPr>
        <w:t xml:space="preserve">de jaarrekening over het boekjaar 2012/2013 bekeken, om de waarderingsgrondslagen en cijfers </w:t>
      </w:r>
      <w:proofErr w:type="gramStart"/>
      <w:r w:rsidR="00521E79">
        <w:rPr>
          <w:rFonts w:eastAsia="Times New Roman" w:cs="Times New Roman"/>
          <w:color w:val="222222"/>
          <w:sz w:val="24"/>
          <w:szCs w:val="24"/>
          <w:lang w:eastAsia="en-GB"/>
        </w:rPr>
        <w:t>omtrent</w:t>
      </w:r>
      <w:proofErr w:type="gramEnd"/>
      <w:r w:rsidR="00521E79">
        <w:rPr>
          <w:rFonts w:eastAsia="Times New Roman" w:cs="Times New Roman"/>
          <w:color w:val="222222"/>
          <w:sz w:val="24"/>
          <w:szCs w:val="24"/>
          <w:lang w:eastAsia="en-GB"/>
        </w:rPr>
        <w:t xml:space="preserve"> het materieel vast actief De Grolsch Veste te </w:t>
      </w:r>
      <w:r w:rsidR="00521E79">
        <w:rPr>
          <w:rFonts w:eastAsia="Times New Roman" w:cs="Times New Roman"/>
          <w:color w:val="222222"/>
          <w:sz w:val="24"/>
          <w:szCs w:val="24"/>
          <w:lang w:eastAsia="en-GB"/>
        </w:rPr>
        <w:lastRenderedPageBreak/>
        <w:t xml:space="preserve">onderzoeken. Naar aanleiding van de puntenstraf heeft FC Twente twee jaarrekeningen over het boekjaar 2013/2014 ingeleverd bij de licentiecommissie van de KNVB. Om een volledig beeld te verkrijgen over de boekhoudkundige status van het stadion De Grolsch Veste, wordt zowel de </w:t>
      </w:r>
      <w:r w:rsidR="007845C4">
        <w:rPr>
          <w:rFonts w:eastAsia="Times New Roman" w:cs="Times New Roman"/>
          <w:color w:val="222222"/>
          <w:sz w:val="24"/>
          <w:szCs w:val="24"/>
          <w:lang w:eastAsia="en-GB"/>
        </w:rPr>
        <w:t>oorspronkelijke</w:t>
      </w:r>
      <w:r w:rsidR="00521E79">
        <w:rPr>
          <w:rFonts w:eastAsia="Times New Roman" w:cs="Times New Roman"/>
          <w:color w:val="222222"/>
          <w:sz w:val="24"/>
          <w:szCs w:val="24"/>
          <w:lang w:eastAsia="en-GB"/>
        </w:rPr>
        <w:t xml:space="preserve"> jaarrekening (datum vaststelling: 23 januari 2015) als de vernieuwde jaarrekening (datum vaststelling: </w:t>
      </w:r>
      <w:r w:rsidR="00986FE2">
        <w:rPr>
          <w:rFonts w:eastAsia="Times New Roman" w:cs="Times New Roman"/>
          <w:color w:val="222222"/>
          <w:sz w:val="24"/>
          <w:szCs w:val="24"/>
          <w:lang w:eastAsia="en-GB"/>
        </w:rPr>
        <w:t>8</w:t>
      </w:r>
      <w:r w:rsidR="00521E79">
        <w:rPr>
          <w:rFonts w:eastAsia="Times New Roman" w:cs="Times New Roman"/>
          <w:color w:val="222222"/>
          <w:sz w:val="24"/>
          <w:szCs w:val="24"/>
          <w:lang w:eastAsia="en-GB"/>
        </w:rPr>
        <w:t xml:space="preserve"> april 2015</w:t>
      </w:r>
      <w:r w:rsidR="00342E67">
        <w:rPr>
          <w:rFonts w:eastAsia="Times New Roman" w:cs="Times New Roman"/>
          <w:color w:val="222222"/>
          <w:sz w:val="24"/>
          <w:szCs w:val="24"/>
          <w:lang w:eastAsia="en-GB"/>
        </w:rPr>
        <w:t>) onderzocht en vergeleken.</w:t>
      </w:r>
    </w:p>
    <w:p w:rsidR="00342E67" w:rsidRDefault="001D1424"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Met de hulp van</w:t>
      </w:r>
      <w:r w:rsidR="00342E67">
        <w:rPr>
          <w:rFonts w:eastAsia="Times New Roman" w:cs="Times New Roman"/>
          <w:color w:val="222222"/>
          <w:sz w:val="24"/>
          <w:szCs w:val="24"/>
          <w:lang w:eastAsia="en-GB"/>
        </w:rPr>
        <w:t xml:space="preserve"> deze structuur wordt een zo compleet als mogelijk antwoord gegeven op de onderzoeksvraag.</w:t>
      </w:r>
    </w:p>
    <w:p w:rsidR="00342E67" w:rsidRDefault="00342E67" w:rsidP="00247AA1">
      <w:pPr>
        <w:shd w:val="clear" w:color="auto" w:fill="FFFFFF"/>
        <w:spacing w:after="0" w:line="360" w:lineRule="auto"/>
        <w:jc w:val="both"/>
        <w:rPr>
          <w:rFonts w:eastAsia="Times New Roman" w:cs="Times New Roman"/>
          <w:color w:val="222222"/>
          <w:sz w:val="24"/>
          <w:szCs w:val="24"/>
          <w:lang w:eastAsia="en-GB"/>
        </w:rPr>
      </w:pPr>
    </w:p>
    <w:p w:rsidR="00342E67" w:rsidRDefault="00342E67"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Gedurende deze thesis moeten assumpties gemaakt worden door beperkingen in het onderzoeksproces. Indien er assumpties worden gedaan, zullen deze onderbouwd worden en zoveel mogelijk gebaseerd zijn op de realiteit. Een van de mogelijke beperkingen gedurende het onderzoek is de geheimhoudingsplicht van de KNVB over financiële feiten van betaald voetbal organisaties, waaronder FC Twente. Het Financieel Rating Systeem van de KNVB bevat onder andere drie ratio’s gebaseerd op de toekomst. Omdat deze informatie niet vrij beschikbaar is, worden assumpties gemaakt met bijbehorende verklaring voor de gemaakte keuzes.</w:t>
      </w:r>
    </w:p>
    <w:p w:rsidR="00342E67" w:rsidRDefault="00342E67" w:rsidP="00247AA1">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Daarnaast zal het </w:t>
      </w:r>
      <w:r w:rsidR="005368CF">
        <w:rPr>
          <w:rFonts w:eastAsia="Times New Roman" w:cs="Times New Roman"/>
          <w:color w:val="222222"/>
          <w:sz w:val="24"/>
          <w:szCs w:val="24"/>
          <w:lang w:eastAsia="en-GB"/>
        </w:rPr>
        <w:t>moeilijk worden</w:t>
      </w:r>
      <w:r>
        <w:rPr>
          <w:rFonts w:eastAsia="Times New Roman" w:cs="Times New Roman"/>
          <w:color w:val="222222"/>
          <w:sz w:val="24"/>
          <w:szCs w:val="24"/>
          <w:lang w:eastAsia="en-GB"/>
        </w:rPr>
        <w:t xml:space="preserve"> om algemene uitspraken te maken naar aanleiding van dit onderzoek, omdat enkel één casus behandeld zal worden. Algemene uitspraken over deze thesis zullen pas mogelijk zijn er als er in de toekomst onderzoek gedaan zal worden naar andere betaald voetbalorganisaties dan FC Twente die zich in categorie 1 van het Financieel Rating Systeem bevinden.</w:t>
      </w:r>
    </w:p>
    <w:p w:rsidR="009C32F5" w:rsidRPr="00247AA1" w:rsidRDefault="009C32F5" w:rsidP="00247AA1">
      <w:pPr>
        <w:shd w:val="clear" w:color="auto" w:fill="FFFFFF"/>
        <w:spacing w:after="0" w:line="360" w:lineRule="auto"/>
        <w:jc w:val="both"/>
        <w:rPr>
          <w:rFonts w:eastAsia="Times New Roman" w:cs="Times New Roman"/>
          <w:color w:val="222222"/>
          <w:sz w:val="24"/>
          <w:szCs w:val="24"/>
          <w:lang w:eastAsia="en-GB"/>
        </w:rPr>
      </w:pPr>
    </w:p>
    <w:p w:rsidR="009C32F5" w:rsidRDefault="009C32F5" w:rsidP="006E3FF9">
      <w:pPr>
        <w:spacing w:line="360" w:lineRule="auto"/>
        <w:jc w:val="both"/>
        <w:rPr>
          <w:sz w:val="24"/>
          <w:szCs w:val="24"/>
        </w:rPr>
      </w:pPr>
    </w:p>
    <w:p w:rsidR="00AB5899" w:rsidRDefault="00AB5899" w:rsidP="006E3FF9">
      <w:pPr>
        <w:spacing w:line="360" w:lineRule="auto"/>
        <w:jc w:val="both"/>
        <w:rPr>
          <w:sz w:val="24"/>
          <w:szCs w:val="24"/>
        </w:rPr>
      </w:pPr>
    </w:p>
    <w:p w:rsidR="00060445" w:rsidRDefault="00060445" w:rsidP="006E3FF9">
      <w:pPr>
        <w:spacing w:line="360" w:lineRule="auto"/>
        <w:jc w:val="both"/>
        <w:rPr>
          <w:sz w:val="24"/>
          <w:szCs w:val="24"/>
        </w:rPr>
      </w:pPr>
    </w:p>
    <w:p w:rsidR="00060445" w:rsidRDefault="00060445" w:rsidP="006E3FF9">
      <w:pPr>
        <w:spacing w:line="360" w:lineRule="auto"/>
        <w:jc w:val="both"/>
        <w:rPr>
          <w:sz w:val="24"/>
          <w:szCs w:val="24"/>
        </w:rPr>
      </w:pPr>
    </w:p>
    <w:p w:rsidR="00060445" w:rsidRDefault="00060445" w:rsidP="006E3FF9">
      <w:pPr>
        <w:spacing w:line="360" w:lineRule="auto"/>
        <w:jc w:val="both"/>
        <w:rPr>
          <w:sz w:val="24"/>
          <w:szCs w:val="24"/>
        </w:rPr>
      </w:pPr>
    </w:p>
    <w:p w:rsidR="00060445" w:rsidRDefault="00060445" w:rsidP="006E3FF9">
      <w:pPr>
        <w:spacing w:line="360" w:lineRule="auto"/>
        <w:jc w:val="both"/>
        <w:rPr>
          <w:sz w:val="24"/>
          <w:szCs w:val="24"/>
        </w:rPr>
      </w:pPr>
    </w:p>
    <w:p w:rsidR="00060445" w:rsidRDefault="00060445" w:rsidP="006E3FF9">
      <w:pPr>
        <w:spacing w:line="360" w:lineRule="auto"/>
        <w:jc w:val="both"/>
        <w:rPr>
          <w:sz w:val="24"/>
          <w:szCs w:val="24"/>
        </w:rPr>
      </w:pPr>
    </w:p>
    <w:p w:rsidR="00060445" w:rsidRDefault="00060445" w:rsidP="006E3FF9">
      <w:pPr>
        <w:spacing w:line="360" w:lineRule="auto"/>
        <w:jc w:val="both"/>
        <w:rPr>
          <w:sz w:val="24"/>
          <w:szCs w:val="24"/>
        </w:rPr>
      </w:pPr>
    </w:p>
    <w:p w:rsidR="00247AA1" w:rsidRPr="0082361F" w:rsidRDefault="00776867" w:rsidP="0082361F">
      <w:pPr>
        <w:pStyle w:val="Heading1"/>
        <w:rPr>
          <w:sz w:val="36"/>
        </w:rPr>
      </w:pPr>
      <w:bookmarkStart w:id="2" w:name="_Toc425516468"/>
      <w:r>
        <w:rPr>
          <w:sz w:val="36"/>
        </w:rPr>
        <w:lastRenderedPageBreak/>
        <w:t>Hoofdstuk 2</w:t>
      </w:r>
      <w:r w:rsidR="00247AA1" w:rsidRPr="0082361F">
        <w:rPr>
          <w:sz w:val="36"/>
        </w:rPr>
        <w:t xml:space="preserve">: </w:t>
      </w:r>
      <w:r w:rsidR="00E01DA4">
        <w:rPr>
          <w:sz w:val="36"/>
        </w:rPr>
        <w:t>Materiële</w:t>
      </w:r>
      <w:r w:rsidR="0082361F" w:rsidRPr="0082361F">
        <w:rPr>
          <w:sz w:val="36"/>
        </w:rPr>
        <w:t xml:space="preserve"> vaste activa volgens IAS 16 en RJ 212</w:t>
      </w:r>
      <w:bookmarkEnd w:id="2"/>
    </w:p>
    <w:p w:rsidR="0082361F" w:rsidRDefault="0082361F" w:rsidP="006E3FF9">
      <w:pPr>
        <w:spacing w:line="360" w:lineRule="auto"/>
        <w:jc w:val="both"/>
        <w:rPr>
          <w:b/>
          <w:sz w:val="24"/>
          <w:szCs w:val="24"/>
        </w:rPr>
      </w:pPr>
    </w:p>
    <w:p w:rsidR="00247AA1" w:rsidRPr="0082361F" w:rsidRDefault="00776867" w:rsidP="0082361F">
      <w:pPr>
        <w:pStyle w:val="Heading2"/>
        <w:rPr>
          <w:sz w:val="32"/>
        </w:rPr>
      </w:pPr>
      <w:bookmarkStart w:id="3" w:name="_Toc425516469"/>
      <w:r>
        <w:rPr>
          <w:sz w:val="32"/>
        </w:rPr>
        <w:t>2</w:t>
      </w:r>
      <w:r w:rsidR="0082361F" w:rsidRPr="0082361F">
        <w:rPr>
          <w:sz w:val="32"/>
        </w:rPr>
        <w:t>.1</w:t>
      </w:r>
      <w:r w:rsidR="004F3637">
        <w:rPr>
          <w:sz w:val="32"/>
        </w:rPr>
        <w:t>.</w:t>
      </w:r>
      <w:r w:rsidR="0082361F" w:rsidRPr="0082361F">
        <w:rPr>
          <w:sz w:val="32"/>
        </w:rPr>
        <w:t xml:space="preserve"> </w:t>
      </w:r>
      <w:r w:rsidR="00247AA1" w:rsidRPr="0082361F">
        <w:rPr>
          <w:sz w:val="32"/>
        </w:rPr>
        <w:t>Inleiding hoofdstuk</w:t>
      </w:r>
      <w:r w:rsidR="0082361F" w:rsidRPr="0082361F">
        <w:rPr>
          <w:sz w:val="32"/>
        </w:rPr>
        <w:t xml:space="preserve"> </w:t>
      </w:r>
      <w:r>
        <w:rPr>
          <w:sz w:val="32"/>
        </w:rPr>
        <w:t>2</w:t>
      </w:r>
      <w:bookmarkEnd w:id="3"/>
    </w:p>
    <w:p w:rsidR="009254F0" w:rsidRPr="009C32F5" w:rsidRDefault="009C32F5" w:rsidP="009C32F5">
      <w:pPr>
        <w:spacing w:line="360" w:lineRule="auto"/>
        <w:jc w:val="both"/>
        <w:rPr>
          <w:b/>
          <w:sz w:val="24"/>
          <w:szCs w:val="24"/>
        </w:rPr>
      </w:pPr>
      <w:r w:rsidRPr="00247AA1">
        <w:rPr>
          <w:rFonts w:eastAsia="Times New Roman" w:cs="Times New Roman"/>
          <w:color w:val="222222"/>
          <w:sz w:val="24"/>
          <w:szCs w:val="24"/>
          <w:lang w:eastAsia="en-GB"/>
        </w:rPr>
        <w:t>De externe verslaggeving betreft de informatieverstrekking met betrekking tot de financiële gegevens van (non-)</w:t>
      </w:r>
      <w:proofErr w:type="spellStart"/>
      <w:r w:rsidRPr="00247AA1">
        <w:rPr>
          <w:rFonts w:eastAsia="Times New Roman" w:cs="Times New Roman"/>
          <w:color w:val="222222"/>
          <w:sz w:val="24"/>
          <w:szCs w:val="24"/>
          <w:lang w:eastAsia="en-GB"/>
        </w:rPr>
        <w:t>profit-organisaties</w:t>
      </w:r>
      <w:proofErr w:type="spellEnd"/>
      <w:r w:rsidRPr="00247AA1">
        <w:rPr>
          <w:rFonts w:eastAsia="Times New Roman" w:cs="Times New Roman"/>
          <w:color w:val="222222"/>
          <w:sz w:val="24"/>
          <w:szCs w:val="24"/>
          <w:lang w:eastAsia="en-GB"/>
        </w:rPr>
        <w:t xml:space="preserve"> aan externe belanghebbenden en belangstellenden. Het belangrijkste document van de externe verslaggeving is de jaarrekening, die bestaat uit een balans, winst-en-verliesrekening, kasstroomoverzicht, een overzicht van het totaalresultaat, een mutatieoverzicht van het eigen vermogen en een toelichting </w:t>
      </w:r>
      <w:sdt>
        <w:sdtPr>
          <w:rPr>
            <w:rFonts w:eastAsia="Times New Roman" w:cs="Times New Roman"/>
            <w:color w:val="222222"/>
            <w:sz w:val="24"/>
            <w:szCs w:val="24"/>
            <w:lang w:eastAsia="en-GB"/>
          </w:rPr>
          <w:id w:val="-1238781926"/>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CITATION Hoo14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(Hoogendorn, Bömher, &amp; Kruit, 2014)</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Het doel van de jaarrekening is het verschaffen van informatie over de financiële positie, resultaten en wijzigingen in financiële positie, die voor primaire gebruikers nuttig zijn voor het nemen van economische beslissingen. Gebruikers van de jaarrekening zijn bijvoorbeeld beleggers, vermogensverschaffers en crediteuren. Fundamentele kenmerken van de jaarrekening zijn relevantie en getrouwe weergave.</w:t>
      </w:r>
      <w:r>
        <w:rPr>
          <w:b/>
          <w:sz w:val="24"/>
          <w:szCs w:val="24"/>
        </w:rPr>
        <w:t xml:space="preserve"> </w:t>
      </w:r>
      <w:r w:rsidR="009254F0" w:rsidRPr="009254F0">
        <w:rPr>
          <w:rFonts w:eastAsia="Times New Roman" w:cs="Times New Roman"/>
          <w:color w:val="222222"/>
          <w:sz w:val="24"/>
          <w:szCs w:val="24"/>
          <w:lang w:eastAsia="en-GB"/>
        </w:rPr>
        <w:t xml:space="preserve">Wereldwijd zijn er verschillende standaarden met betrekking tot de opstelling van de regels voor de jaarrekening. De meeste bekende is de </w:t>
      </w:r>
      <w:r w:rsidR="009254F0" w:rsidRPr="009254F0">
        <w:rPr>
          <w:rFonts w:eastAsia="Times New Roman" w:cs="Times New Roman"/>
          <w:i/>
          <w:color w:val="222222"/>
          <w:sz w:val="24"/>
          <w:szCs w:val="24"/>
          <w:lang w:eastAsia="en-GB"/>
        </w:rPr>
        <w:t>International Financial Reporting Standards</w:t>
      </w:r>
      <w:r w:rsidR="009254F0" w:rsidRPr="009254F0">
        <w:rPr>
          <w:rFonts w:eastAsia="Times New Roman" w:cs="Times New Roman"/>
          <w:color w:val="222222"/>
          <w:sz w:val="24"/>
          <w:szCs w:val="24"/>
          <w:lang w:eastAsia="en-GB"/>
        </w:rPr>
        <w:t xml:space="preserve"> (IFRS), opgesteld onder verantwoordelijkheid van de </w:t>
      </w:r>
      <w:r w:rsidR="009254F0" w:rsidRPr="009254F0">
        <w:rPr>
          <w:rFonts w:eastAsia="Times New Roman" w:cs="Times New Roman"/>
          <w:i/>
          <w:color w:val="222222"/>
          <w:sz w:val="24"/>
          <w:szCs w:val="24"/>
          <w:lang w:eastAsia="en-GB"/>
        </w:rPr>
        <w:t>International Accounting Standards Board</w:t>
      </w:r>
      <w:r w:rsidR="009254F0" w:rsidRPr="009254F0">
        <w:rPr>
          <w:rFonts w:eastAsia="Times New Roman" w:cs="Times New Roman"/>
          <w:color w:val="222222"/>
          <w:sz w:val="24"/>
          <w:szCs w:val="24"/>
          <w:lang w:eastAsia="en-GB"/>
        </w:rPr>
        <w:t xml:space="preserve"> (IASB), het regelgevende orgaan binnen de IFRS Foundation. Samen met de </w:t>
      </w:r>
      <w:r w:rsidR="009254F0" w:rsidRPr="009254F0">
        <w:rPr>
          <w:rFonts w:eastAsia="Times New Roman" w:cs="Times New Roman"/>
          <w:i/>
          <w:color w:val="222222"/>
          <w:sz w:val="24"/>
          <w:szCs w:val="24"/>
          <w:lang w:eastAsia="en-GB"/>
        </w:rPr>
        <w:t xml:space="preserve">United </w:t>
      </w:r>
      <w:proofErr w:type="spellStart"/>
      <w:r w:rsidR="009254F0" w:rsidRPr="009254F0">
        <w:rPr>
          <w:rFonts w:eastAsia="Times New Roman" w:cs="Times New Roman"/>
          <w:i/>
          <w:color w:val="222222"/>
          <w:sz w:val="24"/>
          <w:szCs w:val="24"/>
          <w:lang w:eastAsia="en-GB"/>
        </w:rPr>
        <w:t>States</w:t>
      </w:r>
      <w:proofErr w:type="spellEnd"/>
      <w:r w:rsidR="009254F0" w:rsidRPr="009254F0">
        <w:rPr>
          <w:rFonts w:eastAsia="Times New Roman" w:cs="Times New Roman"/>
          <w:i/>
          <w:color w:val="222222"/>
          <w:sz w:val="24"/>
          <w:szCs w:val="24"/>
          <w:lang w:eastAsia="en-GB"/>
        </w:rPr>
        <w:t xml:space="preserve"> </w:t>
      </w:r>
      <w:proofErr w:type="spellStart"/>
      <w:r w:rsidR="009254F0" w:rsidRPr="009254F0">
        <w:rPr>
          <w:rFonts w:eastAsia="Times New Roman" w:cs="Times New Roman"/>
          <w:i/>
          <w:color w:val="222222"/>
          <w:sz w:val="24"/>
          <w:szCs w:val="24"/>
          <w:lang w:eastAsia="en-GB"/>
        </w:rPr>
        <w:t>Generally</w:t>
      </w:r>
      <w:proofErr w:type="spellEnd"/>
      <w:r w:rsidR="009254F0" w:rsidRPr="009254F0">
        <w:rPr>
          <w:rFonts w:eastAsia="Times New Roman" w:cs="Times New Roman"/>
          <w:i/>
          <w:color w:val="222222"/>
          <w:sz w:val="24"/>
          <w:szCs w:val="24"/>
          <w:lang w:eastAsia="en-GB"/>
        </w:rPr>
        <w:t xml:space="preserve"> </w:t>
      </w:r>
      <w:proofErr w:type="spellStart"/>
      <w:r w:rsidR="009254F0" w:rsidRPr="009254F0">
        <w:rPr>
          <w:rFonts w:eastAsia="Times New Roman" w:cs="Times New Roman"/>
          <w:i/>
          <w:color w:val="222222"/>
          <w:sz w:val="24"/>
          <w:szCs w:val="24"/>
          <w:lang w:eastAsia="en-GB"/>
        </w:rPr>
        <w:t>Accepted</w:t>
      </w:r>
      <w:proofErr w:type="spellEnd"/>
      <w:r w:rsidR="009254F0" w:rsidRPr="009254F0">
        <w:rPr>
          <w:rFonts w:eastAsia="Times New Roman" w:cs="Times New Roman"/>
          <w:i/>
          <w:color w:val="222222"/>
          <w:sz w:val="24"/>
          <w:szCs w:val="24"/>
          <w:lang w:eastAsia="en-GB"/>
        </w:rPr>
        <w:t xml:space="preserve"> Accounting </w:t>
      </w:r>
      <w:proofErr w:type="spellStart"/>
      <w:r w:rsidR="009254F0" w:rsidRPr="009254F0">
        <w:rPr>
          <w:rFonts w:eastAsia="Times New Roman" w:cs="Times New Roman"/>
          <w:i/>
          <w:color w:val="222222"/>
          <w:sz w:val="24"/>
          <w:szCs w:val="24"/>
          <w:lang w:eastAsia="en-GB"/>
        </w:rPr>
        <w:t>Principles</w:t>
      </w:r>
      <w:proofErr w:type="spellEnd"/>
      <w:r w:rsidR="009254F0" w:rsidRPr="009254F0">
        <w:rPr>
          <w:rFonts w:eastAsia="Times New Roman" w:cs="Times New Roman"/>
          <w:color w:val="222222"/>
          <w:sz w:val="24"/>
          <w:szCs w:val="24"/>
          <w:lang w:eastAsia="en-GB"/>
        </w:rPr>
        <w:t xml:space="preserve"> (US GAAP) is IFRS de meest gebruikte accountingstandaard </w:t>
      </w:r>
      <w:sdt>
        <w:sdtPr>
          <w:rPr>
            <w:rFonts w:eastAsia="Times New Roman" w:cs="Times New Roman"/>
            <w:color w:val="222222"/>
            <w:sz w:val="24"/>
            <w:szCs w:val="24"/>
            <w:lang w:eastAsia="en-GB"/>
          </w:rPr>
          <w:id w:val="-987779747"/>
          <w:citation/>
        </w:sdtPr>
        <w:sdtContent>
          <w:r w:rsidR="000C5AB6" w:rsidRPr="009254F0">
            <w:rPr>
              <w:rFonts w:eastAsia="Times New Roman" w:cs="Times New Roman"/>
              <w:color w:val="222222"/>
              <w:sz w:val="24"/>
              <w:szCs w:val="24"/>
              <w:lang w:eastAsia="en-GB"/>
            </w:rPr>
            <w:fldChar w:fldCharType="begin"/>
          </w:r>
          <w:r w:rsidR="009254F0" w:rsidRPr="009254F0">
            <w:rPr>
              <w:rFonts w:eastAsia="Times New Roman" w:cs="Times New Roman"/>
              <w:color w:val="222222"/>
              <w:sz w:val="24"/>
              <w:szCs w:val="24"/>
              <w:lang w:eastAsia="en-GB"/>
            </w:rPr>
            <w:instrText xml:space="preserve"> CITATION Kai14 \l 1043 </w:instrText>
          </w:r>
          <w:r w:rsidR="000C5AB6" w:rsidRPr="009254F0">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(Kaiser, Schmid, &amp; Kuykendall, 2014)</w:t>
          </w:r>
          <w:r w:rsidR="000C5AB6" w:rsidRPr="009254F0">
            <w:rPr>
              <w:rFonts w:eastAsia="Times New Roman" w:cs="Times New Roman"/>
              <w:color w:val="222222"/>
              <w:sz w:val="24"/>
              <w:szCs w:val="24"/>
              <w:lang w:eastAsia="en-GB"/>
            </w:rPr>
            <w:fldChar w:fldCharType="end"/>
          </w:r>
        </w:sdtContent>
      </w:sdt>
      <w:r w:rsidR="009254F0" w:rsidRPr="009254F0">
        <w:rPr>
          <w:rFonts w:eastAsia="Times New Roman" w:cs="Times New Roman"/>
          <w:color w:val="222222"/>
          <w:sz w:val="24"/>
          <w:szCs w:val="24"/>
          <w:lang w:eastAsia="en-GB"/>
        </w:rPr>
        <w:t>. Toepassing van IFRS is verplicht voor geconsolideerde jaarrekeningen van beursgenoteerde ondernemingen</w:t>
      </w:r>
      <w:proofErr w:type="gramStart"/>
      <w:r w:rsidR="009254F0" w:rsidRPr="009254F0">
        <w:rPr>
          <w:rFonts w:eastAsia="Times New Roman" w:cs="Times New Roman"/>
          <w:color w:val="222222"/>
          <w:sz w:val="24"/>
          <w:szCs w:val="24"/>
          <w:lang w:eastAsia="en-GB"/>
        </w:rPr>
        <w:t>, wat</w:t>
      </w:r>
      <w:proofErr w:type="gramEnd"/>
      <w:r w:rsidR="009254F0" w:rsidRPr="009254F0">
        <w:rPr>
          <w:rFonts w:eastAsia="Times New Roman" w:cs="Times New Roman"/>
          <w:color w:val="222222"/>
          <w:sz w:val="24"/>
          <w:szCs w:val="24"/>
          <w:lang w:eastAsia="en-GB"/>
        </w:rPr>
        <w:t xml:space="preserve"> betekent dat momenteel circa 7.000 ondernemingen in de Europese Unie (EU) hun geconsolideerde jaarrekening volgens IFRS opstellen. De bedoeling is dat IFRS zal uitgroeien tot een mondiale standaard voor de externe financiële verslaggeving. In oktober 2002 hebben de IASB en het Amerikaanse </w:t>
      </w:r>
      <w:r w:rsidR="009254F0" w:rsidRPr="009254F0">
        <w:rPr>
          <w:rFonts w:eastAsia="Times New Roman" w:cs="Times New Roman"/>
          <w:i/>
          <w:color w:val="222222"/>
          <w:sz w:val="24"/>
          <w:szCs w:val="24"/>
          <w:lang w:eastAsia="en-GB"/>
        </w:rPr>
        <w:t>Financial Accounting Standards Board</w:t>
      </w:r>
      <w:r w:rsidR="009254F0" w:rsidRPr="009254F0">
        <w:rPr>
          <w:rFonts w:eastAsia="Times New Roman" w:cs="Times New Roman"/>
          <w:color w:val="222222"/>
          <w:sz w:val="24"/>
          <w:szCs w:val="24"/>
          <w:lang w:eastAsia="en-GB"/>
        </w:rPr>
        <w:t xml:space="preserve"> (FASB) een akkoord gesloten over een convergentiestrategie om de IFRS en US GAAP zoveel mogelijk in overeenstemming met elkaar te brengen </w:t>
      </w:r>
      <w:sdt>
        <w:sdtPr>
          <w:rPr>
            <w:rFonts w:eastAsia="Times New Roman" w:cs="Times New Roman"/>
            <w:color w:val="222222"/>
            <w:sz w:val="24"/>
            <w:szCs w:val="24"/>
            <w:lang w:eastAsia="en-GB"/>
          </w:rPr>
          <w:id w:val="-592012383"/>
          <w:citation/>
        </w:sdtPr>
        <w:sdtContent>
          <w:r w:rsidR="000C5AB6" w:rsidRPr="009254F0">
            <w:rPr>
              <w:rFonts w:eastAsia="Times New Roman" w:cs="Times New Roman"/>
              <w:color w:val="222222"/>
              <w:sz w:val="24"/>
              <w:szCs w:val="24"/>
              <w:lang w:eastAsia="en-GB"/>
            </w:rPr>
            <w:fldChar w:fldCharType="begin"/>
          </w:r>
          <w:r w:rsidR="009254F0" w:rsidRPr="009254F0">
            <w:rPr>
              <w:rFonts w:eastAsia="Times New Roman" w:cs="Times New Roman"/>
              <w:color w:val="222222"/>
              <w:sz w:val="24"/>
              <w:szCs w:val="24"/>
              <w:lang w:eastAsia="en-GB"/>
            </w:rPr>
            <w:instrText xml:space="preserve"> CITATION IFR02 \l 1043 </w:instrText>
          </w:r>
          <w:r w:rsidR="000C5AB6" w:rsidRPr="009254F0">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(IFRS, 2002)</w:t>
          </w:r>
          <w:r w:rsidR="000C5AB6" w:rsidRPr="009254F0">
            <w:rPr>
              <w:rFonts w:eastAsia="Times New Roman" w:cs="Times New Roman"/>
              <w:color w:val="222222"/>
              <w:sz w:val="24"/>
              <w:szCs w:val="24"/>
              <w:lang w:eastAsia="en-GB"/>
            </w:rPr>
            <w:fldChar w:fldCharType="end"/>
          </w:r>
        </w:sdtContent>
      </w:sdt>
      <w:r w:rsidR="009254F0" w:rsidRPr="009254F0">
        <w:rPr>
          <w:rFonts w:eastAsia="Times New Roman" w:cs="Times New Roman"/>
          <w:color w:val="222222"/>
          <w:sz w:val="24"/>
          <w:szCs w:val="24"/>
          <w:lang w:eastAsia="en-GB"/>
        </w:rPr>
        <w:t>.</w:t>
      </w:r>
    </w:p>
    <w:p w:rsidR="00DF0089" w:rsidRDefault="009254F0" w:rsidP="006E3FF9">
      <w:pPr>
        <w:spacing w:line="360" w:lineRule="auto"/>
        <w:jc w:val="both"/>
        <w:rPr>
          <w:sz w:val="24"/>
          <w:szCs w:val="24"/>
        </w:rPr>
      </w:pPr>
      <w:r w:rsidRPr="009254F0">
        <w:rPr>
          <w:sz w:val="24"/>
          <w:szCs w:val="24"/>
        </w:rPr>
        <w:t>I</w:t>
      </w:r>
      <w:r w:rsidR="00455525" w:rsidRPr="009254F0">
        <w:rPr>
          <w:sz w:val="24"/>
          <w:szCs w:val="24"/>
        </w:rPr>
        <w:t>n dit hoofdstuk een uiteenzetting gegeven over het hoofdonderwerp materiële vaste activa. Onder de IFRS wordt dit onderdeel</w:t>
      </w:r>
      <w:r w:rsidR="00455525" w:rsidRPr="006E3FF9">
        <w:rPr>
          <w:sz w:val="24"/>
          <w:szCs w:val="24"/>
        </w:rPr>
        <w:t xml:space="preserve"> besproken in IAS 16 </w:t>
      </w:r>
      <w:proofErr w:type="spellStart"/>
      <w:r w:rsidR="00455525" w:rsidRPr="006E3FF9">
        <w:rPr>
          <w:i/>
          <w:sz w:val="24"/>
          <w:szCs w:val="24"/>
        </w:rPr>
        <w:t>Property</w:t>
      </w:r>
      <w:proofErr w:type="spellEnd"/>
      <w:r w:rsidR="00455525" w:rsidRPr="006E3FF9">
        <w:rPr>
          <w:i/>
          <w:sz w:val="24"/>
          <w:szCs w:val="24"/>
        </w:rPr>
        <w:t xml:space="preserve">, Plant and </w:t>
      </w:r>
      <w:proofErr w:type="spellStart"/>
      <w:r w:rsidR="00455525" w:rsidRPr="006E3FF9">
        <w:rPr>
          <w:i/>
          <w:sz w:val="24"/>
          <w:szCs w:val="24"/>
        </w:rPr>
        <w:t>Equipment</w:t>
      </w:r>
      <w:proofErr w:type="spellEnd"/>
      <w:r w:rsidR="00455525" w:rsidRPr="006E3FF9">
        <w:rPr>
          <w:i/>
          <w:sz w:val="24"/>
          <w:szCs w:val="24"/>
        </w:rPr>
        <w:t xml:space="preserve"> </w:t>
      </w:r>
      <w:r w:rsidR="00455525" w:rsidRPr="006E3FF9">
        <w:rPr>
          <w:sz w:val="24"/>
          <w:szCs w:val="24"/>
        </w:rPr>
        <w:t xml:space="preserve">(PP&amp;E). Aan de hand van onderstaande paragraven </w:t>
      </w:r>
      <w:r w:rsidR="004F75FB">
        <w:rPr>
          <w:sz w:val="24"/>
          <w:szCs w:val="24"/>
        </w:rPr>
        <w:t>wordt</w:t>
      </w:r>
      <w:r w:rsidR="00455525" w:rsidRPr="006E3FF9">
        <w:rPr>
          <w:sz w:val="24"/>
          <w:szCs w:val="24"/>
        </w:rPr>
        <w:t xml:space="preserve"> ten eerste een beschrijving van de </w:t>
      </w:r>
      <w:r w:rsidR="00E01DA4">
        <w:rPr>
          <w:sz w:val="24"/>
          <w:szCs w:val="24"/>
        </w:rPr>
        <w:t>materiële</w:t>
      </w:r>
      <w:r w:rsidR="00455525" w:rsidRPr="006E3FF9">
        <w:rPr>
          <w:sz w:val="24"/>
          <w:szCs w:val="24"/>
        </w:rPr>
        <w:t xml:space="preserve"> vaste activa volgens IAS 16 besproken, waar vervolgens het doel van IAS 16 aan gekoppeld </w:t>
      </w:r>
      <w:r w:rsidR="004F75FB">
        <w:rPr>
          <w:sz w:val="24"/>
          <w:szCs w:val="24"/>
        </w:rPr>
        <w:t>wordt</w:t>
      </w:r>
      <w:r w:rsidR="00455525" w:rsidRPr="006E3FF9">
        <w:rPr>
          <w:sz w:val="24"/>
          <w:szCs w:val="24"/>
        </w:rPr>
        <w:t xml:space="preserve">. Ten tweede </w:t>
      </w:r>
      <w:r w:rsidR="004F75FB">
        <w:rPr>
          <w:sz w:val="24"/>
          <w:szCs w:val="24"/>
        </w:rPr>
        <w:t>wordt</w:t>
      </w:r>
      <w:r w:rsidR="00455525" w:rsidRPr="006E3FF9">
        <w:rPr>
          <w:sz w:val="24"/>
          <w:szCs w:val="24"/>
        </w:rPr>
        <w:t xml:space="preserve"> de criteria voor het </w:t>
      </w:r>
      <w:r w:rsidR="006E3FF9" w:rsidRPr="006E3FF9">
        <w:rPr>
          <w:sz w:val="24"/>
          <w:szCs w:val="24"/>
        </w:rPr>
        <w:t xml:space="preserve">(verplicht) </w:t>
      </w:r>
      <w:r w:rsidR="00455525" w:rsidRPr="006E3FF9">
        <w:rPr>
          <w:sz w:val="24"/>
          <w:szCs w:val="24"/>
        </w:rPr>
        <w:t xml:space="preserve">opnemen van </w:t>
      </w:r>
      <w:r w:rsidR="00E01DA4">
        <w:rPr>
          <w:sz w:val="24"/>
          <w:szCs w:val="24"/>
        </w:rPr>
        <w:t>materiële</w:t>
      </w:r>
      <w:r w:rsidR="00455525" w:rsidRPr="006E3FF9">
        <w:rPr>
          <w:sz w:val="24"/>
          <w:szCs w:val="24"/>
        </w:rPr>
        <w:t xml:space="preserve"> </w:t>
      </w:r>
      <w:r w:rsidR="00455525" w:rsidRPr="006E3FF9">
        <w:rPr>
          <w:sz w:val="24"/>
          <w:szCs w:val="24"/>
        </w:rPr>
        <w:lastRenderedPageBreak/>
        <w:t xml:space="preserve">vaste activa </w:t>
      </w:r>
      <w:r w:rsidR="006E3FF9">
        <w:rPr>
          <w:sz w:val="24"/>
          <w:szCs w:val="24"/>
        </w:rPr>
        <w:t>besproken, gevolgd door een beschrijving van de waarderingsmethoden met bijkomende gevolgen voor de jaarrekening. Ten</w:t>
      </w:r>
      <w:r w:rsidR="00711F54">
        <w:rPr>
          <w:sz w:val="24"/>
          <w:szCs w:val="24"/>
        </w:rPr>
        <w:t xml:space="preserve"> </w:t>
      </w:r>
      <w:r w:rsidR="006E3FF9">
        <w:rPr>
          <w:sz w:val="24"/>
          <w:szCs w:val="24"/>
        </w:rPr>
        <w:t xml:space="preserve">slotte worden de verschillende afschrijvingsmethoden met betrekking tot </w:t>
      </w:r>
      <w:r w:rsidR="00E01DA4">
        <w:rPr>
          <w:sz w:val="24"/>
          <w:szCs w:val="24"/>
        </w:rPr>
        <w:t>materiële</w:t>
      </w:r>
      <w:r w:rsidR="006E3FF9">
        <w:rPr>
          <w:sz w:val="24"/>
          <w:szCs w:val="24"/>
        </w:rPr>
        <w:t xml:space="preserve"> vaste activa uiteengezet, aangevuld met de verschillende gevolgen voor de jaarrekening.</w:t>
      </w:r>
      <w:r>
        <w:rPr>
          <w:sz w:val="24"/>
          <w:szCs w:val="24"/>
        </w:rPr>
        <w:t xml:space="preserve"> Tevens worden de verschillen tussen de RJ en IFRS op het gebied van </w:t>
      </w:r>
      <w:r w:rsidR="00E01DA4">
        <w:rPr>
          <w:sz w:val="24"/>
          <w:szCs w:val="24"/>
        </w:rPr>
        <w:t>materiële</w:t>
      </w:r>
      <w:r>
        <w:rPr>
          <w:sz w:val="24"/>
          <w:szCs w:val="24"/>
        </w:rPr>
        <w:t xml:space="preserve"> vaste activa uitgelicht en worden de voor- en nadelen van de keuzemogelijkheden vergeleken.</w:t>
      </w:r>
      <w:r w:rsidR="00DF0089">
        <w:rPr>
          <w:sz w:val="24"/>
          <w:szCs w:val="24"/>
        </w:rPr>
        <w:t xml:space="preserve"> Bovenstaande </w:t>
      </w:r>
      <w:r w:rsidR="004F75FB">
        <w:rPr>
          <w:sz w:val="24"/>
          <w:szCs w:val="24"/>
        </w:rPr>
        <w:t>leidt</w:t>
      </w:r>
      <w:r w:rsidR="00DF0089">
        <w:rPr>
          <w:sz w:val="24"/>
          <w:szCs w:val="24"/>
        </w:rPr>
        <w:t xml:space="preserve"> ten</w:t>
      </w:r>
      <w:r w:rsidR="00711F54">
        <w:rPr>
          <w:sz w:val="24"/>
          <w:szCs w:val="24"/>
        </w:rPr>
        <w:t xml:space="preserve"> </w:t>
      </w:r>
      <w:r w:rsidR="00DF0089">
        <w:rPr>
          <w:sz w:val="24"/>
          <w:szCs w:val="24"/>
        </w:rPr>
        <w:t xml:space="preserve">slotte </w:t>
      </w:r>
      <w:r w:rsidR="004F75FB">
        <w:rPr>
          <w:sz w:val="24"/>
          <w:szCs w:val="24"/>
        </w:rPr>
        <w:t xml:space="preserve">tot het antwoord </w:t>
      </w:r>
      <w:r w:rsidR="00DF0089">
        <w:rPr>
          <w:sz w:val="24"/>
          <w:szCs w:val="24"/>
        </w:rPr>
        <w:t xml:space="preserve">op de volgende deelvraag: </w:t>
      </w:r>
    </w:p>
    <w:p w:rsidR="009254F0" w:rsidRPr="009254F0" w:rsidRDefault="00DF0089" w:rsidP="006E3FF9">
      <w:pPr>
        <w:spacing w:line="360" w:lineRule="auto"/>
        <w:jc w:val="both"/>
        <w:rPr>
          <w:i/>
          <w:sz w:val="24"/>
          <w:szCs w:val="24"/>
        </w:rPr>
      </w:pPr>
      <w:r>
        <w:rPr>
          <w:sz w:val="24"/>
          <w:szCs w:val="24"/>
        </w:rPr>
        <w:t>‘</w:t>
      </w:r>
      <w:r>
        <w:rPr>
          <w:i/>
          <w:sz w:val="24"/>
          <w:szCs w:val="24"/>
        </w:rPr>
        <w:t xml:space="preserve">Wat is het doel en de inhoud van IAS 16 en wat zijn de opties om </w:t>
      </w:r>
      <w:r w:rsidR="00E01DA4">
        <w:rPr>
          <w:i/>
          <w:sz w:val="24"/>
          <w:szCs w:val="24"/>
        </w:rPr>
        <w:t>materiële</w:t>
      </w:r>
      <w:r>
        <w:rPr>
          <w:i/>
          <w:sz w:val="24"/>
          <w:szCs w:val="24"/>
        </w:rPr>
        <w:t xml:space="preserve"> vaste activa op te nemen in de jaarrekening?’</w:t>
      </w:r>
    </w:p>
    <w:p w:rsidR="0082361F" w:rsidRPr="0082361F" w:rsidRDefault="00776867" w:rsidP="0082361F">
      <w:pPr>
        <w:pStyle w:val="Heading2"/>
        <w:rPr>
          <w:sz w:val="32"/>
        </w:rPr>
      </w:pPr>
      <w:bookmarkStart w:id="4" w:name="_Toc425516470"/>
      <w:r>
        <w:rPr>
          <w:sz w:val="32"/>
        </w:rPr>
        <w:t>2</w:t>
      </w:r>
      <w:r w:rsidR="0082361F" w:rsidRPr="0082361F">
        <w:rPr>
          <w:sz w:val="32"/>
        </w:rPr>
        <w:t>.2</w:t>
      </w:r>
      <w:r w:rsidR="004F3637">
        <w:rPr>
          <w:sz w:val="32"/>
        </w:rPr>
        <w:t>.</w:t>
      </w:r>
      <w:r w:rsidR="0082361F" w:rsidRPr="0082361F">
        <w:rPr>
          <w:sz w:val="32"/>
        </w:rPr>
        <w:t xml:space="preserve"> Definitie </w:t>
      </w:r>
      <w:r w:rsidR="00E01DA4">
        <w:rPr>
          <w:sz w:val="32"/>
        </w:rPr>
        <w:t>materiële</w:t>
      </w:r>
      <w:r w:rsidR="0082361F" w:rsidRPr="0082361F">
        <w:rPr>
          <w:sz w:val="32"/>
        </w:rPr>
        <w:t xml:space="preserve"> vaste activa</w:t>
      </w:r>
      <w:bookmarkEnd w:id="4"/>
    </w:p>
    <w:p w:rsidR="006234DD" w:rsidRDefault="00BC419E" w:rsidP="006E3FF9">
      <w:pPr>
        <w:spacing w:line="360" w:lineRule="auto"/>
        <w:jc w:val="both"/>
        <w:rPr>
          <w:sz w:val="24"/>
          <w:szCs w:val="24"/>
        </w:rPr>
      </w:pPr>
      <w:r>
        <w:rPr>
          <w:sz w:val="24"/>
          <w:szCs w:val="24"/>
        </w:rPr>
        <w:t>De door de IASB opgestelde IFRS regels hebben als doel om tot een mondiale standaard uit te groeien voor de externe financiële verslaggeving</w:t>
      </w:r>
      <w:r w:rsidR="00085217">
        <w:rPr>
          <w:sz w:val="24"/>
          <w:szCs w:val="24"/>
        </w:rPr>
        <w:t xml:space="preserve"> </w:t>
      </w:r>
      <w:sdt>
        <w:sdtPr>
          <w:rPr>
            <w:sz w:val="24"/>
            <w:szCs w:val="24"/>
          </w:rPr>
          <w:id w:val="-361902454"/>
          <w:citation/>
        </w:sdtPr>
        <w:sdtContent>
          <w:r w:rsidR="000C5AB6">
            <w:rPr>
              <w:sz w:val="24"/>
              <w:szCs w:val="24"/>
            </w:rPr>
            <w:fldChar w:fldCharType="begin"/>
          </w:r>
          <w:r w:rsidR="00085217">
            <w:rPr>
              <w:sz w:val="24"/>
              <w:szCs w:val="24"/>
            </w:rPr>
            <w:instrText xml:space="preserve"> CITATION Böh14 \l 1043 </w:instrText>
          </w:r>
          <w:r w:rsidR="000C5AB6">
            <w:rPr>
              <w:sz w:val="24"/>
              <w:szCs w:val="24"/>
            </w:rPr>
            <w:fldChar w:fldCharType="separate"/>
          </w:r>
          <w:r w:rsidR="00062BB9" w:rsidRPr="00062BB9">
            <w:rPr>
              <w:noProof/>
              <w:sz w:val="24"/>
              <w:szCs w:val="24"/>
            </w:rPr>
            <w:t>(Böhmer, Hoogendoorn, &amp; Kruit, 2014)</w:t>
          </w:r>
          <w:r w:rsidR="000C5AB6">
            <w:rPr>
              <w:sz w:val="24"/>
              <w:szCs w:val="24"/>
            </w:rPr>
            <w:fldChar w:fldCharType="end"/>
          </w:r>
        </w:sdtContent>
      </w:sdt>
      <w:r>
        <w:rPr>
          <w:sz w:val="24"/>
          <w:szCs w:val="24"/>
        </w:rPr>
        <w:t>. Zodoende is het noodzakelijk om per standaard een duidelijk doel voor te schrijven</w:t>
      </w:r>
      <w:r w:rsidR="002A1766">
        <w:rPr>
          <w:sz w:val="24"/>
          <w:szCs w:val="24"/>
        </w:rPr>
        <w:t>, zodat de vergelijkbaarheid tussen jaarrekening</w:t>
      </w:r>
      <w:r w:rsidR="007D397E">
        <w:rPr>
          <w:sz w:val="24"/>
          <w:szCs w:val="24"/>
        </w:rPr>
        <w:t xml:space="preserve"> zo</w:t>
      </w:r>
      <w:r w:rsidR="002A1766">
        <w:rPr>
          <w:sz w:val="24"/>
          <w:szCs w:val="24"/>
        </w:rPr>
        <w:t xml:space="preserve"> optimaal</w:t>
      </w:r>
      <w:r w:rsidR="007D397E">
        <w:rPr>
          <w:sz w:val="24"/>
          <w:szCs w:val="24"/>
        </w:rPr>
        <w:t xml:space="preserve"> mogelijk </w:t>
      </w:r>
      <w:r w:rsidR="002A1766">
        <w:rPr>
          <w:sz w:val="24"/>
          <w:szCs w:val="24"/>
        </w:rPr>
        <w:t>zijn</w:t>
      </w:r>
      <w:r>
        <w:rPr>
          <w:sz w:val="24"/>
          <w:szCs w:val="24"/>
        </w:rPr>
        <w:t xml:space="preserve">. </w:t>
      </w:r>
      <w:r w:rsidR="00085217">
        <w:rPr>
          <w:sz w:val="24"/>
          <w:szCs w:val="24"/>
        </w:rPr>
        <w:t xml:space="preserve">De IASB heeft de volgende doelstelling beschreven voor IAS 16 </w:t>
      </w:r>
      <w:r w:rsidR="00E01DA4">
        <w:rPr>
          <w:sz w:val="24"/>
          <w:szCs w:val="24"/>
        </w:rPr>
        <w:t>materiële</w:t>
      </w:r>
      <w:r w:rsidR="00085217">
        <w:rPr>
          <w:sz w:val="24"/>
          <w:szCs w:val="24"/>
        </w:rPr>
        <w:t xml:space="preserve"> vaste activa: </w:t>
      </w:r>
    </w:p>
    <w:p w:rsidR="00085217" w:rsidRDefault="00085217" w:rsidP="006E3FF9">
      <w:pPr>
        <w:spacing w:line="360" w:lineRule="auto"/>
        <w:jc w:val="both"/>
        <w:rPr>
          <w:i/>
          <w:sz w:val="24"/>
          <w:szCs w:val="24"/>
          <w:lang w:val="en-GB"/>
        </w:rPr>
      </w:pPr>
      <w:r w:rsidRPr="00085217">
        <w:rPr>
          <w:sz w:val="24"/>
          <w:szCs w:val="24"/>
          <w:lang w:val="en-GB"/>
        </w:rPr>
        <w:t>‘</w:t>
      </w:r>
      <w:r w:rsidRPr="00085217">
        <w:rPr>
          <w:i/>
          <w:sz w:val="24"/>
          <w:szCs w:val="24"/>
          <w:lang w:val="en-GB"/>
        </w:rPr>
        <w:t>The objective of</w:t>
      </w:r>
      <w:r w:rsidR="005140C9">
        <w:rPr>
          <w:i/>
          <w:sz w:val="24"/>
          <w:szCs w:val="24"/>
          <w:lang w:val="en-GB"/>
        </w:rPr>
        <w:t xml:space="preserve"> this standard</w:t>
      </w:r>
      <w:r w:rsidRPr="00085217">
        <w:rPr>
          <w:i/>
          <w:sz w:val="24"/>
          <w:szCs w:val="24"/>
          <w:lang w:val="en-GB"/>
        </w:rPr>
        <w:t xml:space="preserve"> </w:t>
      </w:r>
      <w:r w:rsidR="005140C9">
        <w:rPr>
          <w:i/>
          <w:sz w:val="24"/>
          <w:szCs w:val="24"/>
          <w:lang w:val="en-GB"/>
        </w:rPr>
        <w:t>(</w:t>
      </w:r>
      <w:r w:rsidRPr="00085217">
        <w:rPr>
          <w:i/>
          <w:sz w:val="24"/>
          <w:szCs w:val="24"/>
          <w:lang w:val="en-GB"/>
        </w:rPr>
        <w:t>IAS 16</w:t>
      </w:r>
      <w:r w:rsidR="005140C9">
        <w:rPr>
          <w:i/>
          <w:sz w:val="24"/>
          <w:szCs w:val="24"/>
          <w:lang w:val="en-GB"/>
        </w:rPr>
        <w:t>)</w:t>
      </w:r>
      <w:r w:rsidRPr="00085217">
        <w:rPr>
          <w:i/>
          <w:sz w:val="24"/>
          <w:szCs w:val="24"/>
          <w:lang w:val="en-GB"/>
        </w:rPr>
        <w:t xml:space="preserve"> is to prescribe the accounting treatment for property, plant, and equipment</w:t>
      </w:r>
      <w:r w:rsidR="005140C9">
        <w:rPr>
          <w:i/>
          <w:sz w:val="24"/>
          <w:szCs w:val="24"/>
          <w:lang w:val="en-GB"/>
        </w:rPr>
        <w:t xml:space="preserve"> so that users of financial statements can discern information about an entity’s investment in its property, plant and equipment and the changes in such investment</w:t>
      </w:r>
      <w:r w:rsidRPr="00085217">
        <w:rPr>
          <w:i/>
          <w:sz w:val="24"/>
          <w:szCs w:val="24"/>
          <w:lang w:val="en-GB"/>
        </w:rPr>
        <w:t xml:space="preserve">. </w:t>
      </w:r>
      <w:r>
        <w:rPr>
          <w:i/>
          <w:sz w:val="24"/>
          <w:szCs w:val="24"/>
          <w:lang w:val="en-GB"/>
        </w:rPr>
        <w:t>The principal issues are the recognition of assets, the determination of their carrying amounts, and the depreciation charges and impairment losses to be recognised in relation to them.’</w:t>
      </w:r>
    </w:p>
    <w:p w:rsidR="00085217" w:rsidRDefault="00085217" w:rsidP="006E3FF9">
      <w:pPr>
        <w:spacing w:line="360" w:lineRule="auto"/>
        <w:jc w:val="both"/>
        <w:rPr>
          <w:sz w:val="24"/>
          <w:szCs w:val="24"/>
        </w:rPr>
      </w:pPr>
      <w:r>
        <w:rPr>
          <w:sz w:val="24"/>
          <w:szCs w:val="24"/>
        </w:rPr>
        <w:t xml:space="preserve">De IASB beschrijft het doel van IAS 16 als de boekhoudkundige behandeling van </w:t>
      </w:r>
      <w:r w:rsidR="00E01DA4">
        <w:rPr>
          <w:sz w:val="24"/>
          <w:szCs w:val="24"/>
        </w:rPr>
        <w:t>materiële</w:t>
      </w:r>
      <w:r>
        <w:rPr>
          <w:sz w:val="24"/>
          <w:szCs w:val="24"/>
        </w:rPr>
        <w:t xml:space="preserve"> vaste activa</w:t>
      </w:r>
      <w:r w:rsidR="005140C9">
        <w:rPr>
          <w:sz w:val="24"/>
          <w:szCs w:val="24"/>
        </w:rPr>
        <w:t xml:space="preserve"> zodat gebruikers van de jaarrekening onderscheid kunnen maken tussen de investering in </w:t>
      </w:r>
      <w:r w:rsidR="00E01DA4">
        <w:rPr>
          <w:sz w:val="24"/>
          <w:szCs w:val="24"/>
        </w:rPr>
        <w:t>materiële</w:t>
      </w:r>
      <w:r w:rsidR="005140C9">
        <w:rPr>
          <w:sz w:val="24"/>
          <w:szCs w:val="24"/>
        </w:rPr>
        <w:t xml:space="preserve"> vaste activa en de verandering in deze investeringen. De belangrijkste </w:t>
      </w:r>
      <w:proofErr w:type="gramStart"/>
      <w:r w:rsidR="005140C9">
        <w:rPr>
          <w:sz w:val="24"/>
          <w:szCs w:val="24"/>
        </w:rPr>
        <w:t>issues</w:t>
      </w:r>
      <w:proofErr w:type="gramEnd"/>
      <w:r w:rsidR="005140C9">
        <w:rPr>
          <w:sz w:val="24"/>
          <w:szCs w:val="24"/>
        </w:rPr>
        <w:t xml:space="preserve"> zijn dat d</w:t>
      </w:r>
      <w:r>
        <w:rPr>
          <w:sz w:val="24"/>
          <w:szCs w:val="24"/>
        </w:rPr>
        <w:t xml:space="preserve">e opname van </w:t>
      </w:r>
      <w:r w:rsidR="004D1225">
        <w:rPr>
          <w:sz w:val="24"/>
          <w:szCs w:val="24"/>
        </w:rPr>
        <w:t xml:space="preserve">de </w:t>
      </w:r>
      <w:r>
        <w:rPr>
          <w:sz w:val="24"/>
          <w:szCs w:val="24"/>
        </w:rPr>
        <w:t xml:space="preserve">activa, de bepaling van de boekwaardes en de afschrijvingen en bijzondere waardeverminderingsverliezen </w:t>
      </w:r>
      <w:r w:rsidR="004D1225">
        <w:rPr>
          <w:sz w:val="24"/>
          <w:szCs w:val="24"/>
        </w:rPr>
        <w:t>van activa worden opgenomen in de jaarrekening</w:t>
      </w:r>
      <w:r w:rsidR="008A66E0">
        <w:rPr>
          <w:sz w:val="24"/>
          <w:szCs w:val="24"/>
        </w:rPr>
        <w:t xml:space="preserve"> </w:t>
      </w:r>
      <w:sdt>
        <w:sdtPr>
          <w:rPr>
            <w:sz w:val="24"/>
            <w:szCs w:val="24"/>
          </w:rPr>
          <w:id w:val="-662616779"/>
          <w:citation/>
        </w:sdtPr>
        <w:sdtContent>
          <w:r w:rsidR="000C5AB6">
            <w:rPr>
              <w:sz w:val="24"/>
              <w:szCs w:val="24"/>
            </w:rPr>
            <w:fldChar w:fldCharType="begin"/>
          </w:r>
          <w:r w:rsidR="008A66E0">
            <w:rPr>
              <w:sz w:val="24"/>
              <w:szCs w:val="24"/>
            </w:rPr>
            <w:instrText xml:space="preserve">CITATION IFR12 \l 1043 </w:instrText>
          </w:r>
          <w:r w:rsidR="000C5AB6">
            <w:rPr>
              <w:sz w:val="24"/>
              <w:szCs w:val="24"/>
            </w:rPr>
            <w:fldChar w:fldCharType="separate"/>
          </w:r>
          <w:r w:rsidR="00062BB9" w:rsidRPr="00062BB9">
            <w:rPr>
              <w:noProof/>
              <w:sz w:val="24"/>
              <w:szCs w:val="24"/>
            </w:rPr>
            <w:t>(IFRS Foundation, 2012)</w:t>
          </w:r>
          <w:r w:rsidR="000C5AB6">
            <w:rPr>
              <w:sz w:val="24"/>
              <w:szCs w:val="24"/>
            </w:rPr>
            <w:fldChar w:fldCharType="end"/>
          </w:r>
        </w:sdtContent>
      </w:sdt>
      <w:r w:rsidR="004D1225">
        <w:rPr>
          <w:sz w:val="24"/>
          <w:szCs w:val="24"/>
        </w:rPr>
        <w:t>.</w:t>
      </w:r>
      <w:r w:rsidR="00190DEF">
        <w:rPr>
          <w:sz w:val="24"/>
          <w:szCs w:val="24"/>
        </w:rPr>
        <w:t xml:space="preserve"> Bovenstaande opsomming zal nader worden behandeld </w:t>
      </w:r>
      <w:r w:rsidR="008A66E0">
        <w:rPr>
          <w:sz w:val="24"/>
          <w:szCs w:val="24"/>
        </w:rPr>
        <w:t>tijdens</w:t>
      </w:r>
      <w:r w:rsidR="00190DEF">
        <w:rPr>
          <w:sz w:val="24"/>
          <w:szCs w:val="24"/>
        </w:rPr>
        <w:t xml:space="preserve"> dit hoofdstuk.</w:t>
      </w:r>
    </w:p>
    <w:p w:rsidR="008A66E0" w:rsidRPr="008727C9" w:rsidRDefault="00E01DA4" w:rsidP="006E3FF9">
      <w:pPr>
        <w:spacing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Materiële</w:t>
      </w:r>
      <w:r w:rsidR="00D47D18" w:rsidRPr="008727C9">
        <w:rPr>
          <w:rFonts w:eastAsia="Times New Roman" w:cs="Times New Roman"/>
          <w:color w:val="222222"/>
          <w:sz w:val="24"/>
          <w:szCs w:val="24"/>
          <w:lang w:eastAsia="en-GB"/>
        </w:rPr>
        <w:t xml:space="preserve"> vaste activa zijn activa die worden aangehouden voor gebruik in productie of levering van goederen of diensten, verhuur aan derden, of voor bestuurlijke doeleinden én </w:t>
      </w:r>
      <w:r w:rsidR="00D47D18" w:rsidRPr="008727C9">
        <w:rPr>
          <w:rFonts w:eastAsia="Times New Roman" w:cs="Times New Roman"/>
          <w:color w:val="222222"/>
          <w:sz w:val="24"/>
          <w:szCs w:val="24"/>
          <w:lang w:eastAsia="en-GB"/>
        </w:rPr>
        <w:lastRenderedPageBreak/>
        <w:t>waarvan men verwacht dat ze de uitoefening van de werkzaamheden van de rechtspersoon duurzaam</w:t>
      </w:r>
      <w:r w:rsidR="00D47D18" w:rsidRPr="008727C9">
        <w:rPr>
          <w:rStyle w:val="FootnoteReference"/>
          <w:rFonts w:eastAsia="Times New Roman" w:cs="Times New Roman"/>
          <w:color w:val="222222"/>
          <w:sz w:val="24"/>
          <w:szCs w:val="24"/>
          <w:lang w:eastAsia="en-GB"/>
        </w:rPr>
        <w:footnoteReference w:id="3"/>
      </w:r>
      <w:r w:rsidR="00D47D18" w:rsidRPr="008727C9">
        <w:rPr>
          <w:rFonts w:eastAsia="Times New Roman" w:cs="Times New Roman"/>
          <w:color w:val="222222"/>
          <w:sz w:val="24"/>
          <w:szCs w:val="24"/>
          <w:lang w:eastAsia="en-GB"/>
        </w:rPr>
        <w:t xml:space="preserve"> dienen. In tegenstelling tot de RJ eist IFRS geen standaardindeling voor de verschillende categorieën van de </w:t>
      </w:r>
      <w:r>
        <w:rPr>
          <w:rFonts w:eastAsia="Times New Roman" w:cs="Times New Roman"/>
          <w:color w:val="222222"/>
          <w:sz w:val="24"/>
          <w:szCs w:val="24"/>
          <w:lang w:eastAsia="en-GB"/>
        </w:rPr>
        <w:t>materiële</w:t>
      </w:r>
      <w:r w:rsidR="00D47D18" w:rsidRPr="008727C9">
        <w:rPr>
          <w:rFonts w:eastAsia="Times New Roman" w:cs="Times New Roman"/>
          <w:color w:val="222222"/>
          <w:sz w:val="24"/>
          <w:szCs w:val="24"/>
          <w:lang w:eastAsia="en-GB"/>
        </w:rPr>
        <w:t xml:space="preserve"> vaste activa</w:t>
      </w:r>
      <w:proofErr w:type="gramStart"/>
      <w:r w:rsidR="00292039" w:rsidRPr="008727C9">
        <w:rPr>
          <w:rFonts w:eastAsia="Times New Roman" w:cs="Times New Roman"/>
          <w:color w:val="222222"/>
          <w:sz w:val="24"/>
          <w:szCs w:val="24"/>
          <w:lang w:eastAsia="en-GB"/>
        </w:rPr>
        <w:t>, wat</w:t>
      </w:r>
      <w:proofErr w:type="gramEnd"/>
      <w:r w:rsidR="00292039" w:rsidRPr="008727C9">
        <w:rPr>
          <w:rFonts w:eastAsia="Times New Roman" w:cs="Times New Roman"/>
          <w:color w:val="222222"/>
          <w:sz w:val="24"/>
          <w:szCs w:val="24"/>
          <w:lang w:eastAsia="en-GB"/>
        </w:rPr>
        <w:t xml:space="preserve"> de Nederlandse wetgeving wat de presentatie betreft strikter maakt. E</w:t>
      </w:r>
      <w:r w:rsidR="00D47D18" w:rsidRPr="008727C9">
        <w:rPr>
          <w:rFonts w:eastAsia="Times New Roman" w:cs="Times New Roman"/>
          <w:color w:val="222222"/>
          <w:sz w:val="24"/>
          <w:szCs w:val="24"/>
          <w:lang w:eastAsia="en-GB"/>
        </w:rPr>
        <w:t>chter</w:t>
      </w:r>
      <w:r w:rsidR="00292039" w:rsidRPr="008727C9">
        <w:rPr>
          <w:rFonts w:eastAsia="Times New Roman" w:cs="Times New Roman"/>
          <w:color w:val="222222"/>
          <w:sz w:val="24"/>
          <w:szCs w:val="24"/>
          <w:lang w:eastAsia="en-GB"/>
        </w:rPr>
        <w:t>,</w:t>
      </w:r>
      <w:r w:rsidR="00D47D18" w:rsidRPr="008727C9">
        <w:rPr>
          <w:rFonts w:eastAsia="Times New Roman" w:cs="Times New Roman"/>
          <w:color w:val="222222"/>
          <w:sz w:val="24"/>
          <w:szCs w:val="24"/>
          <w:lang w:eastAsia="en-GB"/>
        </w:rPr>
        <w:t xml:space="preserve"> IFRS</w:t>
      </w:r>
      <w:r w:rsidR="00292039" w:rsidRPr="008727C9">
        <w:rPr>
          <w:rFonts w:eastAsia="Times New Roman" w:cs="Times New Roman"/>
          <w:color w:val="222222"/>
          <w:sz w:val="24"/>
          <w:szCs w:val="24"/>
          <w:lang w:eastAsia="en-GB"/>
        </w:rPr>
        <w:t xml:space="preserve"> vraagt</w:t>
      </w:r>
      <w:r w:rsidR="00D47D18" w:rsidRPr="008727C9">
        <w:rPr>
          <w:rFonts w:eastAsia="Times New Roman" w:cs="Times New Roman"/>
          <w:color w:val="222222"/>
          <w:sz w:val="24"/>
          <w:szCs w:val="24"/>
          <w:lang w:eastAsia="en-GB"/>
        </w:rPr>
        <w:t xml:space="preserve"> wel </w:t>
      </w:r>
      <w:r w:rsidR="00514AF0" w:rsidRPr="008727C9">
        <w:rPr>
          <w:rFonts w:eastAsia="Times New Roman" w:cs="Times New Roman"/>
          <w:color w:val="222222"/>
          <w:sz w:val="24"/>
          <w:szCs w:val="24"/>
          <w:lang w:eastAsia="en-GB"/>
        </w:rPr>
        <w:t xml:space="preserve">om een voorschrift voor de uitsplitsing in categorieën in de toelichting op te nemen. </w:t>
      </w:r>
      <w:r w:rsidR="00D47D18" w:rsidRPr="008727C9">
        <w:rPr>
          <w:rFonts w:eastAsia="Times New Roman" w:cs="Times New Roman"/>
          <w:color w:val="222222"/>
          <w:sz w:val="24"/>
          <w:szCs w:val="24"/>
          <w:lang w:eastAsia="en-GB"/>
        </w:rPr>
        <w:t xml:space="preserve">Een categorie wordt gedefinieerd als een groep activa gelijksoortig in aard en gebruik door de entiteit </w:t>
      </w:r>
      <w:sdt>
        <w:sdtPr>
          <w:rPr>
            <w:rFonts w:eastAsia="Times New Roman" w:cs="Times New Roman"/>
            <w:color w:val="222222"/>
            <w:sz w:val="24"/>
            <w:szCs w:val="24"/>
            <w:lang w:eastAsia="en-GB"/>
          </w:rPr>
          <w:id w:val="629977138"/>
          <w:citation/>
        </w:sdtPr>
        <w:sdtContent>
          <w:r w:rsidR="000C5AB6" w:rsidRPr="008727C9">
            <w:rPr>
              <w:rFonts w:eastAsia="Times New Roman" w:cs="Times New Roman"/>
              <w:color w:val="222222"/>
              <w:sz w:val="24"/>
              <w:szCs w:val="24"/>
              <w:lang w:eastAsia="en-GB"/>
            </w:rPr>
            <w:fldChar w:fldCharType="begin"/>
          </w:r>
          <w:r w:rsidR="00D47D18" w:rsidRPr="008727C9">
            <w:rPr>
              <w:rFonts w:eastAsia="Times New Roman" w:cs="Times New Roman"/>
              <w:color w:val="222222"/>
              <w:sz w:val="24"/>
              <w:szCs w:val="24"/>
              <w:lang w:eastAsia="en-GB"/>
            </w:rPr>
            <w:instrText xml:space="preserve"> CITATION Böh14 \l 1043 </w:instrText>
          </w:r>
          <w:r w:rsidR="000C5AB6" w:rsidRPr="008727C9">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(Böhmer, Hoogendoorn, &amp; Kruit, 2014)</w:t>
          </w:r>
          <w:r w:rsidR="000C5AB6" w:rsidRPr="008727C9">
            <w:rPr>
              <w:rFonts w:eastAsia="Times New Roman" w:cs="Times New Roman"/>
              <w:color w:val="222222"/>
              <w:sz w:val="24"/>
              <w:szCs w:val="24"/>
              <w:lang w:eastAsia="en-GB"/>
            </w:rPr>
            <w:fldChar w:fldCharType="end"/>
          </w:r>
        </w:sdtContent>
      </w:sdt>
      <w:r w:rsidR="00D47D18" w:rsidRPr="008727C9">
        <w:rPr>
          <w:rFonts w:eastAsia="Times New Roman" w:cs="Times New Roman"/>
          <w:color w:val="222222"/>
          <w:sz w:val="24"/>
          <w:szCs w:val="24"/>
          <w:lang w:eastAsia="en-GB"/>
        </w:rPr>
        <w:t>. Als voorbeeld geeft IFRS de volgende categorieën</w:t>
      </w:r>
      <w:r w:rsidR="00D47D18" w:rsidRPr="008727C9">
        <w:rPr>
          <w:rStyle w:val="FootnoteReference"/>
          <w:rFonts w:eastAsia="Times New Roman" w:cs="Times New Roman"/>
          <w:color w:val="222222"/>
          <w:sz w:val="24"/>
          <w:szCs w:val="24"/>
          <w:lang w:eastAsia="en-GB"/>
        </w:rPr>
        <w:footnoteReference w:id="4"/>
      </w:r>
      <w:r w:rsidR="00D47D18" w:rsidRPr="008727C9">
        <w:rPr>
          <w:rFonts w:eastAsia="Times New Roman" w:cs="Times New Roman"/>
          <w:color w:val="222222"/>
          <w:sz w:val="24"/>
          <w:szCs w:val="24"/>
          <w:lang w:eastAsia="en-GB"/>
        </w:rPr>
        <w:t>:</w:t>
      </w:r>
    </w:p>
    <w:p w:rsidR="00D47D18" w:rsidRPr="0069112F" w:rsidRDefault="00D47D18" w:rsidP="00514AF0">
      <w:pPr>
        <w:pStyle w:val="ListParagraph"/>
        <w:numPr>
          <w:ilvl w:val="0"/>
          <w:numId w:val="1"/>
        </w:numPr>
        <w:spacing w:line="276" w:lineRule="auto"/>
        <w:jc w:val="both"/>
        <w:rPr>
          <w:sz w:val="24"/>
          <w:szCs w:val="24"/>
        </w:rPr>
      </w:pPr>
      <w:r w:rsidRPr="0069112F">
        <w:rPr>
          <w:sz w:val="24"/>
          <w:szCs w:val="24"/>
        </w:rPr>
        <w:t>grond (onbebouwd)</w:t>
      </w:r>
      <w:r w:rsidR="00514AF0" w:rsidRPr="0069112F">
        <w:rPr>
          <w:sz w:val="24"/>
          <w:szCs w:val="24"/>
        </w:rPr>
        <w:t>;</w:t>
      </w:r>
    </w:p>
    <w:p w:rsidR="00D47D18" w:rsidRPr="0069112F" w:rsidRDefault="00514AF0" w:rsidP="00514AF0">
      <w:pPr>
        <w:pStyle w:val="ListParagraph"/>
        <w:numPr>
          <w:ilvl w:val="0"/>
          <w:numId w:val="1"/>
        </w:numPr>
        <w:spacing w:line="276" w:lineRule="auto"/>
        <w:jc w:val="both"/>
        <w:rPr>
          <w:sz w:val="24"/>
          <w:szCs w:val="24"/>
        </w:rPr>
      </w:pPr>
      <w:r w:rsidRPr="0069112F">
        <w:rPr>
          <w:sz w:val="24"/>
          <w:szCs w:val="24"/>
        </w:rPr>
        <w:t>g</w:t>
      </w:r>
      <w:r w:rsidR="00D47D18" w:rsidRPr="0069112F">
        <w:rPr>
          <w:sz w:val="24"/>
          <w:szCs w:val="24"/>
        </w:rPr>
        <w:t>rond en gebouwen</w:t>
      </w:r>
      <w:r w:rsidRPr="0069112F">
        <w:rPr>
          <w:sz w:val="24"/>
          <w:szCs w:val="24"/>
        </w:rPr>
        <w:t>;</w:t>
      </w:r>
    </w:p>
    <w:p w:rsidR="00D47D18" w:rsidRPr="0069112F" w:rsidRDefault="00514AF0" w:rsidP="00514AF0">
      <w:pPr>
        <w:pStyle w:val="ListParagraph"/>
        <w:numPr>
          <w:ilvl w:val="0"/>
          <w:numId w:val="1"/>
        </w:numPr>
        <w:spacing w:line="276" w:lineRule="auto"/>
        <w:jc w:val="both"/>
        <w:rPr>
          <w:sz w:val="24"/>
          <w:szCs w:val="24"/>
        </w:rPr>
      </w:pPr>
      <w:r w:rsidRPr="0069112F">
        <w:rPr>
          <w:sz w:val="24"/>
          <w:szCs w:val="24"/>
        </w:rPr>
        <w:t>m</w:t>
      </w:r>
      <w:r w:rsidR="00D47D18" w:rsidRPr="0069112F">
        <w:rPr>
          <w:sz w:val="24"/>
          <w:szCs w:val="24"/>
        </w:rPr>
        <w:t>ach</w:t>
      </w:r>
      <w:r w:rsidRPr="0069112F">
        <w:rPr>
          <w:sz w:val="24"/>
          <w:szCs w:val="24"/>
        </w:rPr>
        <w:t>ines en installaties;</w:t>
      </w:r>
    </w:p>
    <w:p w:rsidR="00514AF0" w:rsidRPr="0069112F" w:rsidRDefault="00514AF0" w:rsidP="00514AF0">
      <w:pPr>
        <w:pStyle w:val="ListParagraph"/>
        <w:numPr>
          <w:ilvl w:val="0"/>
          <w:numId w:val="1"/>
        </w:numPr>
        <w:spacing w:line="276" w:lineRule="auto"/>
        <w:jc w:val="both"/>
        <w:rPr>
          <w:sz w:val="24"/>
          <w:szCs w:val="24"/>
        </w:rPr>
      </w:pPr>
      <w:r w:rsidRPr="0069112F">
        <w:rPr>
          <w:sz w:val="24"/>
          <w:szCs w:val="24"/>
        </w:rPr>
        <w:t>schepen;</w:t>
      </w:r>
    </w:p>
    <w:p w:rsidR="00514AF0" w:rsidRPr="0069112F" w:rsidRDefault="00514AF0" w:rsidP="00514AF0">
      <w:pPr>
        <w:pStyle w:val="ListParagraph"/>
        <w:numPr>
          <w:ilvl w:val="0"/>
          <w:numId w:val="1"/>
        </w:numPr>
        <w:spacing w:line="276" w:lineRule="auto"/>
        <w:jc w:val="both"/>
        <w:rPr>
          <w:sz w:val="24"/>
          <w:szCs w:val="24"/>
        </w:rPr>
      </w:pPr>
      <w:r w:rsidRPr="0069112F">
        <w:rPr>
          <w:sz w:val="24"/>
          <w:szCs w:val="24"/>
        </w:rPr>
        <w:t>vliegtuigen;</w:t>
      </w:r>
    </w:p>
    <w:p w:rsidR="00514AF0" w:rsidRPr="0069112F" w:rsidRDefault="00514AF0" w:rsidP="00514AF0">
      <w:pPr>
        <w:pStyle w:val="ListParagraph"/>
        <w:numPr>
          <w:ilvl w:val="0"/>
          <w:numId w:val="1"/>
        </w:numPr>
        <w:spacing w:line="276" w:lineRule="auto"/>
        <w:jc w:val="both"/>
        <w:rPr>
          <w:sz w:val="24"/>
          <w:szCs w:val="24"/>
        </w:rPr>
      </w:pPr>
      <w:r w:rsidRPr="0069112F">
        <w:rPr>
          <w:sz w:val="24"/>
          <w:szCs w:val="24"/>
        </w:rPr>
        <w:t>motorrijtuigen;</w:t>
      </w:r>
    </w:p>
    <w:p w:rsidR="00514AF0" w:rsidRPr="0069112F" w:rsidRDefault="00514AF0" w:rsidP="00514AF0">
      <w:pPr>
        <w:pStyle w:val="ListParagraph"/>
        <w:numPr>
          <w:ilvl w:val="0"/>
          <w:numId w:val="1"/>
        </w:numPr>
        <w:spacing w:line="276" w:lineRule="auto"/>
        <w:jc w:val="both"/>
        <w:rPr>
          <w:sz w:val="24"/>
          <w:szCs w:val="24"/>
        </w:rPr>
      </w:pPr>
      <w:r w:rsidRPr="0069112F">
        <w:rPr>
          <w:sz w:val="24"/>
          <w:szCs w:val="24"/>
        </w:rPr>
        <w:t>inventaris;</w:t>
      </w:r>
    </w:p>
    <w:p w:rsidR="00514AF0" w:rsidRDefault="0069112F" w:rsidP="00514AF0">
      <w:pPr>
        <w:pStyle w:val="ListParagraph"/>
        <w:numPr>
          <w:ilvl w:val="0"/>
          <w:numId w:val="1"/>
        </w:numPr>
        <w:spacing w:line="276" w:lineRule="auto"/>
        <w:jc w:val="both"/>
        <w:rPr>
          <w:sz w:val="24"/>
          <w:szCs w:val="24"/>
        </w:rPr>
      </w:pPr>
      <w:r w:rsidRPr="0069112F">
        <w:rPr>
          <w:sz w:val="24"/>
          <w:szCs w:val="24"/>
        </w:rPr>
        <w:t>administratieve uitrusting.</w:t>
      </w:r>
    </w:p>
    <w:p w:rsidR="00C36FCD" w:rsidRPr="00C36FCD" w:rsidRDefault="00C36FCD" w:rsidP="006C38E6">
      <w:pPr>
        <w:spacing w:line="360" w:lineRule="auto"/>
        <w:jc w:val="both"/>
        <w:rPr>
          <w:sz w:val="24"/>
          <w:szCs w:val="24"/>
        </w:rPr>
      </w:pPr>
      <w:r>
        <w:rPr>
          <w:sz w:val="24"/>
          <w:szCs w:val="24"/>
        </w:rPr>
        <w:t xml:space="preserve">Met betrekking tot de reserveonderdelen ontstaat regelmatig </w:t>
      </w:r>
      <w:r w:rsidR="00AE74A6">
        <w:rPr>
          <w:sz w:val="24"/>
          <w:szCs w:val="24"/>
        </w:rPr>
        <w:t>twijfel</w:t>
      </w:r>
      <w:r>
        <w:rPr>
          <w:sz w:val="24"/>
          <w:szCs w:val="24"/>
        </w:rPr>
        <w:t xml:space="preserve"> </w:t>
      </w:r>
      <w:r w:rsidR="00AE74A6">
        <w:rPr>
          <w:sz w:val="24"/>
          <w:szCs w:val="24"/>
        </w:rPr>
        <w:t>over het feit of</w:t>
      </w:r>
      <w:r>
        <w:rPr>
          <w:sz w:val="24"/>
          <w:szCs w:val="24"/>
        </w:rPr>
        <w:t xml:space="preserve"> die onder voorraden vallen of onder </w:t>
      </w:r>
      <w:r w:rsidR="00E01DA4">
        <w:rPr>
          <w:sz w:val="24"/>
          <w:szCs w:val="24"/>
        </w:rPr>
        <w:t>materiële</w:t>
      </w:r>
      <w:r>
        <w:rPr>
          <w:sz w:val="24"/>
          <w:szCs w:val="24"/>
        </w:rPr>
        <w:t xml:space="preserve"> vaste activa. IFRS heeft hier altijd slecht kort aandacht aan besteed, zonder strikte afbakening van het begrip. De reserveonderdelen met een korte doorlooptijd lijken bij de voorraden te horen, terwijl de grotere reserveonderdelen bij de </w:t>
      </w:r>
      <w:r w:rsidR="00E01DA4">
        <w:rPr>
          <w:sz w:val="24"/>
          <w:szCs w:val="24"/>
        </w:rPr>
        <w:t>materiële</w:t>
      </w:r>
      <w:r>
        <w:rPr>
          <w:sz w:val="24"/>
          <w:szCs w:val="24"/>
        </w:rPr>
        <w:t xml:space="preserve"> vaste activa worden gevoegd</w:t>
      </w:r>
      <w:r w:rsidR="00C57A08">
        <w:rPr>
          <w:sz w:val="24"/>
          <w:szCs w:val="24"/>
        </w:rPr>
        <w:t xml:space="preserve"> </w:t>
      </w:r>
      <w:sdt>
        <w:sdtPr>
          <w:rPr>
            <w:sz w:val="24"/>
            <w:szCs w:val="24"/>
          </w:rPr>
          <w:id w:val="-924414631"/>
          <w:citation/>
        </w:sdtPr>
        <w:sdtContent>
          <w:r w:rsidR="000C5AB6">
            <w:rPr>
              <w:sz w:val="24"/>
              <w:szCs w:val="24"/>
            </w:rPr>
            <w:fldChar w:fldCharType="begin"/>
          </w:r>
          <w:r w:rsidR="00C57A08">
            <w:rPr>
              <w:sz w:val="24"/>
              <w:szCs w:val="24"/>
            </w:rPr>
            <w:instrText xml:space="preserve"> CITATION BDO09 \l 1043 </w:instrText>
          </w:r>
          <w:r w:rsidR="000C5AB6">
            <w:rPr>
              <w:sz w:val="24"/>
              <w:szCs w:val="24"/>
            </w:rPr>
            <w:fldChar w:fldCharType="separate"/>
          </w:r>
          <w:r w:rsidR="00062BB9" w:rsidRPr="00062BB9">
            <w:rPr>
              <w:noProof/>
              <w:sz w:val="24"/>
              <w:szCs w:val="24"/>
            </w:rPr>
            <w:t>(BDO accountants, 2009)</w:t>
          </w:r>
          <w:r w:rsidR="000C5AB6">
            <w:rPr>
              <w:sz w:val="24"/>
              <w:szCs w:val="24"/>
            </w:rPr>
            <w:fldChar w:fldCharType="end"/>
          </w:r>
        </w:sdtContent>
      </w:sdt>
      <w:r>
        <w:rPr>
          <w:sz w:val="24"/>
          <w:szCs w:val="24"/>
        </w:rPr>
        <w:t xml:space="preserve">. Echter, sinds de verbeteringsronde 2009-2011 en de daarop volgende doorgevoerde wijziging per 1 januari 2013 is de regelgeving duidelijker en strikter geworden </w:t>
      </w:r>
      <w:sdt>
        <w:sdtPr>
          <w:rPr>
            <w:sz w:val="24"/>
            <w:szCs w:val="24"/>
          </w:rPr>
          <w:id w:val="-1843933836"/>
          <w:citation/>
        </w:sdtPr>
        <w:sdtContent>
          <w:r w:rsidR="000C5AB6">
            <w:rPr>
              <w:sz w:val="24"/>
              <w:szCs w:val="24"/>
            </w:rPr>
            <w:fldChar w:fldCharType="begin"/>
          </w:r>
          <w:r>
            <w:rPr>
              <w:sz w:val="24"/>
              <w:szCs w:val="24"/>
            </w:rPr>
            <w:instrText xml:space="preserve"> CITATION Böh14 \l 1043 </w:instrText>
          </w:r>
          <w:r w:rsidR="000C5AB6">
            <w:rPr>
              <w:sz w:val="24"/>
              <w:szCs w:val="24"/>
            </w:rPr>
            <w:fldChar w:fldCharType="separate"/>
          </w:r>
          <w:r w:rsidR="00062BB9" w:rsidRPr="00062BB9">
            <w:rPr>
              <w:noProof/>
              <w:sz w:val="24"/>
              <w:szCs w:val="24"/>
            </w:rPr>
            <w:t>(Böhmer, Hoogendoorn, &amp; Kruit, 2014)</w:t>
          </w:r>
          <w:r w:rsidR="000C5AB6">
            <w:rPr>
              <w:sz w:val="24"/>
              <w:szCs w:val="24"/>
            </w:rPr>
            <w:fldChar w:fldCharType="end"/>
          </w:r>
        </w:sdtContent>
      </w:sdt>
      <w:r>
        <w:rPr>
          <w:sz w:val="24"/>
          <w:szCs w:val="24"/>
        </w:rPr>
        <w:t>.</w:t>
      </w:r>
    </w:p>
    <w:p w:rsidR="0082361F" w:rsidRPr="0082361F" w:rsidRDefault="00776867" w:rsidP="0082361F">
      <w:pPr>
        <w:pStyle w:val="Heading3"/>
        <w:rPr>
          <w:sz w:val="28"/>
        </w:rPr>
      </w:pPr>
      <w:bookmarkStart w:id="5" w:name="_Toc425516471"/>
      <w:r>
        <w:rPr>
          <w:sz w:val="28"/>
        </w:rPr>
        <w:t>2</w:t>
      </w:r>
      <w:r w:rsidR="0082361F" w:rsidRPr="0082361F">
        <w:rPr>
          <w:sz w:val="28"/>
        </w:rPr>
        <w:t>.2.1</w:t>
      </w:r>
      <w:r w:rsidR="004F3637">
        <w:rPr>
          <w:sz w:val="28"/>
        </w:rPr>
        <w:t>.</w:t>
      </w:r>
      <w:r w:rsidR="0082361F" w:rsidRPr="0082361F">
        <w:rPr>
          <w:sz w:val="28"/>
        </w:rPr>
        <w:t xml:space="preserve"> Algemene activeringscriteria</w:t>
      </w:r>
      <w:bookmarkEnd w:id="5"/>
    </w:p>
    <w:p w:rsidR="00292039" w:rsidRDefault="000D79D3" w:rsidP="00514AF0">
      <w:pPr>
        <w:spacing w:line="360" w:lineRule="auto"/>
        <w:jc w:val="both"/>
        <w:rPr>
          <w:sz w:val="24"/>
          <w:szCs w:val="24"/>
        </w:rPr>
      </w:pPr>
      <w:r>
        <w:rPr>
          <w:sz w:val="24"/>
          <w:szCs w:val="24"/>
        </w:rPr>
        <w:t xml:space="preserve">Volgens IAS 16.7 wordt er overgegaan tot activering van </w:t>
      </w:r>
      <w:r w:rsidR="00E01DA4">
        <w:rPr>
          <w:sz w:val="24"/>
          <w:szCs w:val="24"/>
        </w:rPr>
        <w:t>materiële</w:t>
      </w:r>
      <w:r>
        <w:rPr>
          <w:sz w:val="24"/>
          <w:szCs w:val="24"/>
        </w:rPr>
        <w:t xml:space="preserve"> vaste activa indien het </w:t>
      </w:r>
      <w:r w:rsidRPr="000D79D3">
        <w:rPr>
          <w:i/>
          <w:sz w:val="24"/>
          <w:szCs w:val="24"/>
        </w:rPr>
        <w:t>waarschijnlijk</w:t>
      </w:r>
      <w:r>
        <w:rPr>
          <w:sz w:val="24"/>
          <w:szCs w:val="24"/>
        </w:rPr>
        <w:t xml:space="preserve"> is dat:</w:t>
      </w:r>
    </w:p>
    <w:p w:rsidR="000D79D3" w:rsidRDefault="000D79D3" w:rsidP="000D79D3">
      <w:pPr>
        <w:pStyle w:val="ListParagraph"/>
        <w:numPr>
          <w:ilvl w:val="0"/>
          <w:numId w:val="2"/>
        </w:numPr>
        <w:spacing w:line="276" w:lineRule="auto"/>
        <w:jc w:val="both"/>
        <w:rPr>
          <w:sz w:val="24"/>
          <w:szCs w:val="24"/>
        </w:rPr>
      </w:pPr>
      <w:r>
        <w:rPr>
          <w:sz w:val="24"/>
          <w:szCs w:val="24"/>
        </w:rPr>
        <w:t>de toekomstige prestatie-eenheden met betrekking tot het actief zullen toevloeien naar de rechtspersoon; en</w:t>
      </w:r>
    </w:p>
    <w:p w:rsidR="000D79D3" w:rsidRDefault="000D79D3" w:rsidP="000D79D3">
      <w:pPr>
        <w:pStyle w:val="ListParagraph"/>
        <w:numPr>
          <w:ilvl w:val="0"/>
          <w:numId w:val="2"/>
        </w:numPr>
        <w:spacing w:line="276" w:lineRule="auto"/>
        <w:jc w:val="both"/>
        <w:rPr>
          <w:sz w:val="24"/>
          <w:szCs w:val="24"/>
        </w:rPr>
      </w:pPr>
      <w:r>
        <w:rPr>
          <w:sz w:val="24"/>
          <w:szCs w:val="24"/>
        </w:rPr>
        <w:t>waarvan voorts de kosten op betrouwbare wijze kunnen worden vastgesteld.</w:t>
      </w:r>
    </w:p>
    <w:p w:rsidR="00CC1ABB" w:rsidRDefault="0069112F" w:rsidP="0082361F">
      <w:pPr>
        <w:spacing w:line="360" w:lineRule="auto"/>
        <w:jc w:val="both"/>
        <w:rPr>
          <w:sz w:val="24"/>
          <w:szCs w:val="24"/>
        </w:rPr>
      </w:pPr>
      <w:r>
        <w:rPr>
          <w:sz w:val="24"/>
          <w:szCs w:val="24"/>
        </w:rPr>
        <w:t xml:space="preserve">Er is in </w:t>
      </w:r>
      <w:proofErr w:type="gramStart"/>
      <w:r>
        <w:rPr>
          <w:sz w:val="24"/>
          <w:szCs w:val="24"/>
        </w:rPr>
        <w:t>het</w:t>
      </w:r>
      <w:proofErr w:type="gramEnd"/>
      <w:r>
        <w:rPr>
          <w:sz w:val="24"/>
          <w:szCs w:val="24"/>
        </w:rPr>
        <w:t xml:space="preserve"> algemeen sprake van een waarschijnlijk economisch voordeel indien de kans op dit voordeel groter is dan 50 procent (‘</w:t>
      </w:r>
      <w:r>
        <w:rPr>
          <w:i/>
          <w:sz w:val="24"/>
          <w:szCs w:val="24"/>
        </w:rPr>
        <w:t xml:space="preserve">More </w:t>
      </w:r>
      <w:proofErr w:type="spellStart"/>
      <w:r>
        <w:rPr>
          <w:i/>
          <w:sz w:val="24"/>
          <w:szCs w:val="24"/>
        </w:rPr>
        <w:t>likely</w:t>
      </w:r>
      <w:proofErr w:type="spellEnd"/>
      <w:r>
        <w:rPr>
          <w:i/>
          <w:sz w:val="24"/>
          <w:szCs w:val="24"/>
        </w:rPr>
        <w:t xml:space="preserve"> </w:t>
      </w:r>
      <w:proofErr w:type="spellStart"/>
      <w:r>
        <w:rPr>
          <w:i/>
          <w:sz w:val="24"/>
          <w:szCs w:val="24"/>
        </w:rPr>
        <w:t>than</w:t>
      </w:r>
      <w:proofErr w:type="spellEnd"/>
      <w:r>
        <w:rPr>
          <w:i/>
          <w:sz w:val="24"/>
          <w:szCs w:val="24"/>
        </w:rPr>
        <w:t xml:space="preserve"> </w:t>
      </w:r>
      <w:proofErr w:type="spellStart"/>
      <w:r>
        <w:rPr>
          <w:i/>
          <w:sz w:val="24"/>
          <w:szCs w:val="24"/>
        </w:rPr>
        <w:t>not</w:t>
      </w:r>
      <w:proofErr w:type="spellEnd"/>
      <w:r>
        <w:rPr>
          <w:i/>
          <w:sz w:val="24"/>
          <w:szCs w:val="24"/>
        </w:rPr>
        <w:t>’</w:t>
      </w:r>
      <w:r>
        <w:rPr>
          <w:sz w:val="24"/>
          <w:szCs w:val="24"/>
        </w:rPr>
        <w:t xml:space="preserve">) </w:t>
      </w:r>
      <w:sdt>
        <w:sdtPr>
          <w:rPr>
            <w:sz w:val="24"/>
            <w:szCs w:val="24"/>
          </w:rPr>
          <w:id w:val="-1972429739"/>
          <w:citation/>
        </w:sdtPr>
        <w:sdtContent>
          <w:r w:rsidR="000C5AB6">
            <w:rPr>
              <w:sz w:val="24"/>
              <w:szCs w:val="24"/>
            </w:rPr>
            <w:fldChar w:fldCharType="begin"/>
          </w:r>
          <w:r w:rsidR="000D79D3">
            <w:rPr>
              <w:sz w:val="24"/>
              <w:szCs w:val="24"/>
            </w:rPr>
            <w:instrText xml:space="preserve"> CITATION IAS14 \l 1043 </w:instrText>
          </w:r>
          <w:r w:rsidR="000C5AB6">
            <w:rPr>
              <w:sz w:val="24"/>
              <w:szCs w:val="24"/>
            </w:rPr>
            <w:fldChar w:fldCharType="separate"/>
          </w:r>
          <w:r w:rsidR="00062BB9" w:rsidRPr="00062BB9">
            <w:rPr>
              <w:noProof/>
              <w:sz w:val="24"/>
              <w:szCs w:val="24"/>
            </w:rPr>
            <w:t>(IASplus, 2014)</w:t>
          </w:r>
          <w:r w:rsidR="000C5AB6">
            <w:rPr>
              <w:sz w:val="24"/>
              <w:szCs w:val="24"/>
            </w:rPr>
            <w:fldChar w:fldCharType="end"/>
          </w:r>
        </w:sdtContent>
      </w:sdt>
      <w:r w:rsidR="000D79D3">
        <w:rPr>
          <w:sz w:val="24"/>
          <w:szCs w:val="24"/>
        </w:rPr>
        <w:t>.</w:t>
      </w:r>
      <w:r w:rsidR="00AF5E17">
        <w:rPr>
          <w:sz w:val="24"/>
          <w:szCs w:val="24"/>
        </w:rPr>
        <w:t xml:space="preserve"> </w:t>
      </w:r>
      <w:r>
        <w:rPr>
          <w:sz w:val="24"/>
          <w:szCs w:val="24"/>
        </w:rPr>
        <w:t xml:space="preserve">Deze </w:t>
      </w:r>
      <w:r>
        <w:rPr>
          <w:sz w:val="24"/>
          <w:szCs w:val="24"/>
        </w:rPr>
        <w:lastRenderedPageBreak/>
        <w:t xml:space="preserve">schattingen worden gemaakt op basis van de beschikbare gegevens ten tijde van het opmaken van de jaarrekening. </w:t>
      </w:r>
      <w:r w:rsidR="00CC1ABB">
        <w:rPr>
          <w:sz w:val="24"/>
          <w:szCs w:val="24"/>
        </w:rPr>
        <w:t>Ter aanvulling op het algemene uitgangspunt komt het criterium dat dat uitgaven ná de eerste investering verplicht moeten leiden tot een verbetering van het oorspronkelijke prestatievermogen van het actief, te vervallen</w:t>
      </w:r>
      <w:r w:rsidR="00121902">
        <w:rPr>
          <w:rStyle w:val="FootnoteReference"/>
          <w:sz w:val="24"/>
          <w:szCs w:val="24"/>
        </w:rPr>
        <w:footnoteReference w:id="5"/>
      </w:r>
      <w:r w:rsidR="00CC1ABB">
        <w:rPr>
          <w:sz w:val="24"/>
          <w:szCs w:val="24"/>
        </w:rPr>
        <w:t>. Echter moeten deze uitgaven wel leiden tot een handhaving van het oorspronkelijke prestatievermogen van dat actief.</w:t>
      </w:r>
      <w:r w:rsidR="00AA079B">
        <w:rPr>
          <w:sz w:val="24"/>
          <w:szCs w:val="24"/>
        </w:rPr>
        <w:t xml:space="preserve"> Dit is in lijn met de componentenbenadering, waarbij tevens uitgaven die zorgen voor de handhaving van het oorspronkelijke prestatievermogen in aanmerking komen tot activering. </w:t>
      </w:r>
      <w:r w:rsidR="007867FA">
        <w:rPr>
          <w:sz w:val="24"/>
          <w:szCs w:val="24"/>
        </w:rPr>
        <w:t xml:space="preserve">In dit geval zullen uitgaven voor groot onderhoud onderdeel zijn van de te activeren bedragen. </w:t>
      </w:r>
      <w:r w:rsidR="00AA079B">
        <w:rPr>
          <w:sz w:val="24"/>
          <w:szCs w:val="24"/>
        </w:rPr>
        <w:t>D</w:t>
      </w:r>
      <w:r w:rsidR="007867FA">
        <w:rPr>
          <w:sz w:val="24"/>
          <w:szCs w:val="24"/>
        </w:rPr>
        <w:t xml:space="preserve">eze componentenbenadering </w:t>
      </w:r>
      <w:r w:rsidR="0082361F">
        <w:rPr>
          <w:sz w:val="24"/>
          <w:szCs w:val="24"/>
        </w:rPr>
        <w:t>wordt</w:t>
      </w:r>
      <w:r w:rsidR="007867FA">
        <w:rPr>
          <w:sz w:val="24"/>
          <w:szCs w:val="24"/>
        </w:rPr>
        <w:t xml:space="preserve"> later na</w:t>
      </w:r>
      <w:r w:rsidR="00AA079B">
        <w:rPr>
          <w:sz w:val="24"/>
          <w:szCs w:val="24"/>
        </w:rPr>
        <w:t xml:space="preserve">der uitgelegd tijdens de resultaatbepaling van </w:t>
      </w:r>
      <w:r w:rsidR="00E01DA4">
        <w:rPr>
          <w:sz w:val="24"/>
          <w:szCs w:val="24"/>
        </w:rPr>
        <w:t>materiële</w:t>
      </w:r>
      <w:r w:rsidR="00AA079B">
        <w:rPr>
          <w:sz w:val="24"/>
          <w:szCs w:val="24"/>
        </w:rPr>
        <w:t xml:space="preserve"> vaste activa</w:t>
      </w:r>
      <w:r w:rsidR="0082361F">
        <w:rPr>
          <w:sz w:val="24"/>
          <w:szCs w:val="24"/>
        </w:rPr>
        <w:t xml:space="preserve"> in paragraaf 1.3.4. Componentenbenadering.</w:t>
      </w:r>
      <w:r w:rsidR="00AA079B">
        <w:rPr>
          <w:sz w:val="24"/>
          <w:szCs w:val="24"/>
        </w:rPr>
        <w:t xml:space="preserve"> </w:t>
      </w:r>
      <w:r w:rsidR="00121902">
        <w:rPr>
          <w:sz w:val="24"/>
          <w:szCs w:val="24"/>
        </w:rPr>
        <w:t>Echter, er bestaat voor IAS 16 (en ook RJ) een wezenlijk verschil tussen ‘groot onderhoud’ en ‘dagelijks onderhoud’. De laatstgenoemde uitgaven dienen opgenomen te worden als exploitatiekosten in de resultatenrekening</w:t>
      </w:r>
      <w:r w:rsidR="00121902">
        <w:rPr>
          <w:rStyle w:val="FootnoteReference"/>
          <w:sz w:val="24"/>
          <w:szCs w:val="24"/>
        </w:rPr>
        <w:footnoteReference w:id="6"/>
      </w:r>
      <w:r w:rsidR="00121902">
        <w:rPr>
          <w:sz w:val="24"/>
          <w:szCs w:val="24"/>
        </w:rPr>
        <w:t xml:space="preserve">. </w:t>
      </w:r>
    </w:p>
    <w:p w:rsidR="0082361F" w:rsidRPr="0082361F" w:rsidRDefault="00776867" w:rsidP="0082361F">
      <w:pPr>
        <w:pStyle w:val="Heading3"/>
        <w:rPr>
          <w:sz w:val="28"/>
        </w:rPr>
      </w:pPr>
      <w:bookmarkStart w:id="6" w:name="_Toc425516472"/>
      <w:r>
        <w:rPr>
          <w:sz w:val="28"/>
        </w:rPr>
        <w:t>2</w:t>
      </w:r>
      <w:r w:rsidR="0082361F" w:rsidRPr="0082361F">
        <w:rPr>
          <w:sz w:val="28"/>
        </w:rPr>
        <w:t>.2.2</w:t>
      </w:r>
      <w:r w:rsidR="004F3637">
        <w:rPr>
          <w:sz w:val="28"/>
        </w:rPr>
        <w:t>.</w:t>
      </w:r>
      <w:r w:rsidR="0082361F" w:rsidRPr="0082361F">
        <w:rPr>
          <w:sz w:val="28"/>
        </w:rPr>
        <w:t xml:space="preserve"> </w:t>
      </w:r>
      <w:proofErr w:type="spellStart"/>
      <w:r w:rsidR="0082361F" w:rsidRPr="0082361F">
        <w:rPr>
          <w:sz w:val="28"/>
        </w:rPr>
        <w:t>Substance</w:t>
      </w:r>
      <w:proofErr w:type="spellEnd"/>
      <w:r w:rsidR="0082361F" w:rsidRPr="0082361F">
        <w:rPr>
          <w:sz w:val="28"/>
        </w:rPr>
        <w:t xml:space="preserve"> over </w:t>
      </w:r>
      <w:proofErr w:type="spellStart"/>
      <w:r w:rsidR="0082361F" w:rsidRPr="0082361F">
        <w:rPr>
          <w:sz w:val="28"/>
        </w:rPr>
        <w:t>form</w:t>
      </w:r>
      <w:bookmarkEnd w:id="6"/>
      <w:proofErr w:type="spellEnd"/>
    </w:p>
    <w:p w:rsidR="00121902" w:rsidRDefault="004B67FF" w:rsidP="0082361F">
      <w:pPr>
        <w:spacing w:line="360" w:lineRule="auto"/>
        <w:jc w:val="both"/>
        <w:rPr>
          <w:sz w:val="24"/>
          <w:szCs w:val="24"/>
        </w:rPr>
      </w:pPr>
      <w:r w:rsidRPr="004B67FF">
        <w:rPr>
          <w:sz w:val="24"/>
          <w:szCs w:val="24"/>
        </w:rPr>
        <w:t xml:space="preserve">In het geval van </w:t>
      </w:r>
      <w:proofErr w:type="spellStart"/>
      <w:r w:rsidRPr="004B67FF">
        <w:rPr>
          <w:i/>
          <w:sz w:val="24"/>
          <w:szCs w:val="24"/>
        </w:rPr>
        <w:t>substance</w:t>
      </w:r>
      <w:proofErr w:type="spellEnd"/>
      <w:r w:rsidRPr="004B67FF">
        <w:rPr>
          <w:i/>
          <w:sz w:val="24"/>
          <w:szCs w:val="24"/>
        </w:rPr>
        <w:t xml:space="preserve"> over </w:t>
      </w:r>
      <w:proofErr w:type="spellStart"/>
      <w:r w:rsidRPr="004B67FF">
        <w:rPr>
          <w:i/>
          <w:sz w:val="24"/>
          <w:szCs w:val="24"/>
        </w:rPr>
        <w:t>form</w:t>
      </w:r>
      <w:proofErr w:type="spellEnd"/>
      <w:r>
        <w:rPr>
          <w:sz w:val="24"/>
          <w:szCs w:val="24"/>
        </w:rPr>
        <w:t xml:space="preserve"> met betrekking </w:t>
      </w:r>
      <w:r w:rsidR="00E01DA4">
        <w:rPr>
          <w:sz w:val="24"/>
          <w:szCs w:val="24"/>
        </w:rPr>
        <w:t>materiële</w:t>
      </w:r>
      <w:r>
        <w:rPr>
          <w:sz w:val="24"/>
          <w:szCs w:val="24"/>
        </w:rPr>
        <w:t xml:space="preserve"> vaste activa dient de economische eigendom doorslaggevend te zijn boven de juridische eigendom voor het al dan niet opnemen van </w:t>
      </w:r>
      <w:r w:rsidR="00E01DA4">
        <w:rPr>
          <w:sz w:val="24"/>
          <w:szCs w:val="24"/>
        </w:rPr>
        <w:t>materiële</w:t>
      </w:r>
      <w:r>
        <w:rPr>
          <w:sz w:val="24"/>
          <w:szCs w:val="24"/>
        </w:rPr>
        <w:t xml:space="preserve"> vaste activa op de balans. De economische eigendom van een actief is in handen van de rechtspersoon indien de economische voor- en nadelen die uit het actief voortvloeien grotendeels voor rekening zijn van de rechtspersoon.</w:t>
      </w:r>
      <w:r w:rsidR="008F45D4">
        <w:rPr>
          <w:sz w:val="24"/>
          <w:szCs w:val="24"/>
        </w:rPr>
        <w:t xml:space="preserve"> In dat geval bezit desbetreffende rechtspersoon tevens de economische beschikkingsmacht over de activa. De uitgaven die ontstaan door de </w:t>
      </w:r>
      <w:r w:rsidR="00E01DA4">
        <w:rPr>
          <w:sz w:val="24"/>
          <w:szCs w:val="24"/>
        </w:rPr>
        <w:t>materiële</w:t>
      </w:r>
      <w:r w:rsidR="008F45D4">
        <w:rPr>
          <w:sz w:val="24"/>
          <w:szCs w:val="24"/>
        </w:rPr>
        <w:t xml:space="preserve"> vaste activa die niet in juridische vorm worden verkregen, dienen in de balans opgenomen te worden indien ze voldoen aan de eerdergenoemde algemene activeringscriteria.</w:t>
      </w:r>
    </w:p>
    <w:p w:rsidR="00AA64BC" w:rsidRDefault="001D3A0B" w:rsidP="0082361F">
      <w:pPr>
        <w:spacing w:line="360" w:lineRule="auto"/>
        <w:jc w:val="both"/>
        <w:rPr>
          <w:sz w:val="24"/>
          <w:szCs w:val="24"/>
        </w:rPr>
      </w:pPr>
      <w:r>
        <w:rPr>
          <w:sz w:val="24"/>
          <w:szCs w:val="24"/>
        </w:rPr>
        <w:t xml:space="preserve">Nu duidelijk is </w:t>
      </w:r>
      <w:r>
        <w:rPr>
          <w:i/>
          <w:sz w:val="24"/>
          <w:szCs w:val="24"/>
        </w:rPr>
        <w:t>wanneer</w:t>
      </w:r>
      <w:r>
        <w:rPr>
          <w:sz w:val="24"/>
          <w:szCs w:val="24"/>
        </w:rPr>
        <w:t xml:space="preserve"> </w:t>
      </w:r>
      <w:r w:rsidR="00E01DA4">
        <w:rPr>
          <w:sz w:val="24"/>
          <w:szCs w:val="24"/>
        </w:rPr>
        <w:t>materiële</w:t>
      </w:r>
      <w:r>
        <w:rPr>
          <w:sz w:val="24"/>
          <w:szCs w:val="24"/>
        </w:rPr>
        <w:t xml:space="preserve"> vaste activa opgenomen dienen te worden op de balans, wordt nu bepaald </w:t>
      </w:r>
      <w:r>
        <w:rPr>
          <w:i/>
          <w:sz w:val="24"/>
          <w:szCs w:val="24"/>
        </w:rPr>
        <w:t xml:space="preserve">welke </w:t>
      </w:r>
      <w:r>
        <w:rPr>
          <w:sz w:val="24"/>
          <w:szCs w:val="24"/>
        </w:rPr>
        <w:t xml:space="preserve">facetten onderdeel dienen te zijn van de kosten voor </w:t>
      </w:r>
      <w:r w:rsidR="00E01DA4">
        <w:rPr>
          <w:sz w:val="24"/>
          <w:szCs w:val="24"/>
        </w:rPr>
        <w:t>materiële</w:t>
      </w:r>
      <w:r>
        <w:rPr>
          <w:sz w:val="24"/>
          <w:szCs w:val="24"/>
        </w:rPr>
        <w:t xml:space="preserve"> vaste activa. </w:t>
      </w:r>
      <w:r w:rsidR="00AA64BC">
        <w:rPr>
          <w:sz w:val="24"/>
          <w:szCs w:val="24"/>
        </w:rPr>
        <w:t>De eerste waardering van een materieel vast actief dient plaats te vinden tegen kostprijs</w:t>
      </w:r>
      <w:r w:rsidR="00AA64BC">
        <w:rPr>
          <w:rStyle w:val="FootnoteReference"/>
          <w:sz w:val="24"/>
          <w:szCs w:val="24"/>
        </w:rPr>
        <w:footnoteReference w:id="7"/>
      </w:r>
      <w:r w:rsidR="00AA64BC">
        <w:rPr>
          <w:sz w:val="24"/>
          <w:szCs w:val="24"/>
        </w:rPr>
        <w:t xml:space="preserve">. De kostprijs van een materieel vast actief bestaat uit de verkrijgingsprijs of </w:t>
      </w:r>
      <w:r w:rsidR="00AA64BC">
        <w:rPr>
          <w:sz w:val="24"/>
          <w:szCs w:val="24"/>
        </w:rPr>
        <w:lastRenderedPageBreak/>
        <w:t>vervaardigingsprijs plus de overige kosten om het actief op zijn plaats en in staat te krijgen die noodzakelijk zijn voor het gebruik van het actief</w:t>
      </w:r>
      <w:r w:rsidR="00AA64BC">
        <w:rPr>
          <w:rStyle w:val="FootnoteReference"/>
          <w:sz w:val="24"/>
          <w:szCs w:val="24"/>
        </w:rPr>
        <w:footnoteReference w:id="8"/>
      </w:r>
      <w:r w:rsidR="00AA64BC">
        <w:rPr>
          <w:sz w:val="24"/>
          <w:szCs w:val="24"/>
        </w:rPr>
        <w:t xml:space="preserve">. </w:t>
      </w:r>
    </w:p>
    <w:p w:rsidR="00AA64BC" w:rsidRDefault="00AA64BC" w:rsidP="0082361F">
      <w:pPr>
        <w:spacing w:line="360" w:lineRule="auto"/>
        <w:jc w:val="both"/>
        <w:rPr>
          <w:sz w:val="24"/>
          <w:szCs w:val="24"/>
        </w:rPr>
      </w:pPr>
      <w:r>
        <w:rPr>
          <w:sz w:val="24"/>
          <w:szCs w:val="24"/>
        </w:rPr>
        <w:t xml:space="preserve">De verkrijgingsprijs van een actief is de prijs waarvoor het actief verworven is, wat volgens IAS 16.16 de inkoopprijs plus bijkomende kosten omvat. Voorbeelden van bijkomende kosten </w:t>
      </w:r>
      <w:r w:rsidR="002F30A9">
        <w:rPr>
          <w:sz w:val="24"/>
          <w:szCs w:val="24"/>
        </w:rPr>
        <w:t>zijn</w:t>
      </w:r>
      <w:r>
        <w:rPr>
          <w:sz w:val="24"/>
          <w:szCs w:val="24"/>
        </w:rPr>
        <w:t xml:space="preserve"> </w:t>
      </w:r>
      <w:r w:rsidR="002F30A9">
        <w:rPr>
          <w:sz w:val="24"/>
          <w:szCs w:val="24"/>
        </w:rPr>
        <w:t>invoerrechten, niet-terugvorderbare omzetbelasting, notariële kosten, en initiële leveringskosten en plaatsingskosten.</w:t>
      </w:r>
    </w:p>
    <w:p w:rsidR="00793D91" w:rsidRDefault="00AA64BC" w:rsidP="0082361F">
      <w:pPr>
        <w:spacing w:line="360" w:lineRule="auto"/>
        <w:jc w:val="both"/>
        <w:rPr>
          <w:sz w:val="24"/>
          <w:szCs w:val="24"/>
        </w:rPr>
      </w:pPr>
      <w:r>
        <w:rPr>
          <w:sz w:val="24"/>
          <w:szCs w:val="24"/>
        </w:rPr>
        <w:t>De vervaardigingsprijs is van toepassing op de door de rechtspersoon vervaardigde activa en omvat de volge</w:t>
      </w:r>
      <w:r w:rsidR="007342C7">
        <w:rPr>
          <w:sz w:val="24"/>
          <w:szCs w:val="24"/>
        </w:rPr>
        <w:t xml:space="preserve">nde drie soorten </w:t>
      </w:r>
      <w:r>
        <w:rPr>
          <w:sz w:val="24"/>
          <w:szCs w:val="24"/>
        </w:rPr>
        <w:t>kosten:</w:t>
      </w:r>
    </w:p>
    <w:p w:rsidR="001D3A0B" w:rsidRDefault="001D3A0B" w:rsidP="00887E34">
      <w:pPr>
        <w:pStyle w:val="ListParagraph"/>
        <w:numPr>
          <w:ilvl w:val="0"/>
          <w:numId w:val="3"/>
        </w:numPr>
        <w:spacing w:line="276" w:lineRule="auto"/>
        <w:jc w:val="both"/>
        <w:rPr>
          <w:sz w:val="24"/>
          <w:szCs w:val="24"/>
        </w:rPr>
      </w:pPr>
      <w:r>
        <w:rPr>
          <w:sz w:val="24"/>
          <w:szCs w:val="24"/>
        </w:rPr>
        <w:t>de aankoopprijs, inclusief</w:t>
      </w:r>
      <w:r w:rsidR="00AA64BC">
        <w:rPr>
          <w:sz w:val="24"/>
          <w:szCs w:val="24"/>
        </w:rPr>
        <w:t xml:space="preserve"> bijkomende kosten zoals</w:t>
      </w:r>
      <w:r>
        <w:rPr>
          <w:sz w:val="24"/>
          <w:szCs w:val="24"/>
        </w:rPr>
        <w:t xml:space="preserve"> invoerrechten en niet-aftrekbare omzetbe</w:t>
      </w:r>
      <w:r w:rsidR="00AA64BC">
        <w:rPr>
          <w:sz w:val="24"/>
          <w:szCs w:val="24"/>
        </w:rPr>
        <w:t>lastingen. H</w:t>
      </w:r>
      <w:r>
        <w:rPr>
          <w:sz w:val="24"/>
          <w:szCs w:val="24"/>
        </w:rPr>
        <w:t>andelskortingen en bonussen</w:t>
      </w:r>
      <w:r w:rsidR="00AA64BC">
        <w:rPr>
          <w:sz w:val="24"/>
          <w:szCs w:val="24"/>
        </w:rPr>
        <w:t xml:space="preserve"> worden hiervan afgetrokken</w:t>
      </w:r>
      <w:r>
        <w:rPr>
          <w:sz w:val="24"/>
          <w:szCs w:val="24"/>
        </w:rPr>
        <w:t>;</w:t>
      </w:r>
    </w:p>
    <w:p w:rsidR="00887E34" w:rsidRDefault="00887E34" w:rsidP="00887E34">
      <w:pPr>
        <w:pStyle w:val="ListParagraph"/>
        <w:numPr>
          <w:ilvl w:val="0"/>
          <w:numId w:val="3"/>
        </w:numPr>
        <w:spacing w:line="276" w:lineRule="auto"/>
        <w:jc w:val="both"/>
        <w:rPr>
          <w:sz w:val="24"/>
          <w:szCs w:val="24"/>
        </w:rPr>
      </w:pPr>
      <w:r>
        <w:rPr>
          <w:sz w:val="24"/>
          <w:szCs w:val="24"/>
        </w:rPr>
        <w:t>alle direct toerekenbare kosten om het actief te werkbaar te stellen voor de rechtspersoon. Voorbeeld van deze kosten zijn:</w:t>
      </w:r>
    </w:p>
    <w:p w:rsidR="00887E34" w:rsidRDefault="00887E34" w:rsidP="00887E34">
      <w:pPr>
        <w:pStyle w:val="ListParagraph"/>
        <w:numPr>
          <w:ilvl w:val="0"/>
          <w:numId w:val="1"/>
        </w:numPr>
        <w:spacing w:line="276" w:lineRule="auto"/>
        <w:jc w:val="both"/>
        <w:rPr>
          <w:sz w:val="24"/>
          <w:szCs w:val="24"/>
        </w:rPr>
      </w:pPr>
      <w:r>
        <w:rPr>
          <w:sz w:val="24"/>
          <w:szCs w:val="24"/>
        </w:rPr>
        <w:t>personeelskosten die direct toerekenbaar zijn aan de aankoop/constructie van het materieel vast actief;</w:t>
      </w:r>
    </w:p>
    <w:p w:rsidR="00887E34" w:rsidRDefault="00AA64BC" w:rsidP="00887E34">
      <w:pPr>
        <w:pStyle w:val="ListParagraph"/>
        <w:numPr>
          <w:ilvl w:val="0"/>
          <w:numId w:val="1"/>
        </w:numPr>
        <w:spacing w:line="276" w:lineRule="auto"/>
        <w:jc w:val="both"/>
        <w:rPr>
          <w:sz w:val="24"/>
          <w:szCs w:val="24"/>
        </w:rPr>
      </w:pPr>
      <w:r>
        <w:rPr>
          <w:sz w:val="24"/>
          <w:szCs w:val="24"/>
        </w:rPr>
        <w:t>leverings- en afhandelingskosten</w:t>
      </w:r>
      <w:r w:rsidR="00887E34">
        <w:rPr>
          <w:sz w:val="24"/>
          <w:szCs w:val="24"/>
        </w:rPr>
        <w:t>;</w:t>
      </w:r>
    </w:p>
    <w:p w:rsidR="00887E34" w:rsidRDefault="00887E34" w:rsidP="00887E34">
      <w:pPr>
        <w:pStyle w:val="ListParagraph"/>
        <w:numPr>
          <w:ilvl w:val="0"/>
          <w:numId w:val="1"/>
        </w:numPr>
        <w:spacing w:line="276" w:lineRule="auto"/>
        <w:jc w:val="both"/>
        <w:rPr>
          <w:sz w:val="24"/>
          <w:szCs w:val="24"/>
        </w:rPr>
      </w:pPr>
      <w:r>
        <w:rPr>
          <w:sz w:val="24"/>
          <w:szCs w:val="24"/>
        </w:rPr>
        <w:t>installatie- en montagekosten; en</w:t>
      </w:r>
    </w:p>
    <w:p w:rsidR="00887E34" w:rsidRDefault="00AA64BC" w:rsidP="00887E34">
      <w:pPr>
        <w:pStyle w:val="ListParagraph"/>
        <w:numPr>
          <w:ilvl w:val="0"/>
          <w:numId w:val="1"/>
        </w:numPr>
        <w:spacing w:line="276" w:lineRule="auto"/>
        <w:jc w:val="both"/>
        <w:rPr>
          <w:sz w:val="24"/>
          <w:szCs w:val="24"/>
        </w:rPr>
      </w:pPr>
      <w:r>
        <w:rPr>
          <w:sz w:val="24"/>
          <w:szCs w:val="24"/>
        </w:rPr>
        <w:t>kosten die ontstaan door onderzoeken naar het functioneren van het actief; en</w:t>
      </w:r>
    </w:p>
    <w:p w:rsidR="00887E34" w:rsidRPr="00554706" w:rsidRDefault="00AA64BC" w:rsidP="00554706">
      <w:pPr>
        <w:pStyle w:val="ListParagraph"/>
        <w:numPr>
          <w:ilvl w:val="0"/>
          <w:numId w:val="1"/>
        </w:numPr>
        <w:spacing w:line="276" w:lineRule="auto"/>
        <w:jc w:val="both"/>
        <w:rPr>
          <w:sz w:val="24"/>
          <w:szCs w:val="24"/>
        </w:rPr>
      </w:pPr>
      <w:r>
        <w:rPr>
          <w:sz w:val="24"/>
          <w:szCs w:val="24"/>
        </w:rPr>
        <w:t>honoraria van adviseurs.</w:t>
      </w:r>
    </w:p>
    <w:p w:rsidR="00D86F03" w:rsidRDefault="00887E34" w:rsidP="00D86F03">
      <w:pPr>
        <w:pStyle w:val="ListParagraph"/>
        <w:numPr>
          <w:ilvl w:val="0"/>
          <w:numId w:val="3"/>
        </w:numPr>
        <w:spacing w:line="276" w:lineRule="auto"/>
        <w:jc w:val="both"/>
        <w:rPr>
          <w:sz w:val="24"/>
          <w:szCs w:val="24"/>
        </w:rPr>
      </w:pPr>
      <w:r w:rsidRPr="00887E34">
        <w:rPr>
          <w:sz w:val="24"/>
          <w:szCs w:val="24"/>
        </w:rPr>
        <w:t>een schatting van de kosten voor het ontmantelen en verwijdering van het materieel vast actief en de herstelkosten van het terrein waar het materieel vast actief staat in geval van verwijdering</w:t>
      </w:r>
      <w:r w:rsidR="009036A2">
        <w:rPr>
          <w:rStyle w:val="FootnoteReference"/>
          <w:sz w:val="24"/>
          <w:szCs w:val="24"/>
        </w:rPr>
        <w:footnoteReference w:id="9"/>
      </w:r>
      <w:r w:rsidRPr="00887E34">
        <w:rPr>
          <w:sz w:val="24"/>
          <w:szCs w:val="24"/>
        </w:rPr>
        <w:t>.</w:t>
      </w:r>
    </w:p>
    <w:p w:rsidR="00A21726" w:rsidRDefault="00D86F03" w:rsidP="0082361F">
      <w:pPr>
        <w:spacing w:line="360" w:lineRule="auto"/>
        <w:jc w:val="both"/>
        <w:rPr>
          <w:sz w:val="24"/>
          <w:szCs w:val="24"/>
        </w:rPr>
      </w:pPr>
      <w:r>
        <w:rPr>
          <w:sz w:val="24"/>
          <w:szCs w:val="24"/>
        </w:rPr>
        <w:t xml:space="preserve">Het opnemen van de kosten voor </w:t>
      </w:r>
      <w:r w:rsidR="00E01DA4">
        <w:rPr>
          <w:sz w:val="24"/>
          <w:szCs w:val="24"/>
        </w:rPr>
        <w:t>materiële</w:t>
      </w:r>
      <w:r>
        <w:rPr>
          <w:sz w:val="24"/>
          <w:szCs w:val="24"/>
        </w:rPr>
        <w:t xml:space="preserve"> vaste activa </w:t>
      </w:r>
      <w:r w:rsidR="00E27A61">
        <w:rPr>
          <w:sz w:val="24"/>
          <w:szCs w:val="24"/>
        </w:rPr>
        <w:t>beëindigd</w:t>
      </w:r>
      <w:r>
        <w:rPr>
          <w:sz w:val="24"/>
          <w:szCs w:val="24"/>
        </w:rPr>
        <w:t xml:space="preserve"> indien het actief </w:t>
      </w:r>
      <w:r w:rsidR="00E27A61">
        <w:rPr>
          <w:sz w:val="24"/>
          <w:szCs w:val="24"/>
        </w:rPr>
        <w:t xml:space="preserve">op gewenste locatie is geïnstalleerd en werkzaamheden kan verrichten zoals door het management gewenst is. </w:t>
      </w:r>
      <w:r w:rsidR="00554706">
        <w:rPr>
          <w:sz w:val="24"/>
          <w:szCs w:val="24"/>
        </w:rPr>
        <w:t>Ook kosten die samenhangen met het gebruik van het actief of kosten die gemaakt worden voor een alternatieve aanwending van het actief, worden niet in de kostprijs opgenomen</w:t>
      </w:r>
      <w:r w:rsidR="00554706">
        <w:rPr>
          <w:rStyle w:val="FootnoteReference"/>
          <w:sz w:val="24"/>
          <w:szCs w:val="24"/>
        </w:rPr>
        <w:footnoteReference w:id="10"/>
      </w:r>
      <w:r w:rsidR="00554706">
        <w:rPr>
          <w:sz w:val="24"/>
          <w:szCs w:val="24"/>
        </w:rPr>
        <w:t xml:space="preserve">. </w:t>
      </w:r>
      <w:r w:rsidR="00E27A61">
        <w:rPr>
          <w:sz w:val="24"/>
          <w:szCs w:val="24"/>
        </w:rPr>
        <w:t>Zodoende worden initiële exploitatiekosten</w:t>
      </w:r>
      <w:r w:rsidR="00554706">
        <w:rPr>
          <w:sz w:val="24"/>
          <w:szCs w:val="24"/>
        </w:rPr>
        <w:t xml:space="preserve">, kosten door onderbezetting </w:t>
      </w:r>
      <w:r w:rsidR="00E27A61">
        <w:rPr>
          <w:sz w:val="24"/>
          <w:szCs w:val="24"/>
        </w:rPr>
        <w:t xml:space="preserve">of </w:t>
      </w:r>
      <w:r w:rsidR="00554706">
        <w:rPr>
          <w:sz w:val="24"/>
          <w:szCs w:val="24"/>
        </w:rPr>
        <w:t>herstructureringskosten/</w:t>
      </w:r>
      <w:r w:rsidR="00E27A61">
        <w:rPr>
          <w:sz w:val="24"/>
          <w:szCs w:val="24"/>
        </w:rPr>
        <w:t>reorganisatiekosten niet opgenomen in de kosten van het materieel vast actief</w:t>
      </w:r>
      <w:r w:rsidR="009036A2">
        <w:rPr>
          <w:sz w:val="24"/>
          <w:szCs w:val="24"/>
        </w:rPr>
        <w:t xml:space="preserve"> </w:t>
      </w:r>
      <w:sdt>
        <w:sdtPr>
          <w:rPr>
            <w:sz w:val="24"/>
            <w:szCs w:val="24"/>
          </w:rPr>
          <w:id w:val="1236202515"/>
          <w:citation/>
        </w:sdtPr>
        <w:sdtContent>
          <w:r w:rsidR="000C5AB6">
            <w:rPr>
              <w:sz w:val="24"/>
              <w:szCs w:val="24"/>
            </w:rPr>
            <w:fldChar w:fldCharType="begin"/>
          </w:r>
          <w:r w:rsidR="009036A2">
            <w:rPr>
              <w:sz w:val="24"/>
              <w:szCs w:val="24"/>
            </w:rPr>
            <w:instrText xml:space="preserve"> CITATION Eur09 \l 1043 </w:instrText>
          </w:r>
          <w:r w:rsidR="000C5AB6">
            <w:rPr>
              <w:sz w:val="24"/>
              <w:szCs w:val="24"/>
            </w:rPr>
            <w:fldChar w:fldCharType="separate"/>
          </w:r>
          <w:r w:rsidR="00062BB9" w:rsidRPr="00062BB9">
            <w:rPr>
              <w:noProof/>
              <w:sz w:val="24"/>
              <w:szCs w:val="24"/>
            </w:rPr>
            <w:t>(European Commission - IAS 16, 2009)</w:t>
          </w:r>
          <w:r w:rsidR="000C5AB6">
            <w:rPr>
              <w:sz w:val="24"/>
              <w:szCs w:val="24"/>
            </w:rPr>
            <w:fldChar w:fldCharType="end"/>
          </w:r>
        </w:sdtContent>
      </w:sdt>
      <w:r w:rsidR="00E27A61">
        <w:rPr>
          <w:sz w:val="24"/>
          <w:szCs w:val="24"/>
        </w:rPr>
        <w:t>.</w:t>
      </w:r>
    </w:p>
    <w:p w:rsidR="0082361F" w:rsidRPr="0082361F" w:rsidRDefault="00776867" w:rsidP="0082361F">
      <w:pPr>
        <w:pStyle w:val="Heading2"/>
        <w:rPr>
          <w:sz w:val="32"/>
        </w:rPr>
      </w:pPr>
      <w:bookmarkStart w:id="7" w:name="_Toc425516473"/>
      <w:r>
        <w:rPr>
          <w:sz w:val="32"/>
        </w:rPr>
        <w:t>2</w:t>
      </w:r>
      <w:r w:rsidR="0082361F" w:rsidRPr="0082361F">
        <w:rPr>
          <w:sz w:val="32"/>
        </w:rPr>
        <w:t>.3</w:t>
      </w:r>
      <w:r w:rsidR="004F3637">
        <w:rPr>
          <w:sz w:val="32"/>
        </w:rPr>
        <w:t>.</w:t>
      </w:r>
      <w:r w:rsidR="0082361F" w:rsidRPr="0082361F">
        <w:rPr>
          <w:sz w:val="32"/>
        </w:rPr>
        <w:t xml:space="preserve"> Waarderingsmethoden </w:t>
      </w:r>
      <w:r w:rsidR="00E01DA4">
        <w:rPr>
          <w:sz w:val="32"/>
        </w:rPr>
        <w:t>materiële</w:t>
      </w:r>
      <w:r w:rsidR="0082361F" w:rsidRPr="0082361F">
        <w:rPr>
          <w:sz w:val="32"/>
        </w:rPr>
        <w:t xml:space="preserve"> vaste activa</w:t>
      </w:r>
      <w:bookmarkEnd w:id="7"/>
    </w:p>
    <w:p w:rsidR="00A64B5B" w:rsidRDefault="00C9579B" w:rsidP="006E3FF9">
      <w:pPr>
        <w:spacing w:line="360" w:lineRule="auto"/>
        <w:jc w:val="both"/>
        <w:rPr>
          <w:sz w:val="24"/>
          <w:szCs w:val="24"/>
        </w:rPr>
      </w:pPr>
      <w:r>
        <w:rPr>
          <w:sz w:val="24"/>
          <w:szCs w:val="24"/>
        </w:rPr>
        <w:t xml:space="preserve">Zowel onder IFRS als onder de Nederlandse regelgeving bestaat de mogelijkheid om </w:t>
      </w:r>
      <w:r w:rsidR="00E01DA4">
        <w:rPr>
          <w:sz w:val="24"/>
          <w:szCs w:val="24"/>
        </w:rPr>
        <w:t>materiële</w:t>
      </w:r>
      <w:r>
        <w:rPr>
          <w:sz w:val="24"/>
          <w:szCs w:val="24"/>
        </w:rPr>
        <w:t xml:space="preserve"> vaste activa op een andere grondslag te waarderen dan de verkrijgings- of </w:t>
      </w:r>
      <w:r>
        <w:rPr>
          <w:sz w:val="24"/>
          <w:szCs w:val="24"/>
        </w:rPr>
        <w:lastRenderedPageBreak/>
        <w:t xml:space="preserve">vervaardigingsprijs te waarderen. Volgens RJ 212.401 kunnen </w:t>
      </w:r>
      <w:r w:rsidR="00E01DA4">
        <w:rPr>
          <w:sz w:val="24"/>
          <w:szCs w:val="24"/>
        </w:rPr>
        <w:t>materiële</w:t>
      </w:r>
      <w:r>
        <w:rPr>
          <w:sz w:val="24"/>
          <w:szCs w:val="24"/>
        </w:rPr>
        <w:t xml:space="preserve"> vaste activa na de eerste verwerking</w:t>
      </w:r>
      <w:r w:rsidR="00CE1DEA">
        <w:rPr>
          <w:rStyle w:val="FootnoteReference"/>
          <w:sz w:val="24"/>
          <w:szCs w:val="24"/>
        </w:rPr>
        <w:footnoteReference w:id="11"/>
      </w:r>
      <w:r>
        <w:rPr>
          <w:sz w:val="24"/>
          <w:szCs w:val="24"/>
        </w:rPr>
        <w:t xml:space="preserve"> gewaardeerd worden </w:t>
      </w:r>
      <w:r w:rsidR="00CE1DEA">
        <w:rPr>
          <w:sz w:val="24"/>
          <w:szCs w:val="24"/>
        </w:rPr>
        <w:t>volgens</w:t>
      </w:r>
      <w:r>
        <w:rPr>
          <w:sz w:val="24"/>
          <w:szCs w:val="24"/>
        </w:rPr>
        <w:t xml:space="preserve"> zowel het kostprijsmodel of met behulp van het </w:t>
      </w:r>
      <w:r w:rsidR="0042053A">
        <w:rPr>
          <w:sz w:val="24"/>
          <w:szCs w:val="24"/>
        </w:rPr>
        <w:t>actuele waarde</w:t>
      </w:r>
      <w:r>
        <w:rPr>
          <w:sz w:val="24"/>
          <w:szCs w:val="24"/>
        </w:rPr>
        <w:t xml:space="preserve"> model</w:t>
      </w:r>
      <w:r w:rsidR="0042053A">
        <w:rPr>
          <w:sz w:val="24"/>
          <w:szCs w:val="24"/>
        </w:rPr>
        <w:t>. De IFRS biedt als waarderingsgrondslag de keuze tussen het historische kostprijsmodel</w:t>
      </w:r>
      <w:r>
        <w:rPr>
          <w:sz w:val="24"/>
          <w:szCs w:val="24"/>
        </w:rPr>
        <w:t xml:space="preserve"> </w:t>
      </w:r>
      <w:r w:rsidR="0042053A">
        <w:rPr>
          <w:sz w:val="24"/>
          <w:szCs w:val="24"/>
        </w:rPr>
        <w:t>(</w:t>
      </w:r>
      <w:proofErr w:type="spellStart"/>
      <w:r w:rsidR="0042053A">
        <w:rPr>
          <w:i/>
          <w:sz w:val="24"/>
          <w:szCs w:val="24"/>
        </w:rPr>
        <w:t>Historical</w:t>
      </w:r>
      <w:proofErr w:type="spellEnd"/>
      <w:r w:rsidR="0042053A">
        <w:rPr>
          <w:i/>
          <w:sz w:val="24"/>
          <w:szCs w:val="24"/>
        </w:rPr>
        <w:t xml:space="preserve"> </w:t>
      </w:r>
      <w:proofErr w:type="spellStart"/>
      <w:r w:rsidR="0042053A">
        <w:rPr>
          <w:i/>
          <w:sz w:val="24"/>
          <w:szCs w:val="24"/>
        </w:rPr>
        <w:t>cost</w:t>
      </w:r>
      <w:proofErr w:type="spellEnd"/>
      <w:r w:rsidR="0042053A">
        <w:rPr>
          <w:i/>
          <w:sz w:val="24"/>
          <w:szCs w:val="24"/>
        </w:rPr>
        <w:t xml:space="preserve"> accounting</w:t>
      </w:r>
      <w:r w:rsidR="0042053A">
        <w:rPr>
          <w:sz w:val="24"/>
          <w:szCs w:val="24"/>
        </w:rPr>
        <w:t>)</w:t>
      </w:r>
      <w:r w:rsidR="0042053A">
        <w:rPr>
          <w:i/>
          <w:sz w:val="24"/>
          <w:szCs w:val="24"/>
        </w:rPr>
        <w:t xml:space="preserve"> </w:t>
      </w:r>
      <w:r w:rsidR="0042053A">
        <w:rPr>
          <w:sz w:val="24"/>
          <w:szCs w:val="24"/>
        </w:rPr>
        <w:t xml:space="preserve">en het </w:t>
      </w:r>
      <w:r w:rsidR="00887655">
        <w:rPr>
          <w:sz w:val="24"/>
          <w:szCs w:val="24"/>
        </w:rPr>
        <w:t>herwaarderingsmodel</w:t>
      </w:r>
      <w:r w:rsidR="0042053A">
        <w:rPr>
          <w:sz w:val="24"/>
          <w:szCs w:val="24"/>
        </w:rPr>
        <w:t xml:space="preserve"> (</w:t>
      </w:r>
      <w:proofErr w:type="spellStart"/>
      <w:r w:rsidR="00887655">
        <w:rPr>
          <w:i/>
          <w:sz w:val="24"/>
          <w:szCs w:val="24"/>
        </w:rPr>
        <w:t>Revaluation</w:t>
      </w:r>
      <w:proofErr w:type="spellEnd"/>
      <w:r w:rsidR="00887655">
        <w:rPr>
          <w:i/>
          <w:sz w:val="24"/>
          <w:szCs w:val="24"/>
        </w:rPr>
        <w:t xml:space="preserve"> model</w:t>
      </w:r>
      <w:r w:rsidR="0042053A">
        <w:rPr>
          <w:sz w:val="24"/>
          <w:szCs w:val="24"/>
        </w:rPr>
        <w:t>)</w:t>
      </w:r>
      <w:r w:rsidR="0042053A">
        <w:rPr>
          <w:rStyle w:val="FootnoteReference"/>
          <w:sz w:val="24"/>
          <w:szCs w:val="24"/>
        </w:rPr>
        <w:footnoteReference w:id="12"/>
      </w:r>
      <w:r w:rsidR="00887655">
        <w:rPr>
          <w:sz w:val="24"/>
          <w:szCs w:val="24"/>
        </w:rPr>
        <w:t xml:space="preserve"> met gebruik van de actuele waarde (</w:t>
      </w:r>
      <w:r w:rsidR="00887655">
        <w:rPr>
          <w:i/>
          <w:sz w:val="24"/>
          <w:szCs w:val="24"/>
        </w:rPr>
        <w:t xml:space="preserve">fair </w:t>
      </w:r>
      <w:proofErr w:type="spellStart"/>
      <w:r w:rsidR="00887655">
        <w:rPr>
          <w:i/>
          <w:sz w:val="24"/>
          <w:szCs w:val="24"/>
        </w:rPr>
        <w:t>value</w:t>
      </w:r>
      <w:proofErr w:type="spellEnd"/>
      <w:r w:rsidR="00887655">
        <w:rPr>
          <w:sz w:val="24"/>
          <w:szCs w:val="24"/>
        </w:rPr>
        <w:t>)</w:t>
      </w:r>
      <w:r w:rsidR="0042053A">
        <w:rPr>
          <w:sz w:val="24"/>
          <w:szCs w:val="24"/>
        </w:rPr>
        <w:t xml:space="preserve">. </w:t>
      </w:r>
      <w:r w:rsidR="0024076F">
        <w:rPr>
          <w:sz w:val="24"/>
          <w:szCs w:val="24"/>
        </w:rPr>
        <w:t xml:space="preserve">Voor </w:t>
      </w:r>
      <w:r w:rsidR="006F7E1E">
        <w:rPr>
          <w:sz w:val="24"/>
          <w:szCs w:val="24"/>
        </w:rPr>
        <w:t xml:space="preserve">de keuze van waarderingsgrondslagen voor </w:t>
      </w:r>
      <w:r w:rsidR="00E01DA4">
        <w:rPr>
          <w:sz w:val="24"/>
          <w:szCs w:val="24"/>
        </w:rPr>
        <w:t>materiële</w:t>
      </w:r>
      <w:r w:rsidR="006F7E1E">
        <w:rPr>
          <w:sz w:val="24"/>
          <w:szCs w:val="24"/>
        </w:rPr>
        <w:t xml:space="preserve"> vaste activa geldt de eis van het stelselmatigheidsbeginsel. Het beginsel van stelselmatigheid houdt in dat voor naar aard en gebruik gelijksoortige activa of activiteiten dezelfde grondslagen en regels dienen te worden toegepast</w:t>
      </w:r>
      <w:r w:rsidR="00953626">
        <w:rPr>
          <w:rStyle w:val="FootnoteReference"/>
          <w:sz w:val="24"/>
          <w:szCs w:val="24"/>
        </w:rPr>
        <w:footnoteReference w:id="13"/>
      </w:r>
      <w:r w:rsidR="00953626">
        <w:rPr>
          <w:sz w:val="24"/>
          <w:szCs w:val="24"/>
        </w:rPr>
        <w:t>, en dat een eenmaal gekozen stelsel dient te worden gehandhaafd tenzij de situatie aanleiding geeft tot stelselwijziging</w:t>
      </w:r>
      <w:r w:rsidR="00953626">
        <w:rPr>
          <w:rStyle w:val="FootnoteReference"/>
          <w:sz w:val="24"/>
          <w:szCs w:val="24"/>
        </w:rPr>
        <w:footnoteReference w:id="14"/>
      </w:r>
      <w:r w:rsidR="006F7E1E">
        <w:rPr>
          <w:sz w:val="24"/>
          <w:szCs w:val="24"/>
        </w:rPr>
        <w:t xml:space="preserve">. </w:t>
      </w:r>
      <w:r w:rsidR="00C714F4">
        <w:rPr>
          <w:sz w:val="24"/>
          <w:szCs w:val="24"/>
        </w:rPr>
        <w:t xml:space="preserve">Zodoende zal in het geval van een herwaardering van een materieel vast actief, de volledige categorie van </w:t>
      </w:r>
      <w:r w:rsidR="00E01DA4">
        <w:rPr>
          <w:sz w:val="24"/>
          <w:szCs w:val="24"/>
        </w:rPr>
        <w:t>materiële</w:t>
      </w:r>
      <w:r w:rsidR="00C714F4">
        <w:rPr>
          <w:sz w:val="24"/>
          <w:szCs w:val="24"/>
        </w:rPr>
        <w:t xml:space="preserve"> vaste activa waartoe dat actief behoort, worden geherwaardeerd</w:t>
      </w:r>
      <w:r w:rsidR="00C714F4">
        <w:rPr>
          <w:rStyle w:val="FootnoteReference"/>
          <w:sz w:val="24"/>
          <w:szCs w:val="24"/>
        </w:rPr>
        <w:footnoteReference w:id="15"/>
      </w:r>
      <w:r w:rsidR="00C714F4">
        <w:rPr>
          <w:sz w:val="24"/>
          <w:szCs w:val="24"/>
        </w:rPr>
        <w:t xml:space="preserve">. </w:t>
      </w:r>
      <w:r w:rsidR="00B61AD2">
        <w:rPr>
          <w:sz w:val="24"/>
          <w:szCs w:val="24"/>
        </w:rPr>
        <w:t xml:space="preserve">Omdat </w:t>
      </w:r>
      <w:r w:rsidR="0042053A">
        <w:rPr>
          <w:sz w:val="24"/>
          <w:szCs w:val="24"/>
        </w:rPr>
        <w:t>de</w:t>
      </w:r>
      <w:r w:rsidR="00B61AD2">
        <w:rPr>
          <w:sz w:val="24"/>
          <w:szCs w:val="24"/>
        </w:rPr>
        <w:t xml:space="preserve"> waarderingsgrondslagen op breed gebied gebruikt worden door bedrijven bij het berekenen van hun financiële posities,</w:t>
      </w:r>
      <w:r w:rsidR="00DA19EF">
        <w:rPr>
          <w:sz w:val="24"/>
          <w:szCs w:val="24"/>
        </w:rPr>
        <w:t xml:space="preserve"> </w:t>
      </w:r>
      <w:r w:rsidR="006F7E1E">
        <w:rPr>
          <w:sz w:val="24"/>
          <w:szCs w:val="24"/>
        </w:rPr>
        <w:t>wordt</w:t>
      </w:r>
      <w:r w:rsidR="00DA19EF">
        <w:rPr>
          <w:sz w:val="24"/>
          <w:szCs w:val="24"/>
        </w:rPr>
        <w:t xml:space="preserve"> de inhoud van beide waarderingsmethodes besproken </w:t>
      </w:r>
      <w:sdt>
        <w:sdtPr>
          <w:rPr>
            <w:sz w:val="24"/>
            <w:szCs w:val="24"/>
          </w:rPr>
          <w:id w:val="-1079212315"/>
          <w:citation/>
        </w:sdtPr>
        <w:sdtContent>
          <w:r w:rsidR="000C5AB6">
            <w:rPr>
              <w:sz w:val="24"/>
              <w:szCs w:val="24"/>
            </w:rPr>
            <w:fldChar w:fldCharType="begin"/>
          </w:r>
          <w:r w:rsidR="00DA19EF">
            <w:rPr>
              <w:sz w:val="24"/>
              <w:szCs w:val="24"/>
            </w:rPr>
            <w:instrText xml:space="preserve"> CITATION Jai13 \l 1043 </w:instrText>
          </w:r>
          <w:r w:rsidR="000C5AB6">
            <w:rPr>
              <w:sz w:val="24"/>
              <w:szCs w:val="24"/>
            </w:rPr>
            <w:fldChar w:fldCharType="separate"/>
          </w:r>
          <w:r w:rsidR="00062BB9" w:rsidRPr="00062BB9">
            <w:rPr>
              <w:noProof/>
              <w:sz w:val="24"/>
              <w:szCs w:val="24"/>
            </w:rPr>
            <w:t>(Jaijairam, 2013)</w:t>
          </w:r>
          <w:r w:rsidR="000C5AB6">
            <w:rPr>
              <w:sz w:val="24"/>
              <w:szCs w:val="24"/>
            </w:rPr>
            <w:fldChar w:fldCharType="end"/>
          </w:r>
        </w:sdtContent>
      </w:sdt>
      <w:r w:rsidR="00DA19EF">
        <w:rPr>
          <w:sz w:val="24"/>
          <w:szCs w:val="24"/>
        </w:rPr>
        <w:t>.</w:t>
      </w:r>
      <w:r w:rsidR="00B61AD2">
        <w:rPr>
          <w:sz w:val="24"/>
          <w:szCs w:val="24"/>
        </w:rPr>
        <w:t xml:space="preserve"> </w:t>
      </w:r>
      <w:r w:rsidR="0082361F">
        <w:rPr>
          <w:sz w:val="24"/>
          <w:szCs w:val="24"/>
        </w:rPr>
        <w:t>Zodoende worden</w:t>
      </w:r>
      <w:r w:rsidR="00B61AD2">
        <w:rPr>
          <w:sz w:val="24"/>
          <w:szCs w:val="24"/>
        </w:rPr>
        <w:t xml:space="preserve"> de precieze kenmerken van </w:t>
      </w:r>
      <w:r w:rsidR="0042053A">
        <w:rPr>
          <w:sz w:val="24"/>
          <w:szCs w:val="24"/>
        </w:rPr>
        <w:t>de</w:t>
      </w:r>
      <w:r w:rsidR="0082361F">
        <w:rPr>
          <w:sz w:val="24"/>
          <w:szCs w:val="24"/>
        </w:rPr>
        <w:t xml:space="preserve"> waarderingsmethoden uiteen</w:t>
      </w:r>
      <w:r w:rsidR="00B61AD2">
        <w:rPr>
          <w:sz w:val="24"/>
          <w:szCs w:val="24"/>
        </w:rPr>
        <w:t xml:space="preserve">gezet. </w:t>
      </w:r>
      <w:r w:rsidR="0042053A">
        <w:rPr>
          <w:sz w:val="24"/>
          <w:szCs w:val="24"/>
        </w:rPr>
        <w:t xml:space="preserve">Waar de waarderingsmethoden van het (historische) kostprijsmodel in de regelgeving tussen de Richtlijnen en IFRS weinig verschillen, </w:t>
      </w:r>
      <w:r w:rsidR="00B61AD2">
        <w:rPr>
          <w:sz w:val="24"/>
          <w:szCs w:val="24"/>
        </w:rPr>
        <w:t xml:space="preserve">wijkt het begrip actuele waarde voor de verwerking in Nederland aanzienlijk af met het begrip reële waarde volgens IFRS. </w:t>
      </w:r>
      <w:r w:rsidR="004F75FB">
        <w:rPr>
          <w:sz w:val="24"/>
          <w:szCs w:val="24"/>
        </w:rPr>
        <w:t>Zodoende is het noodzakelijk d</w:t>
      </w:r>
      <w:r w:rsidR="00B61AD2">
        <w:rPr>
          <w:sz w:val="24"/>
          <w:szCs w:val="24"/>
        </w:rPr>
        <w:t xml:space="preserve">e wijze van bepaling van de actuele waarde en reële waarde onder de RJ en IFRS </w:t>
      </w:r>
      <w:r w:rsidR="00BE3EEF">
        <w:rPr>
          <w:sz w:val="24"/>
          <w:szCs w:val="24"/>
        </w:rPr>
        <w:t xml:space="preserve">ook </w:t>
      </w:r>
      <w:r w:rsidR="004F75FB">
        <w:rPr>
          <w:sz w:val="24"/>
          <w:szCs w:val="24"/>
        </w:rPr>
        <w:t xml:space="preserve">te </w:t>
      </w:r>
      <w:r w:rsidR="0024076F">
        <w:rPr>
          <w:sz w:val="24"/>
          <w:szCs w:val="24"/>
        </w:rPr>
        <w:t xml:space="preserve">bespreken </w:t>
      </w:r>
      <w:sdt>
        <w:sdtPr>
          <w:rPr>
            <w:sz w:val="24"/>
            <w:szCs w:val="24"/>
          </w:rPr>
          <w:id w:val="1148869908"/>
          <w:citation/>
        </w:sdtPr>
        <w:sdtContent>
          <w:r w:rsidR="000C5AB6">
            <w:rPr>
              <w:sz w:val="24"/>
              <w:szCs w:val="24"/>
            </w:rPr>
            <w:fldChar w:fldCharType="begin"/>
          </w:r>
          <w:r w:rsidR="00DA19EF">
            <w:rPr>
              <w:sz w:val="24"/>
              <w:szCs w:val="24"/>
            </w:rPr>
            <w:instrText xml:space="preserve"> CITATION Böh14 \l 1043 </w:instrText>
          </w:r>
          <w:r w:rsidR="000C5AB6">
            <w:rPr>
              <w:sz w:val="24"/>
              <w:szCs w:val="24"/>
            </w:rPr>
            <w:fldChar w:fldCharType="separate"/>
          </w:r>
          <w:r w:rsidR="00062BB9" w:rsidRPr="00062BB9">
            <w:rPr>
              <w:noProof/>
              <w:sz w:val="24"/>
              <w:szCs w:val="24"/>
            </w:rPr>
            <w:t>(Böhmer, Hoogendoorn, &amp; Kruit, 2014)</w:t>
          </w:r>
          <w:r w:rsidR="000C5AB6">
            <w:rPr>
              <w:sz w:val="24"/>
              <w:szCs w:val="24"/>
            </w:rPr>
            <w:fldChar w:fldCharType="end"/>
          </w:r>
        </w:sdtContent>
      </w:sdt>
      <w:r w:rsidR="00DA19EF">
        <w:rPr>
          <w:sz w:val="24"/>
          <w:szCs w:val="24"/>
        </w:rPr>
        <w:t>.</w:t>
      </w:r>
    </w:p>
    <w:p w:rsidR="0082361F" w:rsidRDefault="00776867" w:rsidP="0082361F">
      <w:pPr>
        <w:pStyle w:val="Heading2"/>
      </w:pPr>
      <w:bookmarkStart w:id="8" w:name="_Toc425516474"/>
      <w:r>
        <w:t>2</w:t>
      </w:r>
      <w:r w:rsidR="0082361F">
        <w:t>.3.1</w:t>
      </w:r>
      <w:r w:rsidR="004F3637">
        <w:t>.</w:t>
      </w:r>
      <w:r w:rsidR="0082361F">
        <w:t xml:space="preserve"> Kostprijsaccounting volgens IAS 16 en RJ 212</w:t>
      </w:r>
      <w:bookmarkEnd w:id="8"/>
    </w:p>
    <w:p w:rsidR="001A6B7A" w:rsidRDefault="00E364D7" w:rsidP="006E3FF9">
      <w:pPr>
        <w:spacing w:line="360" w:lineRule="auto"/>
        <w:jc w:val="both"/>
        <w:rPr>
          <w:sz w:val="24"/>
          <w:szCs w:val="24"/>
        </w:rPr>
      </w:pPr>
      <w:r>
        <w:rPr>
          <w:sz w:val="24"/>
          <w:szCs w:val="24"/>
        </w:rPr>
        <w:t>Waardering tegen de historische kostprijs is de traditionele vorm van accounting (</w:t>
      </w:r>
      <w:r w:rsidR="0024076F">
        <w:rPr>
          <w:sz w:val="24"/>
          <w:szCs w:val="24"/>
        </w:rPr>
        <w:t>c</w:t>
      </w:r>
      <w:r w:rsidR="0024076F">
        <w:rPr>
          <w:i/>
          <w:sz w:val="24"/>
          <w:szCs w:val="24"/>
        </w:rPr>
        <w:t>onservatieve</w:t>
      </w:r>
      <w:r>
        <w:rPr>
          <w:i/>
          <w:sz w:val="24"/>
          <w:szCs w:val="24"/>
        </w:rPr>
        <w:t xml:space="preserve"> accounting</w:t>
      </w:r>
      <w:r>
        <w:rPr>
          <w:sz w:val="24"/>
          <w:szCs w:val="24"/>
        </w:rPr>
        <w:t xml:space="preserve">). Het relevante bedrag in dit waarderingsmodel is de initiële prijs die betaald is door een bedrijf bij de aanschaf van een actief </w:t>
      </w:r>
      <w:sdt>
        <w:sdtPr>
          <w:rPr>
            <w:sz w:val="24"/>
            <w:szCs w:val="24"/>
          </w:rPr>
          <w:id w:val="-1117600417"/>
          <w:citation/>
        </w:sdtPr>
        <w:sdtContent>
          <w:r w:rsidR="000C5AB6">
            <w:rPr>
              <w:sz w:val="24"/>
              <w:szCs w:val="24"/>
            </w:rPr>
            <w:fldChar w:fldCharType="begin"/>
          </w:r>
          <w:r>
            <w:rPr>
              <w:sz w:val="24"/>
              <w:szCs w:val="24"/>
            </w:rPr>
            <w:instrText xml:space="preserve"> CITATION Jai13 \l 1043 </w:instrText>
          </w:r>
          <w:r w:rsidR="000C5AB6">
            <w:rPr>
              <w:sz w:val="24"/>
              <w:szCs w:val="24"/>
            </w:rPr>
            <w:fldChar w:fldCharType="separate"/>
          </w:r>
          <w:r w:rsidR="00062BB9" w:rsidRPr="00062BB9">
            <w:rPr>
              <w:noProof/>
              <w:sz w:val="24"/>
              <w:szCs w:val="24"/>
            </w:rPr>
            <w:t>(Jaijairam, 2013)</w:t>
          </w:r>
          <w:r w:rsidR="000C5AB6">
            <w:rPr>
              <w:sz w:val="24"/>
              <w:szCs w:val="24"/>
            </w:rPr>
            <w:fldChar w:fldCharType="end"/>
          </w:r>
        </w:sdtContent>
      </w:sdt>
      <w:r>
        <w:rPr>
          <w:sz w:val="24"/>
          <w:szCs w:val="24"/>
        </w:rPr>
        <w:t xml:space="preserve">. </w:t>
      </w:r>
      <w:r w:rsidR="001819FD">
        <w:rPr>
          <w:sz w:val="24"/>
          <w:szCs w:val="24"/>
        </w:rPr>
        <w:t>Deze k</w:t>
      </w:r>
      <w:r w:rsidR="00BD309C">
        <w:rPr>
          <w:sz w:val="24"/>
          <w:szCs w:val="24"/>
        </w:rPr>
        <w:t xml:space="preserve">ostprijs voldoet aan de eerder besproken </w:t>
      </w:r>
      <w:r w:rsidR="001819FD">
        <w:rPr>
          <w:sz w:val="24"/>
          <w:szCs w:val="24"/>
        </w:rPr>
        <w:t>beschr</w:t>
      </w:r>
      <w:r w:rsidR="00BD309C">
        <w:rPr>
          <w:sz w:val="24"/>
          <w:szCs w:val="24"/>
        </w:rPr>
        <w:t>ijvingen van de verkrijgings- en</w:t>
      </w:r>
      <w:r w:rsidR="001819FD">
        <w:rPr>
          <w:sz w:val="24"/>
          <w:szCs w:val="24"/>
        </w:rPr>
        <w:t xml:space="preserve"> vervaardigingsprijs. </w:t>
      </w:r>
      <w:r>
        <w:rPr>
          <w:sz w:val="24"/>
          <w:szCs w:val="24"/>
        </w:rPr>
        <w:t xml:space="preserve">De </w:t>
      </w:r>
      <w:r w:rsidR="005F0C05">
        <w:rPr>
          <w:sz w:val="24"/>
          <w:szCs w:val="24"/>
        </w:rPr>
        <w:t>initiële</w:t>
      </w:r>
      <w:r>
        <w:rPr>
          <w:sz w:val="24"/>
          <w:szCs w:val="24"/>
        </w:rPr>
        <w:t xml:space="preserve"> prijs van een materieel vast actief kan bijvoorbeeld</w:t>
      </w:r>
      <w:r w:rsidR="00254B0F">
        <w:rPr>
          <w:sz w:val="24"/>
          <w:szCs w:val="24"/>
        </w:rPr>
        <w:t xml:space="preserve"> zijn</w:t>
      </w:r>
      <w:r>
        <w:rPr>
          <w:sz w:val="24"/>
          <w:szCs w:val="24"/>
        </w:rPr>
        <w:t xml:space="preserve"> de aanschafprijs van een gebouw of een stuk terrein.</w:t>
      </w:r>
      <w:r w:rsidR="005F0C05">
        <w:rPr>
          <w:sz w:val="24"/>
          <w:szCs w:val="24"/>
        </w:rPr>
        <w:t xml:space="preserve"> Zoals eerder in paragraaf </w:t>
      </w:r>
      <w:r w:rsidR="0082361F">
        <w:rPr>
          <w:sz w:val="24"/>
          <w:szCs w:val="24"/>
        </w:rPr>
        <w:t xml:space="preserve">1.2.2 </w:t>
      </w:r>
      <w:proofErr w:type="spellStart"/>
      <w:r w:rsidR="0082361F" w:rsidRPr="0082361F">
        <w:rPr>
          <w:i/>
          <w:sz w:val="24"/>
          <w:szCs w:val="24"/>
        </w:rPr>
        <w:t>substance</w:t>
      </w:r>
      <w:proofErr w:type="spellEnd"/>
      <w:r w:rsidR="0082361F" w:rsidRPr="0082361F">
        <w:rPr>
          <w:i/>
          <w:sz w:val="24"/>
          <w:szCs w:val="24"/>
        </w:rPr>
        <w:t xml:space="preserve"> over </w:t>
      </w:r>
      <w:proofErr w:type="spellStart"/>
      <w:r w:rsidR="0082361F" w:rsidRPr="0082361F">
        <w:rPr>
          <w:i/>
          <w:sz w:val="24"/>
          <w:szCs w:val="24"/>
        </w:rPr>
        <w:t>form</w:t>
      </w:r>
      <w:proofErr w:type="spellEnd"/>
      <w:r w:rsidR="0082361F">
        <w:rPr>
          <w:sz w:val="24"/>
          <w:szCs w:val="24"/>
        </w:rPr>
        <w:t xml:space="preserve"> </w:t>
      </w:r>
      <w:r w:rsidR="005F0C05">
        <w:rPr>
          <w:sz w:val="24"/>
          <w:szCs w:val="24"/>
        </w:rPr>
        <w:t xml:space="preserve">werd </w:t>
      </w:r>
      <w:r w:rsidR="005F0C05">
        <w:rPr>
          <w:sz w:val="24"/>
          <w:szCs w:val="24"/>
        </w:rPr>
        <w:lastRenderedPageBreak/>
        <w:t xml:space="preserve">gesteld, moet bij deze methode rekening gehouden worden met de gemoeide kosten als gevolg van het op zijn plaats zetten en in de staat te krijgen actief die noodzakelijk is voor het beoogde gebruik en de te verwachten kosten van ontmanteling of verwijdering van het </w:t>
      </w:r>
      <w:r w:rsidR="0024076F">
        <w:rPr>
          <w:sz w:val="24"/>
          <w:szCs w:val="24"/>
        </w:rPr>
        <w:t xml:space="preserve">actief. </w:t>
      </w:r>
      <w:proofErr w:type="spellStart"/>
      <w:r>
        <w:rPr>
          <w:i/>
          <w:sz w:val="24"/>
          <w:szCs w:val="24"/>
        </w:rPr>
        <w:t>Historical</w:t>
      </w:r>
      <w:proofErr w:type="spellEnd"/>
      <w:r>
        <w:rPr>
          <w:i/>
          <w:sz w:val="24"/>
          <w:szCs w:val="24"/>
        </w:rPr>
        <w:t xml:space="preserve"> </w:t>
      </w:r>
      <w:proofErr w:type="spellStart"/>
      <w:r>
        <w:rPr>
          <w:i/>
          <w:sz w:val="24"/>
          <w:szCs w:val="24"/>
        </w:rPr>
        <w:t>cost</w:t>
      </w:r>
      <w:proofErr w:type="spellEnd"/>
      <w:r>
        <w:rPr>
          <w:i/>
          <w:sz w:val="24"/>
          <w:szCs w:val="24"/>
        </w:rPr>
        <w:t xml:space="preserve"> accounting</w:t>
      </w:r>
      <w:r>
        <w:rPr>
          <w:sz w:val="24"/>
          <w:szCs w:val="24"/>
        </w:rPr>
        <w:t xml:space="preserve"> kan ook gedefinieerd worden als ‘een waarderingssysteem gebaseerd op de originele kosten die tot stand komen in een transactie’ </w:t>
      </w:r>
      <w:sdt>
        <w:sdtPr>
          <w:rPr>
            <w:sz w:val="24"/>
            <w:szCs w:val="24"/>
          </w:rPr>
          <w:id w:val="1697271879"/>
          <w:citation/>
        </w:sdtPr>
        <w:sdtContent>
          <w:r w:rsidR="000C5AB6">
            <w:rPr>
              <w:sz w:val="24"/>
              <w:szCs w:val="24"/>
            </w:rPr>
            <w:fldChar w:fldCharType="begin"/>
          </w:r>
          <w:r>
            <w:rPr>
              <w:sz w:val="24"/>
              <w:szCs w:val="24"/>
            </w:rPr>
            <w:instrText xml:space="preserve"> CITATION Law14 \l 1043 </w:instrText>
          </w:r>
          <w:r w:rsidR="000C5AB6">
            <w:rPr>
              <w:sz w:val="24"/>
              <w:szCs w:val="24"/>
            </w:rPr>
            <w:fldChar w:fldCharType="separate"/>
          </w:r>
          <w:r w:rsidR="00062BB9" w:rsidRPr="00062BB9">
            <w:rPr>
              <w:noProof/>
              <w:sz w:val="24"/>
              <w:szCs w:val="24"/>
            </w:rPr>
            <w:t>(Law, 2014)</w:t>
          </w:r>
          <w:r w:rsidR="000C5AB6">
            <w:rPr>
              <w:sz w:val="24"/>
              <w:szCs w:val="24"/>
            </w:rPr>
            <w:fldChar w:fldCharType="end"/>
          </w:r>
        </w:sdtContent>
      </w:sdt>
      <w:r w:rsidR="00806BC3">
        <w:rPr>
          <w:sz w:val="24"/>
          <w:szCs w:val="24"/>
        </w:rPr>
        <w:t xml:space="preserve">. </w:t>
      </w:r>
    </w:p>
    <w:p w:rsidR="001A6B7A" w:rsidRPr="004F3637" w:rsidRDefault="00776867" w:rsidP="004F3637">
      <w:pPr>
        <w:pStyle w:val="Heading3"/>
        <w:rPr>
          <w:sz w:val="28"/>
        </w:rPr>
      </w:pPr>
      <w:bookmarkStart w:id="9" w:name="_Toc425516475"/>
      <w:r>
        <w:rPr>
          <w:sz w:val="28"/>
        </w:rPr>
        <w:t>2</w:t>
      </w:r>
      <w:r w:rsidR="004F3637" w:rsidRPr="004F3637">
        <w:rPr>
          <w:sz w:val="28"/>
        </w:rPr>
        <w:t>.3.2</w:t>
      </w:r>
      <w:r w:rsidR="004F3637">
        <w:rPr>
          <w:sz w:val="28"/>
        </w:rPr>
        <w:t>.</w:t>
      </w:r>
      <w:r w:rsidR="004F3637" w:rsidRPr="004F3637">
        <w:rPr>
          <w:sz w:val="28"/>
        </w:rPr>
        <w:t xml:space="preserve"> </w:t>
      </w:r>
      <w:r w:rsidR="001A6B7A" w:rsidRPr="004F3637">
        <w:rPr>
          <w:sz w:val="28"/>
        </w:rPr>
        <w:t>Resultaatbepaling</w:t>
      </w:r>
      <w:bookmarkEnd w:id="9"/>
    </w:p>
    <w:p w:rsidR="00806BC3" w:rsidRDefault="00806BC3" w:rsidP="006E3FF9">
      <w:pPr>
        <w:spacing w:line="360" w:lineRule="auto"/>
        <w:jc w:val="both"/>
        <w:rPr>
          <w:sz w:val="24"/>
          <w:szCs w:val="24"/>
        </w:rPr>
      </w:pPr>
      <w:r>
        <w:rPr>
          <w:sz w:val="24"/>
          <w:szCs w:val="24"/>
        </w:rPr>
        <w:t>Voor de resultaatbepaling is de afschrijving op een materieel vast actief van bepalend belang</w:t>
      </w:r>
      <w:r w:rsidR="001A6B7A">
        <w:rPr>
          <w:sz w:val="24"/>
          <w:szCs w:val="24"/>
        </w:rPr>
        <w:t>.</w:t>
      </w:r>
      <w:r>
        <w:rPr>
          <w:sz w:val="24"/>
          <w:szCs w:val="24"/>
        </w:rPr>
        <w:t xml:space="preserve"> De regelgeving stelt dat op vaste activa met beperkte gebruiksduur jaarlijks afzonderlijk wordt afgeschreven volgens een stelsel dat op de verwachte toekomstige gebruiksduur is afgestemd</w:t>
      </w:r>
      <w:r>
        <w:rPr>
          <w:rStyle w:val="FootnoteReference"/>
          <w:sz w:val="24"/>
          <w:szCs w:val="24"/>
        </w:rPr>
        <w:footnoteReference w:id="16"/>
      </w:r>
      <w:r>
        <w:rPr>
          <w:sz w:val="24"/>
          <w:szCs w:val="24"/>
        </w:rPr>
        <w:t xml:space="preserve">. Een beperkte gebruiksduur hangt samen met technische of economische slijtage; dit betekent dat op grond </w:t>
      </w:r>
      <w:proofErr w:type="gramStart"/>
      <w:r>
        <w:rPr>
          <w:sz w:val="24"/>
          <w:szCs w:val="24"/>
        </w:rPr>
        <w:t>in het algemeen</w:t>
      </w:r>
      <w:proofErr w:type="gramEnd"/>
      <w:r>
        <w:rPr>
          <w:sz w:val="24"/>
          <w:szCs w:val="24"/>
        </w:rPr>
        <w:t xml:space="preserve"> niet wordt afgeschreven omdat er geen sprake is van slijtage. Afschrijving dient aan te vangen op het moment dat het actief voor het beoogde gebruik beschikbaar is</w:t>
      </w:r>
      <w:r>
        <w:rPr>
          <w:rStyle w:val="FootnoteReference"/>
          <w:sz w:val="24"/>
          <w:szCs w:val="24"/>
        </w:rPr>
        <w:footnoteReference w:id="17"/>
      </w:r>
      <w:r>
        <w:rPr>
          <w:sz w:val="24"/>
          <w:szCs w:val="24"/>
        </w:rPr>
        <w:t xml:space="preserve">. Het achterwege laten van afschrijvingen op grond van de overweging dat de waarde van het actief is gestegen, is niet </w:t>
      </w:r>
      <w:r w:rsidR="0024076F">
        <w:rPr>
          <w:sz w:val="24"/>
          <w:szCs w:val="24"/>
        </w:rPr>
        <w:t>toegestaan</w:t>
      </w:r>
      <w:r w:rsidR="0024076F">
        <w:rPr>
          <w:rStyle w:val="FootnoteReference"/>
          <w:sz w:val="24"/>
          <w:szCs w:val="24"/>
        </w:rPr>
        <w:t xml:space="preserve">·. </w:t>
      </w:r>
      <w:r w:rsidR="00E23429">
        <w:rPr>
          <w:sz w:val="24"/>
          <w:szCs w:val="24"/>
        </w:rPr>
        <w:t>De afschrijvingskosten worden normaliter verwerkt in de winst-en-verliesrekening, tenzij deze worden verwerkt in de boekwaarde van een ander actief (bijvoorbeeld voorraden)</w:t>
      </w:r>
      <w:r w:rsidR="00E23429">
        <w:rPr>
          <w:rStyle w:val="FootnoteReference"/>
          <w:sz w:val="24"/>
          <w:szCs w:val="24"/>
        </w:rPr>
        <w:footnoteReference w:id="18"/>
      </w:r>
      <w:r w:rsidR="00E23429">
        <w:rPr>
          <w:sz w:val="24"/>
          <w:szCs w:val="24"/>
        </w:rPr>
        <w:t xml:space="preserve">. </w:t>
      </w:r>
      <w:r>
        <w:rPr>
          <w:sz w:val="24"/>
          <w:szCs w:val="24"/>
        </w:rPr>
        <w:t>Afschrijvingen dienen onafhankelijk van het resultaat van het boekjaar te geschieden</w:t>
      </w:r>
      <w:r w:rsidR="00E36BB8">
        <w:rPr>
          <w:rStyle w:val="FootnoteReference"/>
          <w:sz w:val="24"/>
          <w:szCs w:val="24"/>
        </w:rPr>
        <w:footnoteReference w:id="19"/>
      </w:r>
      <w:r>
        <w:rPr>
          <w:sz w:val="24"/>
          <w:szCs w:val="24"/>
        </w:rPr>
        <w:t>. De afschrijvingen dienen stelselmatig aan de gebruiksduur te worden toegerekend</w:t>
      </w:r>
      <w:r w:rsidR="00E36BB8">
        <w:rPr>
          <w:rStyle w:val="FootnoteReference"/>
          <w:sz w:val="24"/>
          <w:szCs w:val="24"/>
        </w:rPr>
        <w:footnoteReference w:id="20"/>
      </w:r>
      <w:r>
        <w:rPr>
          <w:sz w:val="24"/>
          <w:szCs w:val="24"/>
        </w:rPr>
        <w:t xml:space="preserve">. De eis van stelselmatige bepaling van de hoogte van de afschrijvingen impliceert dat een afschrijvingsmethode wordt gekozen die gebaseerd is op het verwachte gebruikspatroon van het actief, </w:t>
      </w:r>
      <w:proofErr w:type="gramStart"/>
      <w:r>
        <w:rPr>
          <w:sz w:val="24"/>
          <w:szCs w:val="24"/>
        </w:rPr>
        <w:t>overeenkomstig</w:t>
      </w:r>
      <w:proofErr w:type="gramEnd"/>
      <w:r>
        <w:rPr>
          <w:sz w:val="24"/>
          <w:szCs w:val="24"/>
        </w:rPr>
        <w:t xml:space="preserve"> de aanwending van de toekomstige prestatie-eenheden van het actief</w:t>
      </w:r>
      <w:r w:rsidR="00E36BB8">
        <w:rPr>
          <w:rStyle w:val="FootnoteReference"/>
          <w:sz w:val="24"/>
          <w:szCs w:val="24"/>
        </w:rPr>
        <w:footnoteReference w:id="21"/>
      </w:r>
      <w:r w:rsidR="001A6B7A">
        <w:rPr>
          <w:sz w:val="24"/>
          <w:szCs w:val="24"/>
        </w:rPr>
        <w:t>. De volgende afschrijvingsmethode</w:t>
      </w:r>
      <w:r w:rsidR="00E23429">
        <w:rPr>
          <w:sz w:val="24"/>
          <w:szCs w:val="24"/>
        </w:rPr>
        <w:t>s</w:t>
      </w:r>
      <w:r w:rsidR="001A6B7A">
        <w:rPr>
          <w:sz w:val="24"/>
          <w:szCs w:val="24"/>
        </w:rPr>
        <w:t xml:space="preserve"> zijn toegestaan conform de Richtlijnen en IFRS</w:t>
      </w:r>
      <w:r w:rsidR="00E36BB8">
        <w:rPr>
          <w:rStyle w:val="FootnoteReference"/>
          <w:sz w:val="24"/>
          <w:szCs w:val="24"/>
        </w:rPr>
        <w:footnoteReference w:id="22"/>
      </w:r>
      <w:r w:rsidR="001A6B7A">
        <w:rPr>
          <w:sz w:val="24"/>
          <w:szCs w:val="24"/>
        </w:rPr>
        <w:t>:</w:t>
      </w:r>
    </w:p>
    <w:p w:rsidR="001A6B7A" w:rsidRDefault="001A6B7A" w:rsidP="001A6B7A">
      <w:pPr>
        <w:pStyle w:val="ListParagraph"/>
        <w:numPr>
          <w:ilvl w:val="0"/>
          <w:numId w:val="1"/>
        </w:numPr>
        <w:spacing w:line="276" w:lineRule="auto"/>
        <w:jc w:val="both"/>
        <w:rPr>
          <w:sz w:val="24"/>
          <w:szCs w:val="24"/>
        </w:rPr>
      </w:pPr>
      <w:r>
        <w:rPr>
          <w:sz w:val="24"/>
          <w:szCs w:val="24"/>
        </w:rPr>
        <w:t>lineaire afschrijvingsmethode;</w:t>
      </w:r>
    </w:p>
    <w:p w:rsidR="001A6B7A" w:rsidRDefault="001A6B7A" w:rsidP="001A6B7A">
      <w:pPr>
        <w:pStyle w:val="ListParagraph"/>
        <w:numPr>
          <w:ilvl w:val="0"/>
          <w:numId w:val="1"/>
        </w:numPr>
        <w:spacing w:line="276" w:lineRule="auto"/>
        <w:jc w:val="both"/>
        <w:rPr>
          <w:sz w:val="24"/>
          <w:szCs w:val="24"/>
        </w:rPr>
      </w:pPr>
      <w:r>
        <w:rPr>
          <w:sz w:val="24"/>
          <w:szCs w:val="24"/>
        </w:rPr>
        <w:t>afschrijving op basis van de intensitei</w:t>
      </w:r>
      <w:r w:rsidR="00247AA1">
        <w:rPr>
          <w:sz w:val="24"/>
          <w:szCs w:val="24"/>
        </w:rPr>
        <w:t>t van het gebruik van de activa;</w:t>
      </w:r>
    </w:p>
    <w:p w:rsidR="00247AA1" w:rsidRPr="00247AA1" w:rsidRDefault="00247AA1" w:rsidP="00247AA1">
      <w:pPr>
        <w:pStyle w:val="ListParagraph"/>
        <w:numPr>
          <w:ilvl w:val="0"/>
          <w:numId w:val="1"/>
        </w:numPr>
        <w:spacing w:line="276" w:lineRule="auto"/>
        <w:jc w:val="both"/>
        <w:rPr>
          <w:sz w:val="24"/>
          <w:szCs w:val="24"/>
        </w:rPr>
      </w:pPr>
      <w:r>
        <w:rPr>
          <w:sz w:val="24"/>
          <w:szCs w:val="24"/>
        </w:rPr>
        <w:t>degressieve afschrijvingsmethode (bijvoorbeeld op basis van de boekwaarde).</w:t>
      </w:r>
    </w:p>
    <w:p w:rsidR="002D440A" w:rsidRPr="002D440A" w:rsidRDefault="001A6B7A" w:rsidP="002D440A">
      <w:pPr>
        <w:pStyle w:val="ListParagraph"/>
        <w:spacing w:line="276" w:lineRule="auto"/>
        <w:jc w:val="both"/>
        <w:rPr>
          <w:sz w:val="24"/>
          <w:szCs w:val="24"/>
        </w:rPr>
      </w:pPr>
      <w:r>
        <w:rPr>
          <w:sz w:val="24"/>
          <w:szCs w:val="24"/>
        </w:rPr>
        <w:lastRenderedPageBreak/>
        <w:t xml:space="preserve">Afschrijving op annuïteitenbasis is niet toegestaan. Zie </w:t>
      </w:r>
      <w:r w:rsidR="00877295">
        <w:rPr>
          <w:sz w:val="24"/>
          <w:szCs w:val="24"/>
        </w:rPr>
        <w:t>figuur</w:t>
      </w:r>
      <w:r w:rsidR="00E36BB8">
        <w:rPr>
          <w:sz w:val="24"/>
          <w:szCs w:val="24"/>
        </w:rPr>
        <w:t xml:space="preserve"> </w:t>
      </w:r>
      <w:r w:rsidR="00994255">
        <w:rPr>
          <w:sz w:val="24"/>
          <w:szCs w:val="24"/>
        </w:rPr>
        <w:t>1, 2 en 3</w:t>
      </w:r>
      <w:r>
        <w:rPr>
          <w:sz w:val="24"/>
          <w:szCs w:val="24"/>
        </w:rPr>
        <w:t xml:space="preserve"> voor voorbeelden van </w:t>
      </w:r>
      <w:r w:rsidR="00994255">
        <w:rPr>
          <w:sz w:val="24"/>
          <w:szCs w:val="24"/>
        </w:rPr>
        <w:t xml:space="preserve">bovenstaande </w:t>
      </w:r>
      <w:r>
        <w:rPr>
          <w:sz w:val="24"/>
          <w:szCs w:val="24"/>
        </w:rPr>
        <w:t>afschrijvingsmethoden</w:t>
      </w:r>
      <w:r w:rsidR="009651A6">
        <w:rPr>
          <w:rStyle w:val="FootnoteReference"/>
          <w:sz w:val="24"/>
          <w:szCs w:val="24"/>
        </w:rPr>
        <w:footnoteReference w:id="23"/>
      </w:r>
      <w:r>
        <w:rPr>
          <w:sz w:val="24"/>
          <w:szCs w:val="24"/>
        </w:rPr>
        <w:t>.</w:t>
      </w:r>
    </w:p>
    <w:p w:rsidR="009651A6" w:rsidRDefault="000C5AB6" w:rsidP="004F3637">
      <w:pPr>
        <w:spacing w:line="276" w:lineRule="auto"/>
        <w:jc w:val="both"/>
        <w:rPr>
          <w:sz w:val="24"/>
          <w:szCs w:val="24"/>
        </w:rPr>
      </w:pPr>
      <w:r w:rsidRPr="000C5AB6">
        <w:rPr>
          <w:noProof/>
          <w:sz w:val="24"/>
          <w:szCs w:val="24"/>
          <w:lang w:val="en-GB" w:eastAsia="en-GB"/>
        </w:rPr>
        <w:pict>
          <v:rect id="Rechthoek 4" o:spid="_x0000_s1026" style="position:absolute;left:0;text-align:left;margin-left:0;margin-top:3.35pt;width:64.5pt;height:20.2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" fillcolor="white [3201]" strokecolor="#5b9bd5 [3204]" strokeweight="1pt">
            <v:textbox>
              <w:txbxContent>
                <w:p w:rsidR="00776867" w:rsidRDefault="00776867" w:rsidP="004C53F5">
                  <w:pPr>
                    <w:jc w:val="center"/>
                  </w:pPr>
                  <w:r>
                    <w:t>Figuur 1</w:t>
                  </w:r>
                </w:p>
              </w:txbxContent>
            </v:textbox>
            <w10:wrap anchorx="margin"/>
          </v:rect>
        </w:pict>
      </w:r>
    </w:p>
    <w:p w:rsidR="004F3637" w:rsidRDefault="000C5AB6" w:rsidP="006E3FF9">
      <w:pPr>
        <w:spacing w:line="360" w:lineRule="auto"/>
        <w:jc w:val="both"/>
        <w:rPr>
          <w:sz w:val="24"/>
          <w:szCs w:val="24"/>
        </w:rPr>
      </w:pPr>
      <w:r w:rsidRPr="000C5AB6">
        <w:rPr>
          <w:noProof/>
          <w:sz w:val="24"/>
          <w:szCs w:val="24"/>
          <w:lang w:val="en-GB" w:eastAsia="en-GB"/>
        </w:rPr>
        <w:pict>
          <v:rect id="Rechthoek 1" o:spid="_x0000_s1027" style="position:absolute;left:0;text-align:left;margin-left:0;margin-top:.3pt;width:453.75pt;height:151.5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" fillcolor="white [3201]" strokecolor="#5b9bd5 [3204]" strokeweight="1pt">
            <v:textbox>
              <w:txbxContent>
                <w:p w:rsidR="00776867" w:rsidRPr="009651A6" w:rsidRDefault="00776867" w:rsidP="009651A6">
                  <w:pPr>
                    <w:rPr>
                      <w:b/>
                    </w:rPr>
                  </w:pPr>
                  <w:r w:rsidRPr="009651A6">
                    <w:rPr>
                      <w:b/>
                    </w:rPr>
                    <w:t>Afschrijvingsmethode 1: Lineaire afschrijving</w:t>
                  </w:r>
                </w:p>
                <w:p w:rsidR="00776867" w:rsidRDefault="00776867" w:rsidP="009651A6">
                  <w:r>
                    <w:t>Stel, van een materieel vast actief zijn de volgende gegevens bekend:</w:t>
                  </w:r>
                </w:p>
                <w:p w:rsidR="00776867" w:rsidRDefault="00776867" w:rsidP="009651A6">
                  <w:pPr>
                    <w:pStyle w:val="ListParagraph"/>
                    <w:numPr>
                      <w:ilvl w:val="0"/>
                      <w:numId w:val="6"/>
                    </w:numPr>
                    <w:spacing w:line="276" w:lineRule="auto"/>
                  </w:pPr>
                  <w:r>
                    <w:t>Aanschafdatum 1 januari 2013;</w:t>
                  </w:r>
                </w:p>
                <w:p w:rsidR="00776867" w:rsidRDefault="00776867" w:rsidP="009651A6">
                  <w:pPr>
                    <w:pStyle w:val="ListParagraph"/>
                    <w:numPr>
                      <w:ilvl w:val="0"/>
                      <w:numId w:val="6"/>
                    </w:numPr>
                    <w:spacing w:line="276" w:lineRule="auto"/>
                  </w:pPr>
                  <w:r>
                    <w:t>Aanschafprijs € 220.000;</w:t>
                  </w:r>
                </w:p>
                <w:p w:rsidR="00776867" w:rsidRDefault="00776867" w:rsidP="009651A6">
                  <w:pPr>
                    <w:pStyle w:val="ListParagraph"/>
                    <w:numPr>
                      <w:ilvl w:val="0"/>
                      <w:numId w:val="6"/>
                    </w:numPr>
                    <w:spacing w:line="276" w:lineRule="auto"/>
                  </w:pPr>
                  <w:r>
                    <w:t>Geschatte economische gebruiksduur 5 jaar (n = 5 jaar);</w:t>
                  </w:r>
                </w:p>
                <w:p w:rsidR="00776867" w:rsidRDefault="00776867" w:rsidP="009651A6">
                  <w:pPr>
                    <w:pStyle w:val="ListParagraph"/>
                    <w:numPr>
                      <w:ilvl w:val="0"/>
                      <w:numId w:val="6"/>
                    </w:numPr>
                    <w:spacing w:line="276" w:lineRule="auto"/>
                  </w:pPr>
                  <w:r>
                    <w:t>Geschatte restwaarde aan het eind van het 5</w:t>
                  </w:r>
                  <w:r w:rsidRPr="009651A6">
                    <w:rPr>
                      <w:vertAlign w:val="superscript"/>
                    </w:rPr>
                    <w:t>e</w:t>
                  </w:r>
                  <w:r>
                    <w:t xml:space="preserve"> jaar € 20.000;</w:t>
                  </w:r>
                </w:p>
                <w:p w:rsidR="00776867" w:rsidRDefault="00776867" w:rsidP="009651A6">
                  <w:pPr>
                    <w:pStyle w:val="ListParagraph"/>
                    <w:numPr>
                      <w:ilvl w:val="0"/>
                      <w:numId w:val="6"/>
                    </w:numPr>
                    <w:spacing w:line="276" w:lineRule="auto"/>
                  </w:pPr>
                  <w:r>
                    <w:t>Geschat aantal productieve uren 25.000.</w:t>
                  </w:r>
                </w:p>
                <w:p w:rsidR="00776867" w:rsidRDefault="00776867" w:rsidP="009651A6">
                  <w:pPr>
                    <w:spacing w:line="276" w:lineRule="auto"/>
                    <w:ind w:left="360"/>
                  </w:pPr>
                  <w:r>
                    <w:t xml:space="preserve">Afschrijvingsbedrag per periode (€ 220.000 - € </w:t>
                  </w:r>
                  <w:proofErr w:type="gramStart"/>
                  <w:r>
                    <w:t>20.000) :</w:t>
                  </w:r>
                  <w:proofErr w:type="gramEnd"/>
                  <w:r>
                    <w:t xml:space="preserve"> 5 = € 40.000</w:t>
                  </w:r>
                </w:p>
                <w:p w:rsidR="00776867" w:rsidRDefault="00776867" w:rsidP="009651A6">
                  <w:pPr>
                    <w:spacing w:line="276" w:lineRule="auto"/>
                  </w:pPr>
                </w:p>
                <w:p w:rsidR="00776867" w:rsidRDefault="00776867" w:rsidP="009651A6">
                  <w:pPr>
                    <w:spacing w:line="276" w:lineRule="auto"/>
                  </w:pPr>
                </w:p>
                <w:p w:rsidR="00776867" w:rsidRDefault="00776867" w:rsidP="009651A6">
                  <w:pPr>
                    <w:spacing w:line="276" w:lineRule="auto"/>
                  </w:pPr>
                </w:p>
                <w:p w:rsidR="00776867" w:rsidRDefault="00776867" w:rsidP="009651A6">
                  <w:pPr>
                    <w:spacing w:line="276" w:lineRule="auto"/>
                  </w:pPr>
                </w:p>
                <w:p w:rsidR="00776867" w:rsidRDefault="00776867" w:rsidP="009651A6">
                  <w:pPr>
                    <w:spacing w:line="276" w:lineRule="auto"/>
                  </w:pPr>
                </w:p>
                <w:p w:rsidR="00776867" w:rsidRDefault="00776867" w:rsidP="009651A6">
                  <w:pPr>
                    <w:spacing w:line="276" w:lineRule="auto"/>
                  </w:pPr>
                </w:p>
              </w:txbxContent>
            </v:textbox>
            <w10:wrap anchorx="margin"/>
          </v:rect>
        </w:pict>
      </w:r>
    </w:p>
    <w:p w:rsidR="004F3637" w:rsidRDefault="004F3637" w:rsidP="006E3FF9">
      <w:pPr>
        <w:spacing w:line="360" w:lineRule="auto"/>
        <w:jc w:val="both"/>
        <w:rPr>
          <w:sz w:val="24"/>
          <w:szCs w:val="24"/>
        </w:rPr>
      </w:pPr>
    </w:p>
    <w:p w:rsidR="004F3637" w:rsidRDefault="004F3637" w:rsidP="006E3FF9">
      <w:pPr>
        <w:spacing w:line="360" w:lineRule="auto"/>
        <w:jc w:val="both"/>
        <w:rPr>
          <w:sz w:val="24"/>
          <w:szCs w:val="24"/>
        </w:rPr>
      </w:pPr>
    </w:p>
    <w:p w:rsidR="004F3637" w:rsidRDefault="004F3637" w:rsidP="006E3FF9">
      <w:pPr>
        <w:spacing w:line="360" w:lineRule="auto"/>
        <w:jc w:val="both"/>
        <w:rPr>
          <w:sz w:val="24"/>
          <w:szCs w:val="24"/>
        </w:rPr>
      </w:pPr>
    </w:p>
    <w:p w:rsidR="004F3637" w:rsidRDefault="004F3637" w:rsidP="006E3FF9">
      <w:pPr>
        <w:spacing w:line="360" w:lineRule="auto"/>
        <w:jc w:val="both"/>
        <w:rPr>
          <w:sz w:val="24"/>
          <w:szCs w:val="24"/>
        </w:rPr>
      </w:pPr>
    </w:p>
    <w:p w:rsidR="004F3637" w:rsidRDefault="004F3637" w:rsidP="006E3FF9">
      <w:pPr>
        <w:spacing w:line="360" w:lineRule="auto"/>
        <w:jc w:val="both"/>
        <w:rPr>
          <w:sz w:val="24"/>
          <w:szCs w:val="24"/>
        </w:rPr>
      </w:pPr>
    </w:p>
    <w:p w:rsidR="002C50DA" w:rsidRDefault="000C5AB6" w:rsidP="006E3FF9">
      <w:pPr>
        <w:spacing w:line="360" w:lineRule="auto"/>
        <w:jc w:val="both"/>
        <w:rPr>
          <w:sz w:val="24"/>
          <w:szCs w:val="24"/>
        </w:rPr>
      </w:pPr>
      <w:r w:rsidRPr="000C5AB6">
        <w:rPr>
          <w:noProof/>
          <w:sz w:val="24"/>
          <w:szCs w:val="24"/>
          <w:lang w:val="en-GB" w:eastAsia="en-GB"/>
        </w:rPr>
        <w:pict>
          <v:rect id="Rechthoek 6" o:spid="_x0000_s1028" style="position:absolute;left:0;text-align:left;margin-left:0;margin-top:17.05pt;width:66pt;height:21pt;z-index:25166438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" fillcolor="white [3201]" strokecolor="#5b9bd5 [3204]" strokeweight="1pt">
            <v:textbox>
              <w:txbxContent>
                <w:p w:rsidR="00776867" w:rsidRDefault="00776867" w:rsidP="002C50DA">
                  <w:pPr>
                    <w:jc w:val="center"/>
                  </w:pPr>
                  <w:r>
                    <w:t>Figuur 2</w:t>
                  </w:r>
                </w:p>
              </w:txbxContent>
            </v:textbox>
            <w10:wrap anchorx="margin"/>
          </v:rect>
        </w:pict>
      </w:r>
    </w:p>
    <w:p w:rsidR="00204C40" w:rsidRDefault="000C5AB6" w:rsidP="006E3FF9">
      <w:pPr>
        <w:spacing w:line="360" w:lineRule="auto"/>
        <w:jc w:val="both"/>
        <w:rPr>
          <w:sz w:val="24"/>
          <w:szCs w:val="24"/>
        </w:rPr>
      </w:pPr>
      <w:r w:rsidRPr="000C5AB6">
        <w:rPr>
          <w:noProof/>
          <w:sz w:val="24"/>
          <w:szCs w:val="24"/>
          <w:lang w:val="en-GB" w:eastAsia="en-GB"/>
        </w:rPr>
        <w:pict>
          <v:rect id="Rechthoek 7" o:spid="_x0000_s1029" style="position:absolute;left:0;text-align:left;margin-left:0;margin-top:9.4pt;width:450pt;height:107.25pt;z-index:251665408;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" fillcolor="white [3201]" strokecolor="#5b9bd5 [3204]" strokeweight="1pt">
            <v:textbox>
              <w:txbxContent>
                <w:p w:rsidR="00776867" w:rsidRDefault="00776867" w:rsidP="002B0E1F">
                  <w:pPr>
                    <w:rPr>
                      <w:b/>
                    </w:rPr>
                  </w:pPr>
                  <w:r>
                    <w:rPr>
                      <w:b/>
                    </w:rPr>
                    <w:t>Afschrijvingsmethode 2: Afschrijving op basis van de gebruiksintensiteit</w:t>
                  </w:r>
                </w:p>
                <w:p w:rsidR="00776867" w:rsidRDefault="00776867" w:rsidP="002B0E1F">
                  <w:r>
                    <w:t xml:space="preserve">Tarief per productief uur: (€ 220.000 - € </w:t>
                  </w:r>
                  <w:proofErr w:type="gramStart"/>
                  <w:r>
                    <w:t>20.000) :</w:t>
                  </w:r>
                  <w:proofErr w:type="gramEnd"/>
                  <w:r>
                    <w:t xml:space="preserve"> 25.000 = € 8.</w:t>
                  </w:r>
                </w:p>
                <w:p w:rsidR="00776867" w:rsidRPr="002B0E1F" w:rsidRDefault="00776867" w:rsidP="002B0E1F">
                  <w:pPr>
                    <w:jc w:val="center"/>
                  </w:pPr>
                  <m:oMathPara>
                    <m:oMathParaPr>
                      <m:jc m:val="left"/>
                    </m:oMathParaPr>
                    <m:oMath>
                      <m:r>
                        <w:rPr>
                          <w:rFonts w:ascii="Cambria Math" w:hAnsi="Cambria Math"/>
                        </w:rPr>
                        <m:t>Afschrijving=werkelijke productie uren x tarief</m:t>
                      </m:r>
                    </m:oMath>
                  </m:oMathPara>
                </w:p>
                <w:p w:rsidR="00776867" w:rsidRPr="002B0E1F" w:rsidRDefault="00776867" w:rsidP="002B0E1F">
                  <w:r>
                    <w:t xml:space="preserve">De afschrijving in het laatste gebruiksjaar bedraagt het verschil tussen het in totaal af te schrijven bedrag (€ 200.000) en de in voorgaande gebruiksjaren </w:t>
                  </w:r>
                  <w:proofErr w:type="gramStart"/>
                  <w:r>
                    <w:t>reeds</w:t>
                  </w:r>
                  <w:proofErr w:type="gramEnd"/>
                  <w:r>
                    <w:t xml:space="preserve"> afgeschreven bedragen.</w:t>
                  </w:r>
                </w:p>
                <w:p w:rsidR="00776867" w:rsidRPr="002B0E1F" w:rsidRDefault="00776867" w:rsidP="002B0E1F">
                  <w:pPr>
                    <w:jc w:val="center"/>
                  </w:pPr>
                </w:p>
              </w:txbxContent>
            </v:textbox>
            <w10:wrap anchorx="margin"/>
          </v:rect>
        </w:pict>
      </w:r>
    </w:p>
    <w:p w:rsidR="00204C40" w:rsidRDefault="00204C40" w:rsidP="006E3FF9">
      <w:pPr>
        <w:spacing w:line="360" w:lineRule="auto"/>
        <w:jc w:val="both"/>
        <w:rPr>
          <w:sz w:val="24"/>
          <w:szCs w:val="24"/>
        </w:rPr>
      </w:pPr>
    </w:p>
    <w:p w:rsidR="00204C40" w:rsidRDefault="00204C40" w:rsidP="006E3FF9">
      <w:pPr>
        <w:spacing w:line="360" w:lineRule="auto"/>
        <w:jc w:val="both"/>
        <w:rPr>
          <w:sz w:val="24"/>
          <w:szCs w:val="24"/>
        </w:rPr>
      </w:pPr>
    </w:p>
    <w:p w:rsidR="00204C40" w:rsidRDefault="00204C40" w:rsidP="006E3FF9">
      <w:pPr>
        <w:spacing w:line="360" w:lineRule="auto"/>
        <w:jc w:val="both"/>
        <w:rPr>
          <w:sz w:val="24"/>
          <w:szCs w:val="24"/>
        </w:rPr>
      </w:pPr>
    </w:p>
    <w:p w:rsidR="00A64B5B" w:rsidRDefault="00A64B5B" w:rsidP="006E3FF9">
      <w:pPr>
        <w:spacing w:line="360" w:lineRule="auto"/>
        <w:jc w:val="both"/>
        <w:rPr>
          <w:sz w:val="24"/>
          <w:szCs w:val="24"/>
        </w:rPr>
      </w:pPr>
    </w:p>
    <w:p w:rsidR="004F3637" w:rsidRDefault="004F3637" w:rsidP="006E3FF9">
      <w:pPr>
        <w:spacing w:line="360" w:lineRule="auto"/>
        <w:jc w:val="both"/>
        <w:rPr>
          <w:sz w:val="24"/>
          <w:szCs w:val="24"/>
        </w:rPr>
      </w:pPr>
    </w:p>
    <w:p w:rsidR="00204C40" w:rsidRDefault="000C5AB6" w:rsidP="006E3FF9">
      <w:pPr>
        <w:spacing w:line="360" w:lineRule="auto"/>
        <w:jc w:val="both"/>
        <w:rPr>
          <w:sz w:val="24"/>
          <w:szCs w:val="24"/>
        </w:rPr>
      </w:pPr>
      <w:r w:rsidRPr="000C5AB6">
        <w:rPr>
          <w:noProof/>
          <w:sz w:val="24"/>
          <w:szCs w:val="24"/>
          <w:lang w:val="en-GB" w:eastAsia="en-GB"/>
        </w:rPr>
        <w:pict>
          <v:rect id="Rechthoek 9" o:spid="_x0000_s1030" style="position:absolute;left:0;text-align:left;margin-left:0;margin-top:-20.6pt;width:60pt;height:20.25pt;z-index:251666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" fillcolor="white [3201]" strokecolor="#5b9bd5 [3204]" strokeweight="1pt">
            <v:textbox>
              <w:txbxContent>
                <w:p w:rsidR="00776867" w:rsidRDefault="00776867" w:rsidP="002B0E1F">
                  <w:pPr>
                    <w:jc w:val="center"/>
                  </w:pPr>
                  <w:r>
                    <w:t>Figuur 3</w:t>
                  </w:r>
                </w:p>
              </w:txbxContent>
            </v:textbox>
            <w10:wrap anchorx="margin"/>
          </v:rect>
        </w:pict>
      </w:r>
      <w:r w:rsidRPr="000C5AB6">
        <w:rPr>
          <w:noProof/>
          <w:sz w:val="24"/>
          <w:szCs w:val="24"/>
          <w:lang w:val="en-GB" w:eastAsia="en-GB"/>
        </w:rPr>
        <w:pict>
          <v:rect id="Rechthoek 5" o:spid="_x0000_s1031" style="position:absolute;left:0;text-align:left;margin-left:0;margin-top:-.25pt;width:451.5pt;height:283.5pt;z-index:2516633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" fillcolor="white [3201]" strokecolor="#5b9bd5 [3204]" strokeweight="1pt">
            <v:textbox>
              <w:txbxContent>
                <w:p w:rsidR="00776867" w:rsidRDefault="00776867" w:rsidP="00204C40">
                  <w:pPr>
                    <w:rPr>
                      <w:b/>
                    </w:rPr>
                  </w:pPr>
                  <w:r>
                    <w:rPr>
                      <w:b/>
                    </w:rPr>
                    <w:t>Afschrijvingsmethode 3: A</w:t>
                  </w:r>
                  <w:r w:rsidRPr="00204C40">
                    <w:rPr>
                      <w:b/>
                    </w:rPr>
                    <w:t>fschrijving volgens een vast percentage van de boekwaarde</w:t>
                  </w:r>
                </w:p>
                <w:p w:rsidR="00776867" w:rsidRDefault="00776867" w:rsidP="00204C40">
                  <w:r>
                    <w:t>Het afschrijvingspercentage valt te berekenen met de volgende formule:</w:t>
                  </w:r>
                </w:p>
                <w:p w:rsidR="00776867" w:rsidRPr="00FF0A9F" w:rsidRDefault="00776867" w:rsidP="00204C40">
                  <m:oMathPara>
                    <m:oMath>
                      <m:r>
                        <w:rPr>
                          <w:rFonts w:ascii="Cambria Math" w:hAnsi="Cambria Math"/>
                        </w:rPr>
                        <m:t xml:space="preserve">Vast percentage boekwaarde= </m:t>
                      </m:r>
                      <m:d>
                        <m:dPr>
                          <m:begChr m:val="{"/>
                          <m:endChr m:val="}"/>
                          <m:ctrlPr>
                            <w:rPr>
                              <w:rFonts w:ascii="Cambria Math" w:hAnsi="Cambria Math"/>
                              <w:i/>
                            </w:rPr>
                          </m:ctrlPr>
                        </m:dPr>
                        <m:e>
                          <m:r>
                            <w:rPr>
                              <w:rFonts w:ascii="Cambria Math" w:hAnsi="Cambria Math"/>
                            </w:rPr>
                            <m:t>1-(</m:t>
                          </m:r>
                          <m:sSup>
                            <m:sSupPr>
                              <m:ctrlPr>
                                <w:rPr>
                                  <w:rFonts w:ascii="Cambria Math" w:hAnsi="Cambria Math"/>
                                  <w:i/>
                                </w:rPr>
                              </m:ctrlPr>
                            </m:sSupPr>
                            <m:e>
                              <m:f>
                                <m:fPr>
                                  <m:ctrlPr>
                                    <w:rPr>
                                      <w:rFonts w:ascii="Cambria Math" w:hAnsi="Cambria Math"/>
                                      <w:i/>
                                    </w:rPr>
                                  </m:ctrlPr>
                                </m:fPr>
                                <m:num>
                                  <m:r>
                                    <w:rPr>
                                      <w:rFonts w:ascii="Cambria Math" w:hAnsi="Cambria Math"/>
                                    </w:rPr>
                                    <m:t>restwaarde</m:t>
                                  </m:r>
                                </m:num>
                                <m:den>
                                  <m:r>
                                    <w:rPr>
                                      <w:rFonts w:ascii="Cambria Math" w:hAnsi="Cambria Math"/>
                                    </w:rPr>
                                    <m:t>aanschafwaarde</m:t>
                                  </m:r>
                                </m:den>
                              </m:f>
                              <m:r>
                                <w:rPr>
                                  <w:rFonts w:ascii="Cambria Math" w:hAnsi="Cambria Math"/>
                                </w:rPr>
                                <m:t xml:space="preserve"> ) </m:t>
                              </m:r>
                            </m:e>
                            <m:sup>
                              <m:f>
                                <m:fPr>
                                  <m:ctrlPr>
                                    <w:rPr>
                                      <w:rFonts w:ascii="Cambria Math" w:hAnsi="Cambria Math"/>
                                      <w:i/>
                                    </w:rPr>
                                  </m:ctrlPr>
                                </m:fPr>
                                <m:num>
                                  <m:r>
                                    <w:rPr>
                                      <w:rFonts w:ascii="Cambria Math" w:hAnsi="Cambria Math"/>
                                    </w:rPr>
                                    <m:t>1</m:t>
                                  </m:r>
                                </m:num>
                                <m:den>
                                  <m:r>
                                    <w:rPr>
                                      <w:rFonts w:ascii="Cambria Math" w:hAnsi="Cambria Math"/>
                                    </w:rPr>
                                    <m:t>n</m:t>
                                  </m:r>
                                </m:den>
                              </m:f>
                            </m:sup>
                          </m:sSup>
                          <m:r>
                            <w:rPr>
                              <w:rFonts w:ascii="Cambria Math" w:hAnsi="Cambria Math"/>
                            </w:rPr>
                            <m:t xml:space="preserve"> </m:t>
                          </m:r>
                        </m:e>
                      </m:d>
                      <m:r>
                        <w:rPr>
                          <w:rFonts w:ascii="Cambria Math" w:hAnsi="Cambria Math"/>
                        </w:rPr>
                        <m:t>x 100%</m:t>
                      </m:r>
                    </m:oMath>
                  </m:oMathPara>
                </w:p>
                <w:p w:rsidR="00776867" w:rsidRPr="00FF0A9F" w:rsidRDefault="00776867" w:rsidP="00204C40">
                  <w:r>
                    <w:t>Invullen van de bekende gegevens geeft een afschrijvingspercentage van 38,09561%. Gedurende de komende 5 jaar leidt dit tot de volgende afschrijvingen:</w:t>
                  </w:r>
                </w:p>
                <w:tbl>
                  <w:tblPr>
                    <w:tblStyle w:val="PlainTable1"/>
                    <w:tblW w:w="0" w:type="auto"/>
                    <w:tblLook w:val="04A0"/>
                  </w:tblPr>
                  <w:tblGrid>
                    <w:gridCol w:w="2218"/>
                    <w:gridCol w:w="2238"/>
                    <w:gridCol w:w="2242"/>
                    <w:gridCol w:w="2239"/>
                  </w:tblGrid>
                  <w:tr w:rsidR="00776867" w:rsidTr="005F3BA5">
                    <w:trPr>
                      <w:cnfStyle w:val="100000000000"/>
                    </w:trPr>
                    <w:tc>
                      <w:tcPr>
                        <w:cnfStyle w:val="001000000000"/>
                        <w:tcW w:w="2265" w:type="dxa"/>
                      </w:tcPr>
                      <w:p w:rsidR="00776867" w:rsidRDefault="00776867" w:rsidP="00FF0A9F">
                        <w:pPr>
                          <w:spacing w:line="360" w:lineRule="auto"/>
                          <w:jc w:val="center"/>
                          <w:rPr>
                            <w:sz w:val="24"/>
                            <w:szCs w:val="24"/>
                          </w:rPr>
                        </w:pPr>
                        <w:r>
                          <w:rPr>
                            <w:sz w:val="24"/>
                            <w:szCs w:val="24"/>
                          </w:rPr>
                          <w:t>Jaar</w:t>
                        </w:r>
                      </w:p>
                    </w:tc>
                    <w:tc>
                      <w:tcPr>
                        <w:tcW w:w="2265" w:type="dxa"/>
                      </w:tcPr>
                      <w:p w:rsidR="00776867" w:rsidRDefault="00776867" w:rsidP="00FF0A9F">
                        <w:pPr>
                          <w:spacing w:line="360" w:lineRule="auto"/>
                          <w:jc w:val="center"/>
                          <w:cnfStyle w:val="100000000000"/>
                          <w:rPr>
                            <w:sz w:val="24"/>
                            <w:szCs w:val="24"/>
                          </w:rPr>
                        </w:pPr>
                        <w:r>
                          <w:rPr>
                            <w:sz w:val="24"/>
                            <w:szCs w:val="24"/>
                          </w:rPr>
                          <w:t>Afschrijving (in %)</w:t>
                        </w:r>
                      </w:p>
                    </w:tc>
                    <w:tc>
                      <w:tcPr>
                        <w:tcW w:w="2266" w:type="dxa"/>
                      </w:tcPr>
                      <w:p w:rsidR="00776867" w:rsidRDefault="00776867" w:rsidP="00FF0A9F">
                        <w:pPr>
                          <w:spacing w:line="360" w:lineRule="auto"/>
                          <w:jc w:val="center"/>
                          <w:cnfStyle w:val="100000000000"/>
                          <w:rPr>
                            <w:sz w:val="24"/>
                            <w:szCs w:val="24"/>
                          </w:rPr>
                        </w:pPr>
                        <w:r>
                          <w:rPr>
                            <w:sz w:val="24"/>
                            <w:szCs w:val="24"/>
                          </w:rPr>
                          <w:t>Boekwaarde 01/01</w:t>
                        </w:r>
                      </w:p>
                    </w:tc>
                    <w:tc>
                      <w:tcPr>
                        <w:tcW w:w="2266" w:type="dxa"/>
                      </w:tcPr>
                      <w:p w:rsidR="00776867" w:rsidRDefault="00776867" w:rsidP="00FF0A9F">
                        <w:pPr>
                          <w:spacing w:line="360" w:lineRule="auto"/>
                          <w:jc w:val="center"/>
                          <w:cnfStyle w:val="100000000000"/>
                          <w:rPr>
                            <w:sz w:val="24"/>
                            <w:szCs w:val="24"/>
                          </w:rPr>
                        </w:pPr>
                        <w:r>
                          <w:rPr>
                            <w:sz w:val="24"/>
                            <w:szCs w:val="24"/>
                          </w:rPr>
                          <w:t>Afschrijving (in €)</w:t>
                        </w:r>
                      </w:p>
                    </w:tc>
                  </w:tr>
                  <w:tr w:rsidR="00776867" w:rsidTr="005F3BA5">
                    <w:trPr>
                      <w:cnfStyle w:val="000000100000"/>
                    </w:trPr>
                    <w:tc>
                      <w:tcPr>
                        <w:cnfStyle w:val="001000000000"/>
                        <w:tcW w:w="2265" w:type="dxa"/>
                      </w:tcPr>
                      <w:p w:rsidR="00776867" w:rsidRDefault="00776867" w:rsidP="00FF0A9F">
                        <w:pPr>
                          <w:spacing w:line="360" w:lineRule="auto"/>
                          <w:jc w:val="center"/>
                          <w:rPr>
                            <w:sz w:val="24"/>
                            <w:szCs w:val="24"/>
                          </w:rPr>
                        </w:pPr>
                      </w:p>
                    </w:tc>
                    <w:tc>
                      <w:tcPr>
                        <w:tcW w:w="2265" w:type="dxa"/>
                      </w:tcPr>
                      <w:p w:rsidR="00776867" w:rsidRDefault="00776867" w:rsidP="00FF0A9F">
                        <w:pPr>
                          <w:spacing w:line="360" w:lineRule="auto"/>
                          <w:jc w:val="center"/>
                          <w:cnfStyle w:val="000000100000"/>
                          <w:rPr>
                            <w:sz w:val="24"/>
                            <w:szCs w:val="24"/>
                          </w:rPr>
                        </w:pPr>
                        <w:r>
                          <w:rPr>
                            <w:sz w:val="24"/>
                            <w:szCs w:val="24"/>
                          </w:rPr>
                          <w:t>%</w:t>
                        </w:r>
                      </w:p>
                    </w:tc>
                    <w:tc>
                      <w:tcPr>
                        <w:tcW w:w="2266" w:type="dxa"/>
                      </w:tcPr>
                      <w:p w:rsidR="00776867" w:rsidRDefault="00776867" w:rsidP="00FF0A9F">
                        <w:pPr>
                          <w:spacing w:line="360" w:lineRule="auto"/>
                          <w:jc w:val="center"/>
                          <w:cnfStyle w:val="000000100000"/>
                          <w:rPr>
                            <w:sz w:val="24"/>
                            <w:szCs w:val="24"/>
                          </w:rPr>
                        </w:pPr>
                        <w:r>
                          <w:rPr>
                            <w:sz w:val="24"/>
                            <w:szCs w:val="24"/>
                          </w:rPr>
                          <w:t>€</w:t>
                        </w:r>
                      </w:p>
                    </w:tc>
                    <w:tc>
                      <w:tcPr>
                        <w:tcW w:w="2266" w:type="dxa"/>
                      </w:tcPr>
                      <w:p w:rsidR="00776867" w:rsidRDefault="00776867" w:rsidP="00FF0A9F">
                        <w:pPr>
                          <w:spacing w:line="360" w:lineRule="auto"/>
                          <w:jc w:val="center"/>
                          <w:cnfStyle w:val="000000100000"/>
                          <w:rPr>
                            <w:sz w:val="24"/>
                            <w:szCs w:val="24"/>
                          </w:rPr>
                        </w:pPr>
                        <w:r>
                          <w:rPr>
                            <w:sz w:val="24"/>
                            <w:szCs w:val="24"/>
                          </w:rPr>
                          <w:t>€</w:t>
                        </w:r>
                      </w:p>
                    </w:tc>
                  </w:tr>
                  <w:tr w:rsidR="00776867" w:rsidTr="005F3BA5">
                    <w:tc>
                      <w:tcPr>
                        <w:cnfStyle w:val="001000000000"/>
                        <w:tcW w:w="2265" w:type="dxa"/>
                      </w:tcPr>
                      <w:p w:rsidR="00776867" w:rsidRDefault="00776867" w:rsidP="00FF0A9F">
                        <w:pPr>
                          <w:spacing w:line="360" w:lineRule="auto"/>
                          <w:jc w:val="center"/>
                          <w:rPr>
                            <w:sz w:val="24"/>
                            <w:szCs w:val="24"/>
                          </w:rPr>
                        </w:pPr>
                        <w:r>
                          <w:rPr>
                            <w:sz w:val="24"/>
                            <w:szCs w:val="24"/>
                          </w:rPr>
                          <w:t>2013</w:t>
                        </w:r>
                      </w:p>
                    </w:tc>
                    <w:tc>
                      <w:tcPr>
                        <w:tcW w:w="2265" w:type="dxa"/>
                      </w:tcPr>
                      <w:p w:rsidR="00776867" w:rsidRDefault="00776867" w:rsidP="00FF0A9F">
                        <w:pPr>
                          <w:spacing w:line="360" w:lineRule="auto"/>
                          <w:jc w:val="center"/>
                          <w:cnfStyle w:val="000000000000"/>
                          <w:rPr>
                            <w:sz w:val="24"/>
                            <w:szCs w:val="24"/>
                          </w:rPr>
                        </w:pPr>
                        <w:r>
                          <w:rPr>
                            <w:sz w:val="24"/>
                            <w:szCs w:val="24"/>
                          </w:rPr>
                          <w:t>38,09561</w:t>
                        </w:r>
                      </w:p>
                    </w:tc>
                    <w:tc>
                      <w:tcPr>
                        <w:tcW w:w="2266" w:type="dxa"/>
                      </w:tcPr>
                      <w:p w:rsidR="00776867" w:rsidRDefault="00776867" w:rsidP="00FF0A9F">
                        <w:pPr>
                          <w:spacing w:line="360" w:lineRule="auto"/>
                          <w:jc w:val="center"/>
                          <w:cnfStyle w:val="000000000000"/>
                          <w:rPr>
                            <w:sz w:val="24"/>
                            <w:szCs w:val="24"/>
                          </w:rPr>
                        </w:pPr>
                        <w:r>
                          <w:rPr>
                            <w:sz w:val="24"/>
                            <w:szCs w:val="24"/>
                          </w:rPr>
                          <w:t>220.000</w:t>
                        </w:r>
                      </w:p>
                    </w:tc>
                    <w:tc>
                      <w:tcPr>
                        <w:tcW w:w="2266" w:type="dxa"/>
                      </w:tcPr>
                      <w:p w:rsidR="00776867" w:rsidRDefault="00776867" w:rsidP="00FF0A9F">
                        <w:pPr>
                          <w:spacing w:line="360" w:lineRule="auto"/>
                          <w:jc w:val="center"/>
                          <w:cnfStyle w:val="000000000000"/>
                          <w:rPr>
                            <w:sz w:val="24"/>
                            <w:szCs w:val="24"/>
                          </w:rPr>
                        </w:pPr>
                        <w:r>
                          <w:rPr>
                            <w:sz w:val="24"/>
                            <w:szCs w:val="24"/>
                          </w:rPr>
                          <w:t>83.810</w:t>
                        </w:r>
                      </w:p>
                    </w:tc>
                  </w:tr>
                  <w:tr w:rsidR="00776867" w:rsidTr="005F3BA5">
                    <w:trPr>
                      <w:cnfStyle w:val="000000100000"/>
                    </w:trPr>
                    <w:tc>
                      <w:tcPr>
                        <w:cnfStyle w:val="001000000000"/>
                        <w:tcW w:w="2265" w:type="dxa"/>
                      </w:tcPr>
                      <w:p w:rsidR="00776867" w:rsidRDefault="00776867" w:rsidP="00FF0A9F">
                        <w:pPr>
                          <w:spacing w:line="360" w:lineRule="auto"/>
                          <w:jc w:val="center"/>
                          <w:rPr>
                            <w:sz w:val="24"/>
                            <w:szCs w:val="24"/>
                          </w:rPr>
                        </w:pPr>
                        <w:r>
                          <w:rPr>
                            <w:sz w:val="24"/>
                            <w:szCs w:val="24"/>
                          </w:rPr>
                          <w:t>2014</w:t>
                        </w:r>
                      </w:p>
                    </w:tc>
                    <w:tc>
                      <w:tcPr>
                        <w:tcW w:w="2265" w:type="dxa"/>
                      </w:tcPr>
                      <w:p w:rsidR="00776867" w:rsidRDefault="00776867" w:rsidP="00FF0A9F">
                        <w:pPr>
                          <w:spacing w:line="360" w:lineRule="auto"/>
                          <w:jc w:val="center"/>
                          <w:cnfStyle w:val="000000100000"/>
                          <w:rPr>
                            <w:sz w:val="24"/>
                            <w:szCs w:val="24"/>
                          </w:rPr>
                        </w:pPr>
                        <w:r>
                          <w:rPr>
                            <w:sz w:val="24"/>
                            <w:szCs w:val="24"/>
                          </w:rPr>
                          <w:t>38,09561</w:t>
                        </w:r>
                      </w:p>
                    </w:tc>
                    <w:tc>
                      <w:tcPr>
                        <w:tcW w:w="2266" w:type="dxa"/>
                      </w:tcPr>
                      <w:p w:rsidR="00776867" w:rsidRDefault="00776867" w:rsidP="00FF0A9F">
                        <w:pPr>
                          <w:spacing w:line="360" w:lineRule="auto"/>
                          <w:jc w:val="center"/>
                          <w:cnfStyle w:val="000000100000"/>
                          <w:rPr>
                            <w:sz w:val="24"/>
                            <w:szCs w:val="24"/>
                          </w:rPr>
                        </w:pPr>
                        <w:r>
                          <w:rPr>
                            <w:sz w:val="24"/>
                            <w:szCs w:val="24"/>
                          </w:rPr>
                          <w:t>136.190</w:t>
                        </w:r>
                      </w:p>
                    </w:tc>
                    <w:tc>
                      <w:tcPr>
                        <w:tcW w:w="2266" w:type="dxa"/>
                      </w:tcPr>
                      <w:p w:rsidR="00776867" w:rsidRDefault="00776867" w:rsidP="00FF0A9F">
                        <w:pPr>
                          <w:spacing w:line="360" w:lineRule="auto"/>
                          <w:jc w:val="center"/>
                          <w:cnfStyle w:val="000000100000"/>
                          <w:rPr>
                            <w:sz w:val="24"/>
                            <w:szCs w:val="24"/>
                          </w:rPr>
                        </w:pPr>
                        <w:r>
                          <w:rPr>
                            <w:sz w:val="24"/>
                            <w:szCs w:val="24"/>
                          </w:rPr>
                          <w:t>51.882</w:t>
                        </w:r>
                      </w:p>
                    </w:tc>
                  </w:tr>
                  <w:tr w:rsidR="00776867" w:rsidTr="005F3BA5">
                    <w:tc>
                      <w:tcPr>
                        <w:cnfStyle w:val="001000000000"/>
                        <w:tcW w:w="2265" w:type="dxa"/>
                      </w:tcPr>
                      <w:p w:rsidR="00776867" w:rsidRDefault="00776867" w:rsidP="00FF0A9F">
                        <w:pPr>
                          <w:spacing w:line="360" w:lineRule="auto"/>
                          <w:jc w:val="center"/>
                          <w:rPr>
                            <w:sz w:val="24"/>
                            <w:szCs w:val="24"/>
                          </w:rPr>
                        </w:pPr>
                        <w:r>
                          <w:rPr>
                            <w:sz w:val="24"/>
                            <w:szCs w:val="24"/>
                          </w:rPr>
                          <w:t>2015</w:t>
                        </w:r>
                      </w:p>
                    </w:tc>
                    <w:tc>
                      <w:tcPr>
                        <w:tcW w:w="2265" w:type="dxa"/>
                      </w:tcPr>
                      <w:p w:rsidR="00776867" w:rsidRDefault="00776867" w:rsidP="00FF0A9F">
                        <w:pPr>
                          <w:spacing w:line="360" w:lineRule="auto"/>
                          <w:jc w:val="center"/>
                          <w:cnfStyle w:val="000000000000"/>
                          <w:rPr>
                            <w:sz w:val="24"/>
                            <w:szCs w:val="24"/>
                          </w:rPr>
                        </w:pPr>
                        <w:r>
                          <w:rPr>
                            <w:sz w:val="24"/>
                            <w:szCs w:val="24"/>
                          </w:rPr>
                          <w:t>38,09561</w:t>
                        </w:r>
                      </w:p>
                    </w:tc>
                    <w:tc>
                      <w:tcPr>
                        <w:tcW w:w="2266" w:type="dxa"/>
                      </w:tcPr>
                      <w:p w:rsidR="00776867" w:rsidRDefault="00776867" w:rsidP="00FF0A9F">
                        <w:pPr>
                          <w:spacing w:line="360" w:lineRule="auto"/>
                          <w:jc w:val="center"/>
                          <w:cnfStyle w:val="000000000000"/>
                          <w:rPr>
                            <w:sz w:val="24"/>
                            <w:szCs w:val="24"/>
                          </w:rPr>
                        </w:pPr>
                        <w:r>
                          <w:rPr>
                            <w:sz w:val="24"/>
                            <w:szCs w:val="24"/>
                          </w:rPr>
                          <w:t>84.308</w:t>
                        </w:r>
                      </w:p>
                    </w:tc>
                    <w:tc>
                      <w:tcPr>
                        <w:tcW w:w="2266" w:type="dxa"/>
                      </w:tcPr>
                      <w:p w:rsidR="00776867" w:rsidRDefault="00776867" w:rsidP="00FF0A9F">
                        <w:pPr>
                          <w:spacing w:line="360" w:lineRule="auto"/>
                          <w:jc w:val="center"/>
                          <w:cnfStyle w:val="000000000000"/>
                          <w:rPr>
                            <w:sz w:val="24"/>
                            <w:szCs w:val="24"/>
                          </w:rPr>
                        </w:pPr>
                        <w:r>
                          <w:rPr>
                            <w:sz w:val="24"/>
                            <w:szCs w:val="24"/>
                          </w:rPr>
                          <w:t>32.118</w:t>
                        </w:r>
                      </w:p>
                    </w:tc>
                  </w:tr>
                  <w:tr w:rsidR="00776867" w:rsidTr="005F3BA5">
                    <w:trPr>
                      <w:cnfStyle w:val="000000100000"/>
                    </w:trPr>
                    <w:tc>
                      <w:tcPr>
                        <w:cnfStyle w:val="001000000000"/>
                        <w:tcW w:w="2265" w:type="dxa"/>
                      </w:tcPr>
                      <w:p w:rsidR="00776867" w:rsidRDefault="00776867" w:rsidP="00FF0A9F">
                        <w:pPr>
                          <w:spacing w:line="360" w:lineRule="auto"/>
                          <w:jc w:val="center"/>
                          <w:rPr>
                            <w:sz w:val="24"/>
                            <w:szCs w:val="24"/>
                          </w:rPr>
                        </w:pPr>
                        <w:r>
                          <w:rPr>
                            <w:sz w:val="24"/>
                            <w:szCs w:val="24"/>
                          </w:rPr>
                          <w:t>2016</w:t>
                        </w:r>
                      </w:p>
                    </w:tc>
                    <w:tc>
                      <w:tcPr>
                        <w:tcW w:w="2265" w:type="dxa"/>
                      </w:tcPr>
                      <w:p w:rsidR="00776867" w:rsidRDefault="00776867" w:rsidP="00FF0A9F">
                        <w:pPr>
                          <w:spacing w:line="360" w:lineRule="auto"/>
                          <w:jc w:val="center"/>
                          <w:cnfStyle w:val="000000100000"/>
                          <w:rPr>
                            <w:sz w:val="24"/>
                            <w:szCs w:val="24"/>
                          </w:rPr>
                        </w:pPr>
                        <w:r>
                          <w:rPr>
                            <w:sz w:val="24"/>
                            <w:szCs w:val="24"/>
                          </w:rPr>
                          <w:t>38,09561</w:t>
                        </w:r>
                      </w:p>
                    </w:tc>
                    <w:tc>
                      <w:tcPr>
                        <w:tcW w:w="2266" w:type="dxa"/>
                      </w:tcPr>
                      <w:p w:rsidR="00776867" w:rsidRDefault="00776867" w:rsidP="00FF0A9F">
                        <w:pPr>
                          <w:spacing w:line="360" w:lineRule="auto"/>
                          <w:jc w:val="center"/>
                          <w:cnfStyle w:val="000000100000"/>
                          <w:rPr>
                            <w:sz w:val="24"/>
                            <w:szCs w:val="24"/>
                          </w:rPr>
                        </w:pPr>
                        <w:r>
                          <w:rPr>
                            <w:sz w:val="24"/>
                            <w:szCs w:val="24"/>
                          </w:rPr>
                          <w:t>52.190</w:t>
                        </w:r>
                      </w:p>
                    </w:tc>
                    <w:tc>
                      <w:tcPr>
                        <w:tcW w:w="2266" w:type="dxa"/>
                      </w:tcPr>
                      <w:p w:rsidR="00776867" w:rsidRDefault="00776867" w:rsidP="00FF0A9F">
                        <w:pPr>
                          <w:spacing w:line="360" w:lineRule="auto"/>
                          <w:jc w:val="center"/>
                          <w:cnfStyle w:val="000000100000"/>
                          <w:rPr>
                            <w:sz w:val="24"/>
                            <w:szCs w:val="24"/>
                          </w:rPr>
                        </w:pPr>
                        <w:r>
                          <w:rPr>
                            <w:sz w:val="24"/>
                            <w:szCs w:val="24"/>
                          </w:rPr>
                          <w:t>19.882</w:t>
                        </w:r>
                      </w:p>
                    </w:tc>
                  </w:tr>
                  <w:tr w:rsidR="00776867" w:rsidTr="005F3BA5">
                    <w:tc>
                      <w:tcPr>
                        <w:cnfStyle w:val="001000000000"/>
                        <w:tcW w:w="2265" w:type="dxa"/>
                      </w:tcPr>
                      <w:p w:rsidR="00776867" w:rsidRDefault="00776867" w:rsidP="00FF0A9F">
                        <w:pPr>
                          <w:spacing w:line="360" w:lineRule="auto"/>
                          <w:jc w:val="center"/>
                          <w:rPr>
                            <w:sz w:val="24"/>
                            <w:szCs w:val="24"/>
                          </w:rPr>
                        </w:pPr>
                        <w:r>
                          <w:rPr>
                            <w:sz w:val="24"/>
                            <w:szCs w:val="24"/>
                          </w:rPr>
                          <w:t>2017</w:t>
                        </w:r>
                      </w:p>
                    </w:tc>
                    <w:tc>
                      <w:tcPr>
                        <w:tcW w:w="2265" w:type="dxa"/>
                      </w:tcPr>
                      <w:p w:rsidR="00776867" w:rsidRDefault="00776867" w:rsidP="00FF0A9F">
                        <w:pPr>
                          <w:spacing w:line="360" w:lineRule="auto"/>
                          <w:jc w:val="center"/>
                          <w:cnfStyle w:val="000000000000"/>
                          <w:rPr>
                            <w:sz w:val="24"/>
                            <w:szCs w:val="24"/>
                          </w:rPr>
                        </w:pPr>
                        <w:r>
                          <w:rPr>
                            <w:sz w:val="24"/>
                            <w:szCs w:val="24"/>
                          </w:rPr>
                          <w:t>38,09561</w:t>
                        </w:r>
                      </w:p>
                    </w:tc>
                    <w:tc>
                      <w:tcPr>
                        <w:tcW w:w="2266" w:type="dxa"/>
                      </w:tcPr>
                      <w:p w:rsidR="00776867" w:rsidRDefault="00776867" w:rsidP="00FF0A9F">
                        <w:pPr>
                          <w:spacing w:line="360" w:lineRule="auto"/>
                          <w:jc w:val="center"/>
                          <w:cnfStyle w:val="000000000000"/>
                          <w:rPr>
                            <w:sz w:val="24"/>
                            <w:szCs w:val="24"/>
                          </w:rPr>
                        </w:pPr>
                        <w:r>
                          <w:rPr>
                            <w:sz w:val="24"/>
                            <w:szCs w:val="24"/>
                          </w:rPr>
                          <w:t>32.308</w:t>
                        </w:r>
                      </w:p>
                    </w:tc>
                    <w:tc>
                      <w:tcPr>
                        <w:tcW w:w="2266" w:type="dxa"/>
                      </w:tcPr>
                      <w:p w:rsidR="00776867" w:rsidRDefault="00776867" w:rsidP="00FF0A9F">
                        <w:pPr>
                          <w:spacing w:line="360" w:lineRule="auto"/>
                          <w:jc w:val="center"/>
                          <w:cnfStyle w:val="000000000000"/>
                          <w:rPr>
                            <w:sz w:val="24"/>
                            <w:szCs w:val="24"/>
                          </w:rPr>
                        </w:pPr>
                        <w:r>
                          <w:rPr>
                            <w:sz w:val="24"/>
                            <w:szCs w:val="24"/>
                          </w:rPr>
                          <w:t>12.308</w:t>
                        </w:r>
                      </w:p>
                    </w:tc>
                  </w:tr>
                </w:tbl>
                <w:p w:rsidR="00776867" w:rsidRDefault="00776867" w:rsidP="00FF0A9F">
                  <w:pPr>
                    <w:spacing w:line="360" w:lineRule="auto"/>
                    <w:jc w:val="both"/>
                    <w:rPr>
                      <w:sz w:val="24"/>
                      <w:szCs w:val="24"/>
                    </w:rPr>
                  </w:pPr>
                </w:p>
                <w:p w:rsidR="00776867" w:rsidRPr="00204C40" w:rsidRDefault="00776867" w:rsidP="00204C40"/>
              </w:txbxContent>
            </v:textbox>
            <w10:wrap anchorx="margin"/>
          </v:rect>
        </w:pict>
      </w:r>
    </w:p>
    <w:p w:rsidR="00204C40" w:rsidRDefault="00204C40" w:rsidP="006E3FF9">
      <w:pPr>
        <w:spacing w:line="360" w:lineRule="auto"/>
        <w:jc w:val="both"/>
        <w:rPr>
          <w:sz w:val="24"/>
          <w:szCs w:val="24"/>
        </w:rPr>
      </w:pPr>
    </w:p>
    <w:p w:rsidR="00FF0A9F" w:rsidRDefault="00FF0A9F" w:rsidP="006E3FF9">
      <w:pPr>
        <w:spacing w:line="360" w:lineRule="auto"/>
        <w:jc w:val="both"/>
        <w:rPr>
          <w:sz w:val="24"/>
          <w:szCs w:val="24"/>
        </w:rPr>
      </w:pPr>
    </w:p>
    <w:p w:rsidR="00FF0A9F" w:rsidRDefault="00FF0A9F" w:rsidP="006E3FF9">
      <w:pPr>
        <w:spacing w:line="360" w:lineRule="auto"/>
        <w:jc w:val="both"/>
        <w:rPr>
          <w:sz w:val="24"/>
          <w:szCs w:val="24"/>
        </w:rPr>
      </w:pPr>
    </w:p>
    <w:p w:rsidR="00FF0A9F" w:rsidRDefault="00FF0A9F" w:rsidP="006E3FF9">
      <w:pPr>
        <w:spacing w:line="360" w:lineRule="auto"/>
        <w:jc w:val="both"/>
        <w:rPr>
          <w:sz w:val="24"/>
          <w:szCs w:val="24"/>
        </w:rPr>
      </w:pPr>
    </w:p>
    <w:p w:rsidR="00FF0A9F" w:rsidRDefault="00FF0A9F" w:rsidP="006E3FF9">
      <w:pPr>
        <w:spacing w:line="360" w:lineRule="auto"/>
        <w:jc w:val="both"/>
        <w:rPr>
          <w:sz w:val="24"/>
          <w:szCs w:val="24"/>
        </w:rPr>
      </w:pPr>
    </w:p>
    <w:p w:rsidR="004F3637" w:rsidRDefault="005F3BA5" w:rsidP="002E6F88">
      <w:pPr>
        <w:spacing w:line="360" w:lineRule="auto"/>
        <w:jc w:val="both"/>
        <w:rPr>
          <w:b/>
          <w:sz w:val="24"/>
          <w:szCs w:val="24"/>
        </w:rPr>
      </w:pPr>
      <w:r>
        <w:rPr>
          <w:sz w:val="24"/>
          <w:szCs w:val="24"/>
        </w:rPr>
        <w:br/>
      </w:r>
    </w:p>
    <w:p w:rsidR="004F3637" w:rsidRPr="004F3637" w:rsidRDefault="00776867" w:rsidP="004F3637">
      <w:pPr>
        <w:pStyle w:val="Heading3"/>
        <w:rPr>
          <w:sz w:val="28"/>
        </w:rPr>
      </w:pPr>
      <w:bookmarkStart w:id="10" w:name="_Toc425516476"/>
      <w:r>
        <w:rPr>
          <w:sz w:val="28"/>
        </w:rPr>
        <w:lastRenderedPageBreak/>
        <w:t>2</w:t>
      </w:r>
      <w:r w:rsidR="004F3637" w:rsidRPr="004F3637">
        <w:rPr>
          <w:sz w:val="28"/>
        </w:rPr>
        <w:t>.3.3. Beoordelingsaspecten bij gebruiksduur en restwaarde</w:t>
      </w:r>
      <w:bookmarkEnd w:id="10"/>
    </w:p>
    <w:p w:rsidR="008074B9" w:rsidRDefault="008074B9" w:rsidP="002E6F88">
      <w:pPr>
        <w:spacing w:line="360" w:lineRule="auto"/>
        <w:jc w:val="both"/>
        <w:rPr>
          <w:sz w:val="24"/>
          <w:szCs w:val="24"/>
        </w:rPr>
      </w:pPr>
      <w:r>
        <w:rPr>
          <w:sz w:val="24"/>
          <w:szCs w:val="24"/>
        </w:rPr>
        <w:t xml:space="preserve">De Richtlijn omvat specifieke </w:t>
      </w:r>
      <w:r w:rsidR="005F3BA5">
        <w:rPr>
          <w:sz w:val="24"/>
          <w:szCs w:val="24"/>
        </w:rPr>
        <w:t>voorschriften</w:t>
      </w:r>
      <w:r>
        <w:rPr>
          <w:sz w:val="24"/>
          <w:szCs w:val="24"/>
        </w:rPr>
        <w:t xml:space="preserve"> </w:t>
      </w:r>
      <w:proofErr w:type="gramStart"/>
      <w:r>
        <w:rPr>
          <w:sz w:val="24"/>
          <w:szCs w:val="24"/>
        </w:rPr>
        <w:t>omtrent</w:t>
      </w:r>
      <w:proofErr w:type="gramEnd"/>
      <w:r>
        <w:rPr>
          <w:sz w:val="24"/>
          <w:szCs w:val="24"/>
        </w:rPr>
        <w:t xml:space="preserve"> de restwaarde en de gevolgen van eventuele aanpassingen daarin:</w:t>
      </w:r>
    </w:p>
    <w:p w:rsidR="008074B9" w:rsidRDefault="008074B9" w:rsidP="003955EE">
      <w:pPr>
        <w:pStyle w:val="ListParagraph"/>
        <w:numPr>
          <w:ilvl w:val="0"/>
          <w:numId w:val="1"/>
        </w:numPr>
        <w:spacing w:line="276" w:lineRule="auto"/>
        <w:jc w:val="both"/>
        <w:rPr>
          <w:sz w:val="24"/>
          <w:szCs w:val="24"/>
        </w:rPr>
      </w:pPr>
      <w:r>
        <w:rPr>
          <w:sz w:val="24"/>
          <w:szCs w:val="24"/>
        </w:rPr>
        <w:t>De restwaarde wordt gedefinieerd als het op dit moment geraamde bedrag van het actief in de (geschatte toekomstige) staat aan het einde van de economische levensduur onder aftrek van kosten van overdracht</w:t>
      </w:r>
      <w:r w:rsidR="003955EE">
        <w:rPr>
          <w:rStyle w:val="FootnoteReference"/>
          <w:sz w:val="24"/>
          <w:szCs w:val="24"/>
        </w:rPr>
        <w:footnoteReference w:id="24"/>
      </w:r>
      <w:r>
        <w:rPr>
          <w:sz w:val="24"/>
          <w:szCs w:val="24"/>
        </w:rPr>
        <w:t>.</w:t>
      </w:r>
    </w:p>
    <w:p w:rsidR="008074B9" w:rsidRDefault="008074B9" w:rsidP="003955EE">
      <w:pPr>
        <w:pStyle w:val="ListParagraph"/>
        <w:numPr>
          <w:ilvl w:val="0"/>
          <w:numId w:val="1"/>
        </w:numPr>
        <w:spacing w:line="276" w:lineRule="auto"/>
        <w:jc w:val="both"/>
        <w:rPr>
          <w:sz w:val="24"/>
          <w:szCs w:val="24"/>
        </w:rPr>
      </w:pPr>
      <w:r>
        <w:rPr>
          <w:sz w:val="24"/>
          <w:szCs w:val="24"/>
        </w:rPr>
        <w:t>De geraamde restwaarde wordt opnieuw beoordeeld als zich wijzigingen in de omstandigheden voordoen of nieuwe informatie beschikbaar komt</w:t>
      </w:r>
      <w:r w:rsidR="003955EE">
        <w:rPr>
          <w:rStyle w:val="FootnoteReference"/>
          <w:sz w:val="24"/>
          <w:szCs w:val="24"/>
        </w:rPr>
        <w:footnoteReference w:id="25"/>
      </w:r>
      <w:r>
        <w:rPr>
          <w:sz w:val="24"/>
          <w:szCs w:val="24"/>
        </w:rPr>
        <w:t>. Onder IFRS wordt de restwaarde jaarlijks opnieuw beoordeeld</w:t>
      </w:r>
      <w:r w:rsidR="003955EE">
        <w:rPr>
          <w:rStyle w:val="FootnoteReference"/>
          <w:sz w:val="24"/>
          <w:szCs w:val="24"/>
        </w:rPr>
        <w:footnoteReference w:id="26"/>
      </w:r>
      <w:r>
        <w:rPr>
          <w:sz w:val="24"/>
          <w:szCs w:val="24"/>
        </w:rPr>
        <w:t>.</w:t>
      </w:r>
    </w:p>
    <w:p w:rsidR="003955EE" w:rsidRDefault="003955EE" w:rsidP="003955EE">
      <w:pPr>
        <w:pStyle w:val="ListParagraph"/>
        <w:numPr>
          <w:ilvl w:val="0"/>
          <w:numId w:val="1"/>
        </w:numPr>
        <w:spacing w:line="276" w:lineRule="auto"/>
        <w:jc w:val="both"/>
        <w:rPr>
          <w:sz w:val="24"/>
          <w:szCs w:val="24"/>
        </w:rPr>
      </w:pPr>
      <w:r>
        <w:rPr>
          <w:sz w:val="24"/>
          <w:szCs w:val="24"/>
        </w:rPr>
        <w:t>Het kan voorkomen dat de restwaarde zodanig toeneemt dat deze de boekwaarde van het actief overstijgt; op dat moment wordt de periodieke afschrijving beëindigd tot het moment waarop de restwaarde onder de boekwaarde is gedaald</w:t>
      </w:r>
      <w:r>
        <w:rPr>
          <w:rStyle w:val="FootnoteReference"/>
          <w:sz w:val="24"/>
          <w:szCs w:val="24"/>
        </w:rPr>
        <w:footnoteReference w:id="27"/>
      </w:r>
      <w:r>
        <w:rPr>
          <w:sz w:val="24"/>
          <w:szCs w:val="24"/>
        </w:rPr>
        <w:t>.</w:t>
      </w:r>
    </w:p>
    <w:p w:rsidR="004F3637" w:rsidRDefault="003955EE" w:rsidP="002E6F88">
      <w:pPr>
        <w:spacing w:line="360" w:lineRule="auto"/>
        <w:jc w:val="both"/>
        <w:rPr>
          <w:sz w:val="24"/>
          <w:szCs w:val="24"/>
        </w:rPr>
      </w:pPr>
      <w:r>
        <w:rPr>
          <w:sz w:val="24"/>
          <w:szCs w:val="24"/>
        </w:rPr>
        <w:t>Voor de bepaling van de economische gebruiksduur en/of afschrijvingsmethode dient mede rekening te worden gehouden met andere factoren dan alleen gebruik, bijvoorbeeld de technologische ontwikkeling voor zover deze voorspelbaar is</w:t>
      </w:r>
      <w:r w:rsidR="005F3BA5">
        <w:rPr>
          <w:rStyle w:val="FootnoteReference"/>
          <w:sz w:val="24"/>
          <w:szCs w:val="24"/>
        </w:rPr>
        <w:footnoteReference w:id="28"/>
      </w:r>
      <w:r>
        <w:rPr>
          <w:sz w:val="24"/>
          <w:szCs w:val="24"/>
        </w:rPr>
        <w:t>. Voorts kan de geplande intensiteit van het onderhoud van invloed zijn op de vooraf geschatte levensduur</w:t>
      </w:r>
      <w:r w:rsidR="005F3BA5">
        <w:rPr>
          <w:rStyle w:val="FootnoteReference"/>
          <w:sz w:val="24"/>
          <w:szCs w:val="24"/>
        </w:rPr>
        <w:footnoteReference w:id="29"/>
      </w:r>
      <w:r>
        <w:rPr>
          <w:sz w:val="24"/>
          <w:szCs w:val="24"/>
        </w:rPr>
        <w:t xml:space="preserve">. Er bestaan een mogelijkheid dat de gebruiksduur korter is dan de economische levensduur, omdat er een beleid heerst </w:t>
      </w:r>
      <w:r w:rsidR="00803D72">
        <w:rPr>
          <w:sz w:val="24"/>
          <w:szCs w:val="24"/>
        </w:rPr>
        <w:t>om</w:t>
      </w:r>
      <w:r>
        <w:rPr>
          <w:sz w:val="24"/>
          <w:szCs w:val="24"/>
        </w:rPr>
        <w:t xml:space="preserve"> het actief voor het einde van de levensduur af te stoten</w:t>
      </w:r>
      <w:r w:rsidR="005F3BA5">
        <w:rPr>
          <w:rStyle w:val="FootnoteReference"/>
          <w:sz w:val="24"/>
          <w:szCs w:val="24"/>
        </w:rPr>
        <w:footnoteReference w:id="30"/>
      </w:r>
      <w:r>
        <w:rPr>
          <w:sz w:val="24"/>
          <w:szCs w:val="24"/>
        </w:rPr>
        <w:t>.</w:t>
      </w:r>
    </w:p>
    <w:p w:rsidR="008A04D6" w:rsidRPr="004F3637" w:rsidRDefault="002E6F88" w:rsidP="004F3637">
      <w:pPr>
        <w:pStyle w:val="Heading3"/>
      </w:pPr>
      <w:r w:rsidRPr="008074B9">
        <w:br/>
      </w:r>
      <w:bookmarkStart w:id="11" w:name="_Toc425516477"/>
      <w:r w:rsidR="00776867">
        <w:rPr>
          <w:sz w:val="28"/>
        </w:rPr>
        <w:t>2</w:t>
      </w:r>
      <w:r w:rsidR="004F3637" w:rsidRPr="004F3637">
        <w:rPr>
          <w:sz w:val="28"/>
        </w:rPr>
        <w:t xml:space="preserve">.3.4. </w:t>
      </w:r>
      <w:r w:rsidRPr="004F3637">
        <w:rPr>
          <w:sz w:val="28"/>
        </w:rPr>
        <w:t>Componentenbenadering</w:t>
      </w:r>
      <w:bookmarkEnd w:id="11"/>
    </w:p>
    <w:p w:rsidR="002E6F88" w:rsidRPr="006523F6" w:rsidRDefault="008A04D6" w:rsidP="004F3637">
      <w:pPr>
        <w:spacing w:line="360" w:lineRule="auto"/>
        <w:jc w:val="both"/>
        <w:rPr>
          <w:sz w:val="24"/>
          <w:szCs w:val="24"/>
        </w:rPr>
      </w:pPr>
      <w:r>
        <w:rPr>
          <w:sz w:val="24"/>
          <w:szCs w:val="24"/>
        </w:rPr>
        <w:t>G</w:t>
      </w:r>
      <w:r w:rsidR="002E6F88">
        <w:rPr>
          <w:sz w:val="24"/>
          <w:szCs w:val="24"/>
        </w:rPr>
        <w:t xml:space="preserve">rote </w:t>
      </w:r>
      <w:r w:rsidR="00E01DA4">
        <w:rPr>
          <w:sz w:val="24"/>
          <w:szCs w:val="24"/>
        </w:rPr>
        <w:t>materiële</w:t>
      </w:r>
      <w:r w:rsidR="002E6F88">
        <w:rPr>
          <w:sz w:val="24"/>
          <w:szCs w:val="24"/>
        </w:rPr>
        <w:t xml:space="preserve"> vast activa als gebouwen, installaties, schepen, vliegtuigen en dergelijke bestaan uit verschillende componenten die een verschillende gebruiksduur kunnen hebben. In het geval van een vliegtuig, kan de gebruiksduur van de romp afwijken met die van de motoren. Mogelijkerwijs zouden onderdelen van grote </w:t>
      </w:r>
      <w:r w:rsidR="00E01DA4">
        <w:rPr>
          <w:sz w:val="24"/>
          <w:szCs w:val="24"/>
        </w:rPr>
        <w:t>materiële</w:t>
      </w:r>
      <w:r w:rsidR="002E6F88">
        <w:rPr>
          <w:sz w:val="24"/>
          <w:szCs w:val="24"/>
        </w:rPr>
        <w:t xml:space="preserve"> vaste activa onafhankelijk verhandeld kunnen worden, waardoor dit zichtbaar zou worden in de jaarrekening. Als gevolg hiervan heeft de IFRS de </w:t>
      </w:r>
      <w:r w:rsidR="002E6F88">
        <w:rPr>
          <w:i/>
          <w:sz w:val="24"/>
          <w:szCs w:val="24"/>
        </w:rPr>
        <w:t xml:space="preserve">significant </w:t>
      </w:r>
      <w:proofErr w:type="spellStart"/>
      <w:r w:rsidR="002E6F88">
        <w:rPr>
          <w:i/>
          <w:sz w:val="24"/>
          <w:szCs w:val="24"/>
        </w:rPr>
        <w:t>parts</w:t>
      </w:r>
      <w:proofErr w:type="spellEnd"/>
      <w:r w:rsidR="002E6F88">
        <w:rPr>
          <w:sz w:val="24"/>
          <w:szCs w:val="24"/>
        </w:rPr>
        <w:t xml:space="preserve"> benadering voorgeschreven</w:t>
      </w:r>
      <w:r w:rsidR="002E6F88">
        <w:rPr>
          <w:rStyle w:val="FootnoteReference"/>
          <w:sz w:val="24"/>
          <w:szCs w:val="24"/>
        </w:rPr>
        <w:footnoteReference w:id="31"/>
      </w:r>
      <w:r w:rsidR="002E6F88">
        <w:rPr>
          <w:sz w:val="24"/>
          <w:szCs w:val="24"/>
        </w:rPr>
        <w:t>. De Richtlijnen maakt gebruik van de componentenbenadering</w:t>
      </w:r>
      <w:proofErr w:type="gramStart"/>
      <w:r w:rsidR="002E6F88">
        <w:rPr>
          <w:sz w:val="24"/>
          <w:szCs w:val="24"/>
        </w:rPr>
        <w:t>, die</w:t>
      </w:r>
      <w:proofErr w:type="gramEnd"/>
      <w:r w:rsidR="002E6F88">
        <w:rPr>
          <w:sz w:val="24"/>
          <w:szCs w:val="24"/>
        </w:rPr>
        <w:t xml:space="preserve"> qua inhoud overeen komt met IAS </w:t>
      </w:r>
      <w:r w:rsidR="0024076F">
        <w:rPr>
          <w:sz w:val="24"/>
          <w:szCs w:val="24"/>
        </w:rPr>
        <w:t xml:space="preserve">16. </w:t>
      </w:r>
      <w:r w:rsidR="002E6F88">
        <w:rPr>
          <w:sz w:val="24"/>
          <w:szCs w:val="24"/>
        </w:rPr>
        <w:t xml:space="preserve">Het belangrijkste aspect van deze benadering is dat de verschillende componenten onderling kunnen afwijken in gebruiksduur, wat zal leiden tot verschillende </w:t>
      </w:r>
      <w:r w:rsidR="002E6F88">
        <w:rPr>
          <w:sz w:val="24"/>
          <w:szCs w:val="24"/>
        </w:rPr>
        <w:lastRenderedPageBreak/>
        <w:t>afschrijvingslasten. Echter, de reële-waarde benadering van de IFRS zou tot een andere verwerkingswijze kunnen leiden ten opzichte van de componentenbenadering o</w:t>
      </w:r>
      <w:r>
        <w:rPr>
          <w:sz w:val="24"/>
          <w:szCs w:val="24"/>
        </w:rPr>
        <w:t xml:space="preserve">nder De Richtlijnen. Zie </w:t>
      </w:r>
      <w:r w:rsidR="00877295">
        <w:rPr>
          <w:sz w:val="24"/>
          <w:szCs w:val="24"/>
        </w:rPr>
        <w:t>figuur</w:t>
      </w:r>
      <w:r>
        <w:rPr>
          <w:sz w:val="24"/>
          <w:szCs w:val="24"/>
        </w:rPr>
        <w:t xml:space="preserve"> 4</w:t>
      </w:r>
      <w:r w:rsidR="002E6F88">
        <w:rPr>
          <w:sz w:val="24"/>
          <w:szCs w:val="24"/>
        </w:rPr>
        <w:t xml:space="preserve"> voor een voorbeeld.</w:t>
      </w:r>
    </w:p>
    <w:p w:rsidR="004326E3" w:rsidRDefault="000C5AB6" w:rsidP="00977DD0">
      <w:pPr>
        <w:spacing w:line="360" w:lineRule="auto"/>
        <w:jc w:val="both"/>
        <w:rPr>
          <w:sz w:val="24"/>
          <w:szCs w:val="24"/>
        </w:rPr>
      </w:pPr>
      <w:r w:rsidRPr="000C5AB6">
        <w:rPr>
          <w:b/>
          <w:noProof/>
          <w:sz w:val="24"/>
          <w:szCs w:val="24"/>
          <w:lang w:val="en-GB" w:eastAsia="en-GB"/>
        </w:rPr>
        <w:pict>
          <v:rect id="Rechthoek 2" o:spid="_x0000_s1032" style="position:absolute;left:0;text-align:left;margin-left:0;margin-top:15.7pt;width:441pt;height:220.7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" fillcolor="white [3201]" strokecolor="#5b9bd5 [3204]" strokeweight="1pt">
            <v:textbox>
              <w:txbxContent>
                <w:p w:rsidR="00776867" w:rsidRPr="003810BB" w:rsidRDefault="00776867" w:rsidP="002E6F88">
                  <w:pPr>
                    <w:rPr>
                      <w:i/>
                    </w:rPr>
                  </w:pPr>
                  <w:r w:rsidRPr="003810BB">
                    <w:rPr>
                      <w:i/>
                    </w:rPr>
                    <w:t>Stel dat de verkrijgingsprijs van een perceel grond moet worden vastgesteld. Neem aan dat de grond is aangeschaft voor € 300.000. De grond dient ontdaan te worden zodat de grond kan dienen als opslagruimte. De sloop van het voormalig landhuis op deze grond kost € 50.000; de sloopmaterialen kunnen voor € 10.000 worden verkocht. De kosten van het bouwrijp maken van de grond en het aanleggen van een toegangsweg bedragen € 35.000. De met de aankoop gemoeide rechten en administratiekosten bedragen € 2.500, terwijl de herinrichting van het terrein € 12.000 zal kosten.</w:t>
                  </w:r>
                </w:p>
                <w:p w:rsidR="00776867" w:rsidRPr="004F3637" w:rsidRDefault="00776867" w:rsidP="002E6F88">
                  <w:r>
                    <w:rPr>
                      <w:b/>
                    </w:rPr>
                    <w:t>RJ</w:t>
                  </w:r>
                  <w:r>
                    <w:t xml:space="preserve">: De aanschaffingsprijs wordt vastgesteld op € 300.000. De sloopkosten zullen, na aftrek van de opbrengst van de sloopmaterialen, € 40.000 bedragen. De kosten voor het opbouwen van het terrein (bouwrijp maken, wegaanleg en herinrichting van het terrein) bedragen in totaal € 47.000. Ten slotte moeten de rechten en administratiekosten á € 2.500 worden bijgevoegd. De totale verkrijgingsprijs bedraagt </w:t>
                  </w:r>
                  <w:r w:rsidRPr="007602D2">
                    <w:rPr>
                      <w:b/>
                    </w:rPr>
                    <w:t>€ 389.500</w:t>
                  </w:r>
                  <w:r>
                    <w:t xml:space="preserve"> (300.000 + 50.000 – 10.000 + 47.000 + 2.500)</w:t>
                  </w:r>
                </w:p>
                <w:p w:rsidR="00776867" w:rsidRDefault="00776867" w:rsidP="002E6F88">
                  <w:r>
                    <w:rPr>
                      <w:b/>
                    </w:rPr>
                    <w:t>IFRS</w:t>
                  </w:r>
                  <w:r>
                    <w:t xml:space="preserve">: De aanschaffingsprijs wordt vastgesteld op € 290.000. Als gevolg van de reële-waarde benadering bevat de aankoopprijs een afslag voor de opbrengsten van het sloopmateriaal. De totale sloopkosten van het landhuis bedraagt € 50.000. Alle andere kosten zijn gelijk aan de kosten in bovenstaande situatie. De totale verkrijgingsprijs bedraagt </w:t>
                  </w:r>
                  <w:r w:rsidRPr="007602D2">
                    <w:rPr>
                      <w:b/>
                    </w:rPr>
                    <w:t>€ 389.500</w:t>
                  </w:r>
                  <w:r>
                    <w:t xml:space="preserve"> (290.000 + 50.000 + 47.000 + 2.500)</w:t>
                  </w:r>
                </w:p>
                <w:p w:rsidR="00776867" w:rsidRDefault="00776867" w:rsidP="002E6F88"/>
                <w:p w:rsidR="00776867" w:rsidRDefault="00776867" w:rsidP="002E6F88"/>
                <w:p w:rsidR="00776867" w:rsidRDefault="00776867" w:rsidP="002E6F88"/>
              </w:txbxContent>
            </v:textbox>
            <w10:wrap anchorx="margin"/>
          </v:rect>
        </w:pict>
      </w:r>
      <w:r w:rsidRPr="000C5AB6">
        <w:rPr>
          <w:noProof/>
          <w:sz w:val="24"/>
          <w:szCs w:val="24"/>
          <w:lang w:val="en-GB" w:eastAsia="en-GB"/>
        </w:rPr>
        <w:pict>
          <v:rect id="Rechthoek 10" o:spid="_x0000_s1033" style="position:absolute;left:0;text-align:left;margin-left:0;margin-top:-6.6pt;width:55.5pt;height:21.75pt;z-index:2516705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" fillcolor="white [3201]" strokecolor="#5b9bd5 [3204]" strokeweight="1pt">
            <v:textbox>
              <w:txbxContent>
                <w:p w:rsidR="00776867" w:rsidRDefault="00776867" w:rsidP="005F3BA5">
                  <w:pPr>
                    <w:jc w:val="center"/>
                  </w:pPr>
                  <w:r>
                    <w:t>Figuur 4</w:t>
                  </w:r>
                </w:p>
              </w:txbxContent>
            </v:textbox>
            <w10:wrap anchorx="margin"/>
          </v:rect>
        </w:pict>
      </w:r>
    </w:p>
    <w:p w:rsidR="004326E3" w:rsidRDefault="004326E3" w:rsidP="00977DD0">
      <w:pPr>
        <w:spacing w:line="360" w:lineRule="auto"/>
        <w:jc w:val="both"/>
        <w:rPr>
          <w:sz w:val="24"/>
          <w:szCs w:val="24"/>
        </w:rPr>
      </w:pPr>
    </w:p>
    <w:p w:rsidR="004326E3" w:rsidRDefault="004326E3" w:rsidP="00977DD0">
      <w:pPr>
        <w:spacing w:line="360" w:lineRule="auto"/>
        <w:jc w:val="both"/>
        <w:rPr>
          <w:sz w:val="24"/>
          <w:szCs w:val="24"/>
        </w:rPr>
      </w:pPr>
    </w:p>
    <w:p w:rsidR="004326E3" w:rsidRDefault="004326E3" w:rsidP="00977DD0">
      <w:pPr>
        <w:spacing w:line="360" w:lineRule="auto"/>
        <w:jc w:val="both"/>
        <w:rPr>
          <w:sz w:val="24"/>
          <w:szCs w:val="24"/>
        </w:rPr>
      </w:pPr>
    </w:p>
    <w:p w:rsidR="004326E3" w:rsidRDefault="004326E3" w:rsidP="00977DD0">
      <w:pPr>
        <w:spacing w:line="360" w:lineRule="auto"/>
        <w:jc w:val="both"/>
        <w:rPr>
          <w:sz w:val="24"/>
          <w:szCs w:val="24"/>
        </w:rPr>
      </w:pPr>
    </w:p>
    <w:p w:rsidR="004326E3" w:rsidRDefault="004326E3" w:rsidP="00977DD0">
      <w:pPr>
        <w:spacing w:line="360" w:lineRule="auto"/>
        <w:jc w:val="both"/>
        <w:rPr>
          <w:sz w:val="24"/>
          <w:szCs w:val="24"/>
        </w:rPr>
      </w:pPr>
    </w:p>
    <w:p w:rsidR="004326E3" w:rsidRDefault="004326E3" w:rsidP="00977DD0">
      <w:pPr>
        <w:spacing w:line="360" w:lineRule="auto"/>
        <w:jc w:val="both"/>
        <w:rPr>
          <w:sz w:val="24"/>
          <w:szCs w:val="24"/>
        </w:rPr>
      </w:pPr>
    </w:p>
    <w:p w:rsidR="004F3637" w:rsidRDefault="004F3637" w:rsidP="00977DD0">
      <w:pPr>
        <w:spacing w:line="360" w:lineRule="auto"/>
        <w:jc w:val="both"/>
        <w:rPr>
          <w:sz w:val="24"/>
          <w:szCs w:val="24"/>
        </w:rPr>
      </w:pPr>
    </w:p>
    <w:p w:rsidR="004F3637" w:rsidRDefault="004F3637" w:rsidP="00977DD0">
      <w:pPr>
        <w:spacing w:line="360" w:lineRule="auto"/>
        <w:jc w:val="both"/>
        <w:rPr>
          <w:sz w:val="24"/>
          <w:szCs w:val="24"/>
        </w:rPr>
      </w:pPr>
    </w:p>
    <w:p w:rsidR="002E6F88" w:rsidRDefault="002E6F88" w:rsidP="00977DD0">
      <w:pPr>
        <w:spacing w:line="360" w:lineRule="auto"/>
        <w:jc w:val="both"/>
        <w:rPr>
          <w:sz w:val="24"/>
          <w:szCs w:val="24"/>
        </w:rPr>
      </w:pPr>
      <w:r>
        <w:rPr>
          <w:sz w:val="24"/>
          <w:szCs w:val="24"/>
        </w:rPr>
        <w:t xml:space="preserve">In bovenstaand voorbeeld </w:t>
      </w:r>
      <w:r w:rsidR="004F3637">
        <w:rPr>
          <w:sz w:val="24"/>
          <w:szCs w:val="24"/>
        </w:rPr>
        <w:t>is</w:t>
      </w:r>
      <w:r>
        <w:rPr>
          <w:sz w:val="24"/>
          <w:szCs w:val="24"/>
        </w:rPr>
        <w:t xml:space="preserve"> de uitkomst identiek, echter verschillen de verwerkingswijzen tussen De Richtlijnen en IFRS.</w:t>
      </w:r>
    </w:p>
    <w:p w:rsidR="002021A8" w:rsidRPr="00AA4CBC" w:rsidRDefault="00776867" w:rsidP="00AA4CBC">
      <w:pPr>
        <w:pStyle w:val="Heading3"/>
        <w:rPr>
          <w:sz w:val="28"/>
        </w:rPr>
      </w:pPr>
      <w:bookmarkStart w:id="12" w:name="_Toc425516478"/>
      <w:r>
        <w:rPr>
          <w:sz w:val="28"/>
        </w:rPr>
        <w:t>2</w:t>
      </w:r>
      <w:r w:rsidR="004F3637" w:rsidRPr="00AA4CBC">
        <w:rPr>
          <w:sz w:val="28"/>
        </w:rPr>
        <w:t xml:space="preserve">.3.5. </w:t>
      </w:r>
      <w:r w:rsidR="002021A8" w:rsidRPr="00AA4CBC">
        <w:rPr>
          <w:sz w:val="28"/>
        </w:rPr>
        <w:t>Wijzigingen in de geschatte gebruiksduur, restwaarde en afschrijvingsmethode</w:t>
      </w:r>
      <w:bookmarkEnd w:id="12"/>
    </w:p>
    <w:p w:rsidR="002021A8" w:rsidRDefault="000C5AB6" w:rsidP="00977DD0">
      <w:pPr>
        <w:spacing w:line="360" w:lineRule="auto"/>
        <w:jc w:val="both"/>
        <w:rPr>
          <w:sz w:val="24"/>
          <w:szCs w:val="24"/>
        </w:rPr>
      </w:pPr>
      <w:r w:rsidRPr="000C5AB6">
        <w:rPr>
          <w:noProof/>
          <w:sz w:val="24"/>
          <w:szCs w:val="24"/>
          <w:lang w:val="en-GB" w:eastAsia="en-GB"/>
        </w:rPr>
        <w:pict>
          <v:rect id="Rechthoek 12" o:spid="_x0000_s1034" style="position:absolute;left:0;text-align:left;margin-left:0;margin-top:360.5pt;width:54.75pt;height:21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" fillcolor="white [3201]" strokecolor="#5b9bd5 [3204]" strokeweight="1pt">
            <v:textbox>
              <w:txbxContent>
                <w:p w:rsidR="00776867" w:rsidRDefault="00776867" w:rsidP="00AD122A">
                  <w:pPr>
                    <w:jc w:val="center"/>
                  </w:pPr>
                  <w:r>
                    <w:t>Figuur 5</w:t>
                  </w:r>
                </w:p>
              </w:txbxContent>
            </v:textbox>
            <w10:wrap anchorx="margin"/>
          </v:rect>
        </w:pict>
      </w:r>
      <w:r w:rsidR="00626405">
        <w:rPr>
          <w:sz w:val="24"/>
          <w:szCs w:val="24"/>
        </w:rPr>
        <w:t xml:space="preserve">De regelgeving staat toe dat, tijdens het gebruik van het actief, de aanvankelijke geschatte gebruiksduur </w:t>
      </w:r>
      <w:r w:rsidR="008D37D6">
        <w:rPr>
          <w:sz w:val="24"/>
          <w:szCs w:val="24"/>
        </w:rPr>
        <w:t xml:space="preserve">of restwaarde </w:t>
      </w:r>
      <w:r w:rsidR="00626405">
        <w:rPr>
          <w:sz w:val="24"/>
          <w:szCs w:val="24"/>
        </w:rPr>
        <w:t>wordt bijgesteld naar aanleiding van wijzigende verwachtingen</w:t>
      </w:r>
      <w:r w:rsidR="00626405">
        <w:rPr>
          <w:rStyle w:val="FootnoteReference"/>
          <w:sz w:val="24"/>
          <w:szCs w:val="24"/>
        </w:rPr>
        <w:footnoteReference w:id="32"/>
      </w:r>
      <w:r w:rsidR="00626405">
        <w:rPr>
          <w:sz w:val="24"/>
          <w:szCs w:val="24"/>
        </w:rPr>
        <w:t xml:space="preserve">. </w:t>
      </w:r>
      <w:r w:rsidR="008D37D6">
        <w:rPr>
          <w:sz w:val="24"/>
          <w:szCs w:val="24"/>
        </w:rPr>
        <w:t xml:space="preserve">In dit geval is er geen sprake van een stelselwijziging, maar een schattingswijziging </w:t>
      </w:r>
      <w:sdt>
        <w:sdtPr>
          <w:rPr>
            <w:sz w:val="24"/>
            <w:szCs w:val="24"/>
          </w:rPr>
          <w:id w:val="2075936984"/>
          <w:citation/>
        </w:sdtPr>
        <w:sdtContent>
          <w:r>
            <w:rPr>
              <w:sz w:val="24"/>
              <w:szCs w:val="24"/>
            </w:rPr>
            <w:fldChar w:fldCharType="begin"/>
          </w:r>
          <w:r w:rsidR="008D37D6">
            <w:rPr>
              <w:sz w:val="24"/>
              <w:szCs w:val="24"/>
            </w:rPr>
            <w:instrText xml:space="preserve"> CITATION Böh14 \l 1043 </w:instrText>
          </w:r>
          <w:r>
            <w:rPr>
              <w:sz w:val="24"/>
              <w:szCs w:val="24"/>
            </w:rPr>
            <w:fldChar w:fldCharType="separate"/>
          </w:r>
          <w:r w:rsidR="00062BB9" w:rsidRPr="00062BB9">
            <w:rPr>
              <w:noProof/>
              <w:sz w:val="24"/>
              <w:szCs w:val="24"/>
            </w:rPr>
            <w:t>(Böhmer, Hoogendoorn, &amp; Kruit, 2014)</w:t>
          </w:r>
          <w:r>
            <w:rPr>
              <w:sz w:val="24"/>
              <w:szCs w:val="24"/>
            </w:rPr>
            <w:fldChar w:fldCharType="end"/>
          </w:r>
        </w:sdtContent>
      </w:sdt>
      <w:r w:rsidR="008D37D6">
        <w:rPr>
          <w:sz w:val="24"/>
          <w:szCs w:val="24"/>
        </w:rPr>
        <w:t xml:space="preserve">. </w:t>
      </w:r>
      <w:r w:rsidR="00626405">
        <w:rPr>
          <w:sz w:val="24"/>
          <w:szCs w:val="24"/>
        </w:rPr>
        <w:t>Over de beoordeling</w:t>
      </w:r>
      <w:r w:rsidR="008D37D6">
        <w:rPr>
          <w:sz w:val="24"/>
          <w:szCs w:val="24"/>
        </w:rPr>
        <w:t xml:space="preserve"> van een dergelijke bijstelling</w:t>
      </w:r>
      <w:r w:rsidR="00626405">
        <w:rPr>
          <w:sz w:val="24"/>
          <w:szCs w:val="24"/>
        </w:rPr>
        <w:t xml:space="preserve"> verschillen de Richtlijnen en IFRS van opvatting. De Richtlijnen schrijft voor dat alleen bij wijziging van de omstandigheden of bij ontvangst van nieuwe informatie een herbeoordeling dient plaats te vinden</w:t>
      </w:r>
      <w:r w:rsidR="00626405">
        <w:rPr>
          <w:rStyle w:val="FootnoteReference"/>
          <w:sz w:val="24"/>
          <w:szCs w:val="24"/>
        </w:rPr>
        <w:footnoteReference w:id="33"/>
      </w:r>
      <w:r w:rsidR="00626405">
        <w:rPr>
          <w:sz w:val="24"/>
          <w:szCs w:val="24"/>
        </w:rPr>
        <w:t>. IFRS is hierin strikter dan de Nederlandse regelgeving omdat IFRS een jaarlijkse beoordeling van de toegepaste economische levensduur en restwaarde vereist</w:t>
      </w:r>
      <w:r w:rsidR="00626405">
        <w:rPr>
          <w:rStyle w:val="FootnoteReference"/>
          <w:sz w:val="24"/>
          <w:szCs w:val="24"/>
        </w:rPr>
        <w:footnoteReference w:id="34"/>
      </w:r>
      <w:r w:rsidR="00626405">
        <w:rPr>
          <w:sz w:val="24"/>
          <w:szCs w:val="24"/>
        </w:rPr>
        <w:t>.</w:t>
      </w:r>
      <w:r w:rsidR="008D37D6">
        <w:rPr>
          <w:sz w:val="24"/>
          <w:szCs w:val="24"/>
        </w:rPr>
        <w:t xml:space="preserve"> Een bijstelling kan zowel </w:t>
      </w:r>
      <w:proofErr w:type="gramStart"/>
      <w:r w:rsidR="008D37D6">
        <w:rPr>
          <w:sz w:val="24"/>
          <w:szCs w:val="24"/>
        </w:rPr>
        <w:t>een</w:t>
      </w:r>
      <w:proofErr w:type="gramEnd"/>
      <w:r w:rsidR="008D37D6">
        <w:rPr>
          <w:sz w:val="24"/>
          <w:szCs w:val="24"/>
        </w:rPr>
        <w:t xml:space="preserve"> verlen</w:t>
      </w:r>
      <w:r w:rsidR="00977DD0">
        <w:rPr>
          <w:sz w:val="24"/>
          <w:szCs w:val="24"/>
        </w:rPr>
        <w:t>g</w:t>
      </w:r>
      <w:r w:rsidR="008D37D6">
        <w:rPr>
          <w:sz w:val="24"/>
          <w:szCs w:val="24"/>
        </w:rPr>
        <w:t>ingen als een verkorting van de gebruiksduur betekenen. Als gevolg van de wijziging dienen de afschrijvingsbedragen aangepast te worden.</w:t>
      </w:r>
      <w:r w:rsidR="00977DD0">
        <w:rPr>
          <w:sz w:val="24"/>
          <w:szCs w:val="24"/>
        </w:rPr>
        <w:t xml:space="preserve"> Het effect van deze schattingswijziging is </w:t>
      </w:r>
      <w:r w:rsidR="00977DD0">
        <w:rPr>
          <w:sz w:val="24"/>
          <w:szCs w:val="24"/>
        </w:rPr>
        <w:lastRenderedPageBreak/>
        <w:t xml:space="preserve">zichtbaar in </w:t>
      </w:r>
      <w:proofErr w:type="gramStart"/>
      <w:r w:rsidR="00977DD0">
        <w:rPr>
          <w:sz w:val="24"/>
          <w:szCs w:val="24"/>
        </w:rPr>
        <w:t>de</w:t>
      </w:r>
      <w:proofErr w:type="gramEnd"/>
      <w:r w:rsidR="00977DD0">
        <w:rPr>
          <w:sz w:val="24"/>
          <w:szCs w:val="24"/>
        </w:rPr>
        <w:t xml:space="preserve"> winst-en-verlies rekening. De verwerkingen vinden plaats in de periode waarin de schattingswijziging plaatsvindt, indien de wijziging alleen invloed heeft op die periode. </w:t>
      </w:r>
      <w:r w:rsidR="00AD4C8A">
        <w:rPr>
          <w:sz w:val="24"/>
          <w:szCs w:val="24"/>
        </w:rPr>
        <w:t xml:space="preserve">Als de schattingswijziging tevens toekomstige perioden beïnvloedt, zal de verwerking in zowel huidige- als toekomstige perioden zichtbaar zijn op </w:t>
      </w:r>
      <w:proofErr w:type="gramStart"/>
      <w:r w:rsidR="00AD4C8A">
        <w:rPr>
          <w:sz w:val="24"/>
          <w:szCs w:val="24"/>
        </w:rPr>
        <w:t>de</w:t>
      </w:r>
      <w:proofErr w:type="gramEnd"/>
      <w:r w:rsidR="00AD4C8A">
        <w:rPr>
          <w:sz w:val="24"/>
          <w:szCs w:val="24"/>
        </w:rPr>
        <w:t xml:space="preserve"> winst-en-verlies rekening. In </w:t>
      </w:r>
      <w:r w:rsidR="00877295">
        <w:rPr>
          <w:sz w:val="24"/>
          <w:szCs w:val="24"/>
        </w:rPr>
        <w:t>figuur</w:t>
      </w:r>
      <w:r w:rsidR="00AD4C8A">
        <w:rPr>
          <w:sz w:val="24"/>
          <w:szCs w:val="24"/>
        </w:rPr>
        <w:t xml:space="preserve"> 5 worden voorbeelden van schattingswijzigingen weergeven.</w:t>
      </w:r>
      <w:r w:rsidR="004326E3">
        <w:rPr>
          <w:sz w:val="24"/>
          <w:szCs w:val="24"/>
        </w:rPr>
        <w:br/>
      </w:r>
      <w:r w:rsidRPr="000C5AB6">
        <w:rPr>
          <w:noProof/>
          <w:sz w:val="24"/>
          <w:szCs w:val="24"/>
          <w:lang w:val="en-GB" w:eastAsia="en-GB"/>
        </w:rPr>
        <w:pict>
          <v:rect id="Rechthoek 67" o:spid="_x0000_s1035" style="position:absolute;left:0;text-align:left;margin-left:0;margin-top:139pt;width:53.3pt;height:22.4pt;z-index:251715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" fillcolor="white [3201]" strokecolor="#5b9bd5 [3204]" strokeweight="1pt">
            <v:textbox>
              <w:txbxContent>
                <w:p w:rsidR="00776867" w:rsidRPr="00761C3F" w:rsidRDefault="00776867" w:rsidP="00761C3F">
                  <w:pPr>
                    <w:jc w:val="center"/>
                    <w:rPr>
                      <w:sz w:val="22"/>
                    </w:rPr>
                  </w:pPr>
                  <w:r w:rsidRPr="00761C3F">
                    <w:rPr>
                      <w:sz w:val="22"/>
                    </w:rPr>
                    <w:t>Figuur 5</w:t>
                  </w:r>
                </w:p>
              </w:txbxContent>
            </v:textbox>
            <w10:wrap anchorx="margin"/>
          </v:rect>
        </w:pict>
      </w:r>
    </w:p>
    <w:p w:rsidR="00AD4C8A" w:rsidRDefault="000C5AB6" w:rsidP="00977DD0">
      <w:pPr>
        <w:spacing w:line="360" w:lineRule="auto"/>
        <w:jc w:val="both"/>
        <w:rPr>
          <w:sz w:val="24"/>
          <w:szCs w:val="24"/>
        </w:rPr>
      </w:pPr>
      <w:r w:rsidRPr="000C5AB6">
        <w:rPr>
          <w:noProof/>
          <w:sz w:val="24"/>
          <w:szCs w:val="24"/>
          <w:lang w:val="en-GB" w:eastAsia="en-GB"/>
        </w:rPr>
        <w:pict>
          <v:rect id="Rechthoek 11" o:spid="_x0000_s1036" style="position:absolute;left:0;text-align:left;margin-left:0;margin-top:2.05pt;width:473.25pt;height:267.45pt;z-index:2516715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" fillcolor="white [3201]" strokecolor="#5b9bd5 [3204]" strokeweight="1pt">
            <v:textbox>
              <w:txbxContent>
                <w:p w:rsidR="00776867" w:rsidRDefault="00776867" w:rsidP="00AD4C8A">
                  <w:r>
                    <w:t>Stel: Onderneming BV Bouwer verkrijgt een materieel vast actief op 1 januari 2011 voor de verkrijgingsprijs van € 200.000. De verwachte gebruiksduur bedraagt 10 jaar, restwaarde nihil, afschrijving vindt lineair plaats. Per 31 december 2014 bedraagt de boekwaarde van het actief € 120.000.</w:t>
                  </w:r>
                </w:p>
                <w:p w:rsidR="00776867" w:rsidRDefault="00776867" w:rsidP="00AD4C8A">
                  <w:r w:rsidRPr="00AD4C8A">
                    <w:rPr>
                      <w:b/>
                      <w:i/>
                    </w:rPr>
                    <w:t>Wijziging gebruiksduur</w:t>
                  </w:r>
                  <w:r>
                    <w:br/>
                    <w:t xml:space="preserve">Per 1 januari 2015 wordt vastgesteld dat de verwachte gebruiksduur in totaal 8 jaar betreft, </w:t>
                  </w:r>
                  <w:proofErr w:type="gramStart"/>
                  <w:r>
                    <w:t>derhalve</w:t>
                  </w:r>
                  <w:proofErr w:type="gramEnd"/>
                  <w:r>
                    <w:t xml:space="preserve"> een resterende gebruiksduur van 4 jaar. De boekwaarde per 2014 wordt afgeschreven over de resterende 4 jaar. De afschrijving per jaar vanaf 2015 tot en met 2018 bedraagt € 30.000 per jaar. De afschrijvingen tot en met 2014 blijven € 20.000 per jaar, waardoor er geen correctie komt in de afschrijvingen uit het verleden.</w:t>
                  </w:r>
                </w:p>
                <w:p w:rsidR="00776867" w:rsidRDefault="00776867" w:rsidP="00AD4C8A">
                  <w:r>
                    <w:rPr>
                      <w:b/>
                      <w:i/>
                    </w:rPr>
                    <w:t>Wijziging restwaarde</w:t>
                  </w:r>
                  <w:r>
                    <w:br/>
                    <w:t>Per 1 januari 2015 wordt vastgesteld dat de verwachte restwaarde € 12.000 bedraagt. Het nog af te schrijven bedrag per 1 januari 2015 bedraagt € 108.000 (€ 120.000 - € 12.000). De afschrijving per jaar vanaf 2015 tot en met 2020 bedraagt € 18.000 (€ 108.000 / 6 jaar). De afschrijvingen tot en met 2014 blijven ongewijzigd.</w:t>
                  </w:r>
                </w:p>
                <w:p w:rsidR="00776867" w:rsidRPr="001F4BB2" w:rsidRDefault="00776867" w:rsidP="00AD4C8A">
                  <w:r>
                    <w:rPr>
                      <w:b/>
                      <w:i/>
                    </w:rPr>
                    <w:t>Wijziging van de afschrijvingsmethode</w:t>
                  </w:r>
                  <w:r>
                    <w:br/>
                    <w:t xml:space="preserve">Per 1 januari 2015 wordt vastgesteld dat het verwachte gebruik van de aanwending van de toekomstige voordelen beter wordt voorgesteld indien wordt afgeschreven volgens de </w:t>
                  </w:r>
                  <w:r w:rsidRPr="001F4BB2">
                    <w:rPr>
                      <w:i/>
                    </w:rPr>
                    <w:t xml:space="preserve">‘sum of the year’s digits’. </w:t>
                  </w:r>
                  <w:r>
                    <w:t>De afschrijving in 2015 bedraagt € 34.286 (€ 120.000*6 /</w:t>
                  </w:r>
                  <w:proofErr w:type="gramStart"/>
                  <w:r>
                    <w:t>(</w:t>
                  </w:r>
                  <w:proofErr w:type="gramEnd"/>
                  <w:r>
                    <w:t>6+5+4+3+2+1)). De afschrijving in 2016 bedraagt € 28.571 (€120.000 - € 34.286*5 /</w:t>
                  </w:r>
                  <w:proofErr w:type="gramStart"/>
                  <w:r>
                    <w:t>(</w:t>
                  </w:r>
                  <w:proofErr w:type="gramEnd"/>
                  <w:r>
                    <w:t>5+4+3+2+1)). De afschrijvingen tot en met blijven ongewijzigd.</w:t>
                  </w:r>
                </w:p>
              </w:txbxContent>
            </v:textbox>
            <w10:wrap anchorx="margin"/>
          </v:rect>
        </w:pict>
      </w:r>
    </w:p>
    <w:p w:rsidR="00AD4C8A" w:rsidRDefault="00AD4C8A" w:rsidP="00977DD0">
      <w:pPr>
        <w:spacing w:line="360" w:lineRule="auto"/>
        <w:jc w:val="both"/>
        <w:rPr>
          <w:sz w:val="24"/>
          <w:szCs w:val="24"/>
        </w:rPr>
      </w:pPr>
    </w:p>
    <w:p w:rsidR="00AD4C8A" w:rsidRDefault="00AD4C8A" w:rsidP="00977DD0">
      <w:pPr>
        <w:spacing w:line="360" w:lineRule="auto"/>
        <w:jc w:val="both"/>
        <w:rPr>
          <w:sz w:val="24"/>
          <w:szCs w:val="24"/>
        </w:rPr>
      </w:pPr>
    </w:p>
    <w:p w:rsidR="00AD4C8A" w:rsidRDefault="00AD4C8A" w:rsidP="00977DD0">
      <w:pPr>
        <w:spacing w:line="360" w:lineRule="auto"/>
        <w:jc w:val="both"/>
        <w:rPr>
          <w:sz w:val="24"/>
          <w:szCs w:val="24"/>
        </w:rPr>
      </w:pPr>
    </w:p>
    <w:p w:rsidR="00AD4C8A" w:rsidRDefault="00AD4C8A" w:rsidP="00977DD0">
      <w:pPr>
        <w:spacing w:line="360" w:lineRule="auto"/>
        <w:jc w:val="both"/>
        <w:rPr>
          <w:sz w:val="24"/>
          <w:szCs w:val="24"/>
        </w:rPr>
      </w:pPr>
    </w:p>
    <w:p w:rsidR="00AD4C8A" w:rsidRDefault="00AD4C8A" w:rsidP="00977DD0">
      <w:pPr>
        <w:spacing w:line="360" w:lineRule="auto"/>
        <w:jc w:val="both"/>
        <w:rPr>
          <w:sz w:val="24"/>
          <w:szCs w:val="24"/>
        </w:rPr>
      </w:pPr>
    </w:p>
    <w:p w:rsidR="00AD4C8A" w:rsidRDefault="00AD4C8A" w:rsidP="00977DD0">
      <w:pPr>
        <w:spacing w:line="360" w:lineRule="auto"/>
        <w:jc w:val="both"/>
        <w:rPr>
          <w:sz w:val="24"/>
          <w:szCs w:val="24"/>
        </w:rPr>
      </w:pPr>
    </w:p>
    <w:p w:rsidR="00994255" w:rsidRDefault="00994255" w:rsidP="006E3FF9">
      <w:pPr>
        <w:spacing w:line="360" w:lineRule="auto"/>
        <w:jc w:val="both"/>
        <w:rPr>
          <w:sz w:val="24"/>
          <w:szCs w:val="24"/>
        </w:rPr>
      </w:pPr>
    </w:p>
    <w:p w:rsidR="004326E3" w:rsidRDefault="004326E3" w:rsidP="006E3FF9">
      <w:pPr>
        <w:spacing w:line="360" w:lineRule="auto"/>
        <w:jc w:val="both"/>
        <w:rPr>
          <w:b/>
          <w:sz w:val="24"/>
          <w:szCs w:val="24"/>
        </w:rPr>
      </w:pPr>
    </w:p>
    <w:p w:rsidR="004326E3" w:rsidRDefault="004326E3" w:rsidP="006E3FF9">
      <w:pPr>
        <w:spacing w:line="360" w:lineRule="auto"/>
        <w:jc w:val="both"/>
        <w:rPr>
          <w:b/>
          <w:sz w:val="24"/>
          <w:szCs w:val="24"/>
        </w:rPr>
      </w:pPr>
    </w:p>
    <w:p w:rsidR="00DC5757" w:rsidRPr="00AA4CBC" w:rsidRDefault="00776867" w:rsidP="00AA4CBC">
      <w:pPr>
        <w:pStyle w:val="Heading3"/>
        <w:rPr>
          <w:sz w:val="28"/>
        </w:rPr>
      </w:pPr>
      <w:bookmarkStart w:id="13" w:name="_Toc425516479"/>
      <w:r>
        <w:rPr>
          <w:sz w:val="28"/>
        </w:rPr>
        <w:t>2</w:t>
      </w:r>
      <w:r w:rsidR="00AA4CBC" w:rsidRPr="00AA4CBC">
        <w:rPr>
          <w:sz w:val="28"/>
        </w:rPr>
        <w:t xml:space="preserve">.3.6. </w:t>
      </w:r>
      <w:r w:rsidR="00DC5757" w:rsidRPr="00AA4CBC">
        <w:rPr>
          <w:sz w:val="28"/>
        </w:rPr>
        <w:t>Bijzondere waardevermindering</w:t>
      </w:r>
      <w:r w:rsidR="004326E3" w:rsidRPr="00AA4CBC">
        <w:rPr>
          <w:sz w:val="28"/>
        </w:rPr>
        <w:t>en</w:t>
      </w:r>
      <w:bookmarkEnd w:id="13"/>
    </w:p>
    <w:p w:rsidR="00DC5757" w:rsidRDefault="00DC5757" w:rsidP="006E3FF9">
      <w:pPr>
        <w:spacing w:line="360" w:lineRule="auto"/>
        <w:jc w:val="both"/>
        <w:rPr>
          <w:sz w:val="24"/>
          <w:szCs w:val="24"/>
        </w:rPr>
      </w:pPr>
      <w:r>
        <w:rPr>
          <w:sz w:val="24"/>
          <w:szCs w:val="24"/>
        </w:rPr>
        <w:t xml:space="preserve">Naast de gebruikelijke, systematische afschrijvingen op </w:t>
      </w:r>
      <w:r w:rsidR="00E01DA4">
        <w:rPr>
          <w:sz w:val="24"/>
          <w:szCs w:val="24"/>
        </w:rPr>
        <w:t>materiële</w:t>
      </w:r>
      <w:r>
        <w:rPr>
          <w:sz w:val="24"/>
          <w:szCs w:val="24"/>
        </w:rPr>
        <w:t xml:space="preserve"> vaste activa op basis van de geschatte gebruiksduur, kunnen er zich ook bijzondere waardeverminderingen voordoen. </w:t>
      </w:r>
      <w:r w:rsidR="007D7BF1">
        <w:rPr>
          <w:sz w:val="24"/>
          <w:szCs w:val="24"/>
        </w:rPr>
        <w:t xml:space="preserve">Volgens RJ 121 dient een bijzondere waardevermindering te worden doorgevoerd indien de realiseerbare waarde van het actief lager is dan de boekwaarde. Binnen IFRS staat deze regel beter bekend als een </w:t>
      </w:r>
      <w:proofErr w:type="spellStart"/>
      <w:r w:rsidR="007D7BF1">
        <w:rPr>
          <w:i/>
          <w:sz w:val="24"/>
          <w:szCs w:val="24"/>
        </w:rPr>
        <w:t>impairment</w:t>
      </w:r>
      <w:proofErr w:type="spellEnd"/>
      <w:r w:rsidR="007D7BF1">
        <w:rPr>
          <w:sz w:val="24"/>
          <w:szCs w:val="24"/>
        </w:rPr>
        <w:t>. De realiseerbare waarde is daarbij de hoogste van de opbrengstwaarde (directe opbrengstwaarde) en de bedrijfswaarde (indirecte opbrengstwaarde</w:t>
      </w:r>
      <w:r w:rsidR="0024076F">
        <w:rPr>
          <w:sz w:val="24"/>
          <w:szCs w:val="24"/>
        </w:rPr>
        <w:t>)</w:t>
      </w:r>
      <w:r w:rsidR="007D7BF1">
        <w:rPr>
          <w:rStyle w:val="FootnoteReference"/>
          <w:sz w:val="24"/>
          <w:szCs w:val="24"/>
        </w:rPr>
        <w:footnoteReference w:id="35"/>
      </w:r>
      <w:r w:rsidR="007D7BF1">
        <w:rPr>
          <w:sz w:val="24"/>
          <w:szCs w:val="24"/>
        </w:rPr>
        <w:t>.</w:t>
      </w:r>
      <w:r w:rsidR="00D20638">
        <w:rPr>
          <w:sz w:val="24"/>
          <w:szCs w:val="24"/>
        </w:rPr>
        <w:t xml:space="preserve"> Voor de bepaling van de opbrengstwaarde wordt zo veel mogelijk aansluiting gezocht bij recente transacties en andere marktinformatie, terwijl voor de bedrijfswaarde vooral wordt gekeken naar specifieke regels </w:t>
      </w:r>
      <w:proofErr w:type="gramStart"/>
      <w:r w:rsidR="00D20638">
        <w:rPr>
          <w:sz w:val="24"/>
          <w:szCs w:val="24"/>
        </w:rPr>
        <w:t>inzake</w:t>
      </w:r>
      <w:proofErr w:type="gramEnd"/>
      <w:r w:rsidR="00D20638">
        <w:rPr>
          <w:sz w:val="24"/>
          <w:szCs w:val="24"/>
        </w:rPr>
        <w:t xml:space="preserve"> de bepaling van kasstromen en de disconteringsvoet. Veelal is de bedrijfswaarde de hoogste van beide, omdat anders voortgezette aanwending van het actief economisch niet doelmatig is.</w:t>
      </w:r>
    </w:p>
    <w:p w:rsidR="00D20638" w:rsidRDefault="00D20638" w:rsidP="006E3FF9">
      <w:pPr>
        <w:spacing w:line="360" w:lineRule="auto"/>
        <w:jc w:val="both"/>
        <w:rPr>
          <w:sz w:val="24"/>
          <w:szCs w:val="24"/>
        </w:rPr>
      </w:pPr>
      <w:r>
        <w:rPr>
          <w:sz w:val="24"/>
          <w:szCs w:val="24"/>
        </w:rPr>
        <w:lastRenderedPageBreak/>
        <w:t xml:space="preserve">Voor het beoordelen van een bijzondere waardevermindering van een materieel vast actief, wordt de zogenaamde </w:t>
      </w:r>
      <w:proofErr w:type="spellStart"/>
      <w:r>
        <w:rPr>
          <w:i/>
          <w:sz w:val="24"/>
          <w:szCs w:val="24"/>
        </w:rPr>
        <w:t>impairment</w:t>
      </w:r>
      <w:proofErr w:type="spellEnd"/>
      <w:r>
        <w:rPr>
          <w:i/>
          <w:sz w:val="24"/>
          <w:szCs w:val="24"/>
        </w:rPr>
        <w:t xml:space="preserve"> test</w:t>
      </w:r>
      <w:r>
        <w:rPr>
          <w:sz w:val="24"/>
          <w:szCs w:val="24"/>
        </w:rPr>
        <w:t xml:space="preserve"> toegepast, bestaande uit de volgende drie stappen:</w:t>
      </w:r>
    </w:p>
    <w:p w:rsidR="00D20638" w:rsidRDefault="00AC2999" w:rsidP="00D20638">
      <w:pPr>
        <w:pStyle w:val="ListParagraph"/>
        <w:numPr>
          <w:ilvl w:val="0"/>
          <w:numId w:val="9"/>
        </w:numPr>
        <w:spacing w:line="360" w:lineRule="auto"/>
        <w:jc w:val="both"/>
        <w:rPr>
          <w:sz w:val="24"/>
          <w:szCs w:val="24"/>
        </w:rPr>
      </w:pPr>
      <w:r>
        <w:rPr>
          <w:sz w:val="24"/>
          <w:szCs w:val="24"/>
        </w:rPr>
        <w:t>Nagaan of er aanwijzingen bestaan dat er mogelijk sprake is van een bijzondere waardevermindering</w:t>
      </w:r>
      <w:r>
        <w:rPr>
          <w:rStyle w:val="FootnoteReference"/>
          <w:sz w:val="24"/>
          <w:szCs w:val="24"/>
        </w:rPr>
        <w:footnoteReference w:id="36"/>
      </w:r>
      <w:r>
        <w:rPr>
          <w:sz w:val="24"/>
          <w:szCs w:val="24"/>
        </w:rPr>
        <w:t>.</w:t>
      </w:r>
    </w:p>
    <w:p w:rsidR="00AC2999" w:rsidRDefault="00AC2999" w:rsidP="00D20638">
      <w:pPr>
        <w:pStyle w:val="ListParagraph"/>
        <w:numPr>
          <w:ilvl w:val="0"/>
          <w:numId w:val="9"/>
        </w:numPr>
        <w:spacing w:line="360" w:lineRule="auto"/>
        <w:jc w:val="both"/>
        <w:rPr>
          <w:sz w:val="24"/>
          <w:szCs w:val="24"/>
        </w:rPr>
      </w:pPr>
      <w:r>
        <w:rPr>
          <w:sz w:val="24"/>
          <w:szCs w:val="24"/>
        </w:rPr>
        <w:t>Indien deze aanwijzingen bestaan, bepaal de realiseerbare waarde zijnde de hoogste van de opbrengstwaarde en de bedrijfswaarde</w:t>
      </w:r>
      <w:r>
        <w:rPr>
          <w:rStyle w:val="FootnoteReference"/>
          <w:sz w:val="24"/>
          <w:szCs w:val="24"/>
        </w:rPr>
        <w:footnoteReference w:id="37"/>
      </w:r>
      <w:r>
        <w:rPr>
          <w:sz w:val="24"/>
          <w:szCs w:val="24"/>
        </w:rPr>
        <w:t>.</w:t>
      </w:r>
    </w:p>
    <w:p w:rsidR="00AC2999" w:rsidRDefault="00AC2999" w:rsidP="00AC2999">
      <w:pPr>
        <w:pStyle w:val="ListParagraph"/>
        <w:numPr>
          <w:ilvl w:val="0"/>
          <w:numId w:val="9"/>
        </w:numPr>
        <w:spacing w:line="360" w:lineRule="auto"/>
        <w:jc w:val="both"/>
        <w:rPr>
          <w:sz w:val="24"/>
          <w:szCs w:val="24"/>
        </w:rPr>
      </w:pPr>
      <w:r>
        <w:rPr>
          <w:sz w:val="24"/>
          <w:szCs w:val="24"/>
        </w:rPr>
        <w:t>Vergelijk de verkozen realiseerbare waarde met de boekwaarde; indien de realiseerbare waarde lager is, wordt een bijzondere waardevermindering doorgevoerd</w:t>
      </w:r>
      <w:r>
        <w:rPr>
          <w:rStyle w:val="FootnoteReference"/>
          <w:sz w:val="24"/>
          <w:szCs w:val="24"/>
        </w:rPr>
        <w:footnoteReference w:id="38"/>
      </w:r>
      <w:r>
        <w:rPr>
          <w:sz w:val="24"/>
          <w:szCs w:val="24"/>
        </w:rPr>
        <w:t>.</w:t>
      </w:r>
    </w:p>
    <w:p w:rsidR="00AC2999" w:rsidRDefault="00AC2999" w:rsidP="00AC2999">
      <w:pPr>
        <w:spacing w:line="360" w:lineRule="auto"/>
        <w:jc w:val="both"/>
        <w:rPr>
          <w:sz w:val="24"/>
          <w:szCs w:val="24"/>
        </w:rPr>
      </w:pPr>
      <w:r>
        <w:rPr>
          <w:sz w:val="24"/>
          <w:szCs w:val="24"/>
        </w:rPr>
        <w:t xml:space="preserve">Ter aanvulling </w:t>
      </w:r>
      <w:r w:rsidR="00781075">
        <w:rPr>
          <w:sz w:val="24"/>
          <w:szCs w:val="24"/>
        </w:rPr>
        <w:t>op</w:t>
      </w:r>
      <w:r>
        <w:rPr>
          <w:sz w:val="24"/>
          <w:szCs w:val="24"/>
        </w:rPr>
        <w:t xml:space="preserve"> stap 1 van de </w:t>
      </w:r>
      <w:proofErr w:type="spellStart"/>
      <w:r w:rsidRPr="00AC2999">
        <w:rPr>
          <w:i/>
          <w:sz w:val="24"/>
          <w:szCs w:val="24"/>
        </w:rPr>
        <w:t>impairment</w:t>
      </w:r>
      <w:proofErr w:type="spellEnd"/>
      <w:r w:rsidRPr="00AC2999">
        <w:rPr>
          <w:i/>
          <w:sz w:val="24"/>
          <w:szCs w:val="24"/>
        </w:rPr>
        <w:t xml:space="preserve"> test</w:t>
      </w:r>
      <w:r>
        <w:rPr>
          <w:sz w:val="24"/>
          <w:szCs w:val="24"/>
        </w:rPr>
        <w:t xml:space="preserve">, bestaan er twee verschillende soorten aanwijzingen voor een bijzondere waardevermindering; te weten aanwijzingen uit </w:t>
      </w:r>
      <w:r>
        <w:rPr>
          <w:i/>
          <w:sz w:val="24"/>
          <w:szCs w:val="24"/>
        </w:rPr>
        <w:t>externe</w:t>
      </w:r>
      <w:r>
        <w:rPr>
          <w:sz w:val="24"/>
          <w:szCs w:val="24"/>
        </w:rPr>
        <w:t xml:space="preserve"> informatiebronnen en aanwijzingen uit </w:t>
      </w:r>
      <w:r>
        <w:rPr>
          <w:i/>
          <w:sz w:val="24"/>
          <w:szCs w:val="24"/>
        </w:rPr>
        <w:t xml:space="preserve">interne </w:t>
      </w:r>
      <w:r w:rsidRPr="00AC2999">
        <w:rPr>
          <w:sz w:val="24"/>
          <w:szCs w:val="24"/>
        </w:rPr>
        <w:t>informatiebronnen</w:t>
      </w:r>
      <w:r>
        <w:rPr>
          <w:sz w:val="24"/>
          <w:szCs w:val="24"/>
        </w:rPr>
        <w:t xml:space="preserve">. </w:t>
      </w:r>
      <w:r w:rsidR="00575BDB">
        <w:rPr>
          <w:sz w:val="24"/>
          <w:szCs w:val="24"/>
        </w:rPr>
        <w:t xml:space="preserve">Een voorbeeld van een </w:t>
      </w:r>
      <w:r w:rsidR="00575BDB" w:rsidRPr="00575BDB">
        <w:rPr>
          <w:i/>
          <w:sz w:val="24"/>
          <w:szCs w:val="24"/>
        </w:rPr>
        <w:t>externe</w:t>
      </w:r>
      <w:r w:rsidR="00575BDB">
        <w:rPr>
          <w:sz w:val="24"/>
          <w:szCs w:val="24"/>
        </w:rPr>
        <w:t xml:space="preserve"> indicatie voor bijzondere waardevermindering is als de marktwaarde van het actief aanzienlijk sneller gedaald is dan uit het verloop van de tijd of uit normaal gebruik van het actief zou voortvloeien. Indien er aanwijzingen zijn van economische veroudering of beschadiging van het actief, is er sprake van een </w:t>
      </w:r>
      <w:r w:rsidR="00575BDB">
        <w:rPr>
          <w:i/>
          <w:sz w:val="24"/>
          <w:szCs w:val="24"/>
        </w:rPr>
        <w:t xml:space="preserve">interne </w:t>
      </w:r>
      <w:r w:rsidR="00575BDB">
        <w:rPr>
          <w:sz w:val="24"/>
          <w:szCs w:val="24"/>
        </w:rPr>
        <w:t xml:space="preserve">indicatie van bijzondere waardevermindering </w:t>
      </w:r>
      <w:sdt>
        <w:sdtPr>
          <w:rPr>
            <w:sz w:val="24"/>
            <w:szCs w:val="24"/>
          </w:rPr>
          <w:id w:val="778452839"/>
          <w:citation/>
        </w:sdtPr>
        <w:sdtContent>
          <w:r w:rsidR="000C5AB6">
            <w:rPr>
              <w:sz w:val="24"/>
              <w:szCs w:val="24"/>
            </w:rPr>
            <w:fldChar w:fldCharType="begin"/>
          </w:r>
          <w:r w:rsidR="00575BDB">
            <w:rPr>
              <w:sz w:val="24"/>
              <w:szCs w:val="24"/>
            </w:rPr>
            <w:instrText xml:space="preserve"> CITATION Ver04 \l 1043 </w:instrText>
          </w:r>
          <w:r w:rsidR="000C5AB6">
            <w:rPr>
              <w:sz w:val="24"/>
              <w:szCs w:val="24"/>
            </w:rPr>
            <w:fldChar w:fldCharType="separate"/>
          </w:r>
          <w:r w:rsidR="00062BB9" w:rsidRPr="00062BB9">
            <w:rPr>
              <w:noProof/>
              <w:sz w:val="24"/>
              <w:szCs w:val="24"/>
            </w:rPr>
            <w:t>(Vergoossen, 2004)</w:t>
          </w:r>
          <w:r w:rsidR="000C5AB6">
            <w:rPr>
              <w:sz w:val="24"/>
              <w:szCs w:val="24"/>
            </w:rPr>
            <w:fldChar w:fldCharType="end"/>
          </w:r>
        </w:sdtContent>
      </w:sdt>
      <w:r w:rsidR="00575BDB">
        <w:rPr>
          <w:sz w:val="24"/>
          <w:szCs w:val="24"/>
        </w:rPr>
        <w:t>.</w:t>
      </w:r>
    </w:p>
    <w:p w:rsidR="00200B98" w:rsidRDefault="00554B22" w:rsidP="00AC2999">
      <w:pPr>
        <w:spacing w:line="360" w:lineRule="auto"/>
        <w:jc w:val="both"/>
        <w:rPr>
          <w:sz w:val="24"/>
          <w:szCs w:val="24"/>
        </w:rPr>
      </w:pPr>
      <w:r>
        <w:rPr>
          <w:sz w:val="24"/>
          <w:szCs w:val="24"/>
        </w:rPr>
        <w:t>Indien de boekwaarde van een materieel vast actief hoger is dan de realiseerbare waarde van het actief, dient het actief te worden afgewaardeerd tot de realiseerbare waarde</w:t>
      </w:r>
      <w:r>
        <w:rPr>
          <w:rStyle w:val="FootnoteReference"/>
          <w:sz w:val="24"/>
          <w:szCs w:val="24"/>
        </w:rPr>
        <w:footnoteReference w:id="39"/>
      </w:r>
      <w:r>
        <w:rPr>
          <w:sz w:val="24"/>
          <w:szCs w:val="24"/>
        </w:rPr>
        <w:t>. Het verlies wordt onmiddellijk verwerkt in de winst-en-verliesrekening, tenzij de afwaardering ten laste van een herwaarderingsreserve kan worden gebracht</w:t>
      </w:r>
      <w:r>
        <w:rPr>
          <w:rStyle w:val="FootnoteReference"/>
          <w:sz w:val="24"/>
          <w:szCs w:val="24"/>
        </w:rPr>
        <w:footnoteReference w:id="40"/>
      </w:r>
      <w:r>
        <w:rPr>
          <w:sz w:val="24"/>
          <w:szCs w:val="24"/>
        </w:rPr>
        <w:t>. De afwaardering noodzaakt tot een aanpassing van de afschrijvingen op het actief. De afschrijvingslast voor de toekomstige perioden dient te worden herzien om de aangepaste boekwaarde, verminderd met de eventuele restwaarde, stelselmatig over de resterende levensduur te verdelen.</w:t>
      </w:r>
      <w:r w:rsidR="00F16342">
        <w:rPr>
          <w:sz w:val="24"/>
          <w:szCs w:val="24"/>
        </w:rPr>
        <w:t xml:space="preserve"> Ter verduidelijking van het verwerkingsproces van een bijzondere waardevermindering van een actief, is er in </w:t>
      </w:r>
      <w:r w:rsidR="00877295">
        <w:rPr>
          <w:sz w:val="24"/>
          <w:szCs w:val="24"/>
        </w:rPr>
        <w:t>figuur</w:t>
      </w:r>
      <w:r w:rsidR="00F16342">
        <w:rPr>
          <w:sz w:val="24"/>
          <w:szCs w:val="24"/>
        </w:rPr>
        <w:t xml:space="preserve"> 6 een voorbeeld opgesteld.</w:t>
      </w:r>
    </w:p>
    <w:p w:rsidR="00AA4CBC" w:rsidRDefault="000C5AB6" w:rsidP="00AC2999">
      <w:pPr>
        <w:spacing w:line="360" w:lineRule="auto"/>
        <w:jc w:val="both"/>
        <w:rPr>
          <w:sz w:val="24"/>
          <w:szCs w:val="24"/>
        </w:rPr>
      </w:pPr>
      <w:r w:rsidRPr="000C5AB6">
        <w:rPr>
          <w:noProof/>
          <w:sz w:val="24"/>
          <w:szCs w:val="24"/>
          <w:lang w:val="en-GB" w:eastAsia="en-GB"/>
        </w:rPr>
        <w:pict>
          <v:rect id="Rechthoek 14" o:spid="_x0000_s1037" style="position:absolute;left:0;text-align:left;margin-left:72.1pt;margin-top:19.5pt;width:52.75pt;height:20.1pt;z-index:251674624;visibility:visible;mso-wrap-style:square;mso-height-percent:0;mso-wrap-distance-left:9pt;mso-wrap-distance-top:0;mso-wrap-distance-right:9pt;mso-wrap-distance-bottom:0;mso-position-horizontal:absolute;mso-position-horizontal-relative:left-margin-area;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" fillcolor="white [3201]" strokecolor="#5b9bd5 [3204]" strokeweight="1pt">
            <v:textbox>
              <w:txbxContent>
                <w:p w:rsidR="00776867" w:rsidRDefault="00776867" w:rsidP="00E4043E">
                  <w:pPr>
                    <w:jc w:val="center"/>
                  </w:pPr>
                  <w:r>
                    <w:t>Figuur 6</w:t>
                  </w:r>
                </w:p>
              </w:txbxContent>
            </v:textbox>
            <w10:wrap anchorx="margin"/>
          </v:rect>
        </w:pict>
      </w:r>
    </w:p>
    <w:p w:rsidR="00F16342" w:rsidRDefault="000C5AB6" w:rsidP="00AC2999">
      <w:pPr>
        <w:spacing w:line="360" w:lineRule="auto"/>
        <w:jc w:val="both"/>
        <w:rPr>
          <w:sz w:val="24"/>
          <w:szCs w:val="24"/>
        </w:rPr>
      </w:pPr>
      <w:r w:rsidRPr="000C5AB6">
        <w:rPr>
          <w:noProof/>
          <w:sz w:val="24"/>
          <w:szCs w:val="24"/>
          <w:lang w:val="en-GB" w:eastAsia="en-GB"/>
        </w:rPr>
        <w:lastRenderedPageBreak/>
        <w:pict>
          <v:rect id="Rechthoek 13" o:spid="_x0000_s1038" style="position:absolute;left:0;text-align:left;margin-left:1.15pt;margin-top:12pt;width:455.4pt;height:195.0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" fillcolor="white [3201]" strokecolor="#5b9bd5 [3204]" strokeweight="1pt">
            <v:textbox>
              <w:txbxContent>
                <w:p w:rsidR="00776867" w:rsidRPr="00F16342" w:rsidRDefault="00776867" w:rsidP="00F16342">
                  <w:r>
                    <w:t xml:space="preserve">Als gevolg van bepaalde omstandigheden zijn de jaarrekeningen van Active BV over de boekjaren 2011 tot en met 2013 niet definitief opgesteld. Activa BV heeft een actief, waar op ultimo 2014 een </w:t>
                  </w:r>
                  <w:r w:rsidRPr="00F16342">
                    <w:rPr>
                      <w:i/>
                    </w:rPr>
                    <w:t>impairment test</w:t>
                  </w:r>
                  <w:r>
                    <w:t xml:space="preserve"> wordt uitgevoerd. Uit deze </w:t>
                  </w:r>
                  <w:r>
                    <w:rPr>
                      <w:i/>
                    </w:rPr>
                    <w:t>impairment test</w:t>
                  </w:r>
                  <w:r>
                    <w:t xml:space="preserve"> blijkt een bijzondere waardevermindering noodzakelijk. Het management van Activa BV claimt dat deze bijzondere waardevermindering in 2011 is ontstaan als gevolg van een onopgemerkte beschadiging aan het actief door toedoen van een werknemer.</w:t>
                  </w:r>
                  <w:r>
                    <w:br/>
                  </w:r>
                  <w:r>
                    <w:rPr>
                      <w:b/>
                      <w:i/>
                    </w:rPr>
                    <w:br/>
                    <w:t>In welk boekjaar moet de bijzondere waardevermindering worden verwerkt?</w:t>
                  </w:r>
                  <w:r>
                    <w:rPr>
                      <w:b/>
                      <w:i/>
                    </w:rPr>
                    <w:br/>
                  </w:r>
                  <w:r>
                    <w:t xml:space="preserve">De bijzondere waardevermindering wordt verwerkt in het boekjaar waarin deze is ontstaan, te weten het boekjaar 2014. Blijkbaar zijn er gedurende de boekjaren 2011 tot en met 2013 geen indicaties geweest voor een bijzondere waardevermindering, aangezien er geen </w:t>
                  </w:r>
                  <w:r>
                    <w:rPr>
                      <w:i/>
                    </w:rPr>
                    <w:t>impairment test</w:t>
                  </w:r>
                  <w:r>
                    <w:t xml:space="preserve"> is uitgevoerd gedurende deze periode. In dit geval is de bijzondere waardevermindering het gevolg van een aanwijsbare gebeurtenis, ontstaan in 2014. Ter aanvulling, als de bijzondere waardevermindering materieel van aard is, wordt deze opgenomen in de toelichting op de gebeurtenissen na balansdatum in de jaarrekeningen over 2011 tot en met 2013.</w:t>
                  </w:r>
                </w:p>
                <w:p w:rsidR="00776867" w:rsidRPr="00F16342" w:rsidRDefault="00776867" w:rsidP="00F16342"/>
              </w:txbxContent>
            </v:textbox>
          </v:rect>
        </w:pict>
      </w:r>
    </w:p>
    <w:p w:rsidR="00F16342" w:rsidRDefault="00F16342" w:rsidP="00AC2999">
      <w:pPr>
        <w:spacing w:line="360" w:lineRule="auto"/>
        <w:jc w:val="both"/>
        <w:rPr>
          <w:sz w:val="24"/>
          <w:szCs w:val="24"/>
        </w:rPr>
      </w:pPr>
    </w:p>
    <w:p w:rsidR="00F16342" w:rsidRDefault="00F16342" w:rsidP="00AC2999">
      <w:pPr>
        <w:spacing w:line="360" w:lineRule="auto"/>
        <w:jc w:val="both"/>
        <w:rPr>
          <w:sz w:val="24"/>
          <w:szCs w:val="24"/>
        </w:rPr>
      </w:pPr>
    </w:p>
    <w:p w:rsidR="00F16342" w:rsidRDefault="00F16342" w:rsidP="00AC2999">
      <w:pPr>
        <w:spacing w:line="360" w:lineRule="auto"/>
        <w:jc w:val="both"/>
        <w:rPr>
          <w:sz w:val="24"/>
          <w:szCs w:val="24"/>
        </w:rPr>
      </w:pPr>
    </w:p>
    <w:p w:rsidR="00F16342" w:rsidRDefault="00F16342" w:rsidP="00AC2999">
      <w:pPr>
        <w:spacing w:line="360" w:lineRule="auto"/>
        <w:jc w:val="both"/>
        <w:rPr>
          <w:sz w:val="24"/>
          <w:szCs w:val="24"/>
        </w:rPr>
      </w:pPr>
    </w:p>
    <w:p w:rsidR="00F16342" w:rsidRDefault="00F16342" w:rsidP="00AC2999">
      <w:pPr>
        <w:spacing w:line="360" w:lineRule="auto"/>
        <w:jc w:val="both"/>
        <w:rPr>
          <w:sz w:val="24"/>
          <w:szCs w:val="24"/>
        </w:rPr>
      </w:pPr>
    </w:p>
    <w:p w:rsidR="00F16342" w:rsidRDefault="00F16342" w:rsidP="00AC2999">
      <w:pPr>
        <w:spacing w:line="360" w:lineRule="auto"/>
        <w:jc w:val="both"/>
        <w:rPr>
          <w:sz w:val="24"/>
          <w:szCs w:val="24"/>
        </w:rPr>
      </w:pPr>
    </w:p>
    <w:p w:rsidR="00F16342" w:rsidRPr="00575BDB" w:rsidRDefault="00F16342" w:rsidP="00AC2999">
      <w:pPr>
        <w:spacing w:line="360" w:lineRule="auto"/>
        <w:jc w:val="both"/>
        <w:rPr>
          <w:sz w:val="24"/>
          <w:szCs w:val="24"/>
        </w:rPr>
      </w:pPr>
    </w:p>
    <w:p w:rsidR="001E217D" w:rsidRPr="00200B98" w:rsidRDefault="00776867" w:rsidP="00200B98">
      <w:pPr>
        <w:pStyle w:val="Heading3"/>
        <w:rPr>
          <w:sz w:val="28"/>
        </w:rPr>
      </w:pPr>
      <w:bookmarkStart w:id="14" w:name="_Toc425516480"/>
      <w:r>
        <w:rPr>
          <w:sz w:val="28"/>
        </w:rPr>
        <w:t>2</w:t>
      </w:r>
      <w:r w:rsidR="00200B98" w:rsidRPr="00200B98">
        <w:rPr>
          <w:sz w:val="28"/>
        </w:rPr>
        <w:t xml:space="preserve">.3.7. </w:t>
      </w:r>
      <w:r w:rsidR="001E217D" w:rsidRPr="00200B98">
        <w:rPr>
          <w:sz w:val="28"/>
        </w:rPr>
        <w:t>Herwaarderingen</w:t>
      </w:r>
      <w:bookmarkEnd w:id="14"/>
    </w:p>
    <w:p w:rsidR="001E217D" w:rsidRPr="001E217D" w:rsidRDefault="001E217D" w:rsidP="006E3FF9">
      <w:pPr>
        <w:spacing w:line="360" w:lineRule="auto"/>
        <w:jc w:val="both"/>
        <w:rPr>
          <w:sz w:val="24"/>
          <w:szCs w:val="24"/>
        </w:rPr>
      </w:pPr>
      <w:r>
        <w:rPr>
          <w:sz w:val="24"/>
          <w:szCs w:val="24"/>
        </w:rPr>
        <w:t>Een positieve herwaardering van een actief leidt tot een mutatie in de herwaarderingsreserve en wordt niet in de winst-en-verliesrekening verwerkt, tenzij het een terugneming betreft van een waardevermindering van het actief die eerder in het resultaat is opgenomen</w:t>
      </w:r>
      <w:r>
        <w:rPr>
          <w:rStyle w:val="FootnoteReference"/>
          <w:sz w:val="24"/>
          <w:szCs w:val="24"/>
        </w:rPr>
        <w:footnoteReference w:id="41"/>
      </w:r>
      <w:r>
        <w:rPr>
          <w:sz w:val="24"/>
          <w:szCs w:val="24"/>
        </w:rPr>
        <w:t xml:space="preserve">. </w:t>
      </w:r>
      <w:proofErr w:type="gramStart"/>
      <w:r>
        <w:rPr>
          <w:sz w:val="24"/>
          <w:szCs w:val="24"/>
        </w:rPr>
        <w:t>Daarentegen</w:t>
      </w:r>
      <w:proofErr w:type="gramEnd"/>
      <w:r>
        <w:rPr>
          <w:sz w:val="24"/>
          <w:szCs w:val="24"/>
        </w:rPr>
        <w:t xml:space="preserve"> wordt een negatieve herwaardering van een actief wél in de winst-en-verliesrekening verwerkt indien er geen herwaarderingsreserve voor dit actief bestaat. Dit betekent dat een negatieve herwaardering ten laste van het resultaat komt voor zover niet eerder positieve herwaarderingen ten aanzien van desbetreffend actief zijn doorgevoerd. De herwaarderingsreserve wordt per individueel actief bepaald en per actief mag er g</w:t>
      </w:r>
      <w:r w:rsidR="000B5E29">
        <w:rPr>
          <w:sz w:val="24"/>
          <w:szCs w:val="24"/>
        </w:rPr>
        <w:t>een negatieve herwaarderingsreserve ontstaan</w:t>
      </w:r>
      <w:r w:rsidR="000B5E29">
        <w:rPr>
          <w:rStyle w:val="FootnoteReference"/>
          <w:sz w:val="24"/>
          <w:szCs w:val="24"/>
        </w:rPr>
        <w:footnoteReference w:id="42"/>
      </w:r>
      <w:r w:rsidR="00A2664C">
        <w:rPr>
          <w:sz w:val="24"/>
          <w:szCs w:val="24"/>
        </w:rPr>
        <w:t xml:space="preserve">. Onder IFRS wordt de realisatie van de herwaardering rechtstreeks verwerkt in de ‘overige reserves’, terwijl onder de Nederlandse regelgeving de realisatie van de herwaarderingsreserve ook ten gunsten van de winst-en-verliesrekening mag worden verwerkt. Onder Dutch GAAP is het verplicht de herwaarderingsreserve te verminderen met het gerealiseerde bedrag van zowel het verbruik (afschrijvingen) als de vervreemding van het actief. Immers schrijft de Nederlandse wet voor </w:t>
      </w:r>
      <w:r w:rsidR="001842A3">
        <w:rPr>
          <w:sz w:val="24"/>
          <w:szCs w:val="24"/>
        </w:rPr>
        <w:t>dat de herwaarderingsreserve niet hoger kan zijn dan het verschil tussen de boekwaarde op basis van de verkrijgings- of vervaardigingsprijs</w:t>
      </w:r>
      <w:r w:rsidR="001842A3">
        <w:rPr>
          <w:rStyle w:val="FootnoteReference"/>
          <w:sz w:val="24"/>
          <w:szCs w:val="24"/>
        </w:rPr>
        <w:footnoteReference w:id="43"/>
      </w:r>
      <w:r w:rsidR="001842A3">
        <w:rPr>
          <w:sz w:val="24"/>
          <w:szCs w:val="24"/>
        </w:rPr>
        <w:t xml:space="preserve"> en de boekwaarde op basis van de bij de waardering gehanteerde actuele waarde</w:t>
      </w:r>
      <w:r w:rsidR="001842A3">
        <w:rPr>
          <w:rStyle w:val="FootnoteReference"/>
          <w:sz w:val="24"/>
          <w:szCs w:val="24"/>
        </w:rPr>
        <w:footnoteReference w:id="44"/>
      </w:r>
      <w:r w:rsidR="001842A3">
        <w:rPr>
          <w:sz w:val="24"/>
          <w:szCs w:val="24"/>
        </w:rPr>
        <w:t>.</w:t>
      </w:r>
    </w:p>
    <w:p w:rsidR="00DD3EA3" w:rsidRPr="00200B98" w:rsidRDefault="00776867" w:rsidP="00200B98">
      <w:pPr>
        <w:pStyle w:val="Heading3"/>
        <w:rPr>
          <w:sz w:val="28"/>
        </w:rPr>
      </w:pPr>
      <w:bookmarkStart w:id="15" w:name="_Toc425516481"/>
      <w:r>
        <w:rPr>
          <w:sz w:val="28"/>
        </w:rPr>
        <w:lastRenderedPageBreak/>
        <w:t>2</w:t>
      </w:r>
      <w:r w:rsidR="00200B98" w:rsidRPr="00200B98">
        <w:rPr>
          <w:sz w:val="28"/>
        </w:rPr>
        <w:t xml:space="preserve">.3.8. </w:t>
      </w:r>
      <w:proofErr w:type="spellStart"/>
      <w:r w:rsidR="00DD3EA3" w:rsidRPr="00200B98">
        <w:rPr>
          <w:sz w:val="28"/>
        </w:rPr>
        <w:t>Literature</w:t>
      </w:r>
      <w:proofErr w:type="spellEnd"/>
      <w:r w:rsidR="00DD3EA3" w:rsidRPr="00200B98">
        <w:rPr>
          <w:sz w:val="28"/>
        </w:rPr>
        <w:t xml:space="preserve"> </w:t>
      </w:r>
      <w:proofErr w:type="spellStart"/>
      <w:r w:rsidR="00DD3EA3" w:rsidRPr="00200B98">
        <w:rPr>
          <w:sz w:val="28"/>
        </w:rPr>
        <w:t>review</w:t>
      </w:r>
      <w:proofErr w:type="spellEnd"/>
      <w:r w:rsidR="00DD3EA3" w:rsidRPr="00200B98">
        <w:rPr>
          <w:sz w:val="28"/>
        </w:rPr>
        <w:t xml:space="preserve"> op </w:t>
      </w:r>
      <w:r w:rsidR="003C381B">
        <w:rPr>
          <w:sz w:val="28"/>
        </w:rPr>
        <w:t xml:space="preserve">het </w:t>
      </w:r>
      <w:r w:rsidR="00DD3EA3" w:rsidRPr="00200B98">
        <w:rPr>
          <w:sz w:val="28"/>
        </w:rPr>
        <w:t>historische kostprijs</w:t>
      </w:r>
      <w:r w:rsidR="009F6B99" w:rsidRPr="00200B98">
        <w:rPr>
          <w:sz w:val="28"/>
        </w:rPr>
        <w:t>model</w:t>
      </w:r>
      <w:bookmarkEnd w:id="15"/>
    </w:p>
    <w:p w:rsidR="00DD3EA3" w:rsidRDefault="00DD3EA3" w:rsidP="00DD3EA3">
      <w:pPr>
        <w:spacing w:line="360" w:lineRule="auto"/>
        <w:jc w:val="both"/>
        <w:rPr>
          <w:sz w:val="24"/>
          <w:szCs w:val="24"/>
        </w:rPr>
      </w:pPr>
      <w:r>
        <w:rPr>
          <w:sz w:val="24"/>
          <w:szCs w:val="24"/>
        </w:rPr>
        <w:t xml:space="preserve">Zoals eerder gesteld, is het waarderen tegen de historische kostprijs een traditionele vorm van accounting, wat beter bekend staat als </w:t>
      </w:r>
      <w:r w:rsidR="0024076F">
        <w:rPr>
          <w:i/>
          <w:sz w:val="24"/>
          <w:szCs w:val="24"/>
        </w:rPr>
        <w:t>conservatieve</w:t>
      </w:r>
      <w:r>
        <w:rPr>
          <w:i/>
          <w:sz w:val="24"/>
          <w:szCs w:val="24"/>
        </w:rPr>
        <w:t xml:space="preserve"> accounting</w:t>
      </w:r>
      <w:r>
        <w:rPr>
          <w:sz w:val="24"/>
          <w:szCs w:val="24"/>
        </w:rPr>
        <w:t xml:space="preserve">. Onderzoekers beredeneren dat conservatisme in accounting voorkomt als reactie op de economische vraag naar verifieerbare en tijdige informatie, en verandering in de regulerings- en wettelijke omgeving waarbinnen bedrijven opereren </w:t>
      </w:r>
      <w:sdt>
        <w:sdtPr>
          <w:rPr>
            <w:sz w:val="24"/>
            <w:szCs w:val="24"/>
          </w:rPr>
          <w:id w:val="2042628688"/>
          <w:citation/>
        </w:sdtPr>
        <w:sdtContent>
          <w:r w:rsidR="000C5AB6">
            <w:rPr>
              <w:sz w:val="24"/>
              <w:szCs w:val="24"/>
            </w:rPr>
            <w:fldChar w:fldCharType="begin"/>
          </w:r>
          <w:r>
            <w:rPr>
              <w:sz w:val="24"/>
              <w:szCs w:val="24"/>
            </w:rPr>
            <w:instrText xml:space="preserve"> CITATION Hol01 \l 1043 </w:instrText>
          </w:r>
          <w:r w:rsidR="000C5AB6">
            <w:rPr>
              <w:sz w:val="24"/>
              <w:szCs w:val="24"/>
            </w:rPr>
            <w:fldChar w:fldCharType="separate"/>
          </w:r>
          <w:r w:rsidR="00062BB9" w:rsidRPr="00062BB9">
            <w:rPr>
              <w:noProof/>
              <w:sz w:val="24"/>
              <w:szCs w:val="24"/>
            </w:rPr>
            <w:t>(Holthausen &amp; Watts, 2001)</w:t>
          </w:r>
          <w:r w:rsidR="000C5AB6">
            <w:rPr>
              <w:sz w:val="24"/>
              <w:szCs w:val="24"/>
            </w:rPr>
            <w:fldChar w:fldCharType="end"/>
          </w:r>
        </w:sdtContent>
      </w:sdt>
      <w:r>
        <w:rPr>
          <w:sz w:val="24"/>
          <w:szCs w:val="24"/>
        </w:rPr>
        <w:t xml:space="preserve"> </w:t>
      </w:r>
      <w:sdt>
        <w:sdtPr>
          <w:rPr>
            <w:sz w:val="24"/>
            <w:szCs w:val="24"/>
          </w:rPr>
          <w:id w:val="-698169586"/>
          <w:citation/>
        </w:sdtPr>
        <w:sdtContent>
          <w:r w:rsidR="000C5AB6">
            <w:rPr>
              <w:sz w:val="24"/>
              <w:szCs w:val="24"/>
            </w:rPr>
            <w:fldChar w:fldCharType="begin"/>
          </w:r>
          <w:r w:rsidR="00624800">
            <w:rPr>
              <w:sz w:val="24"/>
              <w:szCs w:val="24"/>
            </w:rPr>
            <w:instrText xml:space="preserve"> CITATION Wat03 \l 1043 </w:instrText>
          </w:r>
          <w:r w:rsidR="000C5AB6">
            <w:rPr>
              <w:sz w:val="24"/>
              <w:szCs w:val="24"/>
            </w:rPr>
            <w:fldChar w:fldCharType="separate"/>
          </w:r>
          <w:r w:rsidR="00062BB9" w:rsidRPr="00062BB9">
            <w:rPr>
              <w:noProof/>
              <w:sz w:val="24"/>
              <w:szCs w:val="24"/>
            </w:rPr>
            <w:t>(Watts, 2003)</w:t>
          </w:r>
          <w:r w:rsidR="000C5AB6">
            <w:rPr>
              <w:sz w:val="24"/>
              <w:szCs w:val="24"/>
            </w:rPr>
            <w:fldChar w:fldCharType="end"/>
          </w:r>
        </w:sdtContent>
      </w:sdt>
      <w:r>
        <w:rPr>
          <w:sz w:val="24"/>
          <w:szCs w:val="24"/>
        </w:rPr>
        <w:t>.</w:t>
      </w:r>
      <w:r w:rsidR="00624800">
        <w:rPr>
          <w:sz w:val="24"/>
          <w:szCs w:val="24"/>
        </w:rPr>
        <w:t xml:space="preserve"> </w:t>
      </w:r>
      <w:proofErr w:type="gramStart"/>
      <w:r w:rsidR="00624800">
        <w:rPr>
          <w:sz w:val="24"/>
          <w:szCs w:val="24"/>
        </w:rPr>
        <w:t xml:space="preserve">Empirische studies </w:t>
      </w:r>
      <w:r w:rsidR="00E13732">
        <w:rPr>
          <w:sz w:val="24"/>
          <w:szCs w:val="24"/>
        </w:rPr>
        <w:t>tonen</w:t>
      </w:r>
      <w:r w:rsidR="00624800">
        <w:rPr>
          <w:sz w:val="24"/>
          <w:szCs w:val="24"/>
        </w:rPr>
        <w:t xml:space="preserve"> bewijs van de ondersteunende en bestuurlijke rol van conservatisme in zowel de aandelenmarkt </w:t>
      </w:r>
      <w:sdt>
        <w:sdtPr>
          <w:rPr>
            <w:sz w:val="24"/>
            <w:szCs w:val="24"/>
          </w:rPr>
          <w:id w:val="493219084"/>
          <w:citation/>
        </w:sdtPr>
        <w:sdtContent>
          <w:r w:rsidR="000C5AB6">
            <w:rPr>
              <w:sz w:val="24"/>
              <w:szCs w:val="24"/>
            </w:rPr>
            <w:fldChar w:fldCharType="begin"/>
          </w:r>
          <w:r w:rsidR="00624800">
            <w:rPr>
              <w:sz w:val="24"/>
              <w:szCs w:val="24"/>
            </w:rPr>
            <w:instrText xml:space="preserve"> CITATION LaF08 \l 1043 </w:instrText>
          </w:r>
          <w:r w:rsidR="000C5AB6">
            <w:rPr>
              <w:sz w:val="24"/>
              <w:szCs w:val="24"/>
            </w:rPr>
            <w:fldChar w:fldCharType="separate"/>
          </w:r>
          <w:r w:rsidR="00062BB9" w:rsidRPr="00062BB9">
            <w:rPr>
              <w:noProof/>
              <w:sz w:val="24"/>
              <w:szCs w:val="24"/>
            </w:rPr>
            <w:t>(LaFond &amp; Watts, 2008)</w:t>
          </w:r>
          <w:r w:rsidR="000C5AB6">
            <w:rPr>
              <w:sz w:val="24"/>
              <w:szCs w:val="24"/>
            </w:rPr>
            <w:fldChar w:fldCharType="end"/>
          </w:r>
        </w:sdtContent>
      </w:sdt>
      <w:r w:rsidR="00624800">
        <w:rPr>
          <w:sz w:val="24"/>
          <w:szCs w:val="24"/>
        </w:rPr>
        <w:t xml:space="preserve"> </w:t>
      </w:r>
      <w:sdt>
        <w:sdtPr>
          <w:rPr>
            <w:sz w:val="24"/>
            <w:szCs w:val="24"/>
          </w:rPr>
          <w:id w:val="844904887"/>
          <w:citation/>
        </w:sdtPr>
        <w:sdtContent>
          <w:r w:rsidR="000C5AB6">
            <w:rPr>
              <w:sz w:val="24"/>
              <w:szCs w:val="24"/>
            </w:rPr>
            <w:fldChar w:fldCharType="begin"/>
          </w:r>
          <w:r w:rsidR="00624800">
            <w:rPr>
              <w:sz w:val="24"/>
              <w:szCs w:val="24"/>
            </w:rPr>
            <w:instrText xml:space="preserve">CITATION LaF081 \l 1043 </w:instrText>
          </w:r>
          <w:r w:rsidR="000C5AB6">
            <w:rPr>
              <w:sz w:val="24"/>
              <w:szCs w:val="24"/>
            </w:rPr>
            <w:fldChar w:fldCharType="separate"/>
          </w:r>
          <w:r w:rsidR="00062BB9" w:rsidRPr="00062BB9">
            <w:rPr>
              <w:noProof/>
              <w:sz w:val="24"/>
              <w:szCs w:val="24"/>
            </w:rPr>
            <w:t xml:space="preserve">(LaFond, R.; </w:t>
          </w:r>
          <w:proofErr w:type="gramEnd"/>
          <w:r w:rsidR="00062BB9" w:rsidRPr="00062BB9">
            <w:rPr>
              <w:noProof/>
              <w:sz w:val="24"/>
              <w:szCs w:val="24"/>
            </w:rPr>
            <w:t>Roychowdhury, S., 2008)</w:t>
          </w:r>
          <w:r w:rsidR="000C5AB6">
            <w:rPr>
              <w:sz w:val="24"/>
              <w:szCs w:val="24"/>
            </w:rPr>
            <w:fldChar w:fldCharType="end"/>
          </w:r>
        </w:sdtContent>
      </w:sdt>
      <w:r w:rsidR="00624800">
        <w:rPr>
          <w:sz w:val="24"/>
          <w:szCs w:val="24"/>
        </w:rPr>
        <w:t xml:space="preserve"> </w:t>
      </w:r>
      <w:proofErr w:type="gramStart"/>
      <w:r w:rsidR="00624800">
        <w:rPr>
          <w:sz w:val="24"/>
          <w:szCs w:val="24"/>
        </w:rPr>
        <w:t>als</w:t>
      </w:r>
      <w:proofErr w:type="gramEnd"/>
      <w:r w:rsidR="00624800">
        <w:rPr>
          <w:sz w:val="24"/>
          <w:szCs w:val="24"/>
        </w:rPr>
        <w:t xml:space="preserve"> de schuldenmarkt </w:t>
      </w:r>
      <w:sdt>
        <w:sdtPr>
          <w:rPr>
            <w:sz w:val="24"/>
            <w:szCs w:val="24"/>
          </w:rPr>
          <w:id w:val="1157187702"/>
          <w:citation/>
        </w:sdtPr>
        <w:sdtContent>
          <w:r w:rsidR="000C5AB6">
            <w:rPr>
              <w:sz w:val="24"/>
              <w:szCs w:val="24"/>
            </w:rPr>
            <w:fldChar w:fldCharType="begin"/>
          </w:r>
          <w:r w:rsidR="00624800">
            <w:rPr>
              <w:sz w:val="24"/>
              <w:szCs w:val="24"/>
            </w:rPr>
            <w:instrText xml:space="preserve"> CITATION Zha08 \l 1043 </w:instrText>
          </w:r>
          <w:r w:rsidR="000C5AB6">
            <w:rPr>
              <w:sz w:val="24"/>
              <w:szCs w:val="24"/>
            </w:rPr>
            <w:fldChar w:fldCharType="separate"/>
          </w:r>
          <w:r w:rsidR="00062BB9" w:rsidRPr="00062BB9">
            <w:rPr>
              <w:noProof/>
              <w:sz w:val="24"/>
              <w:szCs w:val="24"/>
            </w:rPr>
            <w:t>(Zhang, 2008)</w:t>
          </w:r>
          <w:r w:rsidR="000C5AB6">
            <w:rPr>
              <w:sz w:val="24"/>
              <w:szCs w:val="24"/>
            </w:rPr>
            <w:fldChar w:fldCharType="end"/>
          </w:r>
        </w:sdtContent>
      </w:sdt>
      <w:r w:rsidR="00624800">
        <w:rPr>
          <w:sz w:val="24"/>
          <w:szCs w:val="24"/>
        </w:rPr>
        <w:t>. Echter, er bestaat ook een rol voor conservatisme in de financiële verslaggeving met de financiële flexibiliteit van bedrijven en hun financiële beslissingen. Daaruit blijkt dat bedrijven die conservatiever zijn in hun financiële verslaggeving, ook minder flexibiliteit tonen in hun financiële beslissingen</w:t>
      </w:r>
      <w:r w:rsidR="000045F8">
        <w:rPr>
          <w:sz w:val="24"/>
          <w:szCs w:val="24"/>
        </w:rPr>
        <w:t xml:space="preserve"> </w:t>
      </w:r>
      <w:sdt>
        <w:sdtPr>
          <w:rPr>
            <w:sz w:val="24"/>
            <w:szCs w:val="24"/>
          </w:rPr>
          <w:id w:val="-20943297"/>
          <w:citation/>
        </w:sdtPr>
        <w:sdtContent>
          <w:r w:rsidR="000C5AB6">
            <w:rPr>
              <w:sz w:val="24"/>
              <w:szCs w:val="24"/>
            </w:rPr>
            <w:fldChar w:fldCharType="begin"/>
          </w:r>
          <w:r w:rsidR="000045F8">
            <w:rPr>
              <w:sz w:val="24"/>
              <w:szCs w:val="24"/>
            </w:rPr>
            <w:instrText xml:space="preserve"> CITATION Lee10 \l 1043 </w:instrText>
          </w:r>
          <w:r w:rsidR="000C5AB6">
            <w:rPr>
              <w:sz w:val="24"/>
              <w:szCs w:val="24"/>
            </w:rPr>
            <w:fldChar w:fldCharType="separate"/>
          </w:r>
          <w:r w:rsidR="00062BB9" w:rsidRPr="00062BB9">
            <w:rPr>
              <w:noProof/>
              <w:sz w:val="24"/>
              <w:szCs w:val="24"/>
            </w:rPr>
            <w:t>(Lee, 2010)</w:t>
          </w:r>
          <w:r w:rsidR="000C5AB6">
            <w:rPr>
              <w:sz w:val="24"/>
              <w:szCs w:val="24"/>
            </w:rPr>
            <w:fldChar w:fldCharType="end"/>
          </w:r>
        </w:sdtContent>
      </w:sdt>
      <w:r w:rsidR="00624800">
        <w:rPr>
          <w:sz w:val="24"/>
          <w:szCs w:val="24"/>
        </w:rPr>
        <w:t>.</w:t>
      </w:r>
      <w:r w:rsidR="000045F8">
        <w:rPr>
          <w:sz w:val="24"/>
          <w:szCs w:val="24"/>
        </w:rPr>
        <w:t xml:space="preserve"> De balans van een bedrijft oogt hierdoor minder sterk, omdat de nettowaarde afgezwakt wordt. Dit leidt tot nog meer conservatiever gedrag in financiële beslissingen, omdat managers zich financieel beperkt voelen.</w:t>
      </w:r>
    </w:p>
    <w:p w:rsidR="000045F8" w:rsidRDefault="000045F8" w:rsidP="00DD3EA3">
      <w:pPr>
        <w:spacing w:line="360" w:lineRule="auto"/>
        <w:jc w:val="both"/>
        <w:rPr>
          <w:sz w:val="24"/>
          <w:szCs w:val="24"/>
        </w:rPr>
      </w:pPr>
      <w:r>
        <w:rPr>
          <w:sz w:val="24"/>
          <w:szCs w:val="24"/>
        </w:rPr>
        <w:t xml:space="preserve">Conservatisme heeft daarnaast ook invloed op de financiële activiteiten van een bedrijf, </w:t>
      </w:r>
      <w:r w:rsidR="0024076F">
        <w:rPr>
          <w:sz w:val="24"/>
          <w:szCs w:val="24"/>
        </w:rPr>
        <w:t>voornamelijk</w:t>
      </w:r>
      <w:r>
        <w:rPr>
          <w:sz w:val="24"/>
          <w:szCs w:val="24"/>
        </w:rPr>
        <w:t xml:space="preserve"> ten aanzien van kredietaanvragen. Hoewel conservatieve boekhouding gunstig is voor kredietnemers omdat het resulteert in lagere kredietkosten, leidt conservatisme ook tot een gunstigere positie voor kredietverstrekkers. Namelijk, de kansen op </w:t>
      </w:r>
      <w:r w:rsidR="00AE74A6">
        <w:rPr>
          <w:sz w:val="24"/>
          <w:szCs w:val="24"/>
        </w:rPr>
        <w:t>schending van overeenkomsten</w:t>
      </w:r>
      <w:r>
        <w:rPr>
          <w:sz w:val="24"/>
          <w:szCs w:val="24"/>
        </w:rPr>
        <w:t xml:space="preserve"> en interventies door geldschieters nemen toe. </w:t>
      </w:r>
      <w:r w:rsidR="001431F8">
        <w:rPr>
          <w:sz w:val="24"/>
          <w:szCs w:val="24"/>
        </w:rPr>
        <w:t xml:space="preserve">Conservatieve verslaggeving leidt tot meer financiële last van de aangegane schuldcontracten omdat bedrijven minder financiële flexibiliteit tonen in hun interne financiële beslissingen. Zodoende leidt conservatieve verslaggeving tot lagere kredietkosten en een lager risico op </w:t>
      </w:r>
      <w:r w:rsidR="001431F8">
        <w:rPr>
          <w:i/>
          <w:sz w:val="24"/>
          <w:szCs w:val="24"/>
        </w:rPr>
        <w:t>agency</w:t>
      </w:r>
      <w:r w:rsidR="00AE74A6">
        <w:rPr>
          <w:rStyle w:val="FootnoteReference"/>
          <w:i/>
          <w:sz w:val="24"/>
          <w:szCs w:val="24"/>
        </w:rPr>
        <w:footnoteReference w:id="45"/>
      </w:r>
      <w:r w:rsidR="001431F8">
        <w:rPr>
          <w:i/>
          <w:sz w:val="24"/>
          <w:szCs w:val="24"/>
        </w:rPr>
        <w:t xml:space="preserve"> </w:t>
      </w:r>
      <w:r w:rsidR="001431F8">
        <w:rPr>
          <w:sz w:val="24"/>
          <w:szCs w:val="24"/>
        </w:rPr>
        <w:t>conflicten. Echter, de financiële flexibiliteit ten aanzien van het vergaren van (toekomstig) kapitaal neemt af, wat invloed heeft op alle financiële beslissingen van een rechtspersoon.</w:t>
      </w:r>
    </w:p>
    <w:p w:rsidR="00734147" w:rsidRDefault="00734147" w:rsidP="00734147">
      <w:pPr>
        <w:spacing w:line="360" w:lineRule="auto"/>
        <w:jc w:val="both"/>
        <w:rPr>
          <w:sz w:val="24"/>
          <w:szCs w:val="24"/>
        </w:rPr>
      </w:pPr>
      <w:r>
        <w:rPr>
          <w:sz w:val="24"/>
          <w:szCs w:val="24"/>
        </w:rPr>
        <w:t xml:space="preserve">Daarnaast kan het gebruik van </w:t>
      </w:r>
      <w:proofErr w:type="gramStart"/>
      <w:r>
        <w:rPr>
          <w:sz w:val="24"/>
          <w:szCs w:val="24"/>
        </w:rPr>
        <w:t>historische</w:t>
      </w:r>
      <w:proofErr w:type="gramEnd"/>
      <w:r>
        <w:rPr>
          <w:sz w:val="24"/>
          <w:szCs w:val="24"/>
        </w:rPr>
        <w:t xml:space="preserve"> kostprijsmodel ook fouten bevatten die kunnen leiden tot manipulatie van de financiële resultaten. In het geval van </w:t>
      </w:r>
      <w:proofErr w:type="spellStart"/>
      <w:r>
        <w:rPr>
          <w:i/>
          <w:sz w:val="24"/>
          <w:szCs w:val="24"/>
        </w:rPr>
        <w:t>historical</w:t>
      </w:r>
      <w:proofErr w:type="spellEnd"/>
      <w:r>
        <w:rPr>
          <w:i/>
          <w:sz w:val="24"/>
          <w:szCs w:val="24"/>
        </w:rPr>
        <w:t xml:space="preserve"> </w:t>
      </w:r>
      <w:proofErr w:type="spellStart"/>
      <w:r>
        <w:rPr>
          <w:i/>
          <w:sz w:val="24"/>
          <w:szCs w:val="24"/>
        </w:rPr>
        <w:t>cost</w:t>
      </w:r>
      <w:proofErr w:type="spellEnd"/>
      <w:r>
        <w:rPr>
          <w:i/>
          <w:sz w:val="24"/>
          <w:szCs w:val="24"/>
        </w:rPr>
        <w:t xml:space="preserve"> accounting</w:t>
      </w:r>
      <w:r>
        <w:rPr>
          <w:sz w:val="24"/>
          <w:szCs w:val="24"/>
        </w:rPr>
        <w:t xml:space="preserve"> kan dit tot uiting komen door een foute inschatting van de afschrijvingsbedragen als gevolg van het overschatten van de gebruiksduur van een actief. Dit heeft tot gevolg dat </w:t>
      </w:r>
      <w:r>
        <w:rPr>
          <w:sz w:val="24"/>
          <w:szCs w:val="24"/>
        </w:rPr>
        <w:lastRenderedPageBreak/>
        <w:t xml:space="preserve">het inkomen te hoog </w:t>
      </w:r>
      <w:proofErr w:type="gramStart"/>
      <w:r>
        <w:rPr>
          <w:sz w:val="24"/>
          <w:szCs w:val="24"/>
        </w:rPr>
        <w:t>ingeschat</w:t>
      </w:r>
      <w:proofErr w:type="gramEnd"/>
      <w:r>
        <w:rPr>
          <w:sz w:val="24"/>
          <w:szCs w:val="24"/>
        </w:rPr>
        <w:t xml:space="preserve"> wordt. Deze manier van </w:t>
      </w:r>
      <w:proofErr w:type="spellStart"/>
      <w:r w:rsidRPr="00D61D54">
        <w:rPr>
          <w:i/>
          <w:sz w:val="24"/>
          <w:szCs w:val="24"/>
        </w:rPr>
        <w:t>earnings</w:t>
      </w:r>
      <w:proofErr w:type="spellEnd"/>
      <w:r w:rsidRPr="00D61D54">
        <w:rPr>
          <w:i/>
          <w:sz w:val="24"/>
          <w:szCs w:val="24"/>
        </w:rPr>
        <w:t xml:space="preserve"> management</w:t>
      </w:r>
      <w:r>
        <w:rPr>
          <w:sz w:val="24"/>
          <w:szCs w:val="24"/>
        </w:rPr>
        <w:t xml:space="preserve"> wordt gebruikt om investeerders, schuldeisers en andere gebruikers van de jaarrekening te misleiden over de daadwerkelijke financiële positie en winstgevendheid van een rechtspersoon </w:t>
      </w:r>
      <w:sdt>
        <w:sdtPr>
          <w:rPr>
            <w:sz w:val="24"/>
            <w:szCs w:val="24"/>
          </w:rPr>
          <w:id w:val="-695311759"/>
          <w:citation/>
        </w:sdtPr>
        <w:sdtContent>
          <w:r w:rsidR="000C5AB6">
            <w:rPr>
              <w:sz w:val="24"/>
              <w:szCs w:val="24"/>
            </w:rPr>
            <w:fldChar w:fldCharType="begin"/>
          </w:r>
          <w:r>
            <w:rPr>
              <w:sz w:val="24"/>
              <w:szCs w:val="24"/>
            </w:rPr>
            <w:instrText xml:space="preserve"> CITATION Bel08 \l 1043 </w:instrText>
          </w:r>
          <w:r w:rsidR="000C5AB6">
            <w:rPr>
              <w:sz w:val="24"/>
              <w:szCs w:val="24"/>
            </w:rPr>
            <w:fldChar w:fldCharType="separate"/>
          </w:r>
          <w:r w:rsidR="00062BB9" w:rsidRPr="00062BB9">
            <w:rPr>
              <w:noProof/>
              <w:sz w:val="24"/>
              <w:szCs w:val="24"/>
            </w:rPr>
            <w:t>(Belinna, Yen, &amp; Yang, 2008)</w:t>
          </w:r>
          <w:r w:rsidR="000C5AB6">
            <w:rPr>
              <w:sz w:val="24"/>
              <w:szCs w:val="24"/>
            </w:rPr>
            <w:fldChar w:fldCharType="end"/>
          </w:r>
        </w:sdtContent>
      </w:sdt>
      <w:r>
        <w:rPr>
          <w:sz w:val="24"/>
          <w:szCs w:val="24"/>
        </w:rPr>
        <w:t xml:space="preserve">. </w:t>
      </w:r>
      <w:proofErr w:type="spellStart"/>
      <w:r w:rsidRPr="00BA181F">
        <w:rPr>
          <w:i/>
          <w:sz w:val="24"/>
          <w:szCs w:val="24"/>
        </w:rPr>
        <w:t>Earnings</w:t>
      </w:r>
      <w:proofErr w:type="spellEnd"/>
      <w:r w:rsidRPr="00BA181F">
        <w:rPr>
          <w:i/>
          <w:sz w:val="24"/>
          <w:szCs w:val="24"/>
        </w:rPr>
        <w:t xml:space="preserve"> management</w:t>
      </w:r>
      <w:r>
        <w:rPr>
          <w:sz w:val="24"/>
          <w:szCs w:val="24"/>
        </w:rPr>
        <w:t xml:space="preserve"> vindt plaats wanneer managers gebruik maken van hun ‘</w:t>
      </w:r>
      <w:r>
        <w:rPr>
          <w:i/>
          <w:sz w:val="24"/>
          <w:szCs w:val="24"/>
        </w:rPr>
        <w:t xml:space="preserve">professional </w:t>
      </w:r>
      <w:proofErr w:type="spellStart"/>
      <w:r w:rsidRPr="001131D7">
        <w:rPr>
          <w:i/>
          <w:sz w:val="24"/>
          <w:szCs w:val="24"/>
        </w:rPr>
        <w:t>judgement</w:t>
      </w:r>
      <w:proofErr w:type="spellEnd"/>
      <w:r w:rsidRPr="001131D7">
        <w:rPr>
          <w:i/>
          <w:sz w:val="24"/>
          <w:szCs w:val="24"/>
        </w:rPr>
        <w:t>’</w:t>
      </w:r>
      <w:r>
        <w:rPr>
          <w:rStyle w:val="FootnoteReference"/>
          <w:i/>
          <w:sz w:val="24"/>
          <w:szCs w:val="24"/>
        </w:rPr>
        <w:footnoteReference w:id="46"/>
      </w:r>
      <w:r>
        <w:rPr>
          <w:sz w:val="24"/>
          <w:szCs w:val="24"/>
        </w:rPr>
        <w:t xml:space="preserve"> in de financiële verslaggeving en in het structureren van transacties met als doel om financiële rapportages te veranderen om zo sommige belanghebbenden te misleiden over de daadwerkelijke prestaties van de onderneming of om contractuele resultaten die afhankelijk zijn van gerapporteerde boekhoudkundige cijfers te beïnvloeden </w:t>
      </w:r>
      <w:sdt>
        <w:sdtPr>
          <w:rPr>
            <w:sz w:val="24"/>
            <w:szCs w:val="24"/>
          </w:rPr>
          <w:id w:val="-533191133"/>
          <w:citation/>
        </w:sdtPr>
        <w:sdtContent>
          <w:r w:rsidR="000C5AB6">
            <w:rPr>
              <w:sz w:val="24"/>
              <w:szCs w:val="24"/>
            </w:rPr>
            <w:fldChar w:fldCharType="begin"/>
          </w:r>
          <w:r>
            <w:rPr>
              <w:sz w:val="24"/>
              <w:szCs w:val="24"/>
            </w:rPr>
            <w:instrText xml:space="preserve">CITATION Hea991 \l 1043 </w:instrText>
          </w:r>
          <w:r w:rsidR="000C5AB6">
            <w:rPr>
              <w:sz w:val="24"/>
              <w:szCs w:val="24"/>
            </w:rPr>
            <w:fldChar w:fldCharType="separate"/>
          </w:r>
          <w:r w:rsidR="00062BB9" w:rsidRPr="00062BB9">
            <w:rPr>
              <w:noProof/>
              <w:sz w:val="24"/>
              <w:szCs w:val="24"/>
            </w:rPr>
            <w:t>(Healy &amp; Wahlen, 1999)</w:t>
          </w:r>
          <w:r w:rsidR="000C5AB6">
            <w:rPr>
              <w:sz w:val="24"/>
              <w:szCs w:val="24"/>
            </w:rPr>
            <w:fldChar w:fldCharType="end"/>
          </w:r>
        </w:sdtContent>
      </w:sdt>
      <w:r>
        <w:rPr>
          <w:sz w:val="24"/>
          <w:szCs w:val="24"/>
        </w:rPr>
        <w:t xml:space="preserve">. </w:t>
      </w:r>
      <w:r w:rsidRPr="001131D7">
        <w:rPr>
          <w:sz w:val="24"/>
          <w:szCs w:val="24"/>
        </w:rPr>
        <w:t>Zodoende</w:t>
      </w:r>
      <w:r>
        <w:rPr>
          <w:sz w:val="24"/>
          <w:szCs w:val="24"/>
        </w:rPr>
        <w:t xml:space="preserve"> ontstaat er met het gebruik van </w:t>
      </w:r>
      <w:proofErr w:type="spellStart"/>
      <w:r>
        <w:rPr>
          <w:i/>
          <w:sz w:val="24"/>
          <w:szCs w:val="24"/>
        </w:rPr>
        <w:t>historical</w:t>
      </w:r>
      <w:proofErr w:type="spellEnd"/>
      <w:r>
        <w:rPr>
          <w:i/>
          <w:sz w:val="24"/>
          <w:szCs w:val="24"/>
        </w:rPr>
        <w:t xml:space="preserve"> </w:t>
      </w:r>
      <w:proofErr w:type="spellStart"/>
      <w:r>
        <w:rPr>
          <w:i/>
          <w:sz w:val="24"/>
          <w:szCs w:val="24"/>
        </w:rPr>
        <w:t>cost</w:t>
      </w:r>
      <w:proofErr w:type="spellEnd"/>
      <w:r>
        <w:rPr>
          <w:i/>
          <w:sz w:val="24"/>
          <w:szCs w:val="24"/>
        </w:rPr>
        <w:t xml:space="preserve"> accounting </w:t>
      </w:r>
      <w:r w:rsidRPr="00734147">
        <w:rPr>
          <w:sz w:val="24"/>
          <w:szCs w:val="24"/>
        </w:rPr>
        <w:t>meer</w:t>
      </w:r>
      <w:r>
        <w:rPr>
          <w:sz w:val="24"/>
          <w:szCs w:val="24"/>
        </w:rPr>
        <w:t xml:space="preserve"> ruimte om slechte investeringsbeslissingen, die leiden tot dalende waardes van aandelenprijzen en activa, te verbergen door het management team. Dat maakt het onwaarschijnlijk dat financiële mislukkingen </w:t>
      </w:r>
      <w:r w:rsidR="00DB728A">
        <w:rPr>
          <w:sz w:val="24"/>
          <w:szCs w:val="24"/>
        </w:rPr>
        <w:t>zich openbaren</w:t>
      </w:r>
      <w:r>
        <w:rPr>
          <w:sz w:val="24"/>
          <w:szCs w:val="24"/>
        </w:rPr>
        <w:t xml:space="preserve"> door het gebruik van </w:t>
      </w:r>
      <w:proofErr w:type="spellStart"/>
      <w:r>
        <w:rPr>
          <w:i/>
          <w:sz w:val="24"/>
          <w:szCs w:val="24"/>
        </w:rPr>
        <w:t>historical</w:t>
      </w:r>
      <w:proofErr w:type="spellEnd"/>
      <w:r>
        <w:rPr>
          <w:i/>
          <w:sz w:val="24"/>
          <w:szCs w:val="24"/>
        </w:rPr>
        <w:t xml:space="preserve"> </w:t>
      </w:r>
      <w:proofErr w:type="spellStart"/>
      <w:r>
        <w:rPr>
          <w:i/>
          <w:sz w:val="24"/>
          <w:szCs w:val="24"/>
        </w:rPr>
        <w:t>cost</w:t>
      </w:r>
      <w:proofErr w:type="spellEnd"/>
      <w:r>
        <w:rPr>
          <w:i/>
          <w:sz w:val="24"/>
          <w:szCs w:val="24"/>
        </w:rPr>
        <w:t xml:space="preserve"> accounting</w:t>
      </w:r>
      <w:r>
        <w:rPr>
          <w:sz w:val="24"/>
          <w:szCs w:val="24"/>
        </w:rPr>
        <w:t>.</w:t>
      </w:r>
    </w:p>
    <w:p w:rsidR="00AE7AC9" w:rsidRPr="00200B98" w:rsidRDefault="00E13732" w:rsidP="00200B98">
      <w:pPr>
        <w:spacing w:line="360" w:lineRule="auto"/>
        <w:jc w:val="both"/>
        <w:rPr>
          <w:sz w:val="24"/>
          <w:szCs w:val="24"/>
        </w:rPr>
      </w:pPr>
      <w:r>
        <w:rPr>
          <w:sz w:val="24"/>
          <w:szCs w:val="24"/>
        </w:rPr>
        <w:t xml:space="preserve">Vanuit het oogpunt van het Stramien van de RJ en het Framework van de IASB kleven er zowel voor- als nadelen aan de historische kostprijsmethode. </w:t>
      </w:r>
      <w:r w:rsidR="00DD3EA3">
        <w:rPr>
          <w:sz w:val="24"/>
          <w:szCs w:val="24"/>
        </w:rPr>
        <w:t xml:space="preserve">Een groot voordeel </w:t>
      </w:r>
      <w:r>
        <w:rPr>
          <w:sz w:val="24"/>
          <w:szCs w:val="24"/>
        </w:rPr>
        <w:t xml:space="preserve">van deze methode </w:t>
      </w:r>
      <w:r w:rsidR="00DD3EA3">
        <w:rPr>
          <w:sz w:val="24"/>
          <w:szCs w:val="24"/>
        </w:rPr>
        <w:t>is dat het voldoet aan het kwalitatieve kenmerk begrijpelijkheid</w:t>
      </w:r>
      <w:r>
        <w:rPr>
          <w:sz w:val="24"/>
          <w:szCs w:val="24"/>
        </w:rPr>
        <w:t>. Daarnaast is de</w:t>
      </w:r>
      <w:r w:rsidR="00DD3EA3">
        <w:rPr>
          <w:sz w:val="24"/>
          <w:szCs w:val="24"/>
        </w:rPr>
        <w:t xml:space="preserve"> waarde altijd met zekerheid vast te stellen is, waardoor onzekerheid over de initiële waardering van een actief komt te vervallen </w:t>
      </w:r>
      <w:sdt>
        <w:sdtPr>
          <w:rPr>
            <w:sz w:val="24"/>
            <w:szCs w:val="24"/>
          </w:rPr>
          <w:id w:val="-403457472"/>
          <w:citation/>
        </w:sdtPr>
        <w:sdtContent>
          <w:r w:rsidR="000C5AB6">
            <w:rPr>
              <w:sz w:val="24"/>
              <w:szCs w:val="24"/>
            </w:rPr>
            <w:fldChar w:fldCharType="begin"/>
          </w:r>
          <w:r w:rsidR="00DD3EA3">
            <w:rPr>
              <w:sz w:val="24"/>
              <w:szCs w:val="24"/>
            </w:rPr>
            <w:instrText xml:space="preserve"> CITATION Jai13 \l 1043 </w:instrText>
          </w:r>
          <w:r w:rsidR="000C5AB6">
            <w:rPr>
              <w:sz w:val="24"/>
              <w:szCs w:val="24"/>
            </w:rPr>
            <w:fldChar w:fldCharType="separate"/>
          </w:r>
          <w:r w:rsidR="00062BB9" w:rsidRPr="00062BB9">
            <w:rPr>
              <w:noProof/>
              <w:sz w:val="24"/>
              <w:szCs w:val="24"/>
            </w:rPr>
            <w:t>(Jaijairam, 2013)</w:t>
          </w:r>
          <w:r w:rsidR="000C5AB6">
            <w:rPr>
              <w:sz w:val="24"/>
              <w:szCs w:val="24"/>
            </w:rPr>
            <w:fldChar w:fldCharType="end"/>
          </w:r>
        </w:sdtContent>
      </w:sdt>
      <w:r w:rsidR="00DD3EA3">
        <w:rPr>
          <w:sz w:val="24"/>
          <w:szCs w:val="24"/>
        </w:rPr>
        <w:t xml:space="preserve">. Tegenover de objectiviteit en betrouwbaarheid van deze methode, rijst de vraag of deze methode een relevant beeld kan geven van de daadwerkelijke toekomstige waarde van een actief </w:t>
      </w:r>
      <w:sdt>
        <w:sdtPr>
          <w:rPr>
            <w:sz w:val="24"/>
            <w:szCs w:val="24"/>
          </w:rPr>
          <w:id w:val="459841501"/>
          <w:citation/>
        </w:sdtPr>
        <w:sdtContent>
          <w:r w:rsidR="000C5AB6">
            <w:rPr>
              <w:sz w:val="24"/>
              <w:szCs w:val="24"/>
            </w:rPr>
            <w:fldChar w:fldCharType="begin"/>
          </w:r>
          <w:r w:rsidR="00DD3EA3">
            <w:rPr>
              <w:sz w:val="24"/>
              <w:szCs w:val="24"/>
            </w:rPr>
            <w:instrText xml:space="preserve"> CITATION Meu12 \l 1043 </w:instrText>
          </w:r>
          <w:r w:rsidR="000C5AB6">
            <w:rPr>
              <w:sz w:val="24"/>
              <w:szCs w:val="24"/>
            </w:rPr>
            <w:fldChar w:fldCharType="separate"/>
          </w:r>
          <w:r w:rsidR="00062BB9" w:rsidRPr="00062BB9">
            <w:rPr>
              <w:noProof/>
              <w:sz w:val="24"/>
              <w:szCs w:val="24"/>
            </w:rPr>
            <w:t>(Meunier, 2012)</w:t>
          </w:r>
          <w:r w:rsidR="000C5AB6">
            <w:rPr>
              <w:sz w:val="24"/>
              <w:szCs w:val="24"/>
            </w:rPr>
            <w:fldChar w:fldCharType="end"/>
          </w:r>
        </w:sdtContent>
      </w:sdt>
      <w:r w:rsidR="00DD3EA3">
        <w:rPr>
          <w:sz w:val="24"/>
          <w:szCs w:val="24"/>
        </w:rPr>
        <w:t>.</w:t>
      </w:r>
    </w:p>
    <w:p w:rsidR="00284039" w:rsidRPr="00200B98" w:rsidRDefault="00776867" w:rsidP="00200B98">
      <w:pPr>
        <w:pStyle w:val="Heading2"/>
        <w:rPr>
          <w:i/>
          <w:sz w:val="32"/>
          <w:szCs w:val="32"/>
        </w:rPr>
      </w:pPr>
      <w:bookmarkStart w:id="16" w:name="_Toc425516482"/>
      <w:r>
        <w:rPr>
          <w:sz w:val="32"/>
          <w:szCs w:val="32"/>
        </w:rPr>
        <w:t>2</w:t>
      </w:r>
      <w:r w:rsidR="00200B98" w:rsidRPr="00200B98">
        <w:rPr>
          <w:sz w:val="32"/>
          <w:szCs w:val="32"/>
        </w:rPr>
        <w:t xml:space="preserve">.4. </w:t>
      </w:r>
      <w:r w:rsidR="009F6B99" w:rsidRPr="00200B98">
        <w:rPr>
          <w:sz w:val="32"/>
          <w:szCs w:val="32"/>
        </w:rPr>
        <w:t>Actuele waarde accounting onder RJ 212</w:t>
      </w:r>
      <w:bookmarkEnd w:id="16"/>
      <w:r w:rsidR="00921D1B" w:rsidRPr="00200B98">
        <w:rPr>
          <w:i/>
          <w:sz w:val="32"/>
          <w:szCs w:val="32"/>
        </w:rPr>
        <w:tab/>
      </w:r>
    </w:p>
    <w:p w:rsidR="00921D1B" w:rsidRDefault="00921D1B" w:rsidP="00921D1B">
      <w:pPr>
        <w:tabs>
          <w:tab w:val="left" w:pos="4530"/>
        </w:tabs>
        <w:spacing w:line="360" w:lineRule="auto"/>
        <w:jc w:val="both"/>
        <w:rPr>
          <w:sz w:val="24"/>
          <w:szCs w:val="24"/>
        </w:rPr>
      </w:pPr>
      <w:r>
        <w:rPr>
          <w:sz w:val="24"/>
          <w:szCs w:val="24"/>
        </w:rPr>
        <w:t xml:space="preserve">Zoals eerder gesteld in de inleiding </w:t>
      </w:r>
      <w:r w:rsidR="00DB0D6C">
        <w:rPr>
          <w:sz w:val="24"/>
          <w:szCs w:val="24"/>
        </w:rPr>
        <w:t>van dit hoofdstuk, staan zowel d</w:t>
      </w:r>
      <w:r>
        <w:rPr>
          <w:sz w:val="24"/>
          <w:szCs w:val="24"/>
        </w:rPr>
        <w:t xml:space="preserve">e Richtlijnen (RJ 212.401) als IFRS (IAS 16.31) toe om </w:t>
      </w:r>
      <w:r w:rsidR="00E01DA4">
        <w:rPr>
          <w:sz w:val="24"/>
          <w:szCs w:val="24"/>
        </w:rPr>
        <w:t>materiële</w:t>
      </w:r>
      <w:r>
        <w:rPr>
          <w:sz w:val="24"/>
          <w:szCs w:val="24"/>
        </w:rPr>
        <w:t xml:space="preserve"> vaste activa na de eerste verwerking te waarderen volgens hetzij het</w:t>
      </w:r>
      <w:r w:rsidR="00B743FE">
        <w:rPr>
          <w:sz w:val="24"/>
          <w:szCs w:val="24"/>
        </w:rPr>
        <w:t xml:space="preserve"> (historische)</w:t>
      </w:r>
      <w:r>
        <w:rPr>
          <w:sz w:val="24"/>
          <w:szCs w:val="24"/>
        </w:rPr>
        <w:t xml:space="preserve"> kostprijsmodel, hetzij het actuele-waarde model. Echter, de uitwerking van het begrip actuele waarde in Nederland wijkt aanzienlijk af van de invulling van het begrip reële waarde volgens IFRS.</w:t>
      </w:r>
      <w:r w:rsidR="00FA3E3A">
        <w:rPr>
          <w:sz w:val="24"/>
          <w:szCs w:val="24"/>
        </w:rPr>
        <w:t xml:space="preserve"> In deze paragraaf </w:t>
      </w:r>
      <w:r w:rsidR="0082361F">
        <w:rPr>
          <w:sz w:val="24"/>
          <w:szCs w:val="24"/>
        </w:rPr>
        <w:t>wordt</w:t>
      </w:r>
      <w:r w:rsidR="00FA3E3A">
        <w:rPr>
          <w:sz w:val="24"/>
          <w:szCs w:val="24"/>
        </w:rPr>
        <w:t xml:space="preserve"> het begrip actuele waarde vanuit Nederlands </w:t>
      </w:r>
      <w:r w:rsidR="00EE686A">
        <w:rPr>
          <w:sz w:val="24"/>
          <w:szCs w:val="24"/>
        </w:rPr>
        <w:t>oogpunt</w:t>
      </w:r>
      <w:r w:rsidR="00FA3E3A">
        <w:rPr>
          <w:sz w:val="24"/>
          <w:szCs w:val="24"/>
        </w:rPr>
        <w:t xml:space="preserve"> uiteengezet.</w:t>
      </w:r>
    </w:p>
    <w:p w:rsidR="00FA3E3A" w:rsidRDefault="00A16AEE" w:rsidP="00921D1B">
      <w:pPr>
        <w:tabs>
          <w:tab w:val="left" w:pos="4530"/>
        </w:tabs>
        <w:spacing w:line="360" w:lineRule="auto"/>
        <w:jc w:val="both"/>
        <w:rPr>
          <w:sz w:val="24"/>
          <w:szCs w:val="24"/>
        </w:rPr>
      </w:pPr>
      <w:proofErr w:type="gramStart"/>
      <w:r>
        <w:rPr>
          <w:sz w:val="24"/>
          <w:szCs w:val="24"/>
        </w:rPr>
        <w:t xml:space="preserve">In het Besluit actuele waarde (BAW) wordt het begrip actuele waarde omschreven als de waarde die is gebaseerd op actuele marktprijzen of op gegevens die op de datum van waardering geacht kunnen worden relevant te zijn voor de waarde (art. </w:t>
      </w:r>
      <w:proofErr w:type="gramEnd"/>
      <w:r>
        <w:rPr>
          <w:sz w:val="24"/>
          <w:szCs w:val="24"/>
        </w:rPr>
        <w:t xml:space="preserve">1 lid 1 BAW) </w:t>
      </w:r>
      <w:sdt>
        <w:sdtPr>
          <w:rPr>
            <w:sz w:val="24"/>
            <w:szCs w:val="24"/>
          </w:rPr>
          <w:id w:val="-344476698"/>
          <w:citation/>
        </w:sdtPr>
        <w:sdtContent>
          <w:r w:rsidR="000C5AB6">
            <w:rPr>
              <w:sz w:val="24"/>
              <w:szCs w:val="24"/>
            </w:rPr>
            <w:fldChar w:fldCharType="begin"/>
          </w:r>
          <w:r>
            <w:rPr>
              <w:sz w:val="24"/>
              <w:szCs w:val="24"/>
            </w:rPr>
            <w:instrText xml:space="preserve"> CITATION Sta05 \l 1043 </w:instrText>
          </w:r>
          <w:r w:rsidR="000C5AB6">
            <w:rPr>
              <w:sz w:val="24"/>
              <w:szCs w:val="24"/>
            </w:rPr>
            <w:fldChar w:fldCharType="separate"/>
          </w:r>
          <w:r w:rsidR="00062BB9" w:rsidRPr="00062BB9">
            <w:rPr>
              <w:noProof/>
              <w:sz w:val="24"/>
              <w:szCs w:val="24"/>
            </w:rPr>
            <w:t>(Staatsblad, 2005)</w:t>
          </w:r>
          <w:r w:rsidR="000C5AB6">
            <w:rPr>
              <w:sz w:val="24"/>
              <w:szCs w:val="24"/>
            </w:rPr>
            <w:fldChar w:fldCharType="end"/>
          </w:r>
        </w:sdtContent>
      </w:sdt>
      <w:r>
        <w:rPr>
          <w:sz w:val="24"/>
          <w:szCs w:val="24"/>
        </w:rPr>
        <w:t>. Echter, bij waardering tegen actuele waarde zijn de volgende bepalingen opgenomen</w:t>
      </w:r>
      <w:r>
        <w:rPr>
          <w:rStyle w:val="FootnoteReference"/>
          <w:sz w:val="24"/>
          <w:szCs w:val="24"/>
        </w:rPr>
        <w:footnoteReference w:id="47"/>
      </w:r>
      <w:r w:rsidR="008F475A">
        <w:rPr>
          <w:sz w:val="24"/>
          <w:szCs w:val="24"/>
        </w:rPr>
        <w:t xml:space="preserve"> (in art. 7 BAW)</w:t>
      </w:r>
      <w:r>
        <w:rPr>
          <w:sz w:val="24"/>
          <w:szCs w:val="24"/>
        </w:rPr>
        <w:t>:</w:t>
      </w:r>
    </w:p>
    <w:p w:rsidR="00A16AEE" w:rsidRDefault="008F475A" w:rsidP="008F475A">
      <w:pPr>
        <w:pStyle w:val="ListParagraph"/>
        <w:numPr>
          <w:ilvl w:val="0"/>
          <w:numId w:val="1"/>
        </w:numPr>
        <w:tabs>
          <w:tab w:val="left" w:pos="4530"/>
        </w:tabs>
        <w:spacing w:line="276" w:lineRule="auto"/>
        <w:jc w:val="both"/>
        <w:rPr>
          <w:sz w:val="24"/>
          <w:szCs w:val="24"/>
        </w:rPr>
      </w:pPr>
      <w:r>
        <w:rPr>
          <w:sz w:val="24"/>
          <w:szCs w:val="24"/>
        </w:rPr>
        <w:t xml:space="preserve">de actuele waarde is gelijk aan de </w:t>
      </w:r>
      <w:r w:rsidRPr="00D46187">
        <w:rPr>
          <w:i/>
          <w:sz w:val="24"/>
          <w:szCs w:val="24"/>
        </w:rPr>
        <w:t>vervangingswaarde</w:t>
      </w:r>
      <w:r>
        <w:rPr>
          <w:sz w:val="24"/>
          <w:szCs w:val="24"/>
        </w:rPr>
        <w:t>; echter</w:t>
      </w:r>
    </w:p>
    <w:p w:rsidR="008F475A" w:rsidRDefault="008F475A" w:rsidP="008F475A">
      <w:pPr>
        <w:pStyle w:val="ListParagraph"/>
        <w:numPr>
          <w:ilvl w:val="0"/>
          <w:numId w:val="1"/>
        </w:numPr>
        <w:tabs>
          <w:tab w:val="left" w:pos="4530"/>
        </w:tabs>
        <w:spacing w:line="276" w:lineRule="auto"/>
        <w:jc w:val="both"/>
        <w:rPr>
          <w:sz w:val="24"/>
          <w:szCs w:val="24"/>
        </w:rPr>
      </w:pPr>
      <w:r>
        <w:rPr>
          <w:sz w:val="24"/>
          <w:szCs w:val="24"/>
        </w:rPr>
        <w:t xml:space="preserve">indien de bedrijfswaarde lager is dan de vervangingswaarde, is de actuele waarde gelijk aan deze </w:t>
      </w:r>
      <w:r w:rsidRPr="00D46187">
        <w:rPr>
          <w:i/>
          <w:sz w:val="24"/>
          <w:szCs w:val="24"/>
        </w:rPr>
        <w:t>bedrijfswaarde</w:t>
      </w:r>
      <w:r>
        <w:rPr>
          <w:sz w:val="24"/>
          <w:szCs w:val="24"/>
        </w:rPr>
        <w:t xml:space="preserve"> (indirecte opbrengstwaarde); of</w:t>
      </w:r>
    </w:p>
    <w:p w:rsidR="008F475A" w:rsidRDefault="008F475A" w:rsidP="008F475A">
      <w:pPr>
        <w:pStyle w:val="ListParagraph"/>
        <w:numPr>
          <w:ilvl w:val="0"/>
          <w:numId w:val="1"/>
        </w:numPr>
        <w:tabs>
          <w:tab w:val="left" w:pos="4530"/>
        </w:tabs>
        <w:spacing w:line="276" w:lineRule="auto"/>
        <w:jc w:val="both"/>
        <w:rPr>
          <w:sz w:val="24"/>
          <w:szCs w:val="24"/>
        </w:rPr>
      </w:pPr>
      <w:r>
        <w:rPr>
          <w:sz w:val="24"/>
          <w:szCs w:val="24"/>
        </w:rPr>
        <w:t xml:space="preserve">indien besloten is de activa te verkopen, is de actuele warde gelijk aan de </w:t>
      </w:r>
      <w:r w:rsidRPr="00D46187">
        <w:rPr>
          <w:i/>
          <w:sz w:val="24"/>
          <w:szCs w:val="24"/>
        </w:rPr>
        <w:t>opbrengstwaarde</w:t>
      </w:r>
      <w:r>
        <w:rPr>
          <w:sz w:val="24"/>
          <w:szCs w:val="24"/>
        </w:rPr>
        <w:t>.</w:t>
      </w:r>
    </w:p>
    <w:p w:rsidR="00AE7AC9" w:rsidRDefault="00D46187" w:rsidP="00AE7AC9">
      <w:pPr>
        <w:pStyle w:val="ListParagraph"/>
        <w:tabs>
          <w:tab w:val="left" w:pos="4530"/>
        </w:tabs>
        <w:spacing w:line="276" w:lineRule="auto"/>
        <w:jc w:val="both"/>
        <w:rPr>
          <w:sz w:val="24"/>
          <w:szCs w:val="24"/>
        </w:rPr>
      </w:pPr>
      <w:r>
        <w:rPr>
          <w:sz w:val="24"/>
          <w:szCs w:val="24"/>
        </w:rPr>
        <w:t>De schuingedrukte begrippen zul</w:t>
      </w:r>
      <w:r w:rsidR="00AE7AC9">
        <w:rPr>
          <w:sz w:val="24"/>
          <w:szCs w:val="24"/>
        </w:rPr>
        <w:t>len hieronder besproken worden.</w:t>
      </w:r>
    </w:p>
    <w:p w:rsidR="00E742B3" w:rsidRPr="00AE7AC9" w:rsidRDefault="005077EF" w:rsidP="00AE7AC9">
      <w:pPr>
        <w:tabs>
          <w:tab w:val="left" w:pos="4530"/>
        </w:tabs>
        <w:spacing w:line="276" w:lineRule="auto"/>
        <w:jc w:val="both"/>
        <w:rPr>
          <w:sz w:val="24"/>
          <w:szCs w:val="24"/>
        </w:rPr>
      </w:pPr>
      <w:r w:rsidRPr="00AE7AC9">
        <w:rPr>
          <w:b/>
          <w:sz w:val="24"/>
          <w:szCs w:val="24"/>
        </w:rPr>
        <w:t>Vervangingswaarde</w:t>
      </w:r>
    </w:p>
    <w:p w:rsidR="00D46187" w:rsidRPr="00E742B3" w:rsidRDefault="00E01DA4" w:rsidP="00E742B3">
      <w:pPr>
        <w:tabs>
          <w:tab w:val="left" w:pos="4530"/>
        </w:tabs>
        <w:spacing w:line="360" w:lineRule="auto"/>
        <w:jc w:val="both"/>
        <w:rPr>
          <w:b/>
          <w:sz w:val="24"/>
          <w:szCs w:val="24"/>
        </w:rPr>
      </w:pPr>
      <w:r>
        <w:rPr>
          <w:sz w:val="24"/>
          <w:szCs w:val="24"/>
        </w:rPr>
        <w:t>Materiële</w:t>
      </w:r>
      <w:r w:rsidR="00D46187">
        <w:rPr>
          <w:sz w:val="24"/>
          <w:szCs w:val="24"/>
        </w:rPr>
        <w:t xml:space="preserve"> vaste activa worden bij toepassing van de grondslag actuele waarde onder de Nederlandse regelgeving gewaardeerd tegen vervangingswaarde, tenzij de bedrijfswaarde lager is of er besloten is over te g</w:t>
      </w:r>
      <w:r w:rsidR="00CD3047">
        <w:rPr>
          <w:sz w:val="24"/>
          <w:szCs w:val="24"/>
        </w:rPr>
        <w:t>aan tot verkoop van het actief. Volgens art. 2 BAW is de</w:t>
      </w:r>
      <w:r w:rsidR="00D46187">
        <w:rPr>
          <w:sz w:val="24"/>
          <w:szCs w:val="24"/>
        </w:rPr>
        <w:t xml:space="preserve"> vervangingswaarde het bedrag dat (bij de huidige prijzen) nodig zou zijn om in de plaats van een goed dat bij de bedrijfsuitoefening is of wordt gebruikt, verbruikt of voortgebracht, een ander goed te verk</w:t>
      </w:r>
      <w:r w:rsidR="00CD3047">
        <w:rPr>
          <w:sz w:val="24"/>
          <w:szCs w:val="24"/>
        </w:rPr>
        <w:t>r</w:t>
      </w:r>
      <w:r w:rsidR="00D46187">
        <w:rPr>
          <w:sz w:val="24"/>
          <w:szCs w:val="24"/>
        </w:rPr>
        <w:t>ijgen of te vervaardigen dat voor de bedrijfsuitoefening een in economisch opzicht gelijke betekenis heeft</w:t>
      </w:r>
      <w:r w:rsidR="00CD3047">
        <w:rPr>
          <w:sz w:val="24"/>
          <w:szCs w:val="24"/>
        </w:rPr>
        <w:t xml:space="preserve"> </w:t>
      </w:r>
      <w:sdt>
        <w:sdtPr>
          <w:rPr>
            <w:sz w:val="24"/>
            <w:szCs w:val="24"/>
          </w:rPr>
          <w:id w:val="-1849548902"/>
          <w:citation/>
        </w:sdtPr>
        <w:sdtContent>
          <w:r w:rsidR="000C5AB6">
            <w:rPr>
              <w:sz w:val="24"/>
              <w:szCs w:val="24"/>
            </w:rPr>
            <w:fldChar w:fldCharType="begin"/>
          </w:r>
          <w:r w:rsidR="00CD3047">
            <w:rPr>
              <w:sz w:val="24"/>
              <w:szCs w:val="24"/>
            </w:rPr>
            <w:instrText xml:space="preserve"> CITATION Sta05 \l 1043 </w:instrText>
          </w:r>
          <w:r w:rsidR="000C5AB6">
            <w:rPr>
              <w:sz w:val="24"/>
              <w:szCs w:val="24"/>
            </w:rPr>
            <w:fldChar w:fldCharType="separate"/>
          </w:r>
          <w:r w:rsidR="00062BB9" w:rsidRPr="00062BB9">
            <w:rPr>
              <w:noProof/>
              <w:sz w:val="24"/>
              <w:szCs w:val="24"/>
            </w:rPr>
            <w:t>(Staatsblad, 2005)</w:t>
          </w:r>
          <w:r w:rsidR="000C5AB6">
            <w:rPr>
              <w:sz w:val="24"/>
              <w:szCs w:val="24"/>
            </w:rPr>
            <w:fldChar w:fldCharType="end"/>
          </w:r>
        </w:sdtContent>
      </w:sdt>
      <w:r w:rsidR="00D46187">
        <w:rPr>
          <w:sz w:val="24"/>
          <w:szCs w:val="24"/>
        </w:rPr>
        <w:t xml:space="preserve">. </w:t>
      </w:r>
      <w:r w:rsidR="00CD3047">
        <w:rPr>
          <w:sz w:val="24"/>
          <w:szCs w:val="24"/>
        </w:rPr>
        <w:t>Kortom, de vervangingswaarde is het bedrag dat onder de huidige marktomstandigheden nodig is om het gebruikte actief te vervangen.</w:t>
      </w:r>
      <w:r w:rsidR="005077EF">
        <w:rPr>
          <w:sz w:val="24"/>
          <w:szCs w:val="24"/>
        </w:rPr>
        <w:t xml:space="preserve"> De vervangingswaarde betreft veelal de inkoopkant van de markt, waardoor de waarde vaak te bepalen is door de nieuwbouwwaarde te corrigeren voor ouderdom.</w:t>
      </w:r>
      <w:r w:rsidR="005077EF">
        <w:rPr>
          <w:sz w:val="24"/>
          <w:szCs w:val="24"/>
        </w:rPr>
        <w:br/>
      </w:r>
      <w:r w:rsidR="00CD3047">
        <w:rPr>
          <w:sz w:val="24"/>
          <w:szCs w:val="24"/>
        </w:rPr>
        <w:t xml:space="preserve">De vervangingswaarde van </w:t>
      </w:r>
      <w:r w:rsidR="00CD3047" w:rsidRPr="00CF5C7D">
        <w:rPr>
          <w:sz w:val="24"/>
          <w:szCs w:val="24"/>
          <w:u w:val="single"/>
        </w:rPr>
        <w:t>grond of terreinen als vestigingsplaats</w:t>
      </w:r>
      <w:r w:rsidR="00CD3047">
        <w:rPr>
          <w:sz w:val="24"/>
          <w:szCs w:val="24"/>
        </w:rPr>
        <w:t xml:space="preserve"> kunnen worden bepaald door bijvoorbeeld</w:t>
      </w:r>
      <w:r w:rsidR="00CD3047">
        <w:rPr>
          <w:rStyle w:val="FootnoteReference"/>
          <w:sz w:val="24"/>
          <w:szCs w:val="24"/>
        </w:rPr>
        <w:footnoteReference w:id="48"/>
      </w:r>
      <w:r w:rsidR="00CD3047">
        <w:rPr>
          <w:sz w:val="24"/>
          <w:szCs w:val="24"/>
        </w:rPr>
        <w:t>:</w:t>
      </w:r>
    </w:p>
    <w:p w:rsidR="00CF5C7D" w:rsidRDefault="00CF5C7D" w:rsidP="00CF5C7D">
      <w:pPr>
        <w:pStyle w:val="ListParagraph"/>
        <w:numPr>
          <w:ilvl w:val="0"/>
          <w:numId w:val="4"/>
        </w:numPr>
        <w:tabs>
          <w:tab w:val="left" w:pos="4530"/>
        </w:tabs>
        <w:spacing w:line="276" w:lineRule="auto"/>
        <w:jc w:val="both"/>
        <w:rPr>
          <w:sz w:val="24"/>
          <w:szCs w:val="24"/>
        </w:rPr>
      </w:pPr>
      <w:r>
        <w:rPr>
          <w:sz w:val="24"/>
          <w:szCs w:val="24"/>
        </w:rPr>
        <w:t>af te leiden de prijzen die worden betaald voor nabijgelegen grond die ook in aanmerking zouden kunnen komen voor de rechtspersoon;</w:t>
      </w:r>
    </w:p>
    <w:p w:rsidR="00CF5C7D" w:rsidRDefault="00CF5C7D" w:rsidP="00CF5C7D">
      <w:pPr>
        <w:pStyle w:val="ListParagraph"/>
        <w:numPr>
          <w:ilvl w:val="0"/>
          <w:numId w:val="4"/>
        </w:numPr>
        <w:tabs>
          <w:tab w:val="left" w:pos="4530"/>
        </w:tabs>
        <w:spacing w:line="276" w:lineRule="auto"/>
        <w:jc w:val="both"/>
        <w:rPr>
          <w:sz w:val="24"/>
          <w:szCs w:val="24"/>
        </w:rPr>
      </w:pPr>
      <w:r>
        <w:rPr>
          <w:sz w:val="24"/>
          <w:szCs w:val="24"/>
        </w:rPr>
        <w:t>kapitalisatie van het bedrag afgeleid uit de erfpachtcanon waartegen soortgelijke grond in de naaste omgeving recent is uitgegeven;</w:t>
      </w:r>
    </w:p>
    <w:p w:rsidR="003F5965" w:rsidRDefault="00CF5C7D" w:rsidP="003F5965">
      <w:pPr>
        <w:pStyle w:val="ListParagraph"/>
        <w:numPr>
          <w:ilvl w:val="0"/>
          <w:numId w:val="4"/>
        </w:numPr>
        <w:tabs>
          <w:tab w:val="left" w:pos="4530"/>
        </w:tabs>
        <w:spacing w:line="276" w:lineRule="auto"/>
        <w:jc w:val="both"/>
        <w:rPr>
          <w:sz w:val="24"/>
          <w:szCs w:val="24"/>
        </w:rPr>
      </w:pPr>
      <w:r>
        <w:rPr>
          <w:sz w:val="24"/>
          <w:szCs w:val="24"/>
        </w:rPr>
        <w:t>periodieke taxatie van de vervangingswaarde door deskundigen</w:t>
      </w:r>
      <w:r w:rsidR="003F5965">
        <w:rPr>
          <w:sz w:val="24"/>
          <w:szCs w:val="24"/>
        </w:rPr>
        <w:t>.</w:t>
      </w:r>
    </w:p>
    <w:p w:rsidR="003F5965" w:rsidRDefault="003F5965" w:rsidP="003F5965">
      <w:pPr>
        <w:pStyle w:val="ListParagraph"/>
        <w:tabs>
          <w:tab w:val="left" w:pos="4530"/>
        </w:tabs>
        <w:spacing w:line="276" w:lineRule="auto"/>
        <w:jc w:val="both"/>
        <w:rPr>
          <w:sz w:val="24"/>
          <w:szCs w:val="24"/>
        </w:rPr>
      </w:pPr>
      <w:r w:rsidRPr="003F5965">
        <w:rPr>
          <w:sz w:val="24"/>
          <w:szCs w:val="24"/>
        </w:rPr>
        <w:t xml:space="preserve">Bij de berekening van de vervangingswaarde dient wel rekening gehouden te worden met </w:t>
      </w:r>
      <w:r>
        <w:rPr>
          <w:sz w:val="24"/>
          <w:szCs w:val="24"/>
        </w:rPr>
        <w:t>kosten voortkomend uit taxatie, herstelkosten, kosten groot onderhoud en de verwerkingswijze van deze kosten.</w:t>
      </w:r>
    </w:p>
    <w:p w:rsidR="003F5965" w:rsidRDefault="003F5965" w:rsidP="003F5965">
      <w:pPr>
        <w:tabs>
          <w:tab w:val="left" w:pos="4530"/>
        </w:tabs>
        <w:spacing w:line="360" w:lineRule="auto"/>
        <w:jc w:val="both"/>
        <w:rPr>
          <w:sz w:val="24"/>
          <w:szCs w:val="24"/>
        </w:rPr>
      </w:pPr>
      <w:r>
        <w:rPr>
          <w:sz w:val="24"/>
          <w:szCs w:val="24"/>
        </w:rPr>
        <w:t xml:space="preserve">De vervangingswaarde van </w:t>
      </w:r>
      <w:r w:rsidRPr="007C707F">
        <w:rPr>
          <w:sz w:val="24"/>
          <w:szCs w:val="24"/>
          <w:u w:val="single"/>
        </w:rPr>
        <w:t xml:space="preserve">bedrijfsgebouwen, machines en installaties en andere </w:t>
      </w:r>
      <w:r w:rsidR="00E01DA4">
        <w:rPr>
          <w:sz w:val="24"/>
          <w:szCs w:val="24"/>
          <w:u w:val="single"/>
        </w:rPr>
        <w:t>materiële</w:t>
      </w:r>
      <w:r w:rsidRPr="007C707F">
        <w:rPr>
          <w:sz w:val="24"/>
          <w:szCs w:val="24"/>
          <w:u w:val="single"/>
        </w:rPr>
        <w:t xml:space="preserve"> vaste activa</w:t>
      </w:r>
      <w:r>
        <w:rPr>
          <w:sz w:val="24"/>
          <w:szCs w:val="24"/>
        </w:rPr>
        <w:t xml:space="preserve"> wordt normaliter bepaald aan de hand van marktconforme gegevens of via </w:t>
      </w:r>
      <w:r>
        <w:rPr>
          <w:sz w:val="24"/>
          <w:szCs w:val="24"/>
        </w:rPr>
        <w:lastRenderedPageBreak/>
        <w:t xml:space="preserve">taxaties uitgevoerd door erkende taxateurs. Informatie </w:t>
      </w:r>
      <w:proofErr w:type="gramStart"/>
      <w:r>
        <w:rPr>
          <w:sz w:val="24"/>
          <w:szCs w:val="24"/>
        </w:rPr>
        <w:t>omtrent</w:t>
      </w:r>
      <w:proofErr w:type="gramEnd"/>
      <w:r>
        <w:rPr>
          <w:sz w:val="24"/>
          <w:szCs w:val="24"/>
        </w:rPr>
        <w:t xml:space="preserve"> nieuwprijzen is veelal met een zekere mate van nauwkeurigheid te ontlenen aan een van de volgende bronnen</w:t>
      </w:r>
      <w:r>
        <w:rPr>
          <w:rStyle w:val="FootnoteReference"/>
          <w:sz w:val="24"/>
          <w:szCs w:val="24"/>
        </w:rPr>
        <w:footnoteReference w:id="49"/>
      </w:r>
      <w:r>
        <w:rPr>
          <w:sz w:val="24"/>
          <w:szCs w:val="24"/>
        </w:rPr>
        <w:t>:</w:t>
      </w:r>
    </w:p>
    <w:p w:rsidR="003F5965" w:rsidRDefault="003F5965" w:rsidP="003F5965">
      <w:pPr>
        <w:pStyle w:val="ListParagraph"/>
        <w:numPr>
          <w:ilvl w:val="0"/>
          <w:numId w:val="5"/>
        </w:numPr>
        <w:tabs>
          <w:tab w:val="left" w:pos="4530"/>
        </w:tabs>
        <w:spacing w:line="276" w:lineRule="auto"/>
        <w:jc w:val="both"/>
        <w:rPr>
          <w:sz w:val="24"/>
          <w:szCs w:val="24"/>
        </w:rPr>
      </w:pPr>
      <w:r>
        <w:rPr>
          <w:sz w:val="24"/>
          <w:szCs w:val="24"/>
        </w:rPr>
        <w:t>aanbiedingen of inlichtingen van leveranciers;</w:t>
      </w:r>
    </w:p>
    <w:p w:rsidR="003F5965" w:rsidRDefault="003F5965" w:rsidP="003F5965">
      <w:pPr>
        <w:pStyle w:val="ListParagraph"/>
        <w:numPr>
          <w:ilvl w:val="0"/>
          <w:numId w:val="5"/>
        </w:numPr>
        <w:tabs>
          <w:tab w:val="left" w:pos="4530"/>
        </w:tabs>
        <w:spacing w:line="276" w:lineRule="auto"/>
        <w:jc w:val="both"/>
        <w:rPr>
          <w:sz w:val="24"/>
          <w:szCs w:val="24"/>
        </w:rPr>
      </w:pPr>
      <w:r>
        <w:rPr>
          <w:sz w:val="24"/>
          <w:szCs w:val="24"/>
        </w:rPr>
        <w:t>recente transacties;</w:t>
      </w:r>
    </w:p>
    <w:p w:rsidR="003F5965" w:rsidRDefault="003F5965" w:rsidP="003F5965">
      <w:pPr>
        <w:pStyle w:val="ListParagraph"/>
        <w:numPr>
          <w:ilvl w:val="0"/>
          <w:numId w:val="5"/>
        </w:numPr>
        <w:tabs>
          <w:tab w:val="left" w:pos="4530"/>
        </w:tabs>
        <w:spacing w:line="276" w:lineRule="auto"/>
        <w:jc w:val="both"/>
        <w:rPr>
          <w:sz w:val="24"/>
          <w:szCs w:val="24"/>
        </w:rPr>
      </w:pPr>
      <w:r>
        <w:rPr>
          <w:sz w:val="24"/>
          <w:szCs w:val="24"/>
        </w:rPr>
        <w:t>indexcijfers berekend door bijvoorbeeld brancheorganisaties of statistische bureaus;</w:t>
      </w:r>
    </w:p>
    <w:p w:rsidR="00E742B3" w:rsidRPr="00D20638" w:rsidRDefault="0077677B" w:rsidP="00D20638">
      <w:pPr>
        <w:pStyle w:val="ListParagraph"/>
        <w:numPr>
          <w:ilvl w:val="0"/>
          <w:numId w:val="5"/>
        </w:numPr>
        <w:tabs>
          <w:tab w:val="left" w:pos="4530"/>
        </w:tabs>
        <w:spacing w:line="276" w:lineRule="auto"/>
        <w:jc w:val="both"/>
        <w:rPr>
          <w:sz w:val="24"/>
          <w:szCs w:val="24"/>
        </w:rPr>
      </w:pPr>
      <w:r>
        <w:rPr>
          <w:sz w:val="24"/>
          <w:szCs w:val="24"/>
        </w:rPr>
        <w:t>taxaties door deskundigen.</w:t>
      </w:r>
    </w:p>
    <w:p w:rsidR="00E742B3" w:rsidRDefault="001A6301" w:rsidP="001A6301">
      <w:pPr>
        <w:tabs>
          <w:tab w:val="left" w:pos="4530"/>
        </w:tabs>
        <w:spacing w:line="360" w:lineRule="auto"/>
        <w:jc w:val="both"/>
        <w:rPr>
          <w:sz w:val="24"/>
          <w:szCs w:val="24"/>
        </w:rPr>
      </w:pPr>
      <w:r>
        <w:rPr>
          <w:b/>
          <w:sz w:val="24"/>
          <w:szCs w:val="24"/>
        </w:rPr>
        <w:t>Bedrijfswaarde</w:t>
      </w:r>
      <w:r w:rsidR="00E742B3">
        <w:rPr>
          <w:b/>
          <w:sz w:val="24"/>
          <w:szCs w:val="24"/>
        </w:rPr>
        <w:t xml:space="preserve"> </w:t>
      </w:r>
      <w:r w:rsidR="00E742B3">
        <w:rPr>
          <w:sz w:val="24"/>
          <w:szCs w:val="24"/>
        </w:rPr>
        <w:t>(indirecte opbrengstwaarde)</w:t>
      </w:r>
    </w:p>
    <w:p w:rsidR="00AE7AC9" w:rsidRPr="00200B98" w:rsidRDefault="00E01DA4" w:rsidP="001A6301">
      <w:pPr>
        <w:tabs>
          <w:tab w:val="left" w:pos="4530"/>
        </w:tabs>
        <w:spacing w:line="360" w:lineRule="auto"/>
        <w:jc w:val="both"/>
        <w:rPr>
          <w:sz w:val="24"/>
          <w:szCs w:val="24"/>
        </w:rPr>
      </w:pPr>
      <w:r>
        <w:rPr>
          <w:sz w:val="24"/>
          <w:szCs w:val="24"/>
        </w:rPr>
        <w:t>Materiële</w:t>
      </w:r>
      <w:r w:rsidR="001A6301">
        <w:rPr>
          <w:sz w:val="24"/>
          <w:szCs w:val="24"/>
        </w:rPr>
        <w:t xml:space="preserve"> vaste activa worden onder de Nederlandse regelgeving tegen bedrijfswaarde gewaardeerd indien deze lager is dan de vervangingswaarde, tenzij er besloten is over te gaan tot verkoop. Daarnaast is de bedrijfswaarde noodzakelijk bij toepassing van de grondslag van verkrijgings- of vervaardigingsprijs vanwege bijzondere waardeverminderingen. In art. 3 B</w:t>
      </w:r>
      <w:r w:rsidR="00EE27B4">
        <w:rPr>
          <w:sz w:val="24"/>
          <w:szCs w:val="24"/>
        </w:rPr>
        <w:t>A</w:t>
      </w:r>
      <w:r w:rsidR="001A6301">
        <w:rPr>
          <w:sz w:val="24"/>
          <w:szCs w:val="24"/>
        </w:rPr>
        <w:t xml:space="preserve">W wordt onder bedrijfswaarde verstaan de contante waarde van de aan een actief of samenstel van activa toe te rekenen geschatte toekomstige kasstromen die kunnen worden verkregen met de uitoefening van het bedrijf. Kortom, de bedrijfswaarde is de contante waarde van de toekomstige kasstromen die toerekenbaar zijn aan het </w:t>
      </w:r>
      <w:proofErr w:type="gramStart"/>
      <w:r w:rsidR="001A6301">
        <w:rPr>
          <w:sz w:val="24"/>
          <w:szCs w:val="24"/>
        </w:rPr>
        <w:t>betreffende</w:t>
      </w:r>
      <w:proofErr w:type="gramEnd"/>
      <w:r w:rsidR="001A6301">
        <w:rPr>
          <w:sz w:val="24"/>
          <w:szCs w:val="24"/>
        </w:rPr>
        <w:t xml:space="preserve"> actief, inclusief de kasstroom uit vervreemding aan het einde van </w:t>
      </w:r>
      <w:r w:rsidR="00200B98">
        <w:rPr>
          <w:sz w:val="24"/>
          <w:szCs w:val="24"/>
        </w:rPr>
        <w:t>de gebruiksduur van het actief.</w:t>
      </w:r>
    </w:p>
    <w:p w:rsidR="00E742B3" w:rsidRDefault="00EE27B4" w:rsidP="001A6301">
      <w:pPr>
        <w:tabs>
          <w:tab w:val="left" w:pos="4530"/>
        </w:tabs>
        <w:spacing w:line="360" w:lineRule="auto"/>
        <w:jc w:val="both"/>
        <w:rPr>
          <w:sz w:val="24"/>
          <w:szCs w:val="24"/>
        </w:rPr>
      </w:pPr>
      <w:r>
        <w:rPr>
          <w:b/>
          <w:sz w:val="24"/>
          <w:szCs w:val="24"/>
        </w:rPr>
        <w:t>Opbrengstwaarde</w:t>
      </w:r>
      <w:r w:rsidR="00E742B3">
        <w:rPr>
          <w:b/>
          <w:sz w:val="24"/>
          <w:szCs w:val="24"/>
        </w:rPr>
        <w:t xml:space="preserve"> </w:t>
      </w:r>
      <w:r w:rsidR="00E742B3">
        <w:rPr>
          <w:sz w:val="24"/>
          <w:szCs w:val="24"/>
        </w:rPr>
        <w:t>(directe opbrengstwaarde)</w:t>
      </w:r>
    </w:p>
    <w:p w:rsidR="00C01F0C" w:rsidRPr="00EE27B4" w:rsidRDefault="00E01DA4" w:rsidP="001A6301">
      <w:pPr>
        <w:tabs>
          <w:tab w:val="left" w:pos="4530"/>
        </w:tabs>
        <w:spacing w:line="360" w:lineRule="auto"/>
        <w:jc w:val="both"/>
        <w:rPr>
          <w:sz w:val="24"/>
          <w:szCs w:val="24"/>
        </w:rPr>
      </w:pPr>
      <w:r>
        <w:rPr>
          <w:sz w:val="24"/>
          <w:szCs w:val="24"/>
        </w:rPr>
        <w:t>Materiële</w:t>
      </w:r>
      <w:r w:rsidR="00EE27B4">
        <w:rPr>
          <w:sz w:val="24"/>
          <w:szCs w:val="24"/>
        </w:rPr>
        <w:t xml:space="preserve"> vaste activa worden onder de Nederlandse regelgeving tegen opbrengstwaarde gewaardeerd indien de rechtspersoon heeft besloten de activa te verkopen. Het gebruik van de opbrengstwaarde kan ook van toepassing zijn indien er sprake is van activa die opbrengst opleveren voor de rechtspersoon zonder gebruik/verbruik in de bedrijfsuitoefening</w:t>
      </w:r>
      <w:r w:rsidR="00EE27B4">
        <w:rPr>
          <w:rStyle w:val="FootnoteReference"/>
          <w:sz w:val="24"/>
          <w:szCs w:val="24"/>
        </w:rPr>
        <w:footnoteReference w:id="50"/>
      </w:r>
      <w:r w:rsidR="00EE27B4">
        <w:rPr>
          <w:sz w:val="24"/>
          <w:szCs w:val="24"/>
        </w:rPr>
        <w:t>. Daarnaast wordt de opbrengstwaarde –net zoals de bedrijfswaarde</w:t>
      </w:r>
      <w:r w:rsidR="00ED0DC3" w:rsidRPr="00995CDD">
        <w:rPr>
          <w:sz w:val="24"/>
          <w:szCs w:val="24"/>
        </w:rPr>
        <w:t>–</w:t>
      </w:r>
      <w:r w:rsidR="00EE27B4">
        <w:rPr>
          <w:sz w:val="24"/>
          <w:szCs w:val="24"/>
        </w:rPr>
        <w:t xml:space="preserve"> gebruikt bij toepassing van de grondslag van de verkrijgings- of vervaardigingsprijs vanwege bijzondere waardeverminderingen.</w:t>
      </w:r>
      <w:r w:rsidR="007C707F">
        <w:rPr>
          <w:sz w:val="24"/>
          <w:szCs w:val="24"/>
        </w:rPr>
        <w:t xml:space="preserve"> Volgens art. 5 BAW wordt onder de opbrengstwaarde verstaan het bedrag waartegen een actief maximaal kan worden verkocht, onder aftrek van de nog te maken kosten </w:t>
      </w:r>
      <w:sdt>
        <w:sdtPr>
          <w:rPr>
            <w:sz w:val="24"/>
            <w:szCs w:val="24"/>
          </w:rPr>
          <w:id w:val="610947930"/>
          <w:citation/>
        </w:sdtPr>
        <w:sdtContent>
          <w:r w:rsidR="000C5AB6">
            <w:rPr>
              <w:sz w:val="24"/>
              <w:szCs w:val="24"/>
            </w:rPr>
            <w:fldChar w:fldCharType="begin"/>
          </w:r>
          <w:r w:rsidR="007C707F">
            <w:rPr>
              <w:sz w:val="24"/>
              <w:szCs w:val="24"/>
            </w:rPr>
            <w:instrText xml:space="preserve"> CITATION Sta05 \l 1043 </w:instrText>
          </w:r>
          <w:r w:rsidR="000C5AB6">
            <w:rPr>
              <w:sz w:val="24"/>
              <w:szCs w:val="24"/>
            </w:rPr>
            <w:fldChar w:fldCharType="separate"/>
          </w:r>
          <w:r w:rsidR="00062BB9" w:rsidRPr="00062BB9">
            <w:rPr>
              <w:noProof/>
              <w:sz w:val="24"/>
              <w:szCs w:val="24"/>
            </w:rPr>
            <w:t>(Staatsblad, 2005)</w:t>
          </w:r>
          <w:r w:rsidR="000C5AB6">
            <w:rPr>
              <w:sz w:val="24"/>
              <w:szCs w:val="24"/>
            </w:rPr>
            <w:fldChar w:fldCharType="end"/>
          </w:r>
        </w:sdtContent>
      </w:sdt>
      <w:r w:rsidR="007C707F">
        <w:rPr>
          <w:sz w:val="24"/>
          <w:szCs w:val="24"/>
        </w:rPr>
        <w:t xml:space="preserve">. Voorbeelden van deze kosten zijn verkoopkosten en </w:t>
      </w:r>
      <w:r w:rsidR="007C707F">
        <w:rPr>
          <w:sz w:val="24"/>
          <w:szCs w:val="24"/>
        </w:rPr>
        <w:lastRenderedPageBreak/>
        <w:t>eventuele andere lasten die rechtstreeks samenhangen met de verkoop van het actief en nodig zijn om de verkoop te realiseren</w:t>
      </w:r>
      <w:r w:rsidR="007C707F">
        <w:rPr>
          <w:rStyle w:val="FootnoteReference"/>
          <w:sz w:val="24"/>
          <w:szCs w:val="24"/>
        </w:rPr>
        <w:footnoteReference w:id="51"/>
      </w:r>
      <w:r w:rsidR="007C707F">
        <w:rPr>
          <w:sz w:val="24"/>
          <w:szCs w:val="24"/>
        </w:rPr>
        <w:t>.</w:t>
      </w:r>
    </w:p>
    <w:p w:rsidR="009F6B99" w:rsidRPr="00200B98" w:rsidRDefault="00776867" w:rsidP="00200B98">
      <w:pPr>
        <w:pStyle w:val="Heading2"/>
        <w:rPr>
          <w:sz w:val="32"/>
        </w:rPr>
      </w:pPr>
      <w:bookmarkStart w:id="17" w:name="_Toc425516483"/>
      <w:r>
        <w:rPr>
          <w:sz w:val="32"/>
        </w:rPr>
        <w:t>2</w:t>
      </w:r>
      <w:r w:rsidR="00200B98" w:rsidRPr="00200B98">
        <w:rPr>
          <w:sz w:val="32"/>
        </w:rPr>
        <w:t xml:space="preserve">.5. </w:t>
      </w:r>
      <w:r w:rsidR="00682B22" w:rsidRPr="00200B98">
        <w:rPr>
          <w:sz w:val="32"/>
        </w:rPr>
        <w:t>Actuele waarde accounting onder IAS 16</w:t>
      </w:r>
      <w:bookmarkEnd w:id="17"/>
    </w:p>
    <w:p w:rsidR="00284039" w:rsidRPr="009F6B99" w:rsidRDefault="00284039" w:rsidP="006E3FF9">
      <w:pPr>
        <w:spacing w:line="360" w:lineRule="auto"/>
        <w:jc w:val="both"/>
        <w:rPr>
          <w:b/>
          <w:sz w:val="24"/>
          <w:szCs w:val="24"/>
        </w:rPr>
      </w:pPr>
      <w:r w:rsidRPr="00284039">
        <w:rPr>
          <w:sz w:val="24"/>
          <w:szCs w:val="24"/>
        </w:rPr>
        <w:t xml:space="preserve">Voor het begrip </w:t>
      </w:r>
      <w:r w:rsidRPr="00284039">
        <w:rPr>
          <w:i/>
          <w:sz w:val="24"/>
          <w:szCs w:val="24"/>
        </w:rPr>
        <w:t xml:space="preserve">fair </w:t>
      </w:r>
      <w:proofErr w:type="spellStart"/>
      <w:r w:rsidRPr="00284039">
        <w:rPr>
          <w:i/>
          <w:sz w:val="24"/>
          <w:szCs w:val="24"/>
        </w:rPr>
        <w:t>value</w:t>
      </w:r>
      <w:proofErr w:type="spellEnd"/>
      <w:r w:rsidRPr="00284039">
        <w:rPr>
          <w:sz w:val="24"/>
          <w:szCs w:val="24"/>
        </w:rPr>
        <w:t xml:space="preserve"> bestaan </w:t>
      </w:r>
      <w:r>
        <w:rPr>
          <w:sz w:val="24"/>
          <w:szCs w:val="24"/>
        </w:rPr>
        <w:t>verschillende definities, echter komt de begripsbepaling van de IASB en FASB met betrekking tot de begripsomschrijving overeen:</w:t>
      </w:r>
    </w:p>
    <w:p w:rsidR="00284039" w:rsidRDefault="00284039" w:rsidP="006E3FF9">
      <w:pPr>
        <w:spacing w:line="360" w:lineRule="auto"/>
        <w:jc w:val="both"/>
        <w:rPr>
          <w:sz w:val="24"/>
          <w:szCs w:val="24"/>
          <w:lang w:val="en-GB"/>
        </w:rPr>
      </w:pPr>
      <w:r w:rsidRPr="00284039">
        <w:rPr>
          <w:i/>
          <w:sz w:val="24"/>
          <w:szCs w:val="24"/>
          <w:lang w:val="en-GB"/>
        </w:rPr>
        <w:t xml:space="preserve">‘Fair value is the price that would be received </w:t>
      </w:r>
      <w:r>
        <w:rPr>
          <w:i/>
          <w:sz w:val="24"/>
          <w:szCs w:val="24"/>
          <w:lang w:val="en-GB"/>
        </w:rPr>
        <w:t>to sell an asset or paid to transfer a liability in orderly transaction between market participants at the measurement date’</w:t>
      </w:r>
      <w:r>
        <w:rPr>
          <w:sz w:val="24"/>
          <w:szCs w:val="24"/>
          <w:lang w:val="en-GB"/>
        </w:rPr>
        <w:t>.</w:t>
      </w:r>
    </w:p>
    <w:p w:rsidR="00753CDE" w:rsidRDefault="00A316FC" w:rsidP="006E3FF9">
      <w:pPr>
        <w:spacing w:line="360" w:lineRule="auto"/>
        <w:jc w:val="both"/>
        <w:rPr>
          <w:sz w:val="24"/>
          <w:szCs w:val="24"/>
        </w:rPr>
      </w:pPr>
      <w:proofErr w:type="gramStart"/>
      <w:r>
        <w:rPr>
          <w:sz w:val="24"/>
          <w:szCs w:val="24"/>
        </w:rPr>
        <w:t>Oftewel</w:t>
      </w:r>
      <w:proofErr w:type="gramEnd"/>
      <w:r>
        <w:rPr>
          <w:sz w:val="24"/>
          <w:szCs w:val="24"/>
        </w:rPr>
        <w:t xml:space="preserve">, de reële waarde weergeeft de prijs die zou worden ontvangen om een actief te verkopen of die zou worden betaald om een verplichting over te dragen in een regelmatige transactie tussen marktdeelnemers op de waarderingsdatum </w:t>
      </w:r>
      <w:sdt>
        <w:sdtPr>
          <w:rPr>
            <w:sz w:val="24"/>
            <w:szCs w:val="24"/>
          </w:rPr>
          <w:id w:val="860325138"/>
          <w:citation/>
        </w:sdtPr>
        <w:sdtContent>
          <w:r w:rsidR="000C5AB6">
            <w:rPr>
              <w:sz w:val="24"/>
              <w:szCs w:val="24"/>
            </w:rPr>
            <w:fldChar w:fldCharType="begin"/>
          </w:r>
          <w:r>
            <w:rPr>
              <w:sz w:val="24"/>
              <w:szCs w:val="24"/>
            </w:rPr>
            <w:instrText xml:space="preserve">CITATION IAS13 \l 1043 </w:instrText>
          </w:r>
          <w:r w:rsidR="000C5AB6">
            <w:rPr>
              <w:sz w:val="24"/>
              <w:szCs w:val="24"/>
            </w:rPr>
            <w:fldChar w:fldCharType="separate"/>
          </w:r>
          <w:r w:rsidR="00062BB9" w:rsidRPr="00062BB9">
            <w:rPr>
              <w:noProof/>
              <w:sz w:val="24"/>
              <w:szCs w:val="24"/>
            </w:rPr>
            <w:t>(IFRS 13, 2013)</w:t>
          </w:r>
          <w:r w:rsidR="000C5AB6">
            <w:rPr>
              <w:sz w:val="24"/>
              <w:szCs w:val="24"/>
            </w:rPr>
            <w:fldChar w:fldCharType="end"/>
          </w:r>
        </w:sdtContent>
      </w:sdt>
      <w:r w:rsidR="00284039">
        <w:rPr>
          <w:sz w:val="24"/>
          <w:szCs w:val="24"/>
        </w:rPr>
        <w:t xml:space="preserve">. </w:t>
      </w:r>
      <w:r w:rsidR="00FF6592">
        <w:rPr>
          <w:sz w:val="24"/>
          <w:szCs w:val="24"/>
        </w:rPr>
        <w:t xml:space="preserve">Dit maakt het reële waarde model een op de markt gebaseerd meetmodel en is dus niet gericht op de waarde voor de entiteit. </w:t>
      </w:r>
      <w:r w:rsidR="005C1F47" w:rsidRPr="00995CDD">
        <w:rPr>
          <w:sz w:val="24"/>
          <w:szCs w:val="24"/>
        </w:rPr>
        <w:t xml:space="preserve">Het gebruik van de </w:t>
      </w:r>
      <w:r w:rsidR="00995CDD" w:rsidRPr="00995CDD">
        <w:rPr>
          <w:sz w:val="24"/>
          <w:szCs w:val="24"/>
        </w:rPr>
        <w:t>reële</w:t>
      </w:r>
      <w:r w:rsidR="005C1F47" w:rsidRPr="00995CDD">
        <w:rPr>
          <w:sz w:val="24"/>
          <w:szCs w:val="24"/>
        </w:rPr>
        <w:t xml:space="preserve"> waarde is vereist onder het herwaarderingsmodel</w:t>
      </w:r>
      <w:r w:rsidR="00566E9D">
        <w:rPr>
          <w:sz w:val="24"/>
          <w:szCs w:val="24"/>
        </w:rPr>
        <w:t xml:space="preserve"> (</w:t>
      </w:r>
      <w:proofErr w:type="spellStart"/>
      <w:r w:rsidR="00566E9D">
        <w:rPr>
          <w:i/>
          <w:sz w:val="24"/>
          <w:szCs w:val="24"/>
        </w:rPr>
        <w:t>Revaluation</w:t>
      </w:r>
      <w:proofErr w:type="spellEnd"/>
      <w:r w:rsidR="00566E9D">
        <w:rPr>
          <w:i/>
          <w:sz w:val="24"/>
          <w:szCs w:val="24"/>
        </w:rPr>
        <w:t xml:space="preserve"> model</w:t>
      </w:r>
      <w:r w:rsidR="00566E9D">
        <w:rPr>
          <w:sz w:val="24"/>
          <w:szCs w:val="24"/>
        </w:rPr>
        <w:t>)</w:t>
      </w:r>
      <w:r w:rsidR="005C1F47" w:rsidRPr="00995CDD">
        <w:rPr>
          <w:sz w:val="24"/>
          <w:szCs w:val="24"/>
        </w:rPr>
        <w:t xml:space="preserve">. </w:t>
      </w:r>
      <w:r w:rsidR="00643655">
        <w:rPr>
          <w:sz w:val="24"/>
          <w:szCs w:val="24"/>
        </w:rPr>
        <w:t>Dit leidt ertoe dat bij deze vorm van waarderen de waarde van een actief op de balans elke tijdsperiode aan verandering onderhevig is om de marktprijs</w:t>
      </w:r>
      <w:r w:rsidR="00012C17">
        <w:rPr>
          <w:sz w:val="24"/>
          <w:szCs w:val="24"/>
        </w:rPr>
        <w:t xml:space="preserve"> weer te </w:t>
      </w:r>
      <w:r w:rsidR="00643655">
        <w:rPr>
          <w:sz w:val="24"/>
          <w:szCs w:val="24"/>
        </w:rPr>
        <w:t xml:space="preserve">geven, ook als het actief is aangewend voor eigen gebruik. </w:t>
      </w:r>
      <w:r w:rsidR="005C1F47" w:rsidRPr="00995CDD">
        <w:rPr>
          <w:sz w:val="24"/>
          <w:szCs w:val="24"/>
        </w:rPr>
        <w:t xml:space="preserve">Waarderen tegen </w:t>
      </w:r>
      <w:r w:rsidR="00995CDD" w:rsidRPr="00995CDD">
        <w:rPr>
          <w:sz w:val="24"/>
          <w:szCs w:val="24"/>
        </w:rPr>
        <w:t>reële</w:t>
      </w:r>
      <w:r w:rsidR="005C1F47" w:rsidRPr="00995CDD">
        <w:rPr>
          <w:sz w:val="24"/>
          <w:szCs w:val="24"/>
        </w:rPr>
        <w:t xml:space="preserve"> waarde leidt tot een relevante weergave van </w:t>
      </w:r>
      <w:r w:rsidR="00995CDD" w:rsidRPr="00995CDD">
        <w:rPr>
          <w:sz w:val="24"/>
          <w:szCs w:val="24"/>
        </w:rPr>
        <w:t>financiële</w:t>
      </w:r>
      <w:r w:rsidR="005C1F47" w:rsidRPr="00995CDD">
        <w:rPr>
          <w:sz w:val="24"/>
          <w:szCs w:val="24"/>
        </w:rPr>
        <w:t xml:space="preserve"> informatie. Onder de IFRS moet voor het bepalen van de </w:t>
      </w:r>
      <w:r w:rsidR="00995CDD" w:rsidRPr="00995CDD">
        <w:rPr>
          <w:sz w:val="24"/>
          <w:szCs w:val="24"/>
        </w:rPr>
        <w:t>reële</w:t>
      </w:r>
      <w:r w:rsidR="005C1F47" w:rsidRPr="00995CDD">
        <w:rPr>
          <w:sz w:val="24"/>
          <w:szCs w:val="24"/>
        </w:rPr>
        <w:t xml:space="preserve"> waarde gebruikt gemaakt wo</w:t>
      </w:r>
      <w:r w:rsidR="0098062C">
        <w:rPr>
          <w:sz w:val="24"/>
          <w:szCs w:val="24"/>
        </w:rPr>
        <w:t>rden van de –indien beschikbaar</w:t>
      </w:r>
      <w:r w:rsidR="0098062C" w:rsidRPr="00995CDD">
        <w:rPr>
          <w:sz w:val="24"/>
          <w:szCs w:val="24"/>
        </w:rPr>
        <w:t>–</w:t>
      </w:r>
      <w:r w:rsidR="005C1F47" w:rsidRPr="00995CDD">
        <w:rPr>
          <w:sz w:val="24"/>
          <w:szCs w:val="24"/>
        </w:rPr>
        <w:t xml:space="preserve"> genoteerde prijzen in</w:t>
      </w:r>
      <w:r w:rsidR="00995CDD" w:rsidRPr="00995CDD">
        <w:rPr>
          <w:sz w:val="24"/>
          <w:szCs w:val="24"/>
        </w:rPr>
        <w:t xml:space="preserve"> de</w:t>
      </w:r>
      <w:r w:rsidR="005C1F47" w:rsidRPr="00995CDD">
        <w:rPr>
          <w:sz w:val="24"/>
          <w:szCs w:val="24"/>
        </w:rPr>
        <w:t xml:space="preserve"> actieve (belangrijkste) markt</w:t>
      </w:r>
      <w:r w:rsidR="00EB76EA">
        <w:rPr>
          <w:sz w:val="24"/>
          <w:szCs w:val="24"/>
        </w:rPr>
        <w:t xml:space="preserve"> </w:t>
      </w:r>
      <w:sdt>
        <w:sdtPr>
          <w:rPr>
            <w:sz w:val="24"/>
            <w:szCs w:val="24"/>
          </w:rPr>
          <w:id w:val="-1624294456"/>
          <w:citation/>
        </w:sdtPr>
        <w:sdtContent>
          <w:r w:rsidR="000C5AB6">
            <w:rPr>
              <w:sz w:val="24"/>
              <w:szCs w:val="24"/>
            </w:rPr>
            <w:fldChar w:fldCharType="begin"/>
          </w:r>
          <w:r w:rsidR="00EB76EA">
            <w:rPr>
              <w:sz w:val="24"/>
              <w:szCs w:val="24"/>
            </w:rPr>
            <w:instrText xml:space="preserve"> CITATION Lau09 \l 1043 </w:instrText>
          </w:r>
          <w:r w:rsidR="000C5AB6">
            <w:rPr>
              <w:sz w:val="24"/>
              <w:szCs w:val="24"/>
            </w:rPr>
            <w:fldChar w:fldCharType="separate"/>
          </w:r>
          <w:r w:rsidR="00062BB9" w:rsidRPr="00062BB9">
            <w:rPr>
              <w:noProof/>
              <w:sz w:val="24"/>
              <w:szCs w:val="24"/>
            </w:rPr>
            <w:t>(Laux &amp; Leuz, 2009)</w:t>
          </w:r>
          <w:r w:rsidR="000C5AB6">
            <w:rPr>
              <w:sz w:val="24"/>
              <w:szCs w:val="24"/>
            </w:rPr>
            <w:fldChar w:fldCharType="end"/>
          </w:r>
        </w:sdtContent>
      </w:sdt>
      <w:r w:rsidR="005C1F47" w:rsidRPr="00995CDD">
        <w:rPr>
          <w:sz w:val="24"/>
          <w:szCs w:val="24"/>
        </w:rPr>
        <w:t>.</w:t>
      </w:r>
      <w:r w:rsidR="00995CDD" w:rsidRPr="00995CDD">
        <w:rPr>
          <w:sz w:val="24"/>
          <w:szCs w:val="24"/>
        </w:rPr>
        <w:t xml:space="preserve"> Zodoende weerspiegelt de reële waarde de verkoopprijs (</w:t>
      </w:r>
      <w:r w:rsidR="00995CDD" w:rsidRPr="00995CDD">
        <w:rPr>
          <w:i/>
          <w:sz w:val="24"/>
          <w:szCs w:val="24"/>
        </w:rPr>
        <w:t xml:space="preserve">exit </w:t>
      </w:r>
      <w:proofErr w:type="spellStart"/>
      <w:r w:rsidR="00995CDD" w:rsidRPr="00995CDD">
        <w:rPr>
          <w:i/>
          <w:sz w:val="24"/>
          <w:szCs w:val="24"/>
        </w:rPr>
        <w:t>price</w:t>
      </w:r>
      <w:proofErr w:type="spellEnd"/>
      <w:r w:rsidR="00995CDD" w:rsidRPr="00995CDD">
        <w:rPr>
          <w:sz w:val="24"/>
          <w:szCs w:val="24"/>
        </w:rPr>
        <w:t>) op de waarderingsdatum onder de huidige marktomstandigheden, waarbij sprake is van een niet-gedwongen transactie</w:t>
      </w:r>
      <w:r w:rsidR="00995CDD">
        <w:rPr>
          <w:sz w:val="24"/>
          <w:szCs w:val="24"/>
        </w:rPr>
        <w:t xml:space="preserve"> tussen deelnemers van de markt</w:t>
      </w:r>
      <w:r w:rsidR="00995CDD" w:rsidRPr="00995CDD">
        <w:rPr>
          <w:sz w:val="24"/>
          <w:szCs w:val="24"/>
        </w:rPr>
        <w:t xml:space="preserve">. </w:t>
      </w:r>
      <w:r w:rsidR="00643655">
        <w:rPr>
          <w:sz w:val="24"/>
          <w:szCs w:val="24"/>
        </w:rPr>
        <w:t xml:space="preserve">Bovenstaande leidt ertoe dat </w:t>
      </w:r>
      <w:r w:rsidR="00643655">
        <w:rPr>
          <w:i/>
          <w:sz w:val="24"/>
          <w:szCs w:val="24"/>
        </w:rPr>
        <w:t xml:space="preserve">fair </w:t>
      </w:r>
      <w:proofErr w:type="spellStart"/>
      <w:r w:rsidR="00643655">
        <w:rPr>
          <w:i/>
          <w:sz w:val="24"/>
          <w:szCs w:val="24"/>
        </w:rPr>
        <w:t>value</w:t>
      </w:r>
      <w:proofErr w:type="spellEnd"/>
      <w:r w:rsidR="00643655">
        <w:rPr>
          <w:i/>
          <w:sz w:val="24"/>
          <w:szCs w:val="24"/>
        </w:rPr>
        <w:t xml:space="preserve"> </w:t>
      </w:r>
      <w:r w:rsidR="00012C17">
        <w:rPr>
          <w:i/>
          <w:sz w:val="24"/>
          <w:szCs w:val="24"/>
        </w:rPr>
        <w:t>accounting</w:t>
      </w:r>
      <w:r w:rsidR="00643655">
        <w:rPr>
          <w:sz w:val="24"/>
          <w:szCs w:val="24"/>
        </w:rPr>
        <w:t xml:space="preserve"> regelmatig </w:t>
      </w:r>
      <w:proofErr w:type="spellStart"/>
      <w:r w:rsidR="00643655">
        <w:rPr>
          <w:i/>
          <w:sz w:val="24"/>
          <w:szCs w:val="24"/>
        </w:rPr>
        <w:t>markt-to-markt</w:t>
      </w:r>
      <w:proofErr w:type="spellEnd"/>
      <w:r w:rsidR="00643655">
        <w:rPr>
          <w:i/>
          <w:sz w:val="24"/>
          <w:szCs w:val="24"/>
        </w:rPr>
        <w:t xml:space="preserve"> accounting</w:t>
      </w:r>
      <w:r w:rsidR="00643655">
        <w:rPr>
          <w:sz w:val="24"/>
          <w:szCs w:val="24"/>
        </w:rPr>
        <w:t xml:space="preserve"> wordt genoemd.</w:t>
      </w:r>
      <w:r w:rsidR="00753CDE">
        <w:rPr>
          <w:sz w:val="24"/>
          <w:szCs w:val="24"/>
        </w:rPr>
        <w:t xml:space="preserve"> </w:t>
      </w:r>
    </w:p>
    <w:p w:rsidR="00CA6D0A" w:rsidRPr="00200B98" w:rsidRDefault="00776867" w:rsidP="00200B98">
      <w:pPr>
        <w:pStyle w:val="Heading3"/>
        <w:rPr>
          <w:sz w:val="28"/>
        </w:rPr>
      </w:pPr>
      <w:bookmarkStart w:id="18" w:name="_Toc425516484"/>
      <w:r>
        <w:rPr>
          <w:sz w:val="28"/>
        </w:rPr>
        <w:t>2</w:t>
      </w:r>
      <w:r w:rsidR="00200B98" w:rsidRPr="00200B98">
        <w:rPr>
          <w:sz w:val="28"/>
        </w:rPr>
        <w:t xml:space="preserve">.5.1. </w:t>
      </w:r>
      <w:r w:rsidR="00C8630F" w:rsidRPr="00200B98">
        <w:rPr>
          <w:sz w:val="28"/>
        </w:rPr>
        <w:t>Resultaatbepaling</w:t>
      </w:r>
      <w:bookmarkEnd w:id="18"/>
    </w:p>
    <w:p w:rsidR="00C8630F" w:rsidRPr="00CB2539" w:rsidRDefault="00890466" w:rsidP="006E3FF9">
      <w:pPr>
        <w:spacing w:line="360" w:lineRule="auto"/>
        <w:jc w:val="both"/>
        <w:rPr>
          <w:sz w:val="24"/>
          <w:szCs w:val="24"/>
        </w:rPr>
      </w:pPr>
      <w:r>
        <w:rPr>
          <w:sz w:val="24"/>
          <w:szCs w:val="24"/>
        </w:rPr>
        <w:t xml:space="preserve">De keuze van de waarderingsgrondslag voor </w:t>
      </w:r>
      <w:r w:rsidR="00E01DA4">
        <w:rPr>
          <w:sz w:val="24"/>
          <w:szCs w:val="24"/>
        </w:rPr>
        <w:t>materiële</w:t>
      </w:r>
      <w:r>
        <w:rPr>
          <w:sz w:val="24"/>
          <w:szCs w:val="24"/>
        </w:rPr>
        <w:t xml:space="preserve"> vaste activa kan van invloed zijn op de verwerking in de jaarrekening. De gevolgen tussen de keuze voor het herwaarderingsmodel of </w:t>
      </w:r>
      <w:proofErr w:type="gramStart"/>
      <w:r>
        <w:rPr>
          <w:sz w:val="24"/>
          <w:szCs w:val="24"/>
        </w:rPr>
        <w:t>de</w:t>
      </w:r>
      <w:proofErr w:type="gramEnd"/>
      <w:r>
        <w:rPr>
          <w:sz w:val="24"/>
          <w:szCs w:val="24"/>
        </w:rPr>
        <w:t xml:space="preserve"> historische kostprijsmodel leidt tot verschillende verwerkingen. Waar bij de eerste opname van een materieel vast actief altijd wordt gewaardeerd tegen kostprijs</w:t>
      </w:r>
      <w:r w:rsidR="00CA6D0A">
        <w:rPr>
          <w:sz w:val="24"/>
          <w:szCs w:val="24"/>
        </w:rPr>
        <w:t xml:space="preserve">, mag na de eerste verwerking uit elk van de bovengenoemde modellen gekozen worden. In beide modellen wordt de afschrijving over een actief verwerkt via de winst-en-verliesrekening of worden deze verwerkt in de boekwaarde van een ander actief. Zodoende hebben </w:t>
      </w:r>
      <w:r w:rsidR="00CA6D0A">
        <w:rPr>
          <w:sz w:val="24"/>
          <w:szCs w:val="24"/>
        </w:rPr>
        <w:lastRenderedPageBreak/>
        <w:t>afschrijvingskosten geen negatief effect op het resultaat, echter zorgt het tegelijkertijd ervoor dat investeringen niet direct volledig ten laste van het resultaat vallen.</w:t>
      </w:r>
      <w:r w:rsidR="00967DD4">
        <w:rPr>
          <w:sz w:val="24"/>
          <w:szCs w:val="24"/>
        </w:rPr>
        <w:t xml:space="preserve"> Echter, indien het herwaarderingsmodel van toepassing is, wordt de boekwaarde veelal geherwaardeerd zodat de post van </w:t>
      </w:r>
      <w:r w:rsidR="008430A1">
        <w:rPr>
          <w:sz w:val="24"/>
          <w:szCs w:val="24"/>
        </w:rPr>
        <w:t>een</w:t>
      </w:r>
      <w:r w:rsidR="00967DD4">
        <w:rPr>
          <w:sz w:val="24"/>
          <w:szCs w:val="24"/>
        </w:rPr>
        <w:t xml:space="preserve"> actief de </w:t>
      </w:r>
      <w:r w:rsidR="008430A1">
        <w:rPr>
          <w:sz w:val="24"/>
          <w:szCs w:val="24"/>
        </w:rPr>
        <w:t>reële</w:t>
      </w:r>
      <w:r w:rsidR="00967DD4">
        <w:rPr>
          <w:sz w:val="24"/>
          <w:szCs w:val="24"/>
        </w:rPr>
        <w:t xml:space="preserve"> waarde weergeeft in de jaarrekening.</w:t>
      </w:r>
      <w:r w:rsidR="008430A1">
        <w:rPr>
          <w:sz w:val="24"/>
          <w:szCs w:val="24"/>
        </w:rPr>
        <w:t xml:space="preserve"> De verwerking van de herwaarderingen geschiedt op twee manieren. De eerste manier betreft </w:t>
      </w:r>
      <w:r w:rsidR="008430A1">
        <w:rPr>
          <w:i/>
          <w:sz w:val="24"/>
          <w:szCs w:val="24"/>
        </w:rPr>
        <w:t xml:space="preserve">clean </w:t>
      </w:r>
      <w:proofErr w:type="gramStart"/>
      <w:r w:rsidR="008430A1">
        <w:rPr>
          <w:i/>
          <w:sz w:val="24"/>
          <w:szCs w:val="24"/>
        </w:rPr>
        <w:t>surplus</w:t>
      </w:r>
      <w:proofErr w:type="gramEnd"/>
      <w:r w:rsidR="008430A1">
        <w:rPr>
          <w:i/>
          <w:sz w:val="24"/>
          <w:szCs w:val="24"/>
        </w:rPr>
        <w:t xml:space="preserve"> accounting</w:t>
      </w:r>
      <w:r w:rsidR="008430A1">
        <w:rPr>
          <w:sz w:val="24"/>
          <w:szCs w:val="24"/>
        </w:rPr>
        <w:t xml:space="preserve">, waarbij herwaarderingen verwerkt worden in de winst-en-verliesrekening. Met deze manier van verwerken leidt tot een getrouwe weergave van de herwaarderingen. De tweede manier betreft </w:t>
      </w:r>
      <w:r w:rsidR="008430A1">
        <w:rPr>
          <w:i/>
          <w:sz w:val="24"/>
          <w:szCs w:val="24"/>
        </w:rPr>
        <w:t xml:space="preserve">dirty </w:t>
      </w:r>
      <w:proofErr w:type="gramStart"/>
      <w:r w:rsidR="008430A1">
        <w:rPr>
          <w:i/>
          <w:sz w:val="24"/>
          <w:szCs w:val="24"/>
        </w:rPr>
        <w:t>surplus</w:t>
      </w:r>
      <w:proofErr w:type="gramEnd"/>
      <w:r w:rsidR="008430A1">
        <w:rPr>
          <w:i/>
          <w:sz w:val="24"/>
          <w:szCs w:val="24"/>
        </w:rPr>
        <w:t xml:space="preserve"> accounting</w:t>
      </w:r>
      <w:r w:rsidR="008430A1">
        <w:rPr>
          <w:sz w:val="24"/>
          <w:szCs w:val="24"/>
        </w:rPr>
        <w:t>, waarbij de herwaardering direct verwerkt worden in het eigen vermogen van een onderneming. Dit heeft tot gevolg dat herwaarderingen bijna volledig uit de winst-en-verliesrekening verdwijnen.</w:t>
      </w:r>
      <w:r w:rsidR="002D6F58">
        <w:rPr>
          <w:sz w:val="24"/>
          <w:szCs w:val="24"/>
        </w:rPr>
        <w:t xml:space="preserve"> </w:t>
      </w:r>
    </w:p>
    <w:p w:rsidR="008C10A4" w:rsidRPr="00423DBB" w:rsidRDefault="008C10A4" w:rsidP="006E3FF9">
      <w:pPr>
        <w:spacing w:line="360" w:lineRule="auto"/>
        <w:jc w:val="both"/>
        <w:rPr>
          <w:sz w:val="24"/>
          <w:szCs w:val="24"/>
        </w:rPr>
      </w:pPr>
      <w:r>
        <w:rPr>
          <w:sz w:val="24"/>
          <w:szCs w:val="24"/>
        </w:rPr>
        <w:t xml:space="preserve">Een stijging van de boekwaarde van een actief leidt tot verwerking via de herwaarderingsreserve in het eigen vermogen. Echter, indien op dit actief in het verleden is afgewaardeerd, moet de stijging worden opgenomen worden in de winst-en-verliesrekening na aftrek van het tot dan toe afgewaardeerde bedrag. </w:t>
      </w:r>
      <w:proofErr w:type="gramStart"/>
      <w:r>
        <w:rPr>
          <w:sz w:val="24"/>
          <w:szCs w:val="24"/>
        </w:rPr>
        <w:t>Daarentegen</w:t>
      </w:r>
      <w:proofErr w:type="gramEnd"/>
      <w:r>
        <w:rPr>
          <w:sz w:val="24"/>
          <w:szCs w:val="24"/>
        </w:rPr>
        <w:t xml:space="preserve"> wordt een daling van de boekwaarde in de winst-en-verliesrekening verwerkt. Echter, indien op dit actief voorheen een opwaardering heeft plaatsgevonden, moet de daling van de boekwaarde worden verwerkt via de herwaarderingsreserve na aftrek van maximaal het bedrag in de herwaarderingsreserve </w:t>
      </w:r>
      <w:sdt>
        <w:sdtPr>
          <w:rPr>
            <w:sz w:val="24"/>
            <w:szCs w:val="24"/>
          </w:rPr>
          <w:id w:val="1268423095"/>
          <w:citation/>
        </w:sdtPr>
        <w:sdtContent>
          <w:r w:rsidR="000C5AB6">
            <w:rPr>
              <w:sz w:val="24"/>
              <w:szCs w:val="24"/>
            </w:rPr>
            <w:fldChar w:fldCharType="begin"/>
          </w:r>
          <w:r>
            <w:rPr>
              <w:sz w:val="24"/>
              <w:szCs w:val="24"/>
            </w:rPr>
            <w:instrText xml:space="preserve"> CITATION Bol06 \l 1043 </w:instrText>
          </w:r>
          <w:r w:rsidR="000C5AB6">
            <w:rPr>
              <w:sz w:val="24"/>
              <w:szCs w:val="24"/>
            </w:rPr>
            <w:fldChar w:fldCharType="separate"/>
          </w:r>
          <w:r w:rsidR="00062BB9" w:rsidRPr="00062BB9">
            <w:rPr>
              <w:noProof/>
              <w:sz w:val="24"/>
              <w:szCs w:val="24"/>
            </w:rPr>
            <w:t>(Bollaert, 2006)</w:t>
          </w:r>
          <w:r w:rsidR="000C5AB6">
            <w:rPr>
              <w:sz w:val="24"/>
              <w:szCs w:val="24"/>
            </w:rPr>
            <w:fldChar w:fldCharType="end"/>
          </w:r>
        </w:sdtContent>
      </w:sdt>
      <w:r>
        <w:rPr>
          <w:sz w:val="24"/>
          <w:szCs w:val="24"/>
        </w:rPr>
        <w:t>.</w:t>
      </w:r>
      <w:r w:rsidR="00CB2539">
        <w:rPr>
          <w:sz w:val="24"/>
          <w:szCs w:val="24"/>
        </w:rPr>
        <w:t xml:space="preserve"> Voor </w:t>
      </w:r>
      <w:r w:rsidR="00E01DA4">
        <w:rPr>
          <w:sz w:val="24"/>
          <w:szCs w:val="24"/>
        </w:rPr>
        <w:t>materiële</w:t>
      </w:r>
      <w:r w:rsidR="00CB2539">
        <w:rPr>
          <w:sz w:val="24"/>
          <w:szCs w:val="24"/>
        </w:rPr>
        <w:t xml:space="preserve"> vaste activa wordt veelal </w:t>
      </w:r>
      <w:r w:rsidR="00CB2539">
        <w:rPr>
          <w:i/>
          <w:sz w:val="24"/>
          <w:szCs w:val="24"/>
        </w:rPr>
        <w:t xml:space="preserve">dirty </w:t>
      </w:r>
      <w:proofErr w:type="gramStart"/>
      <w:r w:rsidR="00CB2539">
        <w:rPr>
          <w:i/>
          <w:sz w:val="24"/>
          <w:szCs w:val="24"/>
        </w:rPr>
        <w:t>surplus</w:t>
      </w:r>
      <w:proofErr w:type="gramEnd"/>
      <w:r w:rsidR="00CB2539">
        <w:rPr>
          <w:i/>
          <w:sz w:val="24"/>
          <w:szCs w:val="24"/>
        </w:rPr>
        <w:t xml:space="preserve"> accounting</w:t>
      </w:r>
      <w:r w:rsidR="00CB2539">
        <w:rPr>
          <w:sz w:val="24"/>
          <w:szCs w:val="24"/>
        </w:rPr>
        <w:t xml:space="preserve"> toegepast, terwijl </w:t>
      </w:r>
      <w:r w:rsidR="00CB2539">
        <w:rPr>
          <w:i/>
          <w:sz w:val="24"/>
          <w:szCs w:val="24"/>
        </w:rPr>
        <w:t>clean surplus accounting</w:t>
      </w:r>
      <w:r w:rsidR="00CB2539">
        <w:rPr>
          <w:sz w:val="24"/>
          <w:szCs w:val="24"/>
        </w:rPr>
        <w:t xml:space="preserve"> de voorkeur geniet van de IASB. Indien gebruik gemaakt wordt van </w:t>
      </w:r>
      <w:r w:rsidR="00CB2539">
        <w:rPr>
          <w:i/>
          <w:sz w:val="24"/>
          <w:szCs w:val="24"/>
        </w:rPr>
        <w:t xml:space="preserve">dirty </w:t>
      </w:r>
      <w:proofErr w:type="gramStart"/>
      <w:r w:rsidR="00CB2539">
        <w:rPr>
          <w:i/>
          <w:sz w:val="24"/>
          <w:szCs w:val="24"/>
        </w:rPr>
        <w:t>surplus</w:t>
      </w:r>
      <w:proofErr w:type="gramEnd"/>
      <w:r w:rsidR="00CB2539">
        <w:rPr>
          <w:i/>
          <w:sz w:val="24"/>
          <w:szCs w:val="24"/>
        </w:rPr>
        <w:t xml:space="preserve"> accounting</w:t>
      </w:r>
      <w:r w:rsidR="00CB2539">
        <w:rPr>
          <w:sz w:val="24"/>
          <w:szCs w:val="24"/>
        </w:rPr>
        <w:t xml:space="preserve">, heeft een negatieve herwaardering geen invloed op het resultaat. Alle herwaarderingen worden verwerkt in het eigen vermogen, waardoor relevante informatie uit de jaarrekening verdwijnt </w:t>
      </w:r>
      <w:sdt>
        <w:sdtPr>
          <w:rPr>
            <w:sz w:val="24"/>
            <w:szCs w:val="24"/>
          </w:rPr>
          <w:id w:val="2134129228"/>
          <w:citation/>
        </w:sdtPr>
        <w:sdtContent>
          <w:r w:rsidR="000C5AB6">
            <w:rPr>
              <w:sz w:val="24"/>
              <w:szCs w:val="24"/>
            </w:rPr>
            <w:fldChar w:fldCharType="begin"/>
          </w:r>
          <w:r w:rsidR="00CB2539">
            <w:rPr>
              <w:sz w:val="24"/>
              <w:szCs w:val="24"/>
            </w:rPr>
            <w:instrText xml:space="preserve"> CITATION van07 \l 1043 </w:instrText>
          </w:r>
          <w:r w:rsidR="000C5AB6">
            <w:rPr>
              <w:sz w:val="24"/>
              <w:szCs w:val="24"/>
            </w:rPr>
            <w:fldChar w:fldCharType="separate"/>
          </w:r>
          <w:r w:rsidR="00062BB9" w:rsidRPr="00062BB9">
            <w:rPr>
              <w:noProof/>
              <w:sz w:val="24"/>
              <w:szCs w:val="24"/>
            </w:rPr>
            <w:t>(van Cauwenberghe &amp; de Beelde, 2007)</w:t>
          </w:r>
          <w:r w:rsidR="000C5AB6">
            <w:rPr>
              <w:sz w:val="24"/>
              <w:szCs w:val="24"/>
            </w:rPr>
            <w:fldChar w:fldCharType="end"/>
          </w:r>
        </w:sdtContent>
      </w:sdt>
      <w:r w:rsidR="00CB2539">
        <w:rPr>
          <w:sz w:val="24"/>
          <w:szCs w:val="24"/>
        </w:rPr>
        <w:t xml:space="preserve">. </w:t>
      </w:r>
    </w:p>
    <w:p w:rsidR="00F247A3" w:rsidRPr="00200B98" w:rsidRDefault="00776867" w:rsidP="00200B98">
      <w:pPr>
        <w:pStyle w:val="Heading3"/>
        <w:rPr>
          <w:sz w:val="28"/>
        </w:rPr>
      </w:pPr>
      <w:bookmarkStart w:id="19" w:name="_Toc425516485"/>
      <w:r>
        <w:rPr>
          <w:sz w:val="28"/>
        </w:rPr>
        <w:t>2</w:t>
      </w:r>
      <w:r w:rsidR="00200B98" w:rsidRPr="00633A13">
        <w:rPr>
          <w:sz w:val="28"/>
        </w:rPr>
        <w:t xml:space="preserve">.5.2. </w:t>
      </w:r>
      <w:proofErr w:type="spellStart"/>
      <w:r w:rsidR="00B109CF" w:rsidRPr="00633A13">
        <w:rPr>
          <w:sz w:val="28"/>
        </w:rPr>
        <w:t>L</w:t>
      </w:r>
      <w:r w:rsidR="00682B22" w:rsidRPr="00633A13">
        <w:rPr>
          <w:sz w:val="28"/>
        </w:rPr>
        <w:t>iterature</w:t>
      </w:r>
      <w:proofErr w:type="spellEnd"/>
      <w:r w:rsidR="00682B22" w:rsidRPr="00633A13">
        <w:rPr>
          <w:sz w:val="28"/>
        </w:rPr>
        <w:t xml:space="preserve"> </w:t>
      </w:r>
      <w:proofErr w:type="spellStart"/>
      <w:r w:rsidR="00682B22" w:rsidRPr="00200B98">
        <w:rPr>
          <w:sz w:val="28"/>
        </w:rPr>
        <w:t>review</w:t>
      </w:r>
      <w:proofErr w:type="spellEnd"/>
      <w:r w:rsidR="00682B22" w:rsidRPr="00200B98">
        <w:rPr>
          <w:sz w:val="28"/>
        </w:rPr>
        <w:t xml:space="preserve"> actuele waarde model</w:t>
      </w:r>
      <w:bookmarkEnd w:id="19"/>
    </w:p>
    <w:p w:rsidR="007B60DD" w:rsidRDefault="007B60DD" w:rsidP="006E3FF9">
      <w:pPr>
        <w:spacing w:line="360" w:lineRule="auto"/>
        <w:jc w:val="both"/>
        <w:rPr>
          <w:sz w:val="24"/>
          <w:szCs w:val="24"/>
        </w:rPr>
      </w:pPr>
      <w:r>
        <w:rPr>
          <w:sz w:val="24"/>
          <w:szCs w:val="24"/>
        </w:rPr>
        <w:t>Het grote voordeel van deze methode is dat de relevante waarde gepresenteerd wordt in de jaarrekening. Echter, doordat er diverse factoren van invloed zijn op de reële waarde van een actief en omdat deze berekening ook onderhevig is aan schattingen, maakt het voor ondernemingen ingewikkeld om de exact juiste reële waarde te bepalen.</w:t>
      </w:r>
      <w:r>
        <w:rPr>
          <w:sz w:val="24"/>
          <w:szCs w:val="24"/>
        </w:rPr>
        <w:br/>
      </w:r>
      <w:r w:rsidR="00F247A3">
        <w:rPr>
          <w:sz w:val="24"/>
          <w:szCs w:val="24"/>
        </w:rPr>
        <w:t xml:space="preserve">De bedragen voor </w:t>
      </w:r>
      <w:r w:rsidR="00E01DA4">
        <w:rPr>
          <w:sz w:val="24"/>
          <w:szCs w:val="24"/>
        </w:rPr>
        <w:t>materiële</w:t>
      </w:r>
      <w:r w:rsidR="00F247A3">
        <w:rPr>
          <w:sz w:val="24"/>
          <w:szCs w:val="24"/>
        </w:rPr>
        <w:t xml:space="preserve"> vaste activa zullen in het reële waarde model tot meer fluctuaties leiden dan bij het gebruik van het historische kostprijs model. Dit maakt het reële waarde model meer volatiel, in tegenstelling tot het historische </w:t>
      </w:r>
      <w:r w:rsidR="00012C17">
        <w:rPr>
          <w:sz w:val="24"/>
          <w:szCs w:val="24"/>
        </w:rPr>
        <w:t xml:space="preserve">kostprijsmodel. </w:t>
      </w:r>
    </w:p>
    <w:p w:rsidR="00501603" w:rsidRPr="007B60DD" w:rsidRDefault="00B109CF" w:rsidP="00501603">
      <w:pPr>
        <w:spacing w:line="360" w:lineRule="auto"/>
        <w:jc w:val="both"/>
        <w:rPr>
          <w:sz w:val="24"/>
          <w:szCs w:val="24"/>
        </w:rPr>
      </w:pPr>
      <w:r>
        <w:rPr>
          <w:sz w:val="24"/>
          <w:szCs w:val="24"/>
        </w:rPr>
        <w:lastRenderedPageBreak/>
        <w:t xml:space="preserve">In navolging van het historische kostprijsmodel, kan er in het reële waarde model ook sprake </w:t>
      </w:r>
      <w:r w:rsidR="00012C17">
        <w:rPr>
          <w:sz w:val="24"/>
          <w:szCs w:val="24"/>
        </w:rPr>
        <w:t xml:space="preserve">zijn </w:t>
      </w:r>
      <w:r w:rsidR="00501603">
        <w:rPr>
          <w:sz w:val="24"/>
          <w:szCs w:val="24"/>
        </w:rPr>
        <w:t>van manipulatie van financiële resultaten.</w:t>
      </w:r>
      <w:r>
        <w:rPr>
          <w:sz w:val="24"/>
          <w:szCs w:val="24"/>
        </w:rPr>
        <w:t xml:space="preserve"> Echter, </w:t>
      </w:r>
      <w:r w:rsidR="00501603">
        <w:rPr>
          <w:sz w:val="24"/>
          <w:szCs w:val="24"/>
        </w:rPr>
        <w:t xml:space="preserve">verschilt </w:t>
      </w:r>
      <w:r>
        <w:rPr>
          <w:sz w:val="24"/>
          <w:szCs w:val="24"/>
        </w:rPr>
        <w:t xml:space="preserve">de manier van </w:t>
      </w:r>
      <w:proofErr w:type="spellStart"/>
      <w:r>
        <w:rPr>
          <w:i/>
          <w:sz w:val="24"/>
          <w:szCs w:val="24"/>
        </w:rPr>
        <w:t>earnings</w:t>
      </w:r>
      <w:proofErr w:type="spellEnd"/>
      <w:r>
        <w:rPr>
          <w:i/>
          <w:sz w:val="24"/>
          <w:szCs w:val="24"/>
        </w:rPr>
        <w:t xml:space="preserve"> </w:t>
      </w:r>
      <w:r w:rsidR="00012C17">
        <w:rPr>
          <w:i/>
          <w:sz w:val="24"/>
          <w:szCs w:val="24"/>
        </w:rPr>
        <w:t>management</w:t>
      </w:r>
      <w:r>
        <w:rPr>
          <w:sz w:val="24"/>
          <w:szCs w:val="24"/>
        </w:rPr>
        <w:t xml:space="preserve"> in dit </w:t>
      </w:r>
      <w:r w:rsidR="00501603">
        <w:rPr>
          <w:sz w:val="24"/>
          <w:szCs w:val="24"/>
        </w:rPr>
        <w:t>model</w:t>
      </w:r>
      <w:r>
        <w:rPr>
          <w:sz w:val="24"/>
          <w:szCs w:val="24"/>
        </w:rPr>
        <w:t xml:space="preserve"> verschillend van aard</w:t>
      </w:r>
      <w:r w:rsidR="00501603">
        <w:rPr>
          <w:sz w:val="24"/>
          <w:szCs w:val="24"/>
        </w:rPr>
        <w:t xml:space="preserve"> met het historische kostprijsmodel</w:t>
      </w:r>
      <w:r>
        <w:rPr>
          <w:sz w:val="24"/>
          <w:szCs w:val="24"/>
        </w:rPr>
        <w:t xml:space="preserve">. </w:t>
      </w:r>
      <w:r w:rsidR="00AF3A2A">
        <w:rPr>
          <w:sz w:val="24"/>
          <w:szCs w:val="24"/>
        </w:rPr>
        <w:t xml:space="preserve">Het management team </w:t>
      </w:r>
      <w:r w:rsidR="00501603">
        <w:rPr>
          <w:sz w:val="24"/>
          <w:szCs w:val="24"/>
        </w:rPr>
        <w:t xml:space="preserve">van een onderneming </w:t>
      </w:r>
      <w:r w:rsidR="00AF3A2A">
        <w:rPr>
          <w:sz w:val="24"/>
          <w:szCs w:val="24"/>
        </w:rPr>
        <w:t xml:space="preserve">zou bijvoorbeeld een </w:t>
      </w:r>
      <w:proofErr w:type="spellStart"/>
      <w:r w:rsidR="00AF3A2A">
        <w:rPr>
          <w:i/>
          <w:sz w:val="24"/>
          <w:szCs w:val="24"/>
        </w:rPr>
        <w:t>Other</w:t>
      </w:r>
      <w:proofErr w:type="spellEnd"/>
      <w:r w:rsidR="00AF3A2A">
        <w:rPr>
          <w:i/>
          <w:sz w:val="24"/>
          <w:szCs w:val="24"/>
        </w:rPr>
        <w:t xml:space="preserve"> </w:t>
      </w:r>
      <w:proofErr w:type="spellStart"/>
      <w:r w:rsidR="00AF3A2A">
        <w:rPr>
          <w:i/>
          <w:sz w:val="24"/>
          <w:szCs w:val="24"/>
        </w:rPr>
        <w:t>Than</w:t>
      </w:r>
      <w:proofErr w:type="spellEnd"/>
      <w:r w:rsidR="00AF3A2A">
        <w:rPr>
          <w:i/>
          <w:sz w:val="24"/>
          <w:szCs w:val="24"/>
        </w:rPr>
        <w:t xml:space="preserve"> </w:t>
      </w:r>
      <w:proofErr w:type="spellStart"/>
      <w:r w:rsidR="00AF3A2A">
        <w:rPr>
          <w:i/>
          <w:sz w:val="24"/>
          <w:szCs w:val="24"/>
        </w:rPr>
        <w:t>Temporary</w:t>
      </w:r>
      <w:proofErr w:type="spellEnd"/>
      <w:r w:rsidR="00AF3A2A">
        <w:rPr>
          <w:i/>
          <w:sz w:val="24"/>
          <w:szCs w:val="24"/>
        </w:rPr>
        <w:t xml:space="preserve"> </w:t>
      </w:r>
      <w:proofErr w:type="spellStart"/>
      <w:r w:rsidR="00AF3A2A">
        <w:rPr>
          <w:i/>
          <w:sz w:val="24"/>
          <w:szCs w:val="24"/>
        </w:rPr>
        <w:t>Impairment</w:t>
      </w:r>
      <w:proofErr w:type="spellEnd"/>
      <w:r w:rsidR="00AF3A2A">
        <w:rPr>
          <w:sz w:val="24"/>
          <w:szCs w:val="24"/>
        </w:rPr>
        <w:t xml:space="preserve"> (OTTI) kunnen doorvoeren in een bepaalde tijdsperiode. Deze ‘anders dan gewone bijzondere waardevermindering’ impliceert dat de activa van een entiteit ondergewaardeerd is. Gevolg is dat de rechtspersoon profiteert van hogere </w:t>
      </w:r>
      <w:proofErr w:type="spellStart"/>
      <w:r w:rsidR="00AF3A2A">
        <w:rPr>
          <w:i/>
          <w:sz w:val="24"/>
          <w:szCs w:val="24"/>
        </w:rPr>
        <w:t>earnings</w:t>
      </w:r>
      <w:proofErr w:type="spellEnd"/>
      <w:r w:rsidR="00AF3A2A">
        <w:rPr>
          <w:sz w:val="24"/>
          <w:szCs w:val="24"/>
        </w:rPr>
        <w:t xml:space="preserve"> in de daaropvolgende periodes, sinds de cash </w:t>
      </w:r>
      <w:proofErr w:type="spellStart"/>
      <w:r w:rsidR="00AF3A2A">
        <w:rPr>
          <w:sz w:val="24"/>
          <w:szCs w:val="24"/>
        </w:rPr>
        <w:t>flows</w:t>
      </w:r>
      <w:proofErr w:type="spellEnd"/>
      <w:r w:rsidR="00AF3A2A">
        <w:rPr>
          <w:sz w:val="24"/>
          <w:szCs w:val="24"/>
        </w:rPr>
        <w:t xml:space="preserve"> hoger zijn dan de boekwaardes op de balans weergeven. </w:t>
      </w:r>
      <w:r w:rsidR="00A20C44">
        <w:rPr>
          <w:sz w:val="24"/>
          <w:szCs w:val="24"/>
        </w:rPr>
        <w:t xml:space="preserve">Investeerders beschouwen </w:t>
      </w:r>
      <w:r w:rsidR="00A20C44">
        <w:rPr>
          <w:i/>
          <w:sz w:val="24"/>
          <w:szCs w:val="24"/>
        </w:rPr>
        <w:t xml:space="preserve">return </w:t>
      </w:r>
      <w:proofErr w:type="spellStart"/>
      <w:r w:rsidR="00A20C44">
        <w:rPr>
          <w:i/>
          <w:sz w:val="24"/>
          <w:szCs w:val="24"/>
        </w:rPr>
        <w:t>on</w:t>
      </w:r>
      <w:proofErr w:type="spellEnd"/>
      <w:r w:rsidR="00A20C44">
        <w:rPr>
          <w:i/>
          <w:sz w:val="24"/>
          <w:szCs w:val="24"/>
        </w:rPr>
        <w:t xml:space="preserve"> </w:t>
      </w:r>
      <w:proofErr w:type="spellStart"/>
      <w:r w:rsidR="00A20C44">
        <w:rPr>
          <w:i/>
          <w:sz w:val="24"/>
          <w:szCs w:val="24"/>
        </w:rPr>
        <w:t>equity</w:t>
      </w:r>
      <w:proofErr w:type="spellEnd"/>
      <w:r w:rsidR="00A20C44">
        <w:rPr>
          <w:sz w:val="24"/>
          <w:szCs w:val="24"/>
        </w:rPr>
        <w:t xml:space="preserve"> (ROE) als een belangrijke maatstaf voor de rentabiliteit van een onderneming. Door deze truc van managers zal de ROE aantrekkelijk zijn doordat het (gemanipuleerde) eigen vermogen laag is in vergelijking met de returns </w:t>
      </w:r>
      <w:sdt>
        <w:sdtPr>
          <w:rPr>
            <w:sz w:val="24"/>
            <w:szCs w:val="24"/>
          </w:rPr>
          <w:id w:val="-1639178618"/>
          <w:citation/>
        </w:sdtPr>
        <w:sdtContent>
          <w:r w:rsidR="000C5AB6">
            <w:rPr>
              <w:sz w:val="24"/>
              <w:szCs w:val="24"/>
            </w:rPr>
            <w:fldChar w:fldCharType="begin"/>
          </w:r>
          <w:r w:rsidR="00A20C44">
            <w:rPr>
              <w:sz w:val="24"/>
              <w:szCs w:val="24"/>
            </w:rPr>
            <w:instrText xml:space="preserve"> CITATION Bel08 \l 1043 </w:instrText>
          </w:r>
          <w:r w:rsidR="000C5AB6">
            <w:rPr>
              <w:sz w:val="24"/>
              <w:szCs w:val="24"/>
            </w:rPr>
            <w:fldChar w:fldCharType="separate"/>
          </w:r>
          <w:r w:rsidR="00062BB9" w:rsidRPr="00062BB9">
            <w:rPr>
              <w:noProof/>
              <w:sz w:val="24"/>
              <w:szCs w:val="24"/>
            </w:rPr>
            <w:t>(Belinna, Yen, &amp; Yang, 2008)</w:t>
          </w:r>
          <w:r w:rsidR="000C5AB6">
            <w:rPr>
              <w:sz w:val="24"/>
              <w:szCs w:val="24"/>
            </w:rPr>
            <w:fldChar w:fldCharType="end"/>
          </w:r>
        </w:sdtContent>
      </w:sdt>
      <w:r w:rsidR="00A20C44">
        <w:rPr>
          <w:sz w:val="24"/>
          <w:szCs w:val="24"/>
        </w:rPr>
        <w:t>. I</w:t>
      </w:r>
      <w:r w:rsidR="00FC5B18">
        <w:rPr>
          <w:sz w:val="24"/>
          <w:szCs w:val="24"/>
        </w:rPr>
        <w:t xml:space="preserve">ndien er gebruik wordt gemaakt van de </w:t>
      </w:r>
      <w:r w:rsidR="00FC5B18">
        <w:rPr>
          <w:i/>
          <w:sz w:val="24"/>
          <w:szCs w:val="24"/>
        </w:rPr>
        <w:t xml:space="preserve">fair </w:t>
      </w:r>
      <w:proofErr w:type="spellStart"/>
      <w:r w:rsidR="00FC5B18">
        <w:rPr>
          <w:i/>
          <w:sz w:val="24"/>
          <w:szCs w:val="24"/>
        </w:rPr>
        <w:t>value</w:t>
      </w:r>
      <w:proofErr w:type="spellEnd"/>
      <w:r w:rsidR="00FC5B18">
        <w:rPr>
          <w:i/>
          <w:sz w:val="24"/>
          <w:szCs w:val="24"/>
        </w:rPr>
        <w:t xml:space="preserve"> accounting</w:t>
      </w:r>
      <w:r w:rsidR="00FC5B18">
        <w:rPr>
          <w:sz w:val="24"/>
          <w:szCs w:val="24"/>
        </w:rPr>
        <w:t xml:space="preserve"> methode zal een rechtspersoon eerst een verlies lijden, alvorens toekomstige voordelen/inkomen genomen zal worden. Echter, voor de </w:t>
      </w:r>
      <w:proofErr w:type="spellStart"/>
      <w:r w:rsidR="00FC5B18">
        <w:rPr>
          <w:i/>
          <w:sz w:val="24"/>
          <w:szCs w:val="24"/>
        </w:rPr>
        <w:t>historical</w:t>
      </w:r>
      <w:proofErr w:type="spellEnd"/>
      <w:r w:rsidR="00FC5B18">
        <w:rPr>
          <w:i/>
          <w:sz w:val="24"/>
          <w:szCs w:val="24"/>
        </w:rPr>
        <w:t xml:space="preserve"> </w:t>
      </w:r>
      <w:proofErr w:type="spellStart"/>
      <w:r w:rsidR="00FC5B18">
        <w:rPr>
          <w:i/>
          <w:sz w:val="24"/>
          <w:szCs w:val="24"/>
        </w:rPr>
        <w:t>cost</w:t>
      </w:r>
      <w:proofErr w:type="spellEnd"/>
      <w:r w:rsidR="00FC5B18">
        <w:rPr>
          <w:i/>
          <w:sz w:val="24"/>
          <w:szCs w:val="24"/>
        </w:rPr>
        <w:t xml:space="preserve"> accounting</w:t>
      </w:r>
      <w:r w:rsidR="00FC5B18">
        <w:rPr>
          <w:sz w:val="24"/>
          <w:szCs w:val="24"/>
        </w:rPr>
        <w:t xml:space="preserve"> methode werkt het juist </w:t>
      </w:r>
      <w:r w:rsidR="007C2C26">
        <w:rPr>
          <w:sz w:val="24"/>
          <w:szCs w:val="24"/>
        </w:rPr>
        <w:t xml:space="preserve">in </w:t>
      </w:r>
      <w:r w:rsidR="00FC5B18">
        <w:rPr>
          <w:sz w:val="24"/>
          <w:szCs w:val="24"/>
        </w:rPr>
        <w:t>tegenovergesteld</w:t>
      </w:r>
      <w:r w:rsidR="007C2C26">
        <w:rPr>
          <w:sz w:val="24"/>
          <w:szCs w:val="24"/>
        </w:rPr>
        <w:t>e richting</w:t>
      </w:r>
      <w:r w:rsidR="00FC5B18">
        <w:rPr>
          <w:sz w:val="24"/>
          <w:szCs w:val="24"/>
        </w:rPr>
        <w:t>; eerst zal de onderneming de voordelen nemen, waarna er een verlies op volgt.</w:t>
      </w:r>
    </w:p>
    <w:p w:rsidR="00D471DF" w:rsidRDefault="007B60DD" w:rsidP="006E3FF9">
      <w:pPr>
        <w:spacing w:line="360" w:lineRule="auto"/>
        <w:jc w:val="both"/>
        <w:rPr>
          <w:sz w:val="24"/>
          <w:szCs w:val="24"/>
        </w:rPr>
      </w:pPr>
      <w:proofErr w:type="gramStart"/>
      <w:r>
        <w:rPr>
          <w:sz w:val="24"/>
          <w:szCs w:val="24"/>
        </w:rPr>
        <w:t xml:space="preserve">Ondanks de voordelen bestaan er ook </w:t>
      </w:r>
      <w:r w:rsidR="004C1BDE">
        <w:rPr>
          <w:sz w:val="24"/>
          <w:szCs w:val="24"/>
        </w:rPr>
        <w:t>problemen die</w:t>
      </w:r>
      <w:r>
        <w:rPr>
          <w:sz w:val="24"/>
          <w:szCs w:val="24"/>
        </w:rPr>
        <w:t xml:space="preserve"> de </w:t>
      </w:r>
      <w:r w:rsidRPr="007B60DD">
        <w:rPr>
          <w:i/>
          <w:sz w:val="24"/>
          <w:szCs w:val="24"/>
        </w:rPr>
        <w:t xml:space="preserve">fair </w:t>
      </w:r>
      <w:proofErr w:type="spellStart"/>
      <w:r w:rsidRPr="007B60DD">
        <w:rPr>
          <w:i/>
          <w:sz w:val="24"/>
          <w:szCs w:val="24"/>
        </w:rPr>
        <w:t>value</w:t>
      </w:r>
      <w:proofErr w:type="spellEnd"/>
      <w:r>
        <w:rPr>
          <w:sz w:val="24"/>
          <w:szCs w:val="24"/>
        </w:rPr>
        <w:t xml:space="preserve"> methode met zich meebreng</w:t>
      </w:r>
      <w:r w:rsidR="004C1BDE">
        <w:rPr>
          <w:sz w:val="24"/>
          <w:szCs w:val="24"/>
        </w:rPr>
        <w:t>t</w:t>
      </w:r>
      <w:r>
        <w:rPr>
          <w:sz w:val="24"/>
          <w:szCs w:val="24"/>
        </w:rPr>
        <w:t xml:space="preserve">. </w:t>
      </w:r>
      <w:proofErr w:type="gramEnd"/>
      <w:r>
        <w:rPr>
          <w:sz w:val="24"/>
          <w:szCs w:val="24"/>
        </w:rPr>
        <w:t xml:space="preserve">Veel </w:t>
      </w:r>
      <w:r w:rsidR="00501603">
        <w:rPr>
          <w:sz w:val="24"/>
          <w:szCs w:val="24"/>
        </w:rPr>
        <w:t>onderneming</w:t>
      </w:r>
      <w:r>
        <w:rPr>
          <w:sz w:val="24"/>
          <w:szCs w:val="24"/>
        </w:rPr>
        <w:t>en zijn</w:t>
      </w:r>
      <w:r w:rsidR="00501603">
        <w:rPr>
          <w:sz w:val="24"/>
          <w:szCs w:val="24"/>
        </w:rPr>
        <w:t xml:space="preserve"> nog steeds tegen </w:t>
      </w:r>
      <w:r w:rsidR="00501603">
        <w:rPr>
          <w:i/>
          <w:sz w:val="24"/>
          <w:szCs w:val="24"/>
        </w:rPr>
        <w:t xml:space="preserve">fair </w:t>
      </w:r>
      <w:proofErr w:type="spellStart"/>
      <w:r w:rsidR="00501603">
        <w:rPr>
          <w:i/>
          <w:sz w:val="24"/>
          <w:szCs w:val="24"/>
        </w:rPr>
        <w:t>value</w:t>
      </w:r>
      <w:proofErr w:type="spellEnd"/>
      <w:r w:rsidR="00501603">
        <w:rPr>
          <w:i/>
          <w:sz w:val="24"/>
          <w:szCs w:val="24"/>
        </w:rPr>
        <w:t xml:space="preserve"> accounting</w:t>
      </w:r>
      <w:r w:rsidR="00501603">
        <w:rPr>
          <w:sz w:val="24"/>
          <w:szCs w:val="24"/>
        </w:rPr>
        <w:t xml:space="preserve"> vanwege zijn procyclische werking en </w:t>
      </w:r>
      <w:r w:rsidR="00A631D7">
        <w:rPr>
          <w:sz w:val="24"/>
          <w:szCs w:val="24"/>
        </w:rPr>
        <w:t>daarnaast leidt het</w:t>
      </w:r>
      <w:r w:rsidR="00501603">
        <w:rPr>
          <w:sz w:val="24"/>
          <w:szCs w:val="24"/>
        </w:rPr>
        <w:t xml:space="preserve"> tot andere gebreken in de markt. Als de economische conjunctuur daalt, dalen de </w:t>
      </w:r>
      <w:r w:rsidR="00DB728A">
        <w:rPr>
          <w:sz w:val="24"/>
          <w:szCs w:val="24"/>
        </w:rPr>
        <w:t>prijzen van activa</w:t>
      </w:r>
      <w:r w:rsidR="00501603">
        <w:rPr>
          <w:sz w:val="24"/>
          <w:szCs w:val="24"/>
        </w:rPr>
        <w:t xml:space="preserve"> mee, wat leidt tot lagere </w:t>
      </w:r>
      <w:proofErr w:type="spellStart"/>
      <w:r w:rsidR="00501603">
        <w:rPr>
          <w:i/>
          <w:sz w:val="24"/>
          <w:szCs w:val="24"/>
        </w:rPr>
        <w:t>earnings</w:t>
      </w:r>
      <w:proofErr w:type="spellEnd"/>
      <w:r w:rsidR="00501603">
        <w:rPr>
          <w:sz w:val="24"/>
          <w:szCs w:val="24"/>
        </w:rPr>
        <w:t xml:space="preserve"> dan onder de </w:t>
      </w:r>
      <w:proofErr w:type="spellStart"/>
      <w:r w:rsidR="00501603">
        <w:rPr>
          <w:i/>
          <w:sz w:val="24"/>
          <w:szCs w:val="24"/>
        </w:rPr>
        <w:t>historical</w:t>
      </w:r>
      <w:proofErr w:type="spellEnd"/>
      <w:r w:rsidR="00501603">
        <w:rPr>
          <w:i/>
          <w:sz w:val="24"/>
          <w:szCs w:val="24"/>
        </w:rPr>
        <w:t xml:space="preserve"> </w:t>
      </w:r>
      <w:proofErr w:type="spellStart"/>
      <w:r w:rsidR="00501603">
        <w:rPr>
          <w:i/>
          <w:sz w:val="24"/>
          <w:szCs w:val="24"/>
        </w:rPr>
        <w:t>cost</w:t>
      </w:r>
      <w:proofErr w:type="spellEnd"/>
      <w:r w:rsidR="00501603">
        <w:rPr>
          <w:i/>
          <w:sz w:val="24"/>
          <w:szCs w:val="24"/>
        </w:rPr>
        <w:t xml:space="preserve"> accounting</w:t>
      </w:r>
      <w:r w:rsidR="00501603">
        <w:rPr>
          <w:sz w:val="24"/>
          <w:szCs w:val="24"/>
        </w:rPr>
        <w:t xml:space="preserve"> methode. Als gevolg hiervan wordt er meer kapitaal aangetrokken als de bedrijfswaarderingen laag zijn, wat de problemen voor een onderneming verergert. Zoals eerder gesteld, is met het gebruik van de </w:t>
      </w:r>
      <w:r w:rsidR="00501603" w:rsidRPr="00BD51F8">
        <w:rPr>
          <w:i/>
          <w:sz w:val="24"/>
          <w:szCs w:val="24"/>
        </w:rPr>
        <w:t xml:space="preserve">fair </w:t>
      </w:r>
      <w:proofErr w:type="spellStart"/>
      <w:r w:rsidR="00501603" w:rsidRPr="00BD51F8">
        <w:rPr>
          <w:i/>
          <w:sz w:val="24"/>
          <w:szCs w:val="24"/>
        </w:rPr>
        <w:t>value</w:t>
      </w:r>
      <w:proofErr w:type="spellEnd"/>
      <w:r w:rsidR="00501603" w:rsidRPr="00BD51F8">
        <w:rPr>
          <w:i/>
          <w:sz w:val="24"/>
          <w:szCs w:val="24"/>
        </w:rPr>
        <w:t xml:space="preserve"> accounting</w:t>
      </w:r>
      <w:r w:rsidR="00501603">
        <w:rPr>
          <w:sz w:val="24"/>
          <w:szCs w:val="24"/>
        </w:rPr>
        <w:t xml:space="preserve"> methode de juiste waarde van een actief (of passief) vast te stellen </w:t>
      </w:r>
      <w:sdt>
        <w:sdtPr>
          <w:rPr>
            <w:sz w:val="24"/>
            <w:szCs w:val="24"/>
          </w:rPr>
          <w:id w:val="-725376949"/>
          <w:citation/>
        </w:sdtPr>
        <w:sdtContent>
          <w:r w:rsidR="000C5AB6">
            <w:rPr>
              <w:sz w:val="24"/>
              <w:szCs w:val="24"/>
            </w:rPr>
            <w:fldChar w:fldCharType="begin"/>
          </w:r>
          <w:r w:rsidR="00501603">
            <w:rPr>
              <w:sz w:val="24"/>
              <w:szCs w:val="24"/>
            </w:rPr>
            <w:instrText xml:space="preserve"> CITATION Ame11 \l 1043 </w:instrText>
          </w:r>
          <w:r w:rsidR="000C5AB6">
            <w:rPr>
              <w:sz w:val="24"/>
              <w:szCs w:val="24"/>
            </w:rPr>
            <w:fldChar w:fldCharType="separate"/>
          </w:r>
          <w:r w:rsidR="00062BB9" w:rsidRPr="00062BB9">
            <w:rPr>
              <w:noProof/>
              <w:sz w:val="24"/>
              <w:szCs w:val="24"/>
            </w:rPr>
            <w:t>(American Bankers Association, 2011)</w:t>
          </w:r>
          <w:r w:rsidR="000C5AB6">
            <w:rPr>
              <w:sz w:val="24"/>
              <w:szCs w:val="24"/>
            </w:rPr>
            <w:fldChar w:fldCharType="end"/>
          </w:r>
        </w:sdtContent>
      </w:sdt>
      <w:r w:rsidR="00501603">
        <w:rPr>
          <w:sz w:val="24"/>
          <w:szCs w:val="24"/>
        </w:rPr>
        <w:t xml:space="preserve">. Als er bijvoorbeeld voor een actief geen secundaire markt bestaat, wordt het lastig om het actief te vervangen door een identieke, waardoor de manager gedwongen wordt de reële waarde van dat actief in te schatten. Voor activa zonder marktprijzen, worden de waardes onder </w:t>
      </w:r>
      <w:r w:rsidR="00501603" w:rsidRPr="00B07764">
        <w:rPr>
          <w:i/>
          <w:sz w:val="24"/>
          <w:szCs w:val="24"/>
        </w:rPr>
        <w:t xml:space="preserve">fair </w:t>
      </w:r>
      <w:proofErr w:type="spellStart"/>
      <w:r w:rsidR="00501603" w:rsidRPr="00B07764">
        <w:rPr>
          <w:i/>
          <w:sz w:val="24"/>
          <w:szCs w:val="24"/>
        </w:rPr>
        <w:t>value</w:t>
      </w:r>
      <w:proofErr w:type="spellEnd"/>
      <w:r w:rsidR="00501603" w:rsidRPr="00B07764">
        <w:rPr>
          <w:i/>
          <w:sz w:val="24"/>
          <w:szCs w:val="24"/>
        </w:rPr>
        <w:t xml:space="preserve"> accounting</w:t>
      </w:r>
      <w:r w:rsidR="00501603">
        <w:rPr>
          <w:sz w:val="24"/>
          <w:szCs w:val="24"/>
        </w:rPr>
        <w:t xml:space="preserve"> gebaseerd op taxaties en op berekening van de kosten van reproductie. Echter, deze methode is gebaseerd op discretionaire bevoegdheden van het management. Dit maakt de </w:t>
      </w:r>
      <w:r w:rsidR="00501603" w:rsidRPr="00D164E3">
        <w:rPr>
          <w:i/>
          <w:sz w:val="24"/>
          <w:szCs w:val="24"/>
        </w:rPr>
        <w:t xml:space="preserve">fair </w:t>
      </w:r>
      <w:proofErr w:type="spellStart"/>
      <w:r w:rsidR="00501603" w:rsidRPr="00D164E3">
        <w:rPr>
          <w:i/>
          <w:sz w:val="24"/>
          <w:szCs w:val="24"/>
        </w:rPr>
        <w:t>value</w:t>
      </w:r>
      <w:proofErr w:type="spellEnd"/>
      <w:r w:rsidR="00501603">
        <w:rPr>
          <w:sz w:val="24"/>
          <w:szCs w:val="24"/>
        </w:rPr>
        <w:t xml:space="preserve"> </w:t>
      </w:r>
      <w:r w:rsidR="00501603" w:rsidRPr="00D164E3">
        <w:rPr>
          <w:i/>
          <w:sz w:val="24"/>
          <w:szCs w:val="24"/>
        </w:rPr>
        <w:t xml:space="preserve">accounting </w:t>
      </w:r>
      <w:r w:rsidR="00501603">
        <w:rPr>
          <w:sz w:val="24"/>
          <w:szCs w:val="24"/>
        </w:rPr>
        <w:t xml:space="preserve">methode een boekhoudingsmethode met zekere subjectiviteit inbegrepen. Tijdens de financiële crisis van </w:t>
      </w:r>
      <w:r w:rsidR="00501603">
        <w:rPr>
          <w:sz w:val="24"/>
          <w:szCs w:val="24"/>
        </w:rPr>
        <w:lastRenderedPageBreak/>
        <w:t xml:space="preserve">2008, stapte veel financiële bedrijven over naar </w:t>
      </w:r>
      <w:r w:rsidR="00501603" w:rsidRPr="007A1BA5">
        <w:rPr>
          <w:i/>
          <w:sz w:val="24"/>
          <w:szCs w:val="24"/>
        </w:rPr>
        <w:t xml:space="preserve">fair </w:t>
      </w:r>
      <w:proofErr w:type="spellStart"/>
      <w:r w:rsidR="00501603" w:rsidRPr="007A1BA5">
        <w:rPr>
          <w:i/>
          <w:sz w:val="24"/>
          <w:szCs w:val="24"/>
        </w:rPr>
        <w:t>value</w:t>
      </w:r>
      <w:proofErr w:type="spellEnd"/>
      <w:r w:rsidR="00501603" w:rsidRPr="007A1BA5">
        <w:rPr>
          <w:i/>
          <w:sz w:val="24"/>
          <w:szCs w:val="24"/>
        </w:rPr>
        <w:t xml:space="preserve"> accounting</w:t>
      </w:r>
      <w:r w:rsidR="00501603">
        <w:rPr>
          <w:sz w:val="24"/>
          <w:szCs w:val="24"/>
        </w:rPr>
        <w:t xml:space="preserve"> als gevolg van de ontstane problemen uit deze crisis </w:t>
      </w:r>
      <w:sdt>
        <w:sdtPr>
          <w:rPr>
            <w:sz w:val="24"/>
            <w:szCs w:val="24"/>
          </w:rPr>
          <w:id w:val="1589886722"/>
          <w:citation/>
        </w:sdtPr>
        <w:sdtContent>
          <w:r w:rsidR="000C5AB6">
            <w:rPr>
              <w:sz w:val="24"/>
              <w:szCs w:val="24"/>
            </w:rPr>
            <w:fldChar w:fldCharType="begin"/>
          </w:r>
          <w:r w:rsidR="00501603">
            <w:rPr>
              <w:sz w:val="24"/>
              <w:szCs w:val="24"/>
            </w:rPr>
            <w:instrText xml:space="preserve">CITATION Lau10 \l 1043 </w:instrText>
          </w:r>
          <w:r w:rsidR="000C5AB6">
            <w:rPr>
              <w:sz w:val="24"/>
              <w:szCs w:val="24"/>
            </w:rPr>
            <w:fldChar w:fldCharType="separate"/>
          </w:r>
          <w:r w:rsidR="00062BB9" w:rsidRPr="00062BB9">
            <w:rPr>
              <w:noProof/>
              <w:sz w:val="24"/>
              <w:szCs w:val="24"/>
            </w:rPr>
            <w:t>(Laux &amp; Leuz, 2010)</w:t>
          </w:r>
          <w:r w:rsidR="000C5AB6">
            <w:rPr>
              <w:sz w:val="24"/>
              <w:szCs w:val="24"/>
            </w:rPr>
            <w:fldChar w:fldCharType="end"/>
          </w:r>
        </w:sdtContent>
      </w:sdt>
      <w:r w:rsidR="00501603">
        <w:rPr>
          <w:sz w:val="24"/>
          <w:szCs w:val="24"/>
        </w:rPr>
        <w:t xml:space="preserve">. Tijdens de crisis daalden de aandelen van goudmijnbedrijf </w:t>
      </w:r>
      <w:proofErr w:type="spellStart"/>
      <w:r w:rsidR="00501603">
        <w:rPr>
          <w:sz w:val="24"/>
          <w:szCs w:val="24"/>
        </w:rPr>
        <w:t>Barrick</w:t>
      </w:r>
      <w:proofErr w:type="spellEnd"/>
      <w:r w:rsidR="00501603">
        <w:rPr>
          <w:sz w:val="24"/>
          <w:szCs w:val="24"/>
        </w:rPr>
        <w:t xml:space="preserve"> Gold </w:t>
      </w:r>
      <w:proofErr w:type="spellStart"/>
      <w:r w:rsidR="00501603">
        <w:rPr>
          <w:sz w:val="24"/>
          <w:szCs w:val="24"/>
        </w:rPr>
        <w:t>Corporation</w:t>
      </w:r>
      <w:proofErr w:type="spellEnd"/>
      <w:r w:rsidR="00501603">
        <w:rPr>
          <w:sz w:val="24"/>
          <w:szCs w:val="24"/>
        </w:rPr>
        <w:t xml:space="preserve"> sneller dan verwacht. Onderzoekers wijten deze daling aan de</w:t>
      </w:r>
      <w:r w:rsidR="00A631D7">
        <w:rPr>
          <w:sz w:val="24"/>
          <w:szCs w:val="24"/>
        </w:rPr>
        <w:t xml:space="preserve"> illiquide</w:t>
      </w:r>
      <w:r w:rsidR="00501603">
        <w:rPr>
          <w:sz w:val="24"/>
          <w:szCs w:val="24"/>
        </w:rPr>
        <w:t xml:space="preserve"> markt en de toegenomen risicoaversie als gevolg van de volatiliteit in de rapportering van de financiële positie en het inkomen.</w:t>
      </w:r>
      <w:r w:rsidR="00501603">
        <w:rPr>
          <w:i/>
        </w:rPr>
        <w:t xml:space="preserve"> </w:t>
      </w:r>
      <w:r w:rsidR="00501603" w:rsidRPr="00566E9D">
        <w:rPr>
          <w:sz w:val="24"/>
          <w:szCs w:val="24"/>
        </w:rPr>
        <w:t xml:space="preserve">The American Bankers’ </w:t>
      </w:r>
      <w:proofErr w:type="spellStart"/>
      <w:r w:rsidR="00501603" w:rsidRPr="00566E9D">
        <w:rPr>
          <w:sz w:val="24"/>
          <w:szCs w:val="24"/>
        </w:rPr>
        <w:t>Association</w:t>
      </w:r>
      <w:proofErr w:type="spellEnd"/>
      <w:r w:rsidR="00501603" w:rsidRPr="00566E9D">
        <w:rPr>
          <w:sz w:val="24"/>
          <w:szCs w:val="24"/>
        </w:rPr>
        <w:t xml:space="preserve"> (ABA) kreeg bezwaar tegen de standard vanwege het gebruik van de </w:t>
      </w:r>
      <w:r w:rsidR="00501603" w:rsidRPr="00566E9D">
        <w:rPr>
          <w:i/>
          <w:sz w:val="24"/>
          <w:szCs w:val="24"/>
        </w:rPr>
        <w:t xml:space="preserve">exit </w:t>
      </w:r>
      <w:proofErr w:type="spellStart"/>
      <w:r w:rsidR="00501603" w:rsidRPr="00566E9D">
        <w:rPr>
          <w:i/>
          <w:sz w:val="24"/>
          <w:szCs w:val="24"/>
        </w:rPr>
        <w:t>price</w:t>
      </w:r>
      <w:proofErr w:type="spellEnd"/>
      <w:r w:rsidR="00501603" w:rsidRPr="00566E9D">
        <w:rPr>
          <w:sz w:val="24"/>
          <w:szCs w:val="24"/>
        </w:rPr>
        <w:t xml:space="preserve">, OTTI rekenen voor marktbewegingen, het onvermogen om OTTI kosten te herstellen en het gebruik van </w:t>
      </w:r>
      <w:r w:rsidR="00501603" w:rsidRPr="00566E9D">
        <w:rPr>
          <w:i/>
          <w:sz w:val="24"/>
          <w:szCs w:val="24"/>
        </w:rPr>
        <w:t xml:space="preserve">fair </w:t>
      </w:r>
      <w:proofErr w:type="spellStart"/>
      <w:r w:rsidR="00501603" w:rsidRPr="00566E9D">
        <w:rPr>
          <w:i/>
          <w:sz w:val="24"/>
          <w:szCs w:val="24"/>
        </w:rPr>
        <w:t>value</w:t>
      </w:r>
      <w:proofErr w:type="spellEnd"/>
      <w:r w:rsidR="00501603" w:rsidRPr="00566E9D">
        <w:rPr>
          <w:i/>
          <w:sz w:val="24"/>
          <w:szCs w:val="24"/>
        </w:rPr>
        <w:t xml:space="preserve"> </w:t>
      </w:r>
      <w:proofErr w:type="spellStart"/>
      <w:r w:rsidR="00501603" w:rsidRPr="00566E9D">
        <w:rPr>
          <w:i/>
          <w:sz w:val="24"/>
          <w:szCs w:val="24"/>
        </w:rPr>
        <w:t>pricing</w:t>
      </w:r>
      <w:proofErr w:type="spellEnd"/>
      <w:r w:rsidR="00501603" w:rsidRPr="00566E9D">
        <w:rPr>
          <w:sz w:val="24"/>
          <w:szCs w:val="24"/>
        </w:rPr>
        <w:t xml:space="preserve"> voor alle financiële instrumenten en heeft als gevolg hiervan de regels herzien </w:t>
      </w:r>
      <w:sdt>
        <w:sdtPr>
          <w:rPr>
            <w:sz w:val="24"/>
            <w:szCs w:val="24"/>
          </w:rPr>
          <w:id w:val="-34436529"/>
          <w:citation/>
        </w:sdtPr>
        <w:sdtContent>
          <w:r w:rsidR="000C5AB6" w:rsidRPr="00566E9D">
            <w:rPr>
              <w:sz w:val="24"/>
              <w:szCs w:val="24"/>
            </w:rPr>
            <w:fldChar w:fldCharType="begin"/>
          </w:r>
          <w:r w:rsidR="00501603" w:rsidRPr="00566E9D">
            <w:rPr>
              <w:sz w:val="24"/>
              <w:szCs w:val="24"/>
            </w:rPr>
            <w:instrText xml:space="preserve"> CITATION Ame11 \l 1043 </w:instrText>
          </w:r>
          <w:r w:rsidR="000C5AB6" w:rsidRPr="00566E9D">
            <w:rPr>
              <w:sz w:val="24"/>
              <w:szCs w:val="24"/>
            </w:rPr>
            <w:fldChar w:fldCharType="separate"/>
          </w:r>
          <w:r w:rsidR="00062BB9" w:rsidRPr="00062BB9">
            <w:rPr>
              <w:noProof/>
              <w:sz w:val="24"/>
              <w:szCs w:val="24"/>
            </w:rPr>
            <w:t>(American Bankers Association, 2011)</w:t>
          </w:r>
          <w:r w:rsidR="000C5AB6" w:rsidRPr="00566E9D">
            <w:rPr>
              <w:sz w:val="24"/>
              <w:szCs w:val="24"/>
            </w:rPr>
            <w:fldChar w:fldCharType="end"/>
          </w:r>
        </w:sdtContent>
      </w:sdt>
      <w:r w:rsidR="00D471DF">
        <w:rPr>
          <w:sz w:val="24"/>
          <w:szCs w:val="24"/>
        </w:rPr>
        <w:t>.</w:t>
      </w:r>
    </w:p>
    <w:p w:rsidR="00501603" w:rsidRPr="00200B98" w:rsidRDefault="00776867" w:rsidP="00200B98">
      <w:pPr>
        <w:pStyle w:val="Heading2"/>
        <w:rPr>
          <w:sz w:val="32"/>
        </w:rPr>
      </w:pPr>
      <w:bookmarkStart w:id="20" w:name="_Toc425516486"/>
      <w:r>
        <w:rPr>
          <w:sz w:val="32"/>
        </w:rPr>
        <w:t>2</w:t>
      </w:r>
      <w:r w:rsidR="00200B98" w:rsidRPr="00200B98">
        <w:rPr>
          <w:sz w:val="32"/>
        </w:rPr>
        <w:t xml:space="preserve">.6. </w:t>
      </w:r>
      <w:r w:rsidR="00501603" w:rsidRPr="00200B98">
        <w:rPr>
          <w:sz w:val="32"/>
        </w:rPr>
        <w:t xml:space="preserve">Historisch kostprijsmodel versus </w:t>
      </w:r>
      <w:r w:rsidR="00682B22" w:rsidRPr="00200B98">
        <w:rPr>
          <w:sz w:val="32"/>
        </w:rPr>
        <w:t>actuele waarde model</w:t>
      </w:r>
      <w:bookmarkEnd w:id="20"/>
    </w:p>
    <w:p w:rsidR="00EE34F5" w:rsidRDefault="00EE34F5" w:rsidP="006E3FF9">
      <w:pPr>
        <w:spacing w:line="360" w:lineRule="auto"/>
        <w:jc w:val="both"/>
        <w:rPr>
          <w:sz w:val="24"/>
          <w:szCs w:val="24"/>
        </w:rPr>
      </w:pPr>
      <w:r>
        <w:rPr>
          <w:sz w:val="24"/>
          <w:szCs w:val="24"/>
        </w:rPr>
        <w:t xml:space="preserve">Ongeacht welke waarderingsmethode gebruikt wordt, spelen ethische dilemma’s een rol voor het management. Uitvoerende managers worden veelal beloond op basis van de financiële prestaties van de onderneming waardoor zij geprikkeld worden om </w:t>
      </w:r>
      <w:r w:rsidR="00E5258F">
        <w:rPr>
          <w:sz w:val="24"/>
          <w:szCs w:val="24"/>
        </w:rPr>
        <w:t xml:space="preserve">met middelen (zoals het manipuleren van de cijfers) de gewenste doelen te bereiken </w:t>
      </w:r>
      <w:sdt>
        <w:sdtPr>
          <w:rPr>
            <w:sz w:val="24"/>
            <w:szCs w:val="24"/>
          </w:rPr>
          <w:id w:val="187502139"/>
          <w:citation/>
        </w:sdtPr>
        <w:sdtContent>
          <w:r w:rsidR="000C5AB6">
            <w:rPr>
              <w:sz w:val="24"/>
              <w:szCs w:val="24"/>
            </w:rPr>
            <w:fldChar w:fldCharType="begin"/>
          </w:r>
          <w:r w:rsidR="00E5258F">
            <w:rPr>
              <w:sz w:val="24"/>
              <w:szCs w:val="24"/>
            </w:rPr>
            <w:instrText xml:space="preserve"> CITATION Bel08 \l 1043 </w:instrText>
          </w:r>
          <w:r w:rsidR="000C5AB6">
            <w:rPr>
              <w:sz w:val="24"/>
              <w:szCs w:val="24"/>
            </w:rPr>
            <w:fldChar w:fldCharType="separate"/>
          </w:r>
          <w:r w:rsidR="00062BB9" w:rsidRPr="00062BB9">
            <w:rPr>
              <w:noProof/>
              <w:sz w:val="24"/>
              <w:szCs w:val="24"/>
            </w:rPr>
            <w:t>(Belinna, Yen, &amp; Yang, 2008)</w:t>
          </w:r>
          <w:r w:rsidR="000C5AB6">
            <w:rPr>
              <w:sz w:val="24"/>
              <w:szCs w:val="24"/>
            </w:rPr>
            <w:fldChar w:fldCharType="end"/>
          </w:r>
        </w:sdtContent>
      </w:sdt>
      <w:r w:rsidR="00E5258F">
        <w:rPr>
          <w:sz w:val="24"/>
          <w:szCs w:val="24"/>
        </w:rPr>
        <w:t xml:space="preserve">. Bijvoorbeeld, als een manager een bonus krijgt op basis van het netto-inkomen zou kunnen wachten met het doorvoeren van de kosten van een OTTI. Echter, indien de manager beloond wordt op basis van de rentabiliteit op eigen vermogen (ROE), </w:t>
      </w:r>
      <w:proofErr w:type="gramStart"/>
      <w:r w:rsidR="00E5258F">
        <w:rPr>
          <w:sz w:val="24"/>
          <w:szCs w:val="24"/>
        </w:rPr>
        <w:t>prefereert</w:t>
      </w:r>
      <w:proofErr w:type="gramEnd"/>
      <w:r w:rsidR="00E5258F">
        <w:rPr>
          <w:sz w:val="24"/>
          <w:szCs w:val="24"/>
        </w:rPr>
        <w:t xml:space="preserve"> </w:t>
      </w:r>
      <w:r w:rsidR="00012C17">
        <w:rPr>
          <w:sz w:val="24"/>
          <w:szCs w:val="24"/>
        </w:rPr>
        <w:t xml:space="preserve">de manager </w:t>
      </w:r>
      <w:r w:rsidR="00E5258F">
        <w:rPr>
          <w:sz w:val="24"/>
          <w:szCs w:val="24"/>
        </w:rPr>
        <w:t>om deze kosten op te nemen. Welke keuze gemaakt wordt, is logischerwijs afhankelijk van de belangen van het top management.</w:t>
      </w:r>
    </w:p>
    <w:p w:rsidR="00E514A0" w:rsidRDefault="000C5AB6" w:rsidP="006E3FF9">
      <w:pPr>
        <w:spacing w:line="360" w:lineRule="auto"/>
        <w:jc w:val="both"/>
        <w:rPr>
          <w:sz w:val="24"/>
          <w:szCs w:val="24"/>
        </w:rPr>
      </w:pPr>
      <w:r w:rsidRPr="000C5AB6">
        <w:rPr>
          <w:noProof/>
          <w:sz w:val="24"/>
          <w:szCs w:val="24"/>
          <w:lang w:val="en-GB" w:eastAsia="en-GB"/>
        </w:rPr>
        <w:pict>
          <v:rect id="Rechthoek 3" o:spid="_x0000_s1039" style="position:absolute;left:0;text-align:left;margin-left:-.75pt;margin-top:318.95pt;width:48pt;height:18.75pt;z-index:2516756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" fillcolor="white [3201]" strokecolor="black [3213]" strokeweight="1pt">
            <v:textbox>
              <w:txbxContent>
                <w:p w:rsidR="00776867" w:rsidRDefault="00776867" w:rsidP="00E514A0">
                  <w:pPr>
                    <w:jc w:val="center"/>
                  </w:pPr>
                  <w:r>
                    <w:t>Tabel 1</w:t>
                  </w:r>
                </w:p>
              </w:txbxContent>
            </v:textbox>
            <w10:wrap anchorx="margin"/>
          </v:rect>
        </w:pict>
      </w:r>
      <w:r w:rsidR="00D471DF">
        <w:rPr>
          <w:sz w:val="24"/>
          <w:szCs w:val="24"/>
        </w:rPr>
        <w:t xml:space="preserve">Uit een onderzoek naar het gebruik van de </w:t>
      </w:r>
      <w:r w:rsidR="00D471DF">
        <w:rPr>
          <w:i/>
          <w:sz w:val="24"/>
          <w:szCs w:val="24"/>
        </w:rPr>
        <w:t xml:space="preserve">fair </w:t>
      </w:r>
      <w:proofErr w:type="spellStart"/>
      <w:r w:rsidR="00D471DF">
        <w:rPr>
          <w:i/>
          <w:sz w:val="24"/>
          <w:szCs w:val="24"/>
        </w:rPr>
        <w:t>value</w:t>
      </w:r>
      <w:proofErr w:type="spellEnd"/>
      <w:r w:rsidR="00420F96">
        <w:rPr>
          <w:sz w:val="24"/>
          <w:szCs w:val="24"/>
        </w:rPr>
        <w:t xml:space="preserve"> op </w:t>
      </w:r>
      <w:r w:rsidR="00E01DA4">
        <w:rPr>
          <w:sz w:val="24"/>
          <w:szCs w:val="24"/>
        </w:rPr>
        <w:t>materiële</w:t>
      </w:r>
      <w:r w:rsidR="00420F96">
        <w:rPr>
          <w:sz w:val="24"/>
          <w:szCs w:val="24"/>
        </w:rPr>
        <w:t xml:space="preserve"> vaste activa</w:t>
      </w:r>
      <w:r w:rsidR="00D471DF">
        <w:rPr>
          <w:sz w:val="24"/>
          <w:szCs w:val="24"/>
        </w:rPr>
        <w:t xml:space="preserve"> in onder andere </w:t>
      </w:r>
      <w:r w:rsidR="00420F96">
        <w:rPr>
          <w:sz w:val="24"/>
          <w:szCs w:val="24"/>
        </w:rPr>
        <w:t>Australië</w:t>
      </w:r>
      <w:r w:rsidR="00D471DF">
        <w:rPr>
          <w:sz w:val="24"/>
          <w:szCs w:val="24"/>
        </w:rPr>
        <w:t>, het Verenigd Koninkrijk en Nieuw-Zeeland blijkt dat het toepassen van</w:t>
      </w:r>
      <w:r w:rsidR="00420F96">
        <w:rPr>
          <w:i/>
          <w:sz w:val="24"/>
          <w:szCs w:val="24"/>
        </w:rPr>
        <w:t xml:space="preserve"> </w:t>
      </w:r>
      <w:r w:rsidR="00420F96">
        <w:rPr>
          <w:sz w:val="24"/>
          <w:szCs w:val="24"/>
        </w:rPr>
        <w:t>deze methode leidt</w:t>
      </w:r>
      <w:r w:rsidR="00D471DF">
        <w:rPr>
          <w:sz w:val="24"/>
          <w:szCs w:val="24"/>
        </w:rPr>
        <w:t xml:space="preserve"> tot een betere besluitvorming (</w:t>
      </w:r>
      <w:proofErr w:type="spellStart"/>
      <w:r w:rsidR="00D471DF">
        <w:rPr>
          <w:i/>
          <w:sz w:val="24"/>
          <w:szCs w:val="24"/>
        </w:rPr>
        <w:t>decision</w:t>
      </w:r>
      <w:proofErr w:type="spellEnd"/>
      <w:r w:rsidR="00D471DF">
        <w:rPr>
          <w:i/>
          <w:sz w:val="24"/>
          <w:szCs w:val="24"/>
        </w:rPr>
        <w:t xml:space="preserve"> </w:t>
      </w:r>
      <w:proofErr w:type="spellStart"/>
      <w:r w:rsidR="00D471DF">
        <w:rPr>
          <w:i/>
          <w:sz w:val="24"/>
          <w:szCs w:val="24"/>
        </w:rPr>
        <w:t>usefullness</w:t>
      </w:r>
      <w:proofErr w:type="spellEnd"/>
      <w:r w:rsidR="00D471DF">
        <w:rPr>
          <w:sz w:val="24"/>
          <w:szCs w:val="24"/>
        </w:rPr>
        <w:t>) door gebruikers van de jaarrekening dan bij het gebruik van het historische kostprijsmodel</w:t>
      </w:r>
      <w:r w:rsidR="00752A32">
        <w:rPr>
          <w:sz w:val="24"/>
          <w:szCs w:val="24"/>
        </w:rPr>
        <w:t xml:space="preserve"> </w:t>
      </w:r>
      <w:sdt>
        <w:sdtPr>
          <w:rPr>
            <w:sz w:val="24"/>
            <w:szCs w:val="24"/>
          </w:rPr>
          <w:id w:val="1142924103"/>
          <w:citation/>
        </w:sdtPr>
        <w:sdtContent>
          <w:r>
            <w:rPr>
              <w:sz w:val="24"/>
              <w:szCs w:val="24"/>
            </w:rPr>
            <w:fldChar w:fldCharType="begin"/>
          </w:r>
          <w:r w:rsidR="00752A32">
            <w:rPr>
              <w:sz w:val="24"/>
              <w:szCs w:val="24"/>
            </w:rPr>
            <w:instrText xml:space="preserve"> CITATION Her06 \l 1043 </w:instrText>
          </w:r>
          <w:r>
            <w:rPr>
              <w:sz w:val="24"/>
              <w:szCs w:val="24"/>
            </w:rPr>
            <w:fldChar w:fldCharType="separate"/>
          </w:r>
          <w:r w:rsidR="00062BB9" w:rsidRPr="00062BB9">
            <w:rPr>
              <w:noProof/>
              <w:sz w:val="24"/>
              <w:szCs w:val="24"/>
            </w:rPr>
            <w:t>(Hermann, Saudagaran, &amp; Thomas, 2006)</w:t>
          </w:r>
          <w:r>
            <w:rPr>
              <w:sz w:val="24"/>
              <w:szCs w:val="24"/>
            </w:rPr>
            <w:fldChar w:fldCharType="end"/>
          </w:r>
        </w:sdtContent>
      </w:sdt>
      <w:r w:rsidR="00752A32">
        <w:rPr>
          <w:sz w:val="24"/>
          <w:szCs w:val="24"/>
        </w:rPr>
        <w:t>.</w:t>
      </w:r>
      <w:r w:rsidR="00FD0947">
        <w:rPr>
          <w:sz w:val="24"/>
          <w:szCs w:val="24"/>
        </w:rPr>
        <w:t xml:space="preserve"> Het onderzoek toont aan dat een positieve herwaardering van </w:t>
      </w:r>
      <w:r w:rsidR="00E01DA4">
        <w:rPr>
          <w:sz w:val="24"/>
          <w:szCs w:val="24"/>
        </w:rPr>
        <w:t>materiële</w:t>
      </w:r>
      <w:r w:rsidR="00FD0947">
        <w:rPr>
          <w:sz w:val="24"/>
          <w:szCs w:val="24"/>
        </w:rPr>
        <w:t xml:space="preserve"> vaste activa gecorreleerd </w:t>
      </w:r>
      <w:proofErr w:type="gramStart"/>
      <w:r w:rsidR="00FD0947">
        <w:rPr>
          <w:sz w:val="24"/>
          <w:szCs w:val="24"/>
        </w:rPr>
        <w:t>is</w:t>
      </w:r>
      <w:proofErr w:type="gramEnd"/>
      <w:r w:rsidR="00FD0947">
        <w:rPr>
          <w:sz w:val="24"/>
          <w:szCs w:val="24"/>
        </w:rPr>
        <w:t xml:space="preserve"> met de aandelenprijzen, waardoor de herwaardering van een actief een bruikbaar gegeven is om toekomstige inkomsten mee te voorspellen. Daarnaast voorziet de </w:t>
      </w:r>
      <w:r w:rsidR="00FD0947">
        <w:rPr>
          <w:i/>
          <w:sz w:val="24"/>
          <w:szCs w:val="24"/>
        </w:rPr>
        <w:t xml:space="preserve">fair </w:t>
      </w:r>
      <w:proofErr w:type="spellStart"/>
      <w:r w:rsidR="00FD0947">
        <w:rPr>
          <w:i/>
          <w:sz w:val="24"/>
          <w:szCs w:val="24"/>
        </w:rPr>
        <w:t>value</w:t>
      </w:r>
      <w:proofErr w:type="spellEnd"/>
      <w:r w:rsidR="00FD0947">
        <w:rPr>
          <w:sz w:val="24"/>
          <w:szCs w:val="24"/>
        </w:rPr>
        <w:t xml:space="preserve"> voor relevante informatie met betrekking tot dividend </w:t>
      </w:r>
      <w:proofErr w:type="gramStart"/>
      <w:r w:rsidR="00FD0947">
        <w:rPr>
          <w:sz w:val="24"/>
          <w:szCs w:val="24"/>
        </w:rPr>
        <w:t>restricties</w:t>
      </w:r>
      <w:proofErr w:type="gramEnd"/>
      <w:r w:rsidR="00FD0947">
        <w:rPr>
          <w:sz w:val="24"/>
          <w:szCs w:val="24"/>
        </w:rPr>
        <w:t xml:space="preserve">. Zowel de aandelenprijs als het bijbehorende dividend is zeer relevante informatie voor onder andere managers. </w:t>
      </w:r>
      <w:r w:rsidR="00711F54">
        <w:rPr>
          <w:sz w:val="24"/>
          <w:szCs w:val="24"/>
        </w:rPr>
        <w:t>Ten slotte</w:t>
      </w:r>
      <w:r w:rsidR="00FD0947">
        <w:rPr>
          <w:sz w:val="24"/>
          <w:szCs w:val="24"/>
        </w:rPr>
        <w:t xml:space="preserve"> heeft het onderzoek beide waarderingsmethodes getoetst aan de hand van de kwalitatieve kenmerken van de jaarrekening.</w:t>
      </w:r>
      <w:r w:rsidR="00E514A0">
        <w:rPr>
          <w:sz w:val="24"/>
          <w:szCs w:val="24"/>
        </w:rPr>
        <w:t xml:space="preserve"> Het begrip betrouwbaarheid bestaat uit verifieerbaarheid, neutraliteit en een </w:t>
      </w:r>
      <w:r w:rsidR="00E514A0">
        <w:rPr>
          <w:sz w:val="24"/>
          <w:szCs w:val="24"/>
        </w:rPr>
        <w:lastRenderedPageBreak/>
        <w:t>getrouwe weergave en onderzoek toont aan dat de historische kostprijs enkel een betere verifieerbaarheid.</w:t>
      </w:r>
      <w:r w:rsidR="00FD0947">
        <w:rPr>
          <w:sz w:val="24"/>
          <w:szCs w:val="24"/>
        </w:rPr>
        <w:t xml:space="preserve"> </w:t>
      </w:r>
      <w:r w:rsidR="00E514A0">
        <w:rPr>
          <w:sz w:val="24"/>
          <w:szCs w:val="24"/>
        </w:rPr>
        <w:t>Alle andere kwalitatieve kenmerken van beide waarderingsmethodes worde</w:t>
      </w:r>
      <w:r w:rsidR="00877295">
        <w:rPr>
          <w:sz w:val="24"/>
          <w:szCs w:val="24"/>
        </w:rPr>
        <w:t>n in tabel 1</w:t>
      </w:r>
      <w:r w:rsidR="00E514A0">
        <w:rPr>
          <w:sz w:val="24"/>
          <w:szCs w:val="24"/>
        </w:rPr>
        <w:t xml:space="preserve"> gepresenteerd.</w:t>
      </w:r>
    </w:p>
    <w:p w:rsidR="00200B98" w:rsidRDefault="000C5AB6" w:rsidP="006E3FF9">
      <w:pPr>
        <w:spacing w:line="360" w:lineRule="auto"/>
        <w:jc w:val="both"/>
        <w:rPr>
          <w:sz w:val="24"/>
          <w:szCs w:val="24"/>
        </w:rPr>
      </w:pPr>
      <w:r w:rsidRPr="000C5AB6">
        <w:rPr>
          <w:noProof/>
          <w:sz w:val="24"/>
          <w:szCs w:val="24"/>
          <w:lang w:val="en-GB" w:eastAsia="en-GB"/>
        </w:rPr>
        <w:pict>
          <v:rect id="Rechthoek 66" o:spid="_x0000_s1040" style="position:absolute;left:0;text-align:left;margin-left:0;margin-top:4.5pt;width:59.85pt;height:23.35pt;z-index:2517145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" fillcolor="white [3201]" strokecolor="black [3213]" strokeweight="1pt">
            <v:textbox>
              <w:txbxContent>
                <w:p w:rsidR="00776867" w:rsidRPr="00402A7F" w:rsidRDefault="00776867" w:rsidP="00402A7F">
                  <w:pPr>
                    <w:jc w:val="center"/>
                    <w:rPr>
                      <w:sz w:val="24"/>
                    </w:rPr>
                  </w:pPr>
                  <w:r w:rsidRPr="00402A7F">
                    <w:rPr>
                      <w:sz w:val="24"/>
                    </w:rPr>
                    <w:t>Tabel 1</w:t>
                  </w:r>
                </w:p>
              </w:txbxContent>
            </v:textbox>
            <w10:wrap anchorx="margin"/>
          </v:rect>
        </w:pict>
      </w:r>
    </w:p>
    <w:tbl>
      <w:tblPr>
        <w:tblStyle w:val="TableGrid"/>
        <w:tblW w:w="0" w:type="auto"/>
        <w:tblLook w:val="04A0"/>
      </w:tblPr>
      <w:tblGrid>
        <w:gridCol w:w="4531"/>
        <w:gridCol w:w="4531"/>
      </w:tblGrid>
      <w:tr w:rsidR="00E514A0" w:rsidTr="00E514A0">
        <w:tc>
          <w:tcPr>
            <w:tcW w:w="4531" w:type="dxa"/>
          </w:tcPr>
          <w:p w:rsidR="00E514A0" w:rsidRPr="00E514A0" w:rsidRDefault="00E514A0" w:rsidP="00E514A0">
            <w:pPr>
              <w:spacing w:line="360" w:lineRule="auto"/>
              <w:jc w:val="center"/>
              <w:rPr>
                <w:b/>
                <w:sz w:val="24"/>
                <w:szCs w:val="24"/>
              </w:rPr>
            </w:pPr>
            <w:proofErr w:type="spellStart"/>
            <w:r>
              <w:rPr>
                <w:b/>
                <w:sz w:val="24"/>
                <w:szCs w:val="24"/>
              </w:rPr>
              <w:t>Historical</w:t>
            </w:r>
            <w:proofErr w:type="spellEnd"/>
            <w:r>
              <w:rPr>
                <w:b/>
                <w:sz w:val="24"/>
                <w:szCs w:val="24"/>
              </w:rPr>
              <w:t xml:space="preserve"> </w:t>
            </w:r>
            <w:proofErr w:type="spellStart"/>
            <w:r>
              <w:rPr>
                <w:b/>
                <w:sz w:val="24"/>
                <w:szCs w:val="24"/>
              </w:rPr>
              <w:t>cost</w:t>
            </w:r>
            <w:proofErr w:type="spellEnd"/>
          </w:p>
        </w:tc>
        <w:tc>
          <w:tcPr>
            <w:tcW w:w="4531" w:type="dxa"/>
          </w:tcPr>
          <w:p w:rsidR="00E514A0" w:rsidRPr="00E514A0" w:rsidRDefault="00E514A0" w:rsidP="00E514A0">
            <w:pPr>
              <w:spacing w:line="360" w:lineRule="auto"/>
              <w:jc w:val="center"/>
              <w:rPr>
                <w:b/>
                <w:sz w:val="24"/>
                <w:szCs w:val="24"/>
              </w:rPr>
            </w:pPr>
            <w:r>
              <w:rPr>
                <w:b/>
                <w:sz w:val="24"/>
                <w:szCs w:val="24"/>
              </w:rPr>
              <w:t xml:space="preserve">Fair </w:t>
            </w:r>
            <w:proofErr w:type="spellStart"/>
            <w:r>
              <w:rPr>
                <w:b/>
                <w:sz w:val="24"/>
                <w:szCs w:val="24"/>
              </w:rPr>
              <w:t>value</w:t>
            </w:r>
            <w:proofErr w:type="spellEnd"/>
          </w:p>
        </w:tc>
      </w:tr>
      <w:tr w:rsidR="00E514A0" w:rsidTr="00E514A0">
        <w:tc>
          <w:tcPr>
            <w:tcW w:w="4531" w:type="dxa"/>
          </w:tcPr>
          <w:p w:rsidR="00E514A0" w:rsidRDefault="00E514A0" w:rsidP="00E514A0">
            <w:pPr>
              <w:spacing w:line="360" w:lineRule="auto"/>
              <w:jc w:val="center"/>
              <w:rPr>
                <w:sz w:val="24"/>
                <w:szCs w:val="24"/>
              </w:rPr>
            </w:pPr>
            <w:proofErr w:type="spellStart"/>
            <w:r>
              <w:rPr>
                <w:sz w:val="24"/>
                <w:szCs w:val="24"/>
              </w:rPr>
              <w:t>Verifiability</w:t>
            </w:r>
            <w:proofErr w:type="spellEnd"/>
          </w:p>
        </w:tc>
        <w:tc>
          <w:tcPr>
            <w:tcW w:w="4531" w:type="dxa"/>
          </w:tcPr>
          <w:p w:rsidR="00E514A0" w:rsidRDefault="00E514A0" w:rsidP="00E514A0">
            <w:pPr>
              <w:spacing w:line="360" w:lineRule="auto"/>
              <w:jc w:val="center"/>
              <w:rPr>
                <w:sz w:val="24"/>
                <w:szCs w:val="24"/>
              </w:rPr>
            </w:pPr>
            <w:proofErr w:type="spellStart"/>
            <w:r>
              <w:rPr>
                <w:sz w:val="24"/>
                <w:szCs w:val="24"/>
              </w:rPr>
              <w:t>Neutrality</w:t>
            </w:r>
            <w:proofErr w:type="spellEnd"/>
          </w:p>
        </w:tc>
      </w:tr>
      <w:tr w:rsidR="00E514A0" w:rsidTr="00E514A0">
        <w:tc>
          <w:tcPr>
            <w:tcW w:w="4531" w:type="dxa"/>
          </w:tcPr>
          <w:p w:rsidR="00E514A0" w:rsidRDefault="00E514A0" w:rsidP="00E514A0">
            <w:pPr>
              <w:spacing w:line="360" w:lineRule="auto"/>
              <w:jc w:val="center"/>
              <w:rPr>
                <w:sz w:val="24"/>
                <w:szCs w:val="24"/>
              </w:rPr>
            </w:pPr>
          </w:p>
        </w:tc>
        <w:tc>
          <w:tcPr>
            <w:tcW w:w="4531" w:type="dxa"/>
          </w:tcPr>
          <w:p w:rsidR="00E514A0" w:rsidRDefault="00E514A0" w:rsidP="00E514A0">
            <w:pPr>
              <w:spacing w:line="360" w:lineRule="auto"/>
              <w:jc w:val="center"/>
              <w:rPr>
                <w:sz w:val="24"/>
                <w:szCs w:val="24"/>
              </w:rPr>
            </w:pPr>
            <w:proofErr w:type="spellStart"/>
            <w:r>
              <w:rPr>
                <w:sz w:val="24"/>
                <w:szCs w:val="24"/>
              </w:rPr>
              <w:t>Representational</w:t>
            </w:r>
            <w:proofErr w:type="spellEnd"/>
            <w:r>
              <w:rPr>
                <w:sz w:val="24"/>
                <w:szCs w:val="24"/>
              </w:rPr>
              <w:t xml:space="preserve"> </w:t>
            </w:r>
            <w:proofErr w:type="spellStart"/>
            <w:r>
              <w:rPr>
                <w:sz w:val="24"/>
                <w:szCs w:val="24"/>
              </w:rPr>
              <w:t>faithfulness</w:t>
            </w:r>
            <w:proofErr w:type="spellEnd"/>
          </w:p>
        </w:tc>
      </w:tr>
      <w:tr w:rsidR="00E514A0" w:rsidTr="00E514A0">
        <w:tc>
          <w:tcPr>
            <w:tcW w:w="4531" w:type="dxa"/>
          </w:tcPr>
          <w:p w:rsidR="00E514A0" w:rsidRDefault="00E514A0" w:rsidP="00E514A0">
            <w:pPr>
              <w:spacing w:line="360" w:lineRule="auto"/>
              <w:jc w:val="center"/>
              <w:rPr>
                <w:sz w:val="24"/>
                <w:szCs w:val="24"/>
              </w:rPr>
            </w:pPr>
          </w:p>
        </w:tc>
        <w:tc>
          <w:tcPr>
            <w:tcW w:w="4531" w:type="dxa"/>
          </w:tcPr>
          <w:p w:rsidR="00E514A0" w:rsidRDefault="00E514A0" w:rsidP="00E514A0">
            <w:pPr>
              <w:spacing w:line="360" w:lineRule="auto"/>
              <w:jc w:val="center"/>
              <w:rPr>
                <w:sz w:val="24"/>
                <w:szCs w:val="24"/>
              </w:rPr>
            </w:pPr>
            <w:proofErr w:type="spellStart"/>
            <w:r>
              <w:rPr>
                <w:sz w:val="24"/>
                <w:szCs w:val="24"/>
              </w:rPr>
              <w:t>Comparability</w:t>
            </w:r>
            <w:proofErr w:type="spellEnd"/>
          </w:p>
        </w:tc>
      </w:tr>
      <w:tr w:rsidR="00E514A0" w:rsidTr="00E514A0">
        <w:tc>
          <w:tcPr>
            <w:tcW w:w="4531" w:type="dxa"/>
          </w:tcPr>
          <w:p w:rsidR="00E514A0" w:rsidRDefault="00E514A0" w:rsidP="00E514A0">
            <w:pPr>
              <w:spacing w:line="360" w:lineRule="auto"/>
              <w:rPr>
                <w:sz w:val="24"/>
                <w:szCs w:val="24"/>
              </w:rPr>
            </w:pPr>
          </w:p>
        </w:tc>
        <w:tc>
          <w:tcPr>
            <w:tcW w:w="4531" w:type="dxa"/>
          </w:tcPr>
          <w:p w:rsidR="00E514A0" w:rsidRDefault="00E514A0" w:rsidP="00E514A0">
            <w:pPr>
              <w:spacing w:line="360" w:lineRule="auto"/>
              <w:jc w:val="center"/>
              <w:rPr>
                <w:sz w:val="24"/>
                <w:szCs w:val="24"/>
              </w:rPr>
            </w:pPr>
            <w:proofErr w:type="spellStart"/>
            <w:r>
              <w:rPr>
                <w:sz w:val="24"/>
                <w:szCs w:val="24"/>
              </w:rPr>
              <w:t>Consistency</w:t>
            </w:r>
            <w:proofErr w:type="spellEnd"/>
          </w:p>
        </w:tc>
      </w:tr>
    </w:tbl>
    <w:p w:rsidR="0056522C" w:rsidRDefault="003926D8" w:rsidP="006E3FF9">
      <w:pPr>
        <w:spacing w:line="360" w:lineRule="auto"/>
        <w:jc w:val="both"/>
        <w:rPr>
          <w:sz w:val="24"/>
          <w:szCs w:val="24"/>
        </w:rPr>
      </w:pPr>
      <w:r>
        <w:rPr>
          <w:sz w:val="24"/>
          <w:szCs w:val="24"/>
          <w:vertAlign w:val="subscript"/>
        </w:rPr>
        <w:br/>
      </w:r>
      <w:r w:rsidR="0056522C" w:rsidRPr="00566E9D">
        <w:rPr>
          <w:sz w:val="24"/>
          <w:szCs w:val="24"/>
        </w:rPr>
        <w:t xml:space="preserve">Samenvattend kan gesteld worden dat aan beide waarderingsmethodes voor- en nadelen kleven. </w:t>
      </w:r>
      <w:r w:rsidR="00B9106F" w:rsidRPr="00566E9D">
        <w:rPr>
          <w:sz w:val="24"/>
          <w:szCs w:val="24"/>
        </w:rPr>
        <w:t xml:space="preserve">De </w:t>
      </w:r>
      <w:proofErr w:type="spellStart"/>
      <w:r w:rsidR="00B9106F" w:rsidRPr="00566E9D">
        <w:rPr>
          <w:i/>
          <w:sz w:val="24"/>
          <w:szCs w:val="24"/>
        </w:rPr>
        <w:t>historical</w:t>
      </w:r>
      <w:proofErr w:type="spellEnd"/>
      <w:r w:rsidR="00B9106F" w:rsidRPr="00566E9D">
        <w:rPr>
          <w:i/>
          <w:sz w:val="24"/>
          <w:szCs w:val="24"/>
        </w:rPr>
        <w:t xml:space="preserve"> </w:t>
      </w:r>
      <w:proofErr w:type="spellStart"/>
      <w:r w:rsidR="00B9106F" w:rsidRPr="00566E9D">
        <w:rPr>
          <w:i/>
          <w:sz w:val="24"/>
          <w:szCs w:val="24"/>
        </w:rPr>
        <w:t>cost</w:t>
      </w:r>
      <w:proofErr w:type="spellEnd"/>
      <w:r w:rsidR="00B9106F" w:rsidRPr="00566E9D">
        <w:rPr>
          <w:i/>
          <w:sz w:val="24"/>
          <w:szCs w:val="24"/>
        </w:rPr>
        <w:t xml:space="preserve"> accounting</w:t>
      </w:r>
      <w:r w:rsidR="00B9106F" w:rsidRPr="00566E9D">
        <w:rPr>
          <w:sz w:val="24"/>
          <w:szCs w:val="24"/>
        </w:rPr>
        <w:t xml:space="preserve"> methode wordt beschouwd als </w:t>
      </w:r>
      <w:r w:rsidR="00711F54">
        <w:rPr>
          <w:sz w:val="24"/>
          <w:szCs w:val="24"/>
        </w:rPr>
        <w:t>eenvoudig</w:t>
      </w:r>
      <w:r w:rsidR="00B9106F" w:rsidRPr="00566E9D">
        <w:rPr>
          <w:sz w:val="24"/>
          <w:szCs w:val="24"/>
        </w:rPr>
        <w:t xml:space="preserve"> en begrijpelijk. Echter, de voorstanders van de </w:t>
      </w:r>
      <w:proofErr w:type="spellStart"/>
      <w:r w:rsidR="004816E7">
        <w:rPr>
          <w:i/>
          <w:sz w:val="24"/>
          <w:szCs w:val="24"/>
        </w:rPr>
        <w:t>revaluation</w:t>
      </w:r>
      <w:proofErr w:type="spellEnd"/>
      <w:r w:rsidR="00B9106F" w:rsidRPr="00566E9D">
        <w:rPr>
          <w:sz w:val="24"/>
          <w:szCs w:val="24"/>
        </w:rPr>
        <w:t xml:space="preserve"> methode claimen dat de methode verouderd is omdat het zich richt op de kostenverdeling in plaats van de waarde van een actief. Daarnaast zou de </w:t>
      </w:r>
      <w:proofErr w:type="spellStart"/>
      <w:r w:rsidR="00B9106F" w:rsidRPr="00566E9D">
        <w:rPr>
          <w:i/>
          <w:sz w:val="24"/>
          <w:szCs w:val="24"/>
        </w:rPr>
        <w:t>historical</w:t>
      </w:r>
      <w:proofErr w:type="spellEnd"/>
      <w:r w:rsidR="00B9106F" w:rsidRPr="00566E9D">
        <w:rPr>
          <w:i/>
          <w:sz w:val="24"/>
          <w:szCs w:val="24"/>
        </w:rPr>
        <w:t xml:space="preserve"> </w:t>
      </w:r>
      <w:proofErr w:type="spellStart"/>
      <w:r w:rsidR="00B9106F" w:rsidRPr="00566E9D">
        <w:rPr>
          <w:i/>
          <w:sz w:val="24"/>
          <w:szCs w:val="24"/>
        </w:rPr>
        <w:t>cost</w:t>
      </w:r>
      <w:proofErr w:type="spellEnd"/>
      <w:r w:rsidR="00B9106F" w:rsidRPr="00566E9D">
        <w:rPr>
          <w:i/>
          <w:sz w:val="24"/>
          <w:szCs w:val="24"/>
        </w:rPr>
        <w:t xml:space="preserve"> accounting</w:t>
      </w:r>
      <w:r w:rsidR="00B9106F" w:rsidRPr="00566E9D">
        <w:rPr>
          <w:sz w:val="24"/>
          <w:szCs w:val="24"/>
        </w:rPr>
        <w:t xml:space="preserve"> methode niet de huidige marktsituatie weerspiegelen</w:t>
      </w:r>
      <w:r w:rsidR="0097319D">
        <w:rPr>
          <w:sz w:val="24"/>
          <w:szCs w:val="24"/>
        </w:rPr>
        <w:t xml:space="preserve">, kan er sprake zijn van </w:t>
      </w:r>
      <w:proofErr w:type="spellStart"/>
      <w:r w:rsidR="0097319D">
        <w:rPr>
          <w:i/>
          <w:sz w:val="24"/>
          <w:szCs w:val="24"/>
        </w:rPr>
        <w:t>earnings</w:t>
      </w:r>
      <w:proofErr w:type="spellEnd"/>
      <w:r w:rsidR="0097319D">
        <w:rPr>
          <w:i/>
          <w:sz w:val="24"/>
          <w:szCs w:val="24"/>
        </w:rPr>
        <w:t xml:space="preserve"> management</w:t>
      </w:r>
      <w:r w:rsidR="0097319D">
        <w:rPr>
          <w:sz w:val="24"/>
          <w:szCs w:val="24"/>
        </w:rPr>
        <w:t xml:space="preserve"> en is het een conservatieve manier van boekhouden</w:t>
      </w:r>
      <w:r w:rsidR="00711F54">
        <w:rPr>
          <w:sz w:val="24"/>
          <w:szCs w:val="24"/>
        </w:rPr>
        <w:t xml:space="preserve">. Daartegenover </w:t>
      </w:r>
      <w:r w:rsidR="00B9106F" w:rsidRPr="00566E9D">
        <w:rPr>
          <w:sz w:val="24"/>
          <w:szCs w:val="24"/>
        </w:rPr>
        <w:t xml:space="preserve">geeft de </w:t>
      </w:r>
      <w:r w:rsidR="00B9106F" w:rsidRPr="00566E9D">
        <w:rPr>
          <w:i/>
          <w:sz w:val="24"/>
          <w:szCs w:val="24"/>
        </w:rPr>
        <w:t xml:space="preserve">fair </w:t>
      </w:r>
      <w:proofErr w:type="spellStart"/>
      <w:r w:rsidR="00B9106F" w:rsidRPr="00566E9D">
        <w:rPr>
          <w:i/>
          <w:sz w:val="24"/>
          <w:szCs w:val="24"/>
        </w:rPr>
        <w:t>value</w:t>
      </w:r>
      <w:proofErr w:type="spellEnd"/>
      <w:r w:rsidR="00B9106F" w:rsidRPr="00566E9D">
        <w:rPr>
          <w:i/>
          <w:sz w:val="24"/>
          <w:szCs w:val="24"/>
        </w:rPr>
        <w:t xml:space="preserve"> accounting</w:t>
      </w:r>
      <w:r w:rsidR="00B9106F" w:rsidRPr="00566E9D">
        <w:rPr>
          <w:sz w:val="24"/>
          <w:szCs w:val="24"/>
        </w:rPr>
        <w:t xml:space="preserve"> methode wel de huidige marktomstandigheden van activa en passiva</w:t>
      </w:r>
      <w:r w:rsidR="00711F54">
        <w:rPr>
          <w:sz w:val="24"/>
          <w:szCs w:val="24"/>
        </w:rPr>
        <w:t xml:space="preserve"> weer</w:t>
      </w:r>
      <w:r w:rsidR="00B9106F" w:rsidRPr="00566E9D">
        <w:rPr>
          <w:sz w:val="24"/>
          <w:szCs w:val="24"/>
        </w:rPr>
        <w:t xml:space="preserve">, echter gaan deze schattingen gepaard met de zekere subjectiviteit en complexiteit. </w:t>
      </w:r>
      <w:r w:rsidR="0097319D">
        <w:rPr>
          <w:sz w:val="24"/>
          <w:szCs w:val="24"/>
        </w:rPr>
        <w:t xml:space="preserve">Daarnaast is bij deze methode ook mogelijk sprake van </w:t>
      </w:r>
      <w:proofErr w:type="spellStart"/>
      <w:r w:rsidR="0097319D">
        <w:rPr>
          <w:i/>
          <w:sz w:val="24"/>
          <w:szCs w:val="24"/>
        </w:rPr>
        <w:t>earnings</w:t>
      </w:r>
      <w:proofErr w:type="spellEnd"/>
      <w:r w:rsidR="0097319D">
        <w:rPr>
          <w:i/>
          <w:sz w:val="24"/>
          <w:szCs w:val="24"/>
        </w:rPr>
        <w:t xml:space="preserve"> </w:t>
      </w:r>
      <w:r w:rsidR="0097319D" w:rsidRPr="0097319D">
        <w:rPr>
          <w:sz w:val="24"/>
          <w:szCs w:val="24"/>
        </w:rPr>
        <w:t>management</w:t>
      </w:r>
      <w:r w:rsidR="0097319D">
        <w:rPr>
          <w:sz w:val="24"/>
          <w:szCs w:val="24"/>
        </w:rPr>
        <w:t xml:space="preserve">. </w:t>
      </w:r>
      <w:r w:rsidR="00B9106F" w:rsidRPr="0097319D">
        <w:rPr>
          <w:sz w:val="24"/>
          <w:szCs w:val="24"/>
        </w:rPr>
        <w:t>Ondanks</w:t>
      </w:r>
      <w:r w:rsidR="00B9106F" w:rsidRPr="00566E9D">
        <w:rPr>
          <w:sz w:val="24"/>
          <w:szCs w:val="24"/>
        </w:rPr>
        <w:t xml:space="preserve"> beide waarderingsmethoden invloed uitoefenen op de bala</w:t>
      </w:r>
      <w:r w:rsidR="004816E7">
        <w:rPr>
          <w:sz w:val="24"/>
          <w:szCs w:val="24"/>
        </w:rPr>
        <w:t xml:space="preserve">ns en resultatenrekening, wordt de herwaarderingsmethode met behulp van </w:t>
      </w:r>
      <w:r w:rsidR="00B9106F" w:rsidRPr="00566E9D">
        <w:rPr>
          <w:i/>
          <w:sz w:val="24"/>
          <w:szCs w:val="24"/>
        </w:rPr>
        <w:t xml:space="preserve">fair </w:t>
      </w:r>
      <w:proofErr w:type="spellStart"/>
      <w:r w:rsidR="00B9106F" w:rsidRPr="00566E9D">
        <w:rPr>
          <w:i/>
          <w:sz w:val="24"/>
          <w:szCs w:val="24"/>
        </w:rPr>
        <w:t>value</w:t>
      </w:r>
      <w:proofErr w:type="spellEnd"/>
      <w:r w:rsidR="00B9106F" w:rsidRPr="00566E9D">
        <w:rPr>
          <w:i/>
          <w:sz w:val="24"/>
          <w:szCs w:val="24"/>
        </w:rPr>
        <w:t xml:space="preserve"> accounting</w:t>
      </w:r>
      <w:r w:rsidR="0097319D">
        <w:rPr>
          <w:sz w:val="24"/>
          <w:szCs w:val="24"/>
        </w:rPr>
        <w:t xml:space="preserve"> superieur geste</w:t>
      </w:r>
      <w:r w:rsidR="00B9106F" w:rsidRPr="00566E9D">
        <w:rPr>
          <w:sz w:val="24"/>
          <w:szCs w:val="24"/>
        </w:rPr>
        <w:t xml:space="preserve">ld aan de </w:t>
      </w:r>
      <w:proofErr w:type="spellStart"/>
      <w:r w:rsidR="00B9106F" w:rsidRPr="00566E9D">
        <w:rPr>
          <w:i/>
          <w:sz w:val="24"/>
          <w:szCs w:val="24"/>
        </w:rPr>
        <w:t>historical</w:t>
      </w:r>
      <w:proofErr w:type="spellEnd"/>
      <w:r w:rsidR="00B9106F" w:rsidRPr="00566E9D">
        <w:rPr>
          <w:i/>
          <w:sz w:val="24"/>
          <w:szCs w:val="24"/>
        </w:rPr>
        <w:t xml:space="preserve"> </w:t>
      </w:r>
      <w:proofErr w:type="spellStart"/>
      <w:r w:rsidR="00B9106F" w:rsidRPr="00566E9D">
        <w:rPr>
          <w:i/>
          <w:sz w:val="24"/>
          <w:szCs w:val="24"/>
        </w:rPr>
        <w:t>cost</w:t>
      </w:r>
      <w:proofErr w:type="spellEnd"/>
      <w:r w:rsidR="00B9106F" w:rsidRPr="00566E9D">
        <w:rPr>
          <w:i/>
          <w:sz w:val="24"/>
          <w:szCs w:val="24"/>
        </w:rPr>
        <w:t xml:space="preserve"> accounting</w:t>
      </w:r>
      <w:r w:rsidR="00B9106F" w:rsidRPr="00566E9D">
        <w:rPr>
          <w:sz w:val="24"/>
          <w:szCs w:val="24"/>
        </w:rPr>
        <w:t xml:space="preserve"> methode omdat deze methode meer informatie verstrekt over de huidige financiële situatie.</w:t>
      </w:r>
    </w:p>
    <w:p w:rsidR="00537399" w:rsidRDefault="00537399" w:rsidP="006E3FF9">
      <w:pPr>
        <w:spacing w:line="360" w:lineRule="auto"/>
        <w:jc w:val="both"/>
        <w:rPr>
          <w:sz w:val="24"/>
          <w:szCs w:val="24"/>
        </w:rPr>
      </w:pPr>
    </w:p>
    <w:p w:rsidR="00537399" w:rsidRDefault="00537399" w:rsidP="006E3FF9">
      <w:pPr>
        <w:spacing w:line="360" w:lineRule="auto"/>
        <w:jc w:val="both"/>
        <w:rPr>
          <w:sz w:val="24"/>
          <w:szCs w:val="24"/>
        </w:rPr>
      </w:pPr>
    </w:p>
    <w:p w:rsidR="00D471DF" w:rsidRDefault="00D471DF" w:rsidP="006E3FF9">
      <w:pPr>
        <w:spacing w:line="360" w:lineRule="auto"/>
        <w:jc w:val="both"/>
        <w:rPr>
          <w:sz w:val="24"/>
          <w:szCs w:val="24"/>
        </w:rPr>
      </w:pPr>
    </w:p>
    <w:p w:rsidR="002D440A" w:rsidRDefault="002D440A" w:rsidP="006E3FF9">
      <w:pPr>
        <w:spacing w:line="360" w:lineRule="auto"/>
        <w:jc w:val="both"/>
        <w:rPr>
          <w:sz w:val="24"/>
          <w:szCs w:val="24"/>
        </w:rPr>
      </w:pPr>
    </w:p>
    <w:p w:rsidR="00693511" w:rsidRDefault="00537399" w:rsidP="00693511">
      <w:pPr>
        <w:pStyle w:val="Heading1"/>
        <w:rPr>
          <w:sz w:val="40"/>
        </w:rPr>
      </w:pPr>
      <w:bookmarkStart w:id="21" w:name="_Toc425516487"/>
      <w:r w:rsidRPr="00693511">
        <w:rPr>
          <w:sz w:val="40"/>
          <w:szCs w:val="40"/>
        </w:rPr>
        <w:t>Hoo</w:t>
      </w:r>
      <w:r w:rsidR="00776867">
        <w:rPr>
          <w:sz w:val="40"/>
        </w:rPr>
        <w:t>fdstuk 3</w:t>
      </w:r>
      <w:r w:rsidRPr="00693511">
        <w:rPr>
          <w:sz w:val="40"/>
        </w:rPr>
        <w:t>: Licentiesysteem KNVB</w:t>
      </w:r>
      <w:bookmarkEnd w:id="21"/>
    </w:p>
    <w:p w:rsidR="00693511" w:rsidRPr="00693511" w:rsidRDefault="00693511" w:rsidP="00693511"/>
    <w:p w:rsidR="00537399" w:rsidRPr="00693511" w:rsidRDefault="00776867" w:rsidP="00693511">
      <w:pPr>
        <w:pStyle w:val="Heading2"/>
        <w:rPr>
          <w:sz w:val="32"/>
        </w:rPr>
      </w:pPr>
      <w:bookmarkStart w:id="22" w:name="_Toc425516488"/>
      <w:r>
        <w:rPr>
          <w:sz w:val="32"/>
        </w:rPr>
        <w:lastRenderedPageBreak/>
        <w:t>3</w:t>
      </w:r>
      <w:r w:rsidR="00693511" w:rsidRPr="00693511">
        <w:rPr>
          <w:sz w:val="32"/>
        </w:rPr>
        <w:t xml:space="preserve">.1. </w:t>
      </w:r>
      <w:r w:rsidR="00537399" w:rsidRPr="00693511">
        <w:rPr>
          <w:sz w:val="32"/>
        </w:rPr>
        <w:t xml:space="preserve">Inleiding hoofdstuk </w:t>
      </w:r>
      <w:bookmarkEnd w:id="22"/>
      <w:r>
        <w:rPr>
          <w:sz w:val="32"/>
        </w:rPr>
        <w:t>3</w:t>
      </w:r>
    </w:p>
    <w:p w:rsidR="00537399" w:rsidRPr="00247AA1" w:rsidRDefault="00537399" w:rsidP="00537399">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Na de uitgebreide uiteenzetting en belichting van IAS 16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ligt de focus tijdens dit deel van de thesis op de zaak-FC Twente. In de inleiding van deze thesis is kort de aanleiding voor dit onderzoek toegelicht, waar uiteindelijk door middel van de onderzoeksvraag antwoord gegeven w</w:t>
      </w:r>
      <w:r w:rsidR="00157629">
        <w:rPr>
          <w:rFonts w:eastAsia="Times New Roman" w:cs="Times New Roman"/>
          <w:color w:val="222222"/>
          <w:sz w:val="24"/>
          <w:szCs w:val="24"/>
          <w:lang w:eastAsia="en-GB"/>
        </w:rPr>
        <w:t xml:space="preserve">ordt wat de oorzaak is achter de straffen uitgedeeld door de KNVB. Specifieker gezegd, de afdeling licentiezaken van de KNVB beoordeeld de financiële situatie van alle Betaald Voetbal Organisaties (BVO). </w:t>
      </w:r>
      <w:r w:rsidRPr="00247AA1">
        <w:rPr>
          <w:rFonts w:eastAsia="Times New Roman" w:cs="Times New Roman"/>
          <w:color w:val="222222"/>
          <w:sz w:val="24"/>
          <w:szCs w:val="24"/>
          <w:lang w:eastAsia="en-GB"/>
        </w:rPr>
        <w:t xml:space="preserve">Om in Nederland betaald voetbal te mogen spelen, heeft een </w:t>
      </w:r>
      <w:r w:rsidR="00157629">
        <w:rPr>
          <w:rFonts w:eastAsia="Times New Roman" w:cs="Times New Roman"/>
          <w:color w:val="222222"/>
          <w:sz w:val="24"/>
          <w:szCs w:val="24"/>
          <w:lang w:eastAsia="en-GB"/>
        </w:rPr>
        <w:t>BVO</w:t>
      </w:r>
      <w:r w:rsidRPr="00247AA1">
        <w:rPr>
          <w:rFonts w:eastAsia="Times New Roman" w:cs="Times New Roman"/>
          <w:color w:val="222222"/>
          <w:sz w:val="24"/>
          <w:szCs w:val="24"/>
          <w:lang w:eastAsia="en-GB"/>
        </w:rPr>
        <w:t xml:space="preserve"> een licentie nodig. De voorwaarden om een licentie te krijgen zijn onderdeel van het licentiesysteem</w:t>
      </w:r>
      <w:proofErr w:type="gramStart"/>
      <w:r w:rsidRPr="00247AA1">
        <w:rPr>
          <w:rFonts w:eastAsia="Times New Roman" w:cs="Times New Roman"/>
          <w:color w:val="222222"/>
          <w:sz w:val="24"/>
          <w:szCs w:val="24"/>
          <w:lang w:eastAsia="en-GB"/>
        </w:rPr>
        <w:t>, die</w:t>
      </w:r>
      <w:proofErr w:type="gramEnd"/>
      <w:r w:rsidRPr="00247AA1">
        <w:rPr>
          <w:rFonts w:eastAsia="Times New Roman" w:cs="Times New Roman"/>
          <w:color w:val="222222"/>
          <w:sz w:val="24"/>
          <w:szCs w:val="24"/>
          <w:lang w:eastAsia="en-GB"/>
        </w:rPr>
        <w:t xml:space="preserve"> de KNVB in samenwerking met de clubs heeft opgesteld om de continuïteit van de competities betaald voetbal te waarborgen. De licentie-eisen bestaat uit vijf hoofdgebieden met bijbehorende criteria, waar de KNVB de taak heeft om clubs op </w:t>
      </w:r>
      <w:r>
        <w:rPr>
          <w:rFonts w:eastAsia="Times New Roman" w:cs="Times New Roman"/>
          <w:color w:val="222222"/>
          <w:sz w:val="24"/>
          <w:szCs w:val="24"/>
          <w:lang w:eastAsia="en-GB"/>
        </w:rPr>
        <w:t>deze</w:t>
      </w:r>
      <w:r w:rsidRPr="00247AA1">
        <w:rPr>
          <w:rFonts w:eastAsia="Times New Roman" w:cs="Times New Roman"/>
          <w:color w:val="222222"/>
          <w:sz w:val="24"/>
          <w:szCs w:val="24"/>
          <w:lang w:eastAsia="en-GB"/>
        </w:rPr>
        <w:t xml:space="preserve"> gebied</w:t>
      </w:r>
      <w:r>
        <w:rPr>
          <w:rFonts w:eastAsia="Times New Roman" w:cs="Times New Roman"/>
          <w:color w:val="222222"/>
          <w:sz w:val="24"/>
          <w:szCs w:val="24"/>
          <w:lang w:eastAsia="en-GB"/>
        </w:rPr>
        <w:t>en</w:t>
      </w:r>
      <w:r w:rsidRPr="00247AA1">
        <w:rPr>
          <w:rFonts w:eastAsia="Times New Roman" w:cs="Times New Roman"/>
          <w:color w:val="222222"/>
          <w:sz w:val="24"/>
          <w:szCs w:val="24"/>
          <w:lang w:eastAsia="en-GB"/>
        </w:rPr>
        <w:t xml:space="preserve"> adviseert en ondersteunt. De licentiecommissie toetst of de clubs aan de eisen voldoen en worden vervolgens ingedeeld in de categorie 3 (goed), categorie 2 (voldoende), of in categorie 3 (onvoldoende). Deze categorieën geven een indicatie van de financiële positie van de clubs. De indeling wordt bepaald op basis van de ingediende financiële rapportages en getoetst aan de hand van de normen van het </w:t>
      </w:r>
      <w:r w:rsidRPr="008E0342">
        <w:rPr>
          <w:rFonts w:eastAsia="Times New Roman" w:cs="Times New Roman"/>
          <w:color w:val="222222"/>
          <w:sz w:val="24"/>
          <w:szCs w:val="24"/>
          <w:lang w:eastAsia="en-GB"/>
        </w:rPr>
        <w:t>Financi</w:t>
      </w:r>
      <w:r w:rsidR="008E0342">
        <w:rPr>
          <w:rFonts w:eastAsia="Times New Roman" w:cs="Times New Roman"/>
          <w:color w:val="222222"/>
          <w:sz w:val="24"/>
          <w:szCs w:val="24"/>
          <w:lang w:eastAsia="en-GB"/>
        </w:rPr>
        <w:t>ee</w:t>
      </w:r>
      <w:r w:rsidRPr="008E0342">
        <w:rPr>
          <w:rFonts w:eastAsia="Times New Roman" w:cs="Times New Roman"/>
          <w:color w:val="222222"/>
          <w:sz w:val="24"/>
          <w:szCs w:val="24"/>
          <w:lang w:eastAsia="en-GB"/>
        </w:rPr>
        <w:t>l Rating Syste</w:t>
      </w:r>
      <w:r w:rsidR="008E0342">
        <w:rPr>
          <w:rFonts w:eastAsia="Times New Roman" w:cs="Times New Roman"/>
          <w:color w:val="222222"/>
          <w:sz w:val="24"/>
          <w:szCs w:val="24"/>
          <w:lang w:eastAsia="en-GB"/>
        </w:rPr>
        <w:t>e</w:t>
      </w:r>
      <w:r w:rsidRPr="008E0342">
        <w:rPr>
          <w:rFonts w:eastAsia="Times New Roman" w:cs="Times New Roman"/>
          <w:color w:val="222222"/>
          <w:sz w:val="24"/>
          <w:szCs w:val="24"/>
          <w:lang w:eastAsia="en-GB"/>
        </w:rPr>
        <w:t>m</w:t>
      </w:r>
      <w:r w:rsidR="00C7286F">
        <w:rPr>
          <w:rFonts w:eastAsia="Times New Roman" w:cs="Times New Roman"/>
          <w:color w:val="222222"/>
          <w:sz w:val="24"/>
          <w:szCs w:val="24"/>
          <w:lang w:eastAsia="en-GB"/>
        </w:rPr>
        <w:t xml:space="preserve"> (FRS</w:t>
      </w:r>
      <w:r w:rsidRPr="00247AA1">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350255786"/>
          <w:citation/>
        </w:sdtPr>
        <w:sdtContent>
          <w:r w:rsidR="000C5AB6" w:rsidRPr="00247AA1">
            <w:rPr>
              <w:rFonts w:eastAsia="Times New Roman" w:cs="Times New Roman"/>
              <w:color w:val="222222"/>
              <w:sz w:val="24"/>
              <w:szCs w:val="24"/>
              <w:lang w:eastAsia="en-GB"/>
            </w:rPr>
            <w:fldChar w:fldCharType="begin"/>
          </w:r>
          <w:r w:rsidRPr="00247AA1">
            <w:rPr>
              <w:rFonts w:eastAsia="Times New Roman" w:cs="Times New Roman"/>
              <w:color w:val="222222"/>
              <w:sz w:val="24"/>
              <w:szCs w:val="24"/>
              <w:lang w:eastAsia="en-GB"/>
            </w:rPr>
            <w:instrText xml:space="preserve">CITATION htt14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(KNVB, 2014)</w:t>
          </w:r>
          <w:r w:rsidR="000C5AB6" w:rsidRPr="00247AA1">
            <w:rPr>
              <w:rFonts w:eastAsia="Times New Roman" w:cs="Times New Roman"/>
              <w:color w:val="222222"/>
              <w:sz w:val="24"/>
              <w:szCs w:val="24"/>
              <w:lang w:eastAsia="en-GB"/>
            </w:rPr>
            <w:fldChar w:fldCharType="end"/>
          </w:r>
        </w:sdtContent>
      </w:sdt>
      <w:r w:rsidRPr="00247AA1">
        <w:rPr>
          <w:rFonts w:eastAsia="Times New Roman" w:cs="Times New Roman"/>
          <w:color w:val="222222"/>
          <w:sz w:val="24"/>
          <w:szCs w:val="24"/>
          <w:lang w:eastAsia="en-GB"/>
        </w:rPr>
        <w:t xml:space="preserve">. Tijdens de </w:t>
      </w:r>
      <w:r w:rsidR="00157629">
        <w:rPr>
          <w:rFonts w:eastAsia="Times New Roman" w:cs="Times New Roman"/>
          <w:color w:val="222222"/>
          <w:sz w:val="24"/>
          <w:szCs w:val="24"/>
          <w:lang w:eastAsia="en-GB"/>
        </w:rPr>
        <w:t>dit hoofdstuk</w:t>
      </w:r>
      <w:r w:rsidRPr="00247AA1">
        <w:rPr>
          <w:rFonts w:eastAsia="Times New Roman" w:cs="Times New Roman"/>
          <w:color w:val="222222"/>
          <w:sz w:val="24"/>
          <w:szCs w:val="24"/>
          <w:lang w:eastAsia="en-GB"/>
        </w:rPr>
        <w:t xml:space="preserve"> wordt dit licentiesysteem en de kernvariabelen van het </w:t>
      </w:r>
      <w:r w:rsidR="008E0342">
        <w:rPr>
          <w:rFonts w:eastAsia="Times New Roman" w:cs="Times New Roman"/>
          <w:color w:val="222222"/>
          <w:sz w:val="24"/>
          <w:szCs w:val="24"/>
          <w:lang w:eastAsia="en-GB"/>
        </w:rPr>
        <w:t>Financiee</w:t>
      </w:r>
      <w:r w:rsidRPr="008E0342">
        <w:rPr>
          <w:rFonts w:eastAsia="Times New Roman" w:cs="Times New Roman"/>
          <w:color w:val="222222"/>
          <w:sz w:val="24"/>
          <w:szCs w:val="24"/>
          <w:lang w:eastAsia="en-GB"/>
        </w:rPr>
        <w:t>l Ra</w:t>
      </w:r>
      <w:r w:rsidR="00157629" w:rsidRPr="008E0342">
        <w:rPr>
          <w:rFonts w:eastAsia="Times New Roman" w:cs="Times New Roman"/>
          <w:color w:val="222222"/>
          <w:sz w:val="24"/>
          <w:szCs w:val="24"/>
          <w:lang w:eastAsia="en-GB"/>
        </w:rPr>
        <w:t>ting Syste</w:t>
      </w:r>
      <w:r w:rsidR="008E0342">
        <w:rPr>
          <w:rFonts w:eastAsia="Times New Roman" w:cs="Times New Roman"/>
          <w:color w:val="222222"/>
          <w:sz w:val="24"/>
          <w:szCs w:val="24"/>
          <w:lang w:eastAsia="en-GB"/>
        </w:rPr>
        <w:t>e</w:t>
      </w:r>
      <w:r w:rsidR="00157629" w:rsidRPr="008E0342">
        <w:rPr>
          <w:rFonts w:eastAsia="Times New Roman" w:cs="Times New Roman"/>
          <w:color w:val="222222"/>
          <w:sz w:val="24"/>
          <w:szCs w:val="24"/>
          <w:lang w:eastAsia="en-GB"/>
        </w:rPr>
        <w:t>m</w:t>
      </w:r>
      <w:r w:rsidRPr="00247AA1">
        <w:rPr>
          <w:rFonts w:eastAsia="Times New Roman" w:cs="Times New Roman"/>
          <w:color w:val="222222"/>
          <w:sz w:val="24"/>
          <w:szCs w:val="24"/>
          <w:lang w:eastAsia="en-GB"/>
        </w:rPr>
        <w:t xml:space="preserve"> besproken.</w:t>
      </w:r>
    </w:p>
    <w:p w:rsidR="00537399" w:rsidRDefault="00537399" w:rsidP="00537399">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color w:val="222222"/>
          <w:sz w:val="24"/>
          <w:szCs w:val="24"/>
          <w:lang w:eastAsia="en-GB"/>
        </w:rPr>
        <w:br/>
        <w:t xml:space="preserve">Bovenstaande </w:t>
      </w:r>
      <w:proofErr w:type="gramStart"/>
      <w:r w:rsidRPr="00247AA1">
        <w:rPr>
          <w:rFonts w:eastAsia="Times New Roman" w:cs="Times New Roman"/>
          <w:color w:val="222222"/>
          <w:sz w:val="24"/>
          <w:szCs w:val="24"/>
          <w:lang w:eastAsia="en-GB"/>
        </w:rPr>
        <w:t>issues</w:t>
      </w:r>
      <w:proofErr w:type="gramEnd"/>
      <w:r w:rsidRPr="00247AA1">
        <w:rPr>
          <w:rFonts w:eastAsia="Times New Roman" w:cs="Times New Roman"/>
          <w:color w:val="222222"/>
          <w:sz w:val="24"/>
          <w:szCs w:val="24"/>
          <w:lang w:eastAsia="en-GB"/>
        </w:rPr>
        <w:t xml:space="preserve"> worden beantwoord door mi</w:t>
      </w:r>
      <w:r w:rsidR="00157629">
        <w:rPr>
          <w:rFonts w:eastAsia="Times New Roman" w:cs="Times New Roman"/>
          <w:color w:val="222222"/>
          <w:sz w:val="24"/>
          <w:szCs w:val="24"/>
          <w:lang w:eastAsia="en-GB"/>
        </w:rPr>
        <w:t>ddel van de volgende deelvraag:</w:t>
      </w:r>
    </w:p>
    <w:p w:rsidR="00157629" w:rsidRPr="00247AA1" w:rsidRDefault="00157629" w:rsidP="00537399">
      <w:pPr>
        <w:shd w:val="clear" w:color="auto" w:fill="FFFFFF"/>
        <w:spacing w:after="0" w:line="360" w:lineRule="auto"/>
        <w:jc w:val="both"/>
        <w:rPr>
          <w:rFonts w:eastAsia="Times New Roman" w:cs="Times New Roman"/>
          <w:color w:val="222222"/>
          <w:sz w:val="24"/>
          <w:szCs w:val="24"/>
          <w:lang w:eastAsia="en-GB"/>
        </w:rPr>
      </w:pPr>
    </w:p>
    <w:p w:rsidR="00157629" w:rsidRDefault="00537399" w:rsidP="00537399">
      <w:pPr>
        <w:shd w:val="clear" w:color="auto" w:fill="FFFFFF"/>
        <w:spacing w:after="0" w:line="360" w:lineRule="auto"/>
        <w:jc w:val="both"/>
        <w:rPr>
          <w:rFonts w:eastAsia="Times New Roman" w:cs="Times New Roman"/>
          <w:color w:val="222222"/>
          <w:sz w:val="24"/>
          <w:szCs w:val="24"/>
          <w:lang w:eastAsia="en-GB"/>
        </w:rPr>
      </w:pPr>
      <w:r w:rsidRPr="00247AA1">
        <w:rPr>
          <w:rFonts w:eastAsia="Times New Roman" w:cs="Times New Roman"/>
          <w:i/>
          <w:color w:val="222222"/>
          <w:sz w:val="24"/>
          <w:szCs w:val="24"/>
          <w:lang w:eastAsia="en-GB"/>
        </w:rPr>
        <w:t xml:space="preserve">‘Wat zijn de eisen van het licentiesysteem van de KNVB en aan de hand van welke kernvariabelen uit het </w:t>
      </w:r>
      <w:r w:rsidR="008E0342" w:rsidRPr="008E0342">
        <w:rPr>
          <w:rFonts w:eastAsia="Times New Roman" w:cs="Times New Roman"/>
          <w:i/>
          <w:color w:val="222222"/>
          <w:sz w:val="24"/>
          <w:szCs w:val="24"/>
          <w:lang w:eastAsia="en-GB"/>
        </w:rPr>
        <w:t>Financieel</w:t>
      </w:r>
      <w:r w:rsidRPr="008E0342">
        <w:rPr>
          <w:rFonts w:eastAsia="Times New Roman" w:cs="Times New Roman"/>
          <w:i/>
          <w:color w:val="222222"/>
          <w:sz w:val="24"/>
          <w:szCs w:val="24"/>
          <w:lang w:eastAsia="en-GB"/>
        </w:rPr>
        <w:t xml:space="preserve"> Rating Syst</w:t>
      </w:r>
      <w:r w:rsidR="008E0342" w:rsidRPr="008E0342">
        <w:rPr>
          <w:rFonts w:eastAsia="Times New Roman" w:cs="Times New Roman"/>
          <w:i/>
          <w:color w:val="222222"/>
          <w:sz w:val="24"/>
          <w:szCs w:val="24"/>
          <w:lang w:eastAsia="en-GB"/>
        </w:rPr>
        <w:t>e</w:t>
      </w:r>
      <w:r w:rsidRPr="008E0342">
        <w:rPr>
          <w:rFonts w:eastAsia="Times New Roman" w:cs="Times New Roman"/>
          <w:i/>
          <w:color w:val="222222"/>
          <w:sz w:val="24"/>
          <w:szCs w:val="24"/>
          <w:lang w:eastAsia="en-GB"/>
        </w:rPr>
        <w:t>em</w:t>
      </w:r>
      <w:r w:rsidRPr="00247AA1">
        <w:rPr>
          <w:rFonts w:eastAsia="Times New Roman" w:cs="Times New Roman"/>
          <w:i/>
          <w:color w:val="222222"/>
          <w:sz w:val="24"/>
          <w:szCs w:val="24"/>
          <w:lang w:eastAsia="en-GB"/>
        </w:rPr>
        <w:t xml:space="preserve"> worden de clubs uit het betaalde voetbal ingedeeld in de categorieën 1, 2 en 3?’</w:t>
      </w:r>
    </w:p>
    <w:p w:rsidR="00157629" w:rsidRDefault="00157629" w:rsidP="00537399">
      <w:pPr>
        <w:shd w:val="clear" w:color="auto" w:fill="FFFFFF"/>
        <w:spacing w:after="0" w:line="360" w:lineRule="auto"/>
        <w:jc w:val="both"/>
        <w:rPr>
          <w:rFonts w:eastAsia="Times New Roman" w:cs="Times New Roman"/>
          <w:color w:val="222222"/>
          <w:sz w:val="24"/>
          <w:szCs w:val="24"/>
          <w:lang w:eastAsia="en-GB"/>
        </w:rPr>
      </w:pPr>
    </w:p>
    <w:p w:rsidR="00693511" w:rsidRDefault="00693511" w:rsidP="00537399">
      <w:pPr>
        <w:shd w:val="clear" w:color="auto" w:fill="FFFFFF"/>
        <w:spacing w:after="0" w:line="360" w:lineRule="auto"/>
        <w:jc w:val="both"/>
        <w:rPr>
          <w:rFonts w:eastAsia="Times New Roman" w:cs="Times New Roman"/>
          <w:color w:val="222222"/>
          <w:sz w:val="24"/>
          <w:szCs w:val="24"/>
          <w:lang w:eastAsia="en-GB"/>
        </w:rPr>
      </w:pPr>
    </w:p>
    <w:p w:rsidR="00693511" w:rsidRDefault="00693511" w:rsidP="00537399">
      <w:pPr>
        <w:shd w:val="clear" w:color="auto" w:fill="FFFFFF"/>
        <w:spacing w:after="0" w:line="360" w:lineRule="auto"/>
        <w:jc w:val="both"/>
        <w:rPr>
          <w:rFonts w:eastAsia="Times New Roman" w:cs="Times New Roman"/>
          <w:color w:val="222222"/>
          <w:sz w:val="24"/>
          <w:szCs w:val="24"/>
          <w:lang w:eastAsia="en-GB"/>
        </w:rPr>
      </w:pPr>
    </w:p>
    <w:p w:rsidR="00693511" w:rsidRDefault="00693511" w:rsidP="00537399">
      <w:pPr>
        <w:shd w:val="clear" w:color="auto" w:fill="FFFFFF"/>
        <w:spacing w:after="0" w:line="360" w:lineRule="auto"/>
        <w:jc w:val="both"/>
        <w:rPr>
          <w:rFonts w:eastAsia="Times New Roman" w:cs="Times New Roman"/>
          <w:color w:val="222222"/>
          <w:sz w:val="24"/>
          <w:szCs w:val="24"/>
          <w:lang w:eastAsia="en-GB"/>
        </w:rPr>
      </w:pPr>
    </w:p>
    <w:p w:rsidR="00794C84" w:rsidRDefault="00776867" w:rsidP="00693511">
      <w:pPr>
        <w:pStyle w:val="Heading2"/>
        <w:rPr>
          <w:sz w:val="32"/>
        </w:rPr>
      </w:pPr>
      <w:bookmarkStart w:id="23" w:name="_Toc425516489"/>
      <w:r>
        <w:rPr>
          <w:sz w:val="32"/>
        </w:rPr>
        <w:t>3</w:t>
      </w:r>
      <w:r w:rsidR="00693511" w:rsidRPr="00693511">
        <w:rPr>
          <w:sz w:val="32"/>
        </w:rPr>
        <w:t xml:space="preserve">.2. </w:t>
      </w:r>
      <w:r w:rsidR="00794C84" w:rsidRPr="00693511">
        <w:rPr>
          <w:sz w:val="32"/>
        </w:rPr>
        <w:t xml:space="preserve">Het licentiesysteem: </w:t>
      </w:r>
      <w:r w:rsidR="00693511" w:rsidRPr="00693511">
        <w:rPr>
          <w:sz w:val="32"/>
        </w:rPr>
        <w:t xml:space="preserve">historie van het systeem, haar </w:t>
      </w:r>
      <w:r w:rsidR="00794C84" w:rsidRPr="00693511">
        <w:rPr>
          <w:sz w:val="32"/>
        </w:rPr>
        <w:t>organen en doelstellingen</w:t>
      </w:r>
      <w:bookmarkEnd w:id="23"/>
    </w:p>
    <w:p w:rsidR="00693511" w:rsidRDefault="00693511" w:rsidP="00693511">
      <w:pPr>
        <w:rPr>
          <w:b/>
          <w:sz w:val="24"/>
        </w:rPr>
      </w:pPr>
    </w:p>
    <w:p w:rsidR="00693511" w:rsidRPr="00693511" w:rsidRDefault="00693511" w:rsidP="00693511">
      <w:pPr>
        <w:rPr>
          <w:b/>
          <w:sz w:val="24"/>
        </w:rPr>
      </w:pPr>
      <w:r w:rsidRPr="00693511">
        <w:rPr>
          <w:b/>
          <w:sz w:val="24"/>
        </w:rPr>
        <w:t>Historie licentiesysteem</w:t>
      </w:r>
    </w:p>
    <w:p w:rsidR="00E93663" w:rsidRDefault="00E93663" w:rsidP="006E3FF9">
      <w:pPr>
        <w:spacing w:line="360" w:lineRule="auto"/>
        <w:jc w:val="both"/>
        <w:rPr>
          <w:sz w:val="24"/>
          <w:szCs w:val="24"/>
        </w:rPr>
      </w:pPr>
      <w:r>
        <w:rPr>
          <w:sz w:val="24"/>
          <w:szCs w:val="24"/>
        </w:rPr>
        <w:lastRenderedPageBreak/>
        <w:t xml:space="preserve">Om betaald voetbal in Nederland te mogen spelen, heeft elke BVO een licentie nodig. </w:t>
      </w:r>
      <w:r w:rsidR="00286992">
        <w:rPr>
          <w:sz w:val="24"/>
          <w:szCs w:val="24"/>
        </w:rPr>
        <w:t xml:space="preserve">Het betreft een niet-statisch systeem, waardoor het onderhevig is aan ontwikkelingen van en in de markt. </w:t>
      </w:r>
      <w:r>
        <w:rPr>
          <w:sz w:val="24"/>
          <w:szCs w:val="24"/>
        </w:rPr>
        <w:t>Het huidige systeem, aangenomen Vergadering Betaald Voetbal in 2003, is sinds 2004 officieel van kracht</w:t>
      </w:r>
      <w:r w:rsidR="00833CC1">
        <w:rPr>
          <w:sz w:val="24"/>
          <w:szCs w:val="24"/>
        </w:rPr>
        <w:t xml:space="preserve"> en is van toepassing op alle </w:t>
      </w:r>
      <w:proofErr w:type="spellStart"/>
      <w:r w:rsidR="00833CC1">
        <w:rPr>
          <w:sz w:val="24"/>
          <w:szCs w:val="24"/>
        </w:rPr>
        <w:t>BVO’s</w:t>
      </w:r>
      <w:proofErr w:type="spellEnd"/>
      <w:r w:rsidR="00833CC1">
        <w:rPr>
          <w:sz w:val="24"/>
          <w:szCs w:val="24"/>
        </w:rPr>
        <w:t xml:space="preserve"> die deelnemen aan de competities betaald voetbal</w:t>
      </w:r>
      <w:r w:rsidR="0096561D">
        <w:rPr>
          <w:sz w:val="24"/>
          <w:szCs w:val="24"/>
        </w:rPr>
        <w:t xml:space="preserve"> </w:t>
      </w:r>
      <w:sdt>
        <w:sdtPr>
          <w:rPr>
            <w:sz w:val="24"/>
            <w:szCs w:val="24"/>
          </w:rPr>
          <w:id w:val="-1543513182"/>
          <w:citation/>
        </w:sdtPr>
        <w:sdtContent>
          <w:r w:rsidR="000C5AB6">
            <w:rPr>
              <w:sz w:val="24"/>
              <w:szCs w:val="24"/>
            </w:rPr>
            <w:fldChar w:fldCharType="begin"/>
          </w:r>
          <w:r w:rsidR="0096561D">
            <w:rPr>
              <w:sz w:val="24"/>
              <w:szCs w:val="24"/>
            </w:rPr>
            <w:instrText xml:space="preserve"> CITATION Han12 \l 1043 </w:instrText>
          </w:r>
          <w:r w:rsidR="000C5AB6">
            <w:rPr>
              <w:sz w:val="24"/>
              <w:szCs w:val="24"/>
            </w:rPr>
            <w:fldChar w:fldCharType="separate"/>
          </w:r>
          <w:r w:rsidR="00062BB9" w:rsidRPr="00062BB9">
            <w:rPr>
              <w:noProof/>
              <w:sz w:val="24"/>
              <w:szCs w:val="24"/>
            </w:rPr>
            <w:t>(Handboek Bestuurders Betaald Voetbal Licentiecommissie, 2012)</w:t>
          </w:r>
          <w:r w:rsidR="000C5AB6">
            <w:rPr>
              <w:sz w:val="24"/>
              <w:szCs w:val="24"/>
            </w:rPr>
            <w:fldChar w:fldCharType="end"/>
          </w:r>
        </w:sdtContent>
      </w:sdt>
      <w:r w:rsidR="005A2A5C">
        <w:rPr>
          <w:sz w:val="24"/>
          <w:szCs w:val="24"/>
        </w:rPr>
        <w:t>.</w:t>
      </w:r>
      <w:r>
        <w:rPr>
          <w:sz w:val="24"/>
          <w:szCs w:val="24"/>
        </w:rPr>
        <w:t xml:space="preserve"> </w:t>
      </w:r>
      <w:r w:rsidR="005A2A5C">
        <w:rPr>
          <w:sz w:val="24"/>
          <w:szCs w:val="24"/>
        </w:rPr>
        <w:t xml:space="preserve">Er bestaat geen onderscheid in de licentievoorwaarden voor voetbalclubs in de hoogste voetbalafdeling van Nederland, de Eredivisie, en het tweede profniveau de </w:t>
      </w:r>
      <w:proofErr w:type="spellStart"/>
      <w:r w:rsidR="005A2A5C">
        <w:rPr>
          <w:sz w:val="24"/>
          <w:szCs w:val="24"/>
        </w:rPr>
        <w:t>Jupiler</w:t>
      </w:r>
      <w:proofErr w:type="spellEnd"/>
      <w:r w:rsidR="005A2A5C">
        <w:rPr>
          <w:sz w:val="24"/>
          <w:szCs w:val="24"/>
        </w:rPr>
        <w:t xml:space="preserve"> League</w:t>
      </w:r>
      <w:r w:rsidR="005A2A5C">
        <w:rPr>
          <w:rStyle w:val="FootnoteReference"/>
          <w:sz w:val="24"/>
          <w:szCs w:val="24"/>
        </w:rPr>
        <w:footnoteReference w:id="52"/>
      </w:r>
      <w:r w:rsidR="005A2A5C">
        <w:rPr>
          <w:sz w:val="24"/>
          <w:szCs w:val="24"/>
        </w:rPr>
        <w:t xml:space="preserve">. </w:t>
      </w:r>
      <w:r>
        <w:rPr>
          <w:sz w:val="24"/>
          <w:szCs w:val="24"/>
        </w:rPr>
        <w:t xml:space="preserve">De licentiecommissie van de KNVB is de verstrekker van de benodigde licentie. Echter, het </w:t>
      </w:r>
      <w:r w:rsidR="00D77F54">
        <w:rPr>
          <w:sz w:val="24"/>
          <w:szCs w:val="24"/>
        </w:rPr>
        <w:t xml:space="preserve">professionele </w:t>
      </w:r>
      <w:r>
        <w:rPr>
          <w:sz w:val="24"/>
          <w:szCs w:val="24"/>
        </w:rPr>
        <w:t>licentiesysteem is in de loop der jaren onderhevig geweest aan veranderingen in de opzet</w:t>
      </w:r>
      <w:r w:rsidR="00833CC1">
        <w:rPr>
          <w:sz w:val="24"/>
          <w:szCs w:val="24"/>
        </w:rPr>
        <w:t xml:space="preserve">. In de jaren negentig van de vorige eeuw ontstond er alsmaar groeiende maatschappelijke kritiek over de financiële situatie van de clubs. </w:t>
      </w:r>
      <w:proofErr w:type="gramStart"/>
      <w:r w:rsidR="00833CC1">
        <w:rPr>
          <w:sz w:val="24"/>
          <w:szCs w:val="24"/>
        </w:rPr>
        <w:t>Voornaamste</w:t>
      </w:r>
      <w:proofErr w:type="gramEnd"/>
      <w:r w:rsidR="00833CC1">
        <w:rPr>
          <w:sz w:val="24"/>
          <w:szCs w:val="24"/>
        </w:rPr>
        <w:t xml:space="preserve"> kritiekpunt was de korte-termijn focus van het toenmalige systeem. Voetbalclubs moesten jaarlijks opnieuw een licentie aanvragen, met als gevolg dat de clubs maar eenmaal per boekjaar getoetst werden op hun financiële boekhouding. Om de korte-termijn focus over te zetten in een lange-termijn focus, is het licentiesysteem geherstructureerd waarbij de licentie in beginsel voor onbepaalde tijd geldig is. Echter, in het huidige systeem worden de clubs op continue basis gemonitord door een on</w:t>
      </w:r>
      <w:r w:rsidR="00D77F54">
        <w:rPr>
          <w:sz w:val="24"/>
          <w:szCs w:val="24"/>
        </w:rPr>
        <w:t xml:space="preserve">afhankelijke licentiecommissie. </w:t>
      </w:r>
    </w:p>
    <w:p w:rsidR="00794C84" w:rsidRPr="00693511" w:rsidRDefault="00794C84" w:rsidP="006E3FF9">
      <w:pPr>
        <w:spacing w:line="360" w:lineRule="auto"/>
        <w:jc w:val="both"/>
        <w:rPr>
          <w:b/>
          <w:sz w:val="24"/>
          <w:szCs w:val="24"/>
        </w:rPr>
      </w:pPr>
      <w:r w:rsidRPr="00693511">
        <w:rPr>
          <w:b/>
          <w:sz w:val="24"/>
          <w:szCs w:val="24"/>
        </w:rPr>
        <w:t>Organen licentiesysteem</w:t>
      </w:r>
    </w:p>
    <w:p w:rsidR="00D471DF" w:rsidRDefault="00BB27C0" w:rsidP="006E3FF9">
      <w:pPr>
        <w:spacing w:line="360" w:lineRule="auto"/>
        <w:jc w:val="both"/>
        <w:rPr>
          <w:sz w:val="24"/>
          <w:szCs w:val="24"/>
        </w:rPr>
      </w:pPr>
      <w:r>
        <w:rPr>
          <w:sz w:val="24"/>
          <w:szCs w:val="24"/>
        </w:rPr>
        <w:t xml:space="preserve">Het uitvoerend orgaan van het KNVB licentiesysteem bestaat uit een licentiecommissie en een beroepscommissie licentiezaken. Deze licentiecommissie bestaat uit vijf onafhankelijke professionals met juridisch-financiële expertise en formuleren het kader van het licentiesysteem. </w:t>
      </w:r>
      <w:r w:rsidR="00286992">
        <w:rPr>
          <w:sz w:val="24"/>
          <w:szCs w:val="24"/>
        </w:rPr>
        <w:t xml:space="preserve">Het bureau licentiezaken van de KNVB </w:t>
      </w:r>
      <w:proofErr w:type="gramStart"/>
      <w:r w:rsidR="00286992">
        <w:rPr>
          <w:sz w:val="24"/>
          <w:szCs w:val="24"/>
        </w:rPr>
        <w:t>vervuld</w:t>
      </w:r>
      <w:proofErr w:type="gramEnd"/>
      <w:r w:rsidR="00286992">
        <w:rPr>
          <w:sz w:val="24"/>
          <w:szCs w:val="24"/>
        </w:rPr>
        <w:t xml:space="preserve"> hierbij een ondersteunde rol in de werkzaamheden van de licentiecommissie en fungeert tevens als aanspreekpunt voor </w:t>
      </w:r>
      <w:proofErr w:type="spellStart"/>
      <w:r w:rsidR="00286992">
        <w:rPr>
          <w:sz w:val="24"/>
          <w:szCs w:val="24"/>
        </w:rPr>
        <w:t>BVO’s</w:t>
      </w:r>
      <w:proofErr w:type="spellEnd"/>
      <w:r w:rsidR="00286992">
        <w:rPr>
          <w:sz w:val="24"/>
          <w:szCs w:val="24"/>
        </w:rPr>
        <w:t xml:space="preserve"> met betrekking tot licentiezaken. </w:t>
      </w:r>
      <w:r w:rsidR="002902F4">
        <w:rPr>
          <w:sz w:val="24"/>
          <w:szCs w:val="24"/>
        </w:rPr>
        <w:t xml:space="preserve">Betaald Voetbal Organisaties hebben het recht om in beroep te gaan tegen besluiten genomen door de licentiecommissie. Een dergelijk beroep wordt behandeld door de beroepscommissie licentiezaken. De beroepscommissie, die ondersteund wordt door de afdeling juridische zaken, </w:t>
      </w:r>
      <w:r w:rsidR="008C09B8">
        <w:rPr>
          <w:sz w:val="24"/>
          <w:szCs w:val="24"/>
        </w:rPr>
        <w:t xml:space="preserve">bestaat uit minimaal vijf professionals met soortgelijke juridisch-financiële expertise als de </w:t>
      </w:r>
      <w:r w:rsidR="007F2EB8">
        <w:rPr>
          <w:sz w:val="24"/>
          <w:szCs w:val="24"/>
        </w:rPr>
        <w:t>licentiecommissie</w:t>
      </w:r>
      <w:r w:rsidR="0096561D">
        <w:rPr>
          <w:sz w:val="24"/>
          <w:szCs w:val="24"/>
        </w:rPr>
        <w:t xml:space="preserve"> </w:t>
      </w:r>
      <w:sdt>
        <w:sdtPr>
          <w:rPr>
            <w:sz w:val="24"/>
            <w:szCs w:val="24"/>
          </w:rPr>
          <w:id w:val="530616748"/>
          <w:citation/>
        </w:sdtPr>
        <w:sdtContent>
          <w:r w:rsidR="000C5AB6">
            <w:rPr>
              <w:sz w:val="24"/>
              <w:szCs w:val="24"/>
            </w:rPr>
            <w:fldChar w:fldCharType="begin"/>
          </w:r>
          <w:r w:rsidR="0096561D">
            <w:rPr>
              <w:sz w:val="24"/>
              <w:szCs w:val="24"/>
            </w:rPr>
            <w:instrText xml:space="preserve"> CITATION Lic13 \l 1043 </w:instrText>
          </w:r>
          <w:r w:rsidR="000C5AB6">
            <w:rPr>
              <w:sz w:val="24"/>
              <w:szCs w:val="24"/>
            </w:rPr>
            <w:fldChar w:fldCharType="separate"/>
          </w:r>
          <w:r w:rsidR="00062BB9" w:rsidRPr="00062BB9">
            <w:rPr>
              <w:noProof/>
              <w:sz w:val="24"/>
              <w:szCs w:val="24"/>
            </w:rPr>
            <w:t xml:space="preserve">(Licentiesysteem </w:t>
          </w:r>
          <w:r w:rsidR="00062BB9" w:rsidRPr="00062BB9">
            <w:rPr>
              <w:noProof/>
              <w:sz w:val="24"/>
              <w:szCs w:val="24"/>
            </w:rPr>
            <w:lastRenderedPageBreak/>
            <w:t>KNVB, 2013)</w:t>
          </w:r>
          <w:r w:rsidR="000C5AB6">
            <w:rPr>
              <w:sz w:val="24"/>
              <w:szCs w:val="24"/>
            </w:rPr>
            <w:fldChar w:fldCharType="end"/>
          </w:r>
        </w:sdtContent>
      </w:sdt>
      <w:r w:rsidR="007F2EB8">
        <w:rPr>
          <w:sz w:val="24"/>
          <w:szCs w:val="24"/>
        </w:rPr>
        <w:t>.</w:t>
      </w:r>
      <w:r w:rsidR="002229D3">
        <w:rPr>
          <w:sz w:val="24"/>
          <w:szCs w:val="24"/>
        </w:rPr>
        <w:t xml:space="preserve"> De voornaamste functie van het uitvoerend orgaan van het licentiesysteem is het adviseren en ondersteunen van voetbalclubs op het gebied van vijf verschillende soorten licentie-eisen, die later nader besproken zullen worden. Het belangrijkste facet van de licentie-eisen betreft de F-eisen, betreffende de financiële huishouding van de </w:t>
      </w:r>
      <w:proofErr w:type="spellStart"/>
      <w:r w:rsidR="002229D3">
        <w:rPr>
          <w:sz w:val="24"/>
          <w:szCs w:val="24"/>
        </w:rPr>
        <w:t>BVO’s</w:t>
      </w:r>
      <w:proofErr w:type="spellEnd"/>
      <w:r w:rsidR="002229D3">
        <w:rPr>
          <w:sz w:val="24"/>
          <w:szCs w:val="24"/>
        </w:rPr>
        <w:t>.</w:t>
      </w:r>
      <w:r w:rsidR="007F2EB8">
        <w:rPr>
          <w:sz w:val="24"/>
          <w:szCs w:val="24"/>
        </w:rPr>
        <w:t xml:space="preserve"> </w:t>
      </w:r>
      <w:r w:rsidR="002229D3">
        <w:rPr>
          <w:sz w:val="24"/>
          <w:szCs w:val="24"/>
        </w:rPr>
        <w:t>De werkzaamheden van het uitvoerend orgaan van de KNVB zijn nadrukkelijk bedoeld om de voetbalclubs te ondersteunen, echter blijft de volledige verantwoordelijkheid over de financiële situatie van de club in handen van de clubs zelf, waarbij ze verplicht periodieke verslaggeving doen aan de licentiecommissie.</w:t>
      </w:r>
    </w:p>
    <w:p w:rsidR="00794C84" w:rsidRPr="00693511" w:rsidRDefault="00794C84" w:rsidP="006E3FF9">
      <w:pPr>
        <w:spacing w:line="360" w:lineRule="auto"/>
        <w:jc w:val="both"/>
        <w:rPr>
          <w:b/>
          <w:sz w:val="24"/>
          <w:szCs w:val="24"/>
        </w:rPr>
      </w:pPr>
      <w:r w:rsidRPr="00693511">
        <w:rPr>
          <w:b/>
          <w:sz w:val="24"/>
          <w:szCs w:val="24"/>
        </w:rPr>
        <w:t>Doelstellingen</w:t>
      </w:r>
    </w:p>
    <w:p w:rsidR="0056057B" w:rsidRDefault="0056057B" w:rsidP="006E3FF9">
      <w:pPr>
        <w:spacing w:line="360" w:lineRule="auto"/>
        <w:jc w:val="both"/>
        <w:rPr>
          <w:sz w:val="24"/>
          <w:szCs w:val="24"/>
        </w:rPr>
      </w:pPr>
      <w:r>
        <w:rPr>
          <w:sz w:val="24"/>
          <w:szCs w:val="24"/>
        </w:rPr>
        <w:t>Het voornaamste doel van het licentiesysteem is het waarborgen van een eerlijk verloop van de competities betaald voetbal. Dit probeert de KNVB te bereiken door de (financiële) continuïteit van de voetbalclubs te waarborgen.</w:t>
      </w:r>
      <w:r w:rsidR="00A46065">
        <w:rPr>
          <w:sz w:val="24"/>
          <w:szCs w:val="24"/>
        </w:rPr>
        <w:t xml:space="preserve"> Hierbij streeft het systeem ernaar om de toestand van Betaald Voetbal Organisaties zo transparant als mogelijk te maken op de volgende gebieden</w:t>
      </w:r>
      <w:r w:rsidR="0096561D">
        <w:rPr>
          <w:sz w:val="24"/>
          <w:szCs w:val="24"/>
        </w:rPr>
        <w:t xml:space="preserve"> </w:t>
      </w:r>
      <w:sdt>
        <w:sdtPr>
          <w:rPr>
            <w:sz w:val="24"/>
            <w:szCs w:val="24"/>
          </w:rPr>
          <w:id w:val="1067685487"/>
          <w:citation/>
        </w:sdtPr>
        <w:sdtContent>
          <w:r w:rsidR="000C5AB6">
            <w:rPr>
              <w:sz w:val="24"/>
              <w:szCs w:val="24"/>
            </w:rPr>
            <w:fldChar w:fldCharType="begin"/>
          </w:r>
          <w:r w:rsidR="0096561D">
            <w:rPr>
              <w:sz w:val="24"/>
              <w:szCs w:val="24"/>
            </w:rPr>
            <w:instrText xml:space="preserve"> CITATION Han12 \l 1043 </w:instrText>
          </w:r>
          <w:r w:rsidR="000C5AB6">
            <w:rPr>
              <w:sz w:val="24"/>
              <w:szCs w:val="24"/>
            </w:rPr>
            <w:fldChar w:fldCharType="separate"/>
          </w:r>
          <w:r w:rsidR="00062BB9" w:rsidRPr="00062BB9">
            <w:rPr>
              <w:noProof/>
              <w:sz w:val="24"/>
              <w:szCs w:val="24"/>
            </w:rPr>
            <w:t>(Handboek Bestuurders Betaald Voetbal Licentiecommissie, 2012)</w:t>
          </w:r>
          <w:r w:rsidR="000C5AB6">
            <w:rPr>
              <w:sz w:val="24"/>
              <w:szCs w:val="24"/>
            </w:rPr>
            <w:fldChar w:fldCharType="end"/>
          </w:r>
        </w:sdtContent>
      </w:sdt>
      <w:r w:rsidR="00A46065">
        <w:rPr>
          <w:sz w:val="24"/>
          <w:szCs w:val="24"/>
        </w:rPr>
        <w:t>:</w:t>
      </w:r>
    </w:p>
    <w:p w:rsidR="00A46065" w:rsidRDefault="00A46065" w:rsidP="00A46065">
      <w:pPr>
        <w:pStyle w:val="ListParagraph"/>
        <w:numPr>
          <w:ilvl w:val="0"/>
          <w:numId w:val="10"/>
        </w:numPr>
        <w:spacing w:line="360" w:lineRule="auto"/>
        <w:jc w:val="both"/>
        <w:rPr>
          <w:sz w:val="24"/>
          <w:szCs w:val="24"/>
        </w:rPr>
      </w:pPr>
      <w:r>
        <w:rPr>
          <w:sz w:val="24"/>
          <w:szCs w:val="24"/>
        </w:rPr>
        <w:t>de financiële huishouding, door middel van h</w:t>
      </w:r>
      <w:r w:rsidR="00C7286F">
        <w:rPr>
          <w:sz w:val="24"/>
          <w:szCs w:val="24"/>
        </w:rPr>
        <w:t>et Financieel Rating Syste</w:t>
      </w:r>
      <w:r w:rsidR="008E0342">
        <w:rPr>
          <w:sz w:val="24"/>
          <w:szCs w:val="24"/>
        </w:rPr>
        <w:t>e</w:t>
      </w:r>
      <w:r w:rsidR="00C7286F">
        <w:rPr>
          <w:sz w:val="24"/>
          <w:szCs w:val="24"/>
        </w:rPr>
        <w:t>m (FRS</w:t>
      </w:r>
      <w:r>
        <w:rPr>
          <w:sz w:val="24"/>
          <w:szCs w:val="24"/>
        </w:rPr>
        <w:t>);</w:t>
      </w:r>
    </w:p>
    <w:p w:rsidR="0054239F" w:rsidRDefault="0054239F" w:rsidP="00A46065">
      <w:pPr>
        <w:pStyle w:val="ListParagraph"/>
        <w:numPr>
          <w:ilvl w:val="0"/>
          <w:numId w:val="10"/>
        </w:numPr>
        <w:spacing w:line="360" w:lineRule="auto"/>
        <w:jc w:val="both"/>
        <w:rPr>
          <w:sz w:val="24"/>
          <w:szCs w:val="24"/>
        </w:rPr>
      </w:pPr>
      <w:r>
        <w:rPr>
          <w:sz w:val="24"/>
          <w:szCs w:val="24"/>
        </w:rPr>
        <w:t>de veiligheid, met behulp van de jaarlijkse veiligheidsaudit;</w:t>
      </w:r>
    </w:p>
    <w:p w:rsidR="007A36BF" w:rsidRDefault="0054239F" w:rsidP="00A46065">
      <w:pPr>
        <w:pStyle w:val="ListParagraph"/>
        <w:numPr>
          <w:ilvl w:val="0"/>
          <w:numId w:val="10"/>
        </w:numPr>
        <w:spacing w:line="360" w:lineRule="auto"/>
        <w:jc w:val="both"/>
        <w:rPr>
          <w:sz w:val="24"/>
          <w:szCs w:val="24"/>
        </w:rPr>
      </w:pPr>
      <w:r>
        <w:rPr>
          <w:sz w:val="24"/>
          <w:szCs w:val="24"/>
        </w:rPr>
        <w:t>de organisatie, met in het bijzonder gericht op de kwaliteit van de jeugdopleiding (aan de hand van het keurmerk jeugdopleiding en Regionale Jeugdopleidingen, afgekort als RJO) en de juridische structuur en de invulling van de arbeidsorganisatie en administratie.</w:t>
      </w:r>
    </w:p>
    <w:p w:rsidR="00A46065" w:rsidRDefault="007A36BF" w:rsidP="007A36BF">
      <w:pPr>
        <w:spacing w:line="360" w:lineRule="auto"/>
        <w:jc w:val="both"/>
        <w:rPr>
          <w:sz w:val="24"/>
          <w:szCs w:val="24"/>
          <w:u w:val="single"/>
        </w:rPr>
      </w:pPr>
      <w:r>
        <w:rPr>
          <w:sz w:val="24"/>
          <w:szCs w:val="24"/>
        </w:rPr>
        <w:t xml:space="preserve">De licentiecommissie houdt permanent toezicht op de voetbalclubs om bovengenoemde doelstellingen te realiseren, door het consequent vereisen van </w:t>
      </w:r>
      <w:proofErr w:type="gramStart"/>
      <w:r>
        <w:rPr>
          <w:sz w:val="24"/>
          <w:szCs w:val="24"/>
        </w:rPr>
        <w:t>de</w:t>
      </w:r>
      <w:proofErr w:type="gramEnd"/>
      <w:r>
        <w:rPr>
          <w:sz w:val="24"/>
          <w:szCs w:val="24"/>
        </w:rPr>
        <w:t xml:space="preserve"> minimum kwaliteitsnormen die zijn geformuleerd in de licentie-reglementen</w:t>
      </w:r>
      <w:r w:rsidR="007A216B">
        <w:rPr>
          <w:sz w:val="24"/>
          <w:szCs w:val="24"/>
        </w:rPr>
        <w:t xml:space="preserve"> </w:t>
      </w:r>
      <w:sdt>
        <w:sdtPr>
          <w:rPr>
            <w:sz w:val="24"/>
            <w:szCs w:val="24"/>
          </w:rPr>
          <w:id w:val="1905027059"/>
          <w:citation/>
        </w:sdtPr>
        <w:sdtContent>
          <w:r w:rsidR="000C5AB6">
            <w:rPr>
              <w:sz w:val="24"/>
              <w:szCs w:val="24"/>
            </w:rPr>
            <w:fldChar w:fldCharType="begin"/>
          </w:r>
          <w:r w:rsidR="007A216B">
            <w:rPr>
              <w:sz w:val="24"/>
              <w:szCs w:val="24"/>
            </w:rPr>
            <w:instrText xml:space="preserve"> CITATION KNV13 \l 1043 </w:instrText>
          </w:r>
          <w:r w:rsidR="000C5AB6">
            <w:rPr>
              <w:sz w:val="24"/>
              <w:szCs w:val="24"/>
            </w:rPr>
            <w:fldChar w:fldCharType="separate"/>
          </w:r>
          <w:r w:rsidR="00062BB9" w:rsidRPr="00062BB9">
            <w:rPr>
              <w:noProof/>
              <w:sz w:val="24"/>
              <w:szCs w:val="24"/>
            </w:rPr>
            <w:t>(KNVB Licentiereglement, 2013)</w:t>
          </w:r>
          <w:r w:rsidR="000C5AB6">
            <w:rPr>
              <w:sz w:val="24"/>
              <w:szCs w:val="24"/>
            </w:rPr>
            <w:fldChar w:fldCharType="end"/>
          </w:r>
        </w:sdtContent>
      </w:sdt>
      <w:r>
        <w:rPr>
          <w:sz w:val="24"/>
          <w:szCs w:val="24"/>
        </w:rPr>
        <w:t>.</w:t>
      </w:r>
      <w:r w:rsidR="005D15E9">
        <w:rPr>
          <w:sz w:val="24"/>
          <w:szCs w:val="24"/>
        </w:rPr>
        <w:t xml:space="preserve"> Indien hier niet wordt voldaan, kan de licentiecommissie overgaan tot s</w:t>
      </w:r>
      <w:r w:rsidR="00C2208D">
        <w:rPr>
          <w:sz w:val="24"/>
          <w:szCs w:val="24"/>
        </w:rPr>
        <w:t>traffen.</w:t>
      </w:r>
      <w:r w:rsidR="00D93F7B">
        <w:rPr>
          <w:sz w:val="24"/>
          <w:szCs w:val="24"/>
        </w:rPr>
        <w:t xml:space="preserve"> De vormen van de mogelijke straffen wordt later toegelicht tijdens de uiteenzetting van het Financieel Rating Systeem. In het onderstaande overzicht staat in hoofdlijnen de werking van het licentiesysteem.</w:t>
      </w:r>
      <w:r w:rsidR="00C2208D">
        <w:rPr>
          <w:sz w:val="24"/>
          <w:szCs w:val="24"/>
        </w:rPr>
        <w:t xml:space="preserve"> </w:t>
      </w:r>
    </w:p>
    <w:p w:rsidR="00D93F7B" w:rsidRPr="00A14C48" w:rsidRDefault="000C5AB6" w:rsidP="007A36BF">
      <w:pPr>
        <w:spacing w:line="360" w:lineRule="auto"/>
        <w:jc w:val="both"/>
        <w:rPr>
          <w:sz w:val="24"/>
          <w:szCs w:val="24"/>
          <w:u w:val="single"/>
        </w:rPr>
      </w:pPr>
      <w:r w:rsidRPr="000C5AB6">
        <w:rPr>
          <w:noProof/>
          <w:sz w:val="24"/>
          <w:szCs w:val="24"/>
          <w:u w:val="single"/>
          <w:lang w:val="en-GB" w:eastAsia="en-GB"/>
        </w:rPr>
        <w:lastRenderedPageBreak/>
        <w:pict>
          <v:rect id="Rechthoek 15" o:spid="_x0000_s1041" style="position:absolute;left:0;text-align:left;margin-left:1.1pt;margin-top:-21.35pt;width:57.75pt;height:21.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" fillcolor="white [3201]" strokecolor="#5b9bd5 [3204]" strokeweight="1pt">
            <v:textbox>
              <w:txbxContent>
                <w:p w:rsidR="00776867" w:rsidRDefault="00776867" w:rsidP="00877295">
                  <w:pPr>
                    <w:jc w:val="center"/>
                  </w:pPr>
                  <w:r>
                    <w:t>Figuur 7</w:t>
                  </w:r>
                </w:p>
              </w:txbxContent>
            </v:textbox>
          </v:rect>
        </w:pict>
      </w:r>
      <w:r w:rsidR="00877295">
        <w:rPr>
          <w:noProof/>
          <w:sz w:val="24"/>
          <w:szCs w:val="24"/>
          <w:u w:val="single"/>
          <w:lang w:val="en-US"/>
        </w:rPr>
        <w:drawing>
          <wp:inline distT="0" distB="0" distL="0" distR="0">
            <wp:extent cx="5905500" cy="3433156"/>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27293" cy="3445825"/>
                    </a:xfrm>
                    <a:prstGeom prst="rect">
                      <a:avLst/>
                    </a:prstGeom>
                    <a:noFill/>
                    <a:ln>
                      <a:noFill/>
                    </a:ln>
                  </pic:spPr>
                </pic:pic>
              </a:graphicData>
            </a:graphic>
          </wp:inline>
        </w:drawing>
      </w:r>
    </w:p>
    <w:p w:rsidR="00A14C48" w:rsidRPr="00633A13" w:rsidRDefault="00776867" w:rsidP="00633A13">
      <w:pPr>
        <w:pStyle w:val="Heading2"/>
      </w:pPr>
      <w:bookmarkStart w:id="24" w:name="_Toc425516490"/>
      <w:r>
        <w:t>3</w:t>
      </w:r>
      <w:r w:rsidR="00633A13">
        <w:t xml:space="preserve">.2.1. </w:t>
      </w:r>
      <w:r w:rsidR="00DB17FA" w:rsidRPr="00633A13">
        <w:t>Concept</w:t>
      </w:r>
      <w:r w:rsidR="00794C84" w:rsidRPr="00633A13">
        <w:t>ueel raamwerk KNVB licentiesysteem</w:t>
      </w:r>
      <w:bookmarkEnd w:id="24"/>
    </w:p>
    <w:p w:rsidR="00BF548D" w:rsidRDefault="00DB17FA" w:rsidP="007A36BF">
      <w:pPr>
        <w:spacing w:line="360" w:lineRule="auto"/>
        <w:jc w:val="both"/>
        <w:rPr>
          <w:sz w:val="24"/>
          <w:szCs w:val="24"/>
        </w:rPr>
      </w:pPr>
      <w:r>
        <w:rPr>
          <w:sz w:val="24"/>
          <w:szCs w:val="24"/>
        </w:rPr>
        <w:t xml:space="preserve">De vorm van verslaggeving is vastgelegd in de </w:t>
      </w:r>
      <w:r w:rsidR="009A6711">
        <w:rPr>
          <w:sz w:val="24"/>
          <w:szCs w:val="24"/>
        </w:rPr>
        <w:t xml:space="preserve">richtlijn verslaggeving KNVB modelstaten, waarin </w:t>
      </w:r>
      <w:proofErr w:type="gramStart"/>
      <w:r w:rsidR="009A6711">
        <w:rPr>
          <w:sz w:val="24"/>
          <w:szCs w:val="24"/>
        </w:rPr>
        <w:t>de</w:t>
      </w:r>
      <w:proofErr w:type="gramEnd"/>
      <w:r w:rsidR="009A6711">
        <w:rPr>
          <w:sz w:val="24"/>
          <w:szCs w:val="24"/>
        </w:rPr>
        <w:t xml:space="preserve"> </w:t>
      </w:r>
      <w:r>
        <w:rPr>
          <w:sz w:val="24"/>
          <w:szCs w:val="24"/>
        </w:rPr>
        <w:t>algemene wet- en regelgeving van het licentiesysteem van de KNVB</w:t>
      </w:r>
      <w:r w:rsidR="009A6711">
        <w:rPr>
          <w:sz w:val="24"/>
          <w:szCs w:val="24"/>
        </w:rPr>
        <w:t xml:space="preserve"> staan geformuleerd</w:t>
      </w:r>
      <w:r>
        <w:rPr>
          <w:sz w:val="24"/>
          <w:szCs w:val="24"/>
        </w:rPr>
        <w:t xml:space="preserve">. Deze regels zijn in grote lijn opgesteld met de regelgeving die geldt om deel te nemen aan de Europese competities van de UEFA, de overkoepelende en controlerende orgaan van de Europese voetbalteams. De licentie-eisen van de UEFA, opgenomen in de </w:t>
      </w:r>
      <w:r w:rsidRPr="00DB17FA">
        <w:rPr>
          <w:i/>
          <w:sz w:val="24"/>
          <w:szCs w:val="24"/>
        </w:rPr>
        <w:t xml:space="preserve">UEFA Club </w:t>
      </w:r>
      <w:proofErr w:type="spellStart"/>
      <w:r w:rsidRPr="00DB17FA">
        <w:rPr>
          <w:i/>
          <w:sz w:val="24"/>
          <w:szCs w:val="24"/>
        </w:rPr>
        <w:t>Licensing</w:t>
      </w:r>
      <w:proofErr w:type="spellEnd"/>
      <w:r w:rsidRPr="00DB17FA">
        <w:rPr>
          <w:i/>
          <w:sz w:val="24"/>
          <w:szCs w:val="24"/>
        </w:rPr>
        <w:t xml:space="preserve"> and Financial Fair Play </w:t>
      </w:r>
      <w:proofErr w:type="spellStart"/>
      <w:r w:rsidRPr="00DB17FA">
        <w:rPr>
          <w:i/>
          <w:sz w:val="24"/>
          <w:szCs w:val="24"/>
        </w:rPr>
        <w:t>Regulations</w:t>
      </w:r>
      <w:proofErr w:type="spellEnd"/>
      <w:r>
        <w:rPr>
          <w:sz w:val="24"/>
          <w:szCs w:val="24"/>
        </w:rPr>
        <w:t xml:space="preserve"> komen grotendeels overeen met </w:t>
      </w:r>
      <w:proofErr w:type="gramStart"/>
      <w:r>
        <w:rPr>
          <w:sz w:val="24"/>
          <w:szCs w:val="24"/>
        </w:rPr>
        <w:t>de</w:t>
      </w:r>
      <w:proofErr w:type="gramEnd"/>
      <w:r>
        <w:rPr>
          <w:sz w:val="24"/>
          <w:szCs w:val="24"/>
        </w:rPr>
        <w:t xml:space="preserve"> wet- en regelgeving van het Nederlandse licentiesysteem</w:t>
      </w:r>
      <w:r>
        <w:rPr>
          <w:rStyle w:val="FootnoteReference"/>
          <w:sz w:val="24"/>
          <w:szCs w:val="24"/>
        </w:rPr>
        <w:footnoteReference w:id="53"/>
      </w:r>
      <w:r w:rsidR="009A6711">
        <w:rPr>
          <w:sz w:val="24"/>
          <w:szCs w:val="24"/>
        </w:rPr>
        <w:t xml:space="preserve">. </w:t>
      </w:r>
      <w:r w:rsidR="00BF548D">
        <w:rPr>
          <w:sz w:val="24"/>
          <w:szCs w:val="24"/>
        </w:rPr>
        <w:t>Het algemeen raamwerk van het Nederlandse licentiesysteem betreft de volgende uitgangspunten:</w:t>
      </w:r>
    </w:p>
    <w:p w:rsidR="00BF548D" w:rsidRDefault="00BF548D" w:rsidP="00BF548D">
      <w:pPr>
        <w:pStyle w:val="ListParagraph"/>
        <w:numPr>
          <w:ilvl w:val="0"/>
          <w:numId w:val="11"/>
        </w:numPr>
        <w:spacing w:line="360" w:lineRule="auto"/>
        <w:jc w:val="both"/>
        <w:rPr>
          <w:sz w:val="24"/>
          <w:szCs w:val="24"/>
        </w:rPr>
      </w:pPr>
      <w:r>
        <w:rPr>
          <w:sz w:val="24"/>
          <w:szCs w:val="24"/>
        </w:rPr>
        <w:t>De KNVB modelstaten vormen de basis van de verslaggevingsvorm van een BVO. Aan de hand van het Financieel Rating Systeem wordt de financiële positie van de licentiehouder beoordeeld. Dit systeem wordt later nader toegelicht.</w:t>
      </w:r>
    </w:p>
    <w:p w:rsidR="00BF548D" w:rsidRDefault="00BF548D" w:rsidP="00BF548D">
      <w:pPr>
        <w:pStyle w:val="ListParagraph"/>
        <w:numPr>
          <w:ilvl w:val="0"/>
          <w:numId w:val="11"/>
        </w:numPr>
        <w:spacing w:line="360" w:lineRule="auto"/>
        <w:jc w:val="both"/>
        <w:rPr>
          <w:sz w:val="24"/>
          <w:szCs w:val="24"/>
        </w:rPr>
      </w:pPr>
      <w:r>
        <w:rPr>
          <w:sz w:val="24"/>
          <w:szCs w:val="24"/>
        </w:rPr>
        <w:t>De verslaggeving van de KNVB is als zodanig ingericht om de vergelijkbaarheid qua tijd en tussen licentiehouders zo groot als mogelijk te maken, zodat de licentiehouders op financieel gebied gelijk worden behandeld. Dit houdt in de opties van verslaggeving beperkt zijn.</w:t>
      </w:r>
    </w:p>
    <w:p w:rsidR="00BF548D" w:rsidRDefault="00BF548D" w:rsidP="00BF548D">
      <w:pPr>
        <w:pStyle w:val="ListParagraph"/>
        <w:numPr>
          <w:ilvl w:val="0"/>
          <w:numId w:val="11"/>
        </w:numPr>
        <w:spacing w:line="360" w:lineRule="auto"/>
        <w:jc w:val="both"/>
        <w:rPr>
          <w:sz w:val="24"/>
          <w:szCs w:val="24"/>
        </w:rPr>
      </w:pPr>
      <w:r>
        <w:rPr>
          <w:sz w:val="24"/>
          <w:szCs w:val="24"/>
        </w:rPr>
        <w:lastRenderedPageBreak/>
        <w:t xml:space="preserve">Betaald voetbal organisaties zijn gebaat bij een, financieel gezien, stabiele situatie. Zodoende vereist de regelgeving van de KNVB dat </w:t>
      </w:r>
      <w:r w:rsidR="005B7372">
        <w:rPr>
          <w:sz w:val="24"/>
          <w:szCs w:val="24"/>
        </w:rPr>
        <w:t>in de financiële verslaggeving reële veronderstelling moeten worden gemaakt bij het opstellen van begrotingen, prognoses en het toerekenen van opbrengsten, kosten en (on)gerealiseerde winsten aan periodes. Zodoende wordt voorkomen dat activa en baten te hoog worden geschat en schulden en kosten te laag worden weergeven</w:t>
      </w:r>
      <w:r w:rsidR="007A216B">
        <w:rPr>
          <w:sz w:val="24"/>
          <w:szCs w:val="24"/>
        </w:rPr>
        <w:t xml:space="preserve"> </w:t>
      </w:r>
      <w:sdt>
        <w:sdtPr>
          <w:rPr>
            <w:sz w:val="24"/>
            <w:szCs w:val="24"/>
          </w:rPr>
          <w:id w:val="1584717531"/>
          <w:citation/>
        </w:sdtPr>
        <w:sdtContent>
          <w:r w:rsidR="000C5AB6">
            <w:rPr>
              <w:sz w:val="24"/>
              <w:szCs w:val="24"/>
            </w:rPr>
            <w:fldChar w:fldCharType="begin"/>
          </w:r>
          <w:r w:rsidR="007A216B">
            <w:rPr>
              <w:sz w:val="24"/>
              <w:szCs w:val="24"/>
            </w:rPr>
            <w:instrText xml:space="preserve"> CITATION Ric14 \l 1043 </w:instrText>
          </w:r>
          <w:r w:rsidR="000C5AB6">
            <w:rPr>
              <w:sz w:val="24"/>
              <w:szCs w:val="24"/>
            </w:rPr>
            <w:fldChar w:fldCharType="separate"/>
          </w:r>
          <w:r w:rsidR="00062BB9" w:rsidRPr="00062BB9">
            <w:rPr>
              <w:noProof/>
              <w:sz w:val="24"/>
              <w:szCs w:val="24"/>
            </w:rPr>
            <w:t>(Richtlijn verslaggeving KNVB modelstaten, 2014)</w:t>
          </w:r>
          <w:r w:rsidR="000C5AB6">
            <w:rPr>
              <w:sz w:val="24"/>
              <w:szCs w:val="24"/>
            </w:rPr>
            <w:fldChar w:fldCharType="end"/>
          </w:r>
        </w:sdtContent>
      </w:sdt>
      <w:r w:rsidR="005B7372">
        <w:rPr>
          <w:sz w:val="24"/>
          <w:szCs w:val="24"/>
        </w:rPr>
        <w:t>.</w:t>
      </w:r>
    </w:p>
    <w:p w:rsidR="00717B16" w:rsidRDefault="00717B16" w:rsidP="00717B16">
      <w:pPr>
        <w:spacing w:line="360" w:lineRule="auto"/>
        <w:jc w:val="both"/>
        <w:rPr>
          <w:sz w:val="24"/>
          <w:szCs w:val="24"/>
        </w:rPr>
      </w:pPr>
      <w:r>
        <w:rPr>
          <w:sz w:val="24"/>
          <w:szCs w:val="24"/>
        </w:rPr>
        <w:t>In de algemene grondslagen van de KNVB zijn de criteria voor o</w:t>
      </w:r>
      <w:r w:rsidR="00441F2F">
        <w:rPr>
          <w:sz w:val="24"/>
          <w:szCs w:val="24"/>
        </w:rPr>
        <w:t xml:space="preserve">pname en vermelding van gegevens die belangrijk zijn voor de waardering van balansposten en voor de resultaatbepaling weergeven. Volgens de RJ is informatie relevant indien de economische beslissingen van gebruikers van de jaarrekening wordt beïnvloed bij het beoordelen van gebeurtenissen in het verleden, heden en de toekomst van een onderneming. Veelal wordt de relevantie van informatie beoordeeld aan de hand van de aard en materialiteit van deze informatie </w:t>
      </w:r>
      <w:sdt>
        <w:sdtPr>
          <w:rPr>
            <w:sz w:val="24"/>
            <w:szCs w:val="24"/>
          </w:rPr>
          <w:id w:val="-251134820"/>
          <w:citation/>
        </w:sdtPr>
        <w:sdtContent>
          <w:r w:rsidR="000C5AB6">
            <w:rPr>
              <w:sz w:val="24"/>
              <w:szCs w:val="24"/>
            </w:rPr>
            <w:fldChar w:fldCharType="begin"/>
          </w:r>
          <w:r w:rsidR="00441F2F">
            <w:rPr>
              <w:sz w:val="24"/>
              <w:szCs w:val="24"/>
            </w:rPr>
            <w:instrText xml:space="preserve"> CITATION Böh14 \l 1043 </w:instrText>
          </w:r>
          <w:r w:rsidR="000C5AB6">
            <w:rPr>
              <w:sz w:val="24"/>
              <w:szCs w:val="24"/>
            </w:rPr>
            <w:fldChar w:fldCharType="separate"/>
          </w:r>
          <w:r w:rsidR="00062BB9" w:rsidRPr="00062BB9">
            <w:rPr>
              <w:noProof/>
              <w:sz w:val="24"/>
              <w:szCs w:val="24"/>
            </w:rPr>
            <w:t>(Böhmer, Hoogendoorn, &amp; Kruit, 2014)</w:t>
          </w:r>
          <w:r w:rsidR="000C5AB6">
            <w:rPr>
              <w:sz w:val="24"/>
              <w:szCs w:val="24"/>
            </w:rPr>
            <w:fldChar w:fldCharType="end"/>
          </w:r>
        </w:sdtContent>
      </w:sdt>
      <w:r w:rsidR="00441F2F">
        <w:rPr>
          <w:sz w:val="24"/>
          <w:szCs w:val="24"/>
        </w:rPr>
        <w:t>. Omdat de bedrijfstak betaald voetbal afwijkt van andere bedrijfstakken, en rekening houdend met het doel van het Financieel Rating Systeem, kunnen de criteria afwijken van de algemene regelgeving van de RJ en IFRS. Voor de relativiteit van informatie heeft de KNVB de volgende foutdefinities geformuleerd voor het Financieel Rating Systeem</w:t>
      </w:r>
      <w:r w:rsidR="007A216B">
        <w:rPr>
          <w:sz w:val="24"/>
          <w:szCs w:val="24"/>
        </w:rPr>
        <w:t xml:space="preserve"> </w:t>
      </w:r>
      <w:sdt>
        <w:sdtPr>
          <w:rPr>
            <w:sz w:val="24"/>
            <w:szCs w:val="24"/>
          </w:rPr>
          <w:id w:val="1355546827"/>
          <w:citation/>
        </w:sdtPr>
        <w:sdtContent>
          <w:r w:rsidR="000C5AB6">
            <w:rPr>
              <w:sz w:val="24"/>
              <w:szCs w:val="24"/>
            </w:rPr>
            <w:fldChar w:fldCharType="begin"/>
          </w:r>
          <w:r w:rsidR="007A216B">
            <w:rPr>
              <w:sz w:val="24"/>
              <w:szCs w:val="24"/>
            </w:rPr>
            <w:instrText xml:space="preserve"> CITATION Ric14 \l 1043 </w:instrText>
          </w:r>
          <w:r w:rsidR="000C5AB6">
            <w:rPr>
              <w:sz w:val="24"/>
              <w:szCs w:val="24"/>
            </w:rPr>
            <w:fldChar w:fldCharType="separate"/>
          </w:r>
          <w:r w:rsidR="00062BB9" w:rsidRPr="00062BB9">
            <w:rPr>
              <w:noProof/>
              <w:sz w:val="24"/>
              <w:szCs w:val="24"/>
            </w:rPr>
            <w:t>(Richtlijn verslaggeving KNVB modelstaten, 2014)</w:t>
          </w:r>
          <w:r w:rsidR="000C5AB6">
            <w:rPr>
              <w:sz w:val="24"/>
              <w:szCs w:val="24"/>
            </w:rPr>
            <w:fldChar w:fldCharType="end"/>
          </w:r>
        </w:sdtContent>
      </w:sdt>
      <w:r w:rsidR="00441F2F">
        <w:rPr>
          <w:sz w:val="24"/>
          <w:szCs w:val="24"/>
        </w:rPr>
        <w:t>:</w:t>
      </w:r>
    </w:p>
    <w:p w:rsidR="00441F2F" w:rsidRDefault="00441F2F" w:rsidP="00441F2F">
      <w:pPr>
        <w:pStyle w:val="ListParagraph"/>
        <w:numPr>
          <w:ilvl w:val="0"/>
          <w:numId w:val="14"/>
        </w:numPr>
        <w:spacing w:line="360" w:lineRule="auto"/>
        <w:jc w:val="both"/>
        <w:rPr>
          <w:sz w:val="24"/>
          <w:szCs w:val="24"/>
        </w:rPr>
      </w:pPr>
      <w:r>
        <w:rPr>
          <w:sz w:val="24"/>
          <w:szCs w:val="24"/>
        </w:rPr>
        <w:t xml:space="preserve">De (half)jaarcijfers, prognoses en/of begroting bevat </w:t>
      </w:r>
      <w:r w:rsidRPr="001F06EC">
        <w:rPr>
          <w:sz w:val="24"/>
          <w:szCs w:val="24"/>
          <w:u w:val="single"/>
        </w:rPr>
        <w:t>een fout</w:t>
      </w:r>
      <w:r>
        <w:rPr>
          <w:sz w:val="24"/>
          <w:szCs w:val="24"/>
        </w:rPr>
        <w:t xml:space="preserve"> indien door </w:t>
      </w:r>
      <w:proofErr w:type="gramStart"/>
      <w:r>
        <w:rPr>
          <w:sz w:val="24"/>
          <w:szCs w:val="24"/>
        </w:rPr>
        <w:t>een</w:t>
      </w:r>
      <w:proofErr w:type="gramEnd"/>
      <w:r>
        <w:rPr>
          <w:sz w:val="24"/>
          <w:szCs w:val="24"/>
        </w:rPr>
        <w:t xml:space="preserve"> onjuiste voorstellen van zaken d</w:t>
      </w:r>
      <w:r w:rsidR="00C7286F">
        <w:rPr>
          <w:sz w:val="24"/>
          <w:szCs w:val="24"/>
        </w:rPr>
        <w:t>e licentiehouder volgens het FRS</w:t>
      </w:r>
      <w:r>
        <w:rPr>
          <w:sz w:val="24"/>
          <w:szCs w:val="24"/>
        </w:rPr>
        <w:t xml:space="preserve"> meer/minder punten </w:t>
      </w:r>
      <w:r w:rsidR="00107FAB">
        <w:rPr>
          <w:sz w:val="24"/>
          <w:szCs w:val="24"/>
        </w:rPr>
        <w:t>behaald</w:t>
      </w:r>
      <w:r>
        <w:rPr>
          <w:sz w:val="24"/>
          <w:szCs w:val="24"/>
        </w:rPr>
        <w:t xml:space="preserve"> op het huidige of toekomstige meetmoment in vergelijking met het geval de waardering volgens de modelstaten wordt gedaan. Een voorbeeld hiervan is indien een vordering met een looptijd van langer dan één jaar als vlottende activa wordt gewaardeerd.</w:t>
      </w:r>
    </w:p>
    <w:p w:rsidR="00441F2F" w:rsidRDefault="00107FAB" w:rsidP="00441F2F">
      <w:pPr>
        <w:pStyle w:val="ListParagraph"/>
        <w:numPr>
          <w:ilvl w:val="0"/>
          <w:numId w:val="14"/>
        </w:numPr>
        <w:spacing w:line="360" w:lineRule="auto"/>
        <w:jc w:val="both"/>
        <w:rPr>
          <w:sz w:val="24"/>
          <w:szCs w:val="24"/>
        </w:rPr>
      </w:pPr>
      <w:r>
        <w:rPr>
          <w:sz w:val="24"/>
          <w:szCs w:val="24"/>
        </w:rPr>
        <w:t xml:space="preserve">Bovengenoemde jaarstukken bevatten </w:t>
      </w:r>
      <w:r w:rsidRPr="001F06EC">
        <w:rPr>
          <w:sz w:val="24"/>
          <w:szCs w:val="24"/>
          <w:u w:val="single"/>
        </w:rPr>
        <w:t xml:space="preserve">een </w:t>
      </w:r>
      <w:r w:rsidR="00E01DA4">
        <w:rPr>
          <w:sz w:val="24"/>
          <w:szCs w:val="24"/>
          <w:u w:val="single"/>
        </w:rPr>
        <w:t>materiële</w:t>
      </w:r>
      <w:r w:rsidRPr="001F06EC">
        <w:rPr>
          <w:sz w:val="24"/>
          <w:szCs w:val="24"/>
          <w:u w:val="single"/>
        </w:rPr>
        <w:t xml:space="preserve"> fout</w:t>
      </w:r>
      <w:r>
        <w:rPr>
          <w:sz w:val="24"/>
          <w:szCs w:val="24"/>
        </w:rPr>
        <w:t xml:space="preserve"> indien door een onjuiste voorstelling van zaken </w:t>
      </w:r>
      <w:r w:rsidR="00C7286F">
        <w:rPr>
          <w:sz w:val="24"/>
          <w:szCs w:val="24"/>
        </w:rPr>
        <w:t>de licentiehouder volgens het F</w:t>
      </w:r>
      <w:r>
        <w:rPr>
          <w:sz w:val="24"/>
          <w:szCs w:val="24"/>
        </w:rPr>
        <w:t>R</w:t>
      </w:r>
      <w:r w:rsidR="00C7286F">
        <w:rPr>
          <w:sz w:val="24"/>
          <w:szCs w:val="24"/>
        </w:rPr>
        <w:t>S</w:t>
      </w:r>
      <w:r>
        <w:rPr>
          <w:sz w:val="24"/>
          <w:szCs w:val="24"/>
        </w:rPr>
        <w:t xml:space="preserve"> dusdanig meer of minder punten behaald op het huidige of toekomstige meetmoment dat het tot gevolg heeft dat de licentiehouder tot een hogere of lagere categoriale indeling wordt ingedeeld dan indien de waardering juist zou zijn</w:t>
      </w:r>
      <w:r w:rsidR="001F06EC">
        <w:rPr>
          <w:sz w:val="24"/>
          <w:szCs w:val="24"/>
        </w:rPr>
        <w:t>.</w:t>
      </w:r>
    </w:p>
    <w:p w:rsidR="001F06EC" w:rsidRDefault="001F06EC" w:rsidP="00441F2F">
      <w:pPr>
        <w:pStyle w:val="ListParagraph"/>
        <w:numPr>
          <w:ilvl w:val="0"/>
          <w:numId w:val="14"/>
        </w:numPr>
        <w:spacing w:line="360" w:lineRule="auto"/>
        <w:jc w:val="both"/>
        <w:rPr>
          <w:sz w:val="24"/>
          <w:szCs w:val="24"/>
        </w:rPr>
      </w:pPr>
      <w:r>
        <w:rPr>
          <w:sz w:val="24"/>
          <w:szCs w:val="24"/>
        </w:rPr>
        <w:t xml:space="preserve">Bovengenoemde jaarstukken bevatten </w:t>
      </w:r>
      <w:r w:rsidRPr="001F06EC">
        <w:rPr>
          <w:sz w:val="24"/>
          <w:szCs w:val="24"/>
          <w:u w:val="single"/>
        </w:rPr>
        <w:t>een wezenlijke fout</w:t>
      </w:r>
      <w:r>
        <w:rPr>
          <w:sz w:val="24"/>
          <w:szCs w:val="24"/>
        </w:rPr>
        <w:t xml:space="preserve"> indien door een onjuiste voorstelling van zaken de licentiehouder voorkomt dat de licentie wordt ingetrokken.</w:t>
      </w:r>
    </w:p>
    <w:p w:rsidR="007D6EB6" w:rsidRDefault="00CE1003" w:rsidP="007D6EB6">
      <w:pPr>
        <w:spacing w:line="360" w:lineRule="auto"/>
        <w:jc w:val="both"/>
        <w:rPr>
          <w:sz w:val="24"/>
          <w:szCs w:val="24"/>
        </w:rPr>
      </w:pPr>
      <w:r>
        <w:rPr>
          <w:sz w:val="24"/>
          <w:szCs w:val="24"/>
        </w:rPr>
        <w:lastRenderedPageBreak/>
        <w:t>Gezien het feit de financiële positie van e</w:t>
      </w:r>
      <w:r w:rsidR="00C7286F">
        <w:rPr>
          <w:sz w:val="24"/>
          <w:szCs w:val="24"/>
        </w:rPr>
        <w:t>en licentiehouder binnen het FRS</w:t>
      </w:r>
      <w:r>
        <w:rPr>
          <w:sz w:val="24"/>
          <w:szCs w:val="24"/>
        </w:rPr>
        <w:t xml:space="preserve"> beoordeeld worden aan de hand van 10 verschillende variabelen, moet het cumulatieve effect van de geconstateerde fouten in acht genomen worden. Een individuele hoeft namelijk niet materieel of wezenlijk van aard te zijn, maar gezamenlijk kunnen de fouten tot een materieel of wezenlijk effect leiden.</w:t>
      </w:r>
    </w:p>
    <w:p w:rsidR="001B59ED" w:rsidRDefault="001B59ED" w:rsidP="007D6EB6">
      <w:pPr>
        <w:spacing w:line="360" w:lineRule="auto"/>
        <w:jc w:val="both"/>
        <w:rPr>
          <w:sz w:val="24"/>
          <w:szCs w:val="24"/>
        </w:rPr>
      </w:pPr>
      <w:r>
        <w:rPr>
          <w:sz w:val="24"/>
          <w:szCs w:val="24"/>
        </w:rPr>
        <w:t xml:space="preserve">Om secuur antwoord te kunnen geven op de onderzoeksvraag, dienen bepaalde begrippen nader uitgelegd te worden. Ondanks de verslaggeving van de </w:t>
      </w:r>
      <w:proofErr w:type="spellStart"/>
      <w:r>
        <w:rPr>
          <w:sz w:val="24"/>
          <w:szCs w:val="24"/>
        </w:rPr>
        <w:t>BVO’s</w:t>
      </w:r>
      <w:proofErr w:type="spellEnd"/>
      <w:r>
        <w:rPr>
          <w:sz w:val="24"/>
          <w:szCs w:val="24"/>
        </w:rPr>
        <w:t xml:space="preserve"> geschied volgens de RJ, kan er door het Licentiereglement sprake zijn van een dynamischere begripsomschrijving om de financiële positie accuraat te bepalen </w:t>
      </w:r>
      <w:sdt>
        <w:sdtPr>
          <w:rPr>
            <w:sz w:val="24"/>
            <w:szCs w:val="24"/>
          </w:rPr>
          <w:id w:val="-1380771184"/>
          <w:citation/>
        </w:sdtPr>
        <w:sdtContent>
          <w:r w:rsidR="000C5AB6">
            <w:rPr>
              <w:sz w:val="24"/>
              <w:szCs w:val="24"/>
            </w:rPr>
            <w:fldChar w:fldCharType="begin"/>
          </w:r>
          <w:r w:rsidR="00837885">
            <w:rPr>
              <w:sz w:val="24"/>
              <w:szCs w:val="24"/>
            </w:rPr>
            <w:instrText xml:space="preserve">CITATION KNV13 \l 1043 </w:instrText>
          </w:r>
          <w:r w:rsidR="000C5AB6">
            <w:rPr>
              <w:sz w:val="24"/>
              <w:szCs w:val="24"/>
            </w:rPr>
            <w:fldChar w:fldCharType="separate"/>
          </w:r>
          <w:r w:rsidR="00062BB9" w:rsidRPr="00062BB9">
            <w:rPr>
              <w:noProof/>
              <w:sz w:val="24"/>
              <w:szCs w:val="24"/>
            </w:rPr>
            <w:t>(KNVB Licentiereglement, 2013)</w:t>
          </w:r>
          <w:r w:rsidR="000C5AB6">
            <w:rPr>
              <w:sz w:val="24"/>
              <w:szCs w:val="24"/>
            </w:rPr>
            <w:fldChar w:fldCharType="end"/>
          </w:r>
        </w:sdtContent>
      </w:sdt>
      <w:r>
        <w:rPr>
          <w:sz w:val="24"/>
          <w:szCs w:val="24"/>
        </w:rPr>
        <w:t>. Dit heeft tot gevolg dat stelselwijzigingen, schattingswijzigingen en foutherstel kunnen afwijken van de algemene verslaggeving regels</w:t>
      </w:r>
      <w:r w:rsidR="00837885">
        <w:rPr>
          <w:sz w:val="24"/>
          <w:szCs w:val="24"/>
        </w:rPr>
        <w:t>:</w:t>
      </w:r>
    </w:p>
    <w:p w:rsidR="00837885" w:rsidRDefault="00837885" w:rsidP="00837885">
      <w:pPr>
        <w:pStyle w:val="ListParagraph"/>
        <w:numPr>
          <w:ilvl w:val="0"/>
          <w:numId w:val="5"/>
        </w:numPr>
        <w:spacing w:line="360" w:lineRule="auto"/>
        <w:jc w:val="both"/>
        <w:rPr>
          <w:sz w:val="24"/>
          <w:szCs w:val="24"/>
        </w:rPr>
      </w:pPr>
      <w:r w:rsidRPr="00837885">
        <w:rPr>
          <w:sz w:val="24"/>
          <w:szCs w:val="24"/>
          <w:u w:val="single"/>
        </w:rPr>
        <w:t>Stelselwijziging</w:t>
      </w:r>
      <w:r>
        <w:rPr>
          <w:sz w:val="24"/>
          <w:szCs w:val="24"/>
        </w:rPr>
        <w:t xml:space="preserve">: </w:t>
      </w:r>
      <w:r w:rsidR="00044304">
        <w:rPr>
          <w:sz w:val="24"/>
          <w:szCs w:val="24"/>
        </w:rPr>
        <w:t>In de KNVB modelsta</w:t>
      </w:r>
      <w:r>
        <w:rPr>
          <w:sz w:val="24"/>
          <w:szCs w:val="24"/>
        </w:rPr>
        <w:t>t</w:t>
      </w:r>
      <w:r w:rsidR="00044304">
        <w:rPr>
          <w:sz w:val="24"/>
          <w:szCs w:val="24"/>
        </w:rPr>
        <w:t>en</w:t>
      </w:r>
      <w:r>
        <w:rPr>
          <w:sz w:val="24"/>
          <w:szCs w:val="24"/>
        </w:rPr>
        <w:t xml:space="preserve"> heeft een grondslagwijziging geen invloed op de vergelijkende cijfers, omdat deze zijn vastgesteld op een eerder meetmoment. Hiermee wijkt de regelgeving af van de algemene verslaggevingsregels. Het cumulatieve effect van de stelselwijzing wordt hierdoor verwerkt door een rechtstreekse mutatie van het eigen vermogen in het </w:t>
      </w:r>
      <w:r w:rsidR="00DF5949">
        <w:rPr>
          <w:sz w:val="24"/>
          <w:szCs w:val="24"/>
        </w:rPr>
        <w:t>desbetreffende</w:t>
      </w:r>
      <w:r>
        <w:rPr>
          <w:sz w:val="24"/>
          <w:szCs w:val="24"/>
        </w:rPr>
        <w:t xml:space="preserve"> verslagjaar</w:t>
      </w:r>
      <w:r w:rsidR="00DF5949">
        <w:rPr>
          <w:sz w:val="24"/>
          <w:szCs w:val="24"/>
        </w:rPr>
        <w:t xml:space="preserve"> en niet in de beginbalans.</w:t>
      </w:r>
    </w:p>
    <w:p w:rsidR="00DF5949" w:rsidRDefault="00DF5949" w:rsidP="00837885">
      <w:pPr>
        <w:pStyle w:val="ListParagraph"/>
        <w:numPr>
          <w:ilvl w:val="0"/>
          <w:numId w:val="5"/>
        </w:numPr>
        <w:spacing w:line="360" w:lineRule="auto"/>
        <w:jc w:val="both"/>
        <w:rPr>
          <w:sz w:val="24"/>
          <w:szCs w:val="24"/>
        </w:rPr>
      </w:pPr>
      <w:r>
        <w:rPr>
          <w:sz w:val="24"/>
          <w:szCs w:val="24"/>
          <w:u w:val="single"/>
        </w:rPr>
        <w:t>Schattingswijzigingen</w:t>
      </w:r>
      <w:r>
        <w:rPr>
          <w:sz w:val="24"/>
          <w:szCs w:val="24"/>
        </w:rPr>
        <w:t xml:space="preserve">: De verwerking van schattingswijzigingen worden verwerkt in de periode waarin de schattingswijziging plaatsvindt, </w:t>
      </w:r>
      <w:proofErr w:type="gramStart"/>
      <w:r>
        <w:rPr>
          <w:sz w:val="24"/>
          <w:szCs w:val="24"/>
        </w:rPr>
        <w:t>alsmede</w:t>
      </w:r>
      <w:proofErr w:type="gramEnd"/>
      <w:r>
        <w:rPr>
          <w:sz w:val="24"/>
          <w:szCs w:val="24"/>
        </w:rPr>
        <w:t xml:space="preserve"> in eventuele toekomstige periodes. Het begrip periode betreft hier het eerste of tweede halfjaar van een seizoen. Normaliter wordt een schattingswijziging in de winst-en-verliesrekening van de bijbehorende kosten verwekt, tenzij de invloed op het bedrijfsresultaat wordt verstoord. In dat geval vindt de verwerking plaats op de bijzondere baten en lasten.</w:t>
      </w:r>
    </w:p>
    <w:p w:rsidR="00C12BC6" w:rsidRDefault="00DF5949" w:rsidP="00C12BC6">
      <w:pPr>
        <w:pStyle w:val="ListParagraph"/>
        <w:numPr>
          <w:ilvl w:val="0"/>
          <w:numId w:val="5"/>
        </w:numPr>
        <w:spacing w:line="360" w:lineRule="auto"/>
        <w:jc w:val="both"/>
        <w:rPr>
          <w:sz w:val="24"/>
          <w:szCs w:val="24"/>
        </w:rPr>
      </w:pPr>
      <w:r>
        <w:rPr>
          <w:sz w:val="24"/>
          <w:szCs w:val="24"/>
          <w:u w:val="single"/>
        </w:rPr>
        <w:t>Foutenherstel:</w:t>
      </w:r>
      <w:r>
        <w:rPr>
          <w:sz w:val="24"/>
          <w:szCs w:val="24"/>
        </w:rPr>
        <w:t xml:space="preserve"> de modelstaten kent net zoals de RJ een onderscheid tussen fundamentele en overige fouten. Waar de RJ voorschrijft dat het herstel van een fundamentele fout leidt tot aanpassing van het beginvermogen, moet in de modelstaat de fout in alle gevallen verantwoord in de winst-en-verliesrekening van het desbetreffende jaar.</w:t>
      </w:r>
    </w:p>
    <w:p w:rsidR="00044304" w:rsidRPr="00044304" w:rsidRDefault="00044304" w:rsidP="00044304">
      <w:pPr>
        <w:spacing w:line="360" w:lineRule="auto"/>
        <w:jc w:val="both"/>
        <w:rPr>
          <w:sz w:val="24"/>
          <w:szCs w:val="24"/>
        </w:rPr>
      </w:pPr>
      <w:r>
        <w:rPr>
          <w:sz w:val="24"/>
          <w:szCs w:val="24"/>
        </w:rPr>
        <w:t xml:space="preserve">Indien er zich gebeurtenissen na balansdatum voordoen, heeft de licentiehouder tot de inlever deadline de mogelijkheid om een vervangede rapportage op te maken. Na het </w:t>
      </w:r>
      <w:r>
        <w:rPr>
          <w:sz w:val="24"/>
          <w:szCs w:val="24"/>
        </w:rPr>
        <w:lastRenderedPageBreak/>
        <w:t xml:space="preserve">verstrijken van de inleverdatum, kunnen er </w:t>
      </w:r>
      <w:r>
        <w:rPr>
          <w:sz w:val="24"/>
          <w:szCs w:val="24"/>
          <w:u w:val="single"/>
        </w:rPr>
        <w:t>door de licentiehouder</w:t>
      </w:r>
      <w:r>
        <w:rPr>
          <w:sz w:val="24"/>
          <w:szCs w:val="24"/>
        </w:rPr>
        <w:t xml:space="preserve"> geen wijzigingen meer worden doorgevoerd. Echter, de licentiehouder blijft </w:t>
      </w:r>
      <w:r w:rsidR="002D119B">
        <w:rPr>
          <w:sz w:val="24"/>
          <w:szCs w:val="24"/>
        </w:rPr>
        <w:t xml:space="preserve">(ook na de inleverdatum) te allen tijden verplicht gebeurtenissen met belangrijke economische veranderingen schriftelijk door te geven aan de licentiecommissie </w:t>
      </w:r>
      <w:sdt>
        <w:sdtPr>
          <w:rPr>
            <w:sz w:val="24"/>
            <w:szCs w:val="24"/>
          </w:rPr>
          <w:id w:val="1310124367"/>
          <w:citation/>
        </w:sdtPr>
        <w:sdtContent>
          <w:r w:rsidR="000C5AB6">
            <w:rPr>
              <w:sz w:val="24"/>
              <w:szCs w:val="24"/>
            </w:rPr>
            <w:fldChar w:fldCharType="begin"/>
          </w:r>
          <w:r w:rsidR="002D119B">
            <w:rPr>
              <w:sz w:val="24"/>
              <w:szCs w:val="24"/>
            </w:rPr>
            <w:instrText xml:space="preserve"> CITATION KNV13 \l 1043 </w:instrText>
          </w:r>
          <w:r w:rsidR="000C5AB6">
            <w:rPr>
              <w:sz w:val="24"/>
              <w:szCs w:val="24"/>
            </w:rPr>
            <w:fldChar w:fldCharType="separate"/>
          </w:r>
          <w:r w:rsidR="00062BB9" w:rsidRPr="00062BB9">
            <w:rPr>
              <w:noProof/>
              <w:sz w:val="24"/>
              <w:szCs w:val="24"/>
            </w:rPr>
            <w:t>(KNVB Licentiereglement, 2013)</w:t>
          </w:r>
          <w:r w:rsidR="000C5AB6">
            <w:rPr>
              <w:sz w:val="24"/>
              <w:szCs w:val="24"/>
            </w:rPr>
            <w:fldChar w:fldCharType="end"/>
          </w:r>
        </w:sdtContent>
      </w:sdt>
      <w:r w:rsidR="002D119B">
        <w:rPr>
          <w:sz w:val="24"/>
          <w:szCs w:val="24"/>
        </w:rPr>
        <w:t>.</w:t>
      </w:r>
    </w:p>
    <w:p w:rsidR="003D5C54" w:rsidRPr="00633A13" w:rsidRDefault="00776867" w:rsidP="00633A13">
      <w:pPr>
        <w:pStyle w:val="Heading3"/>
        <w:rPr>
          <w:sz w:val="28"/>
        </w:rPr>
      </w:pPr>
      <w:bookmarkStart w:id="25" w:name="_Toc425516491"/>
      <w:r>
        <w:rPr>
          <w:sz w:val="28"/>
        </w:rPr>
        <w:t>3</w:t>
      </w:r>
      <w:r w:rsidR="00633A13" w:rsidRPr="00633A13">
        <w:rPr>
          <w:sz w:val="28"/>
        </w:rPr>
        <w:t xml:space="preserve">.2.2. </w:t>
      </w:r>
      <w:r w:rsidR="003D5C54" w:rsidRPr="00633A13">
        <w:rPr>
          <w:sz w:val="28"/>
        </w:rPr>
        <w:t>Licentie-eisen KNVB licentiesysteem</w:t>
      </w:r>
      <w:bookmarkEnd w:id="25"/>
    </w:p>
    <w:p w:rsidR="005B7372" w:rsidRDefault="00BE3FA3" w:rsidP="005B7372">
      <w:pPr>
        <w:spacing w:line="360" w:lineRule="auto"/>
        <w:jc w:val="both"/>
        <w:rPr>
          <w:sz w:val="24"/>
          <w:szCs w:val="24"/>
        </w:rPr>
      </w:pPr>
      <w:r>
        <w:rPr>
          <w:sz w:val="24"/>
          <w:szCs w:val="24"/>
        </w:rPr>
        <w:t>De l</w:t>
      </w:r>
      <w:r w:rsidR="00387879">
        <w:rPr>
          <w:sz w:val="24"/>
          <w:szCs w:val="24"/>
        </w:rPr>
        <w:t xml:space="preserve">icentie-eisen kent twee soorten, </w:t>
      </w:r>
      <w:r>
        <w:rPr>
          <w:sz w:val="24"/>
          <w:szCs w:val="24"/>
        </w:rPr>
        <w:t>te weten licentie-eisen van categorie A en van categorie B. Iedere licentiehouder binnen het KNVB licentiesysteem moet –behoudens in het geval van dispensatie– te allen tijden voldoen aan alle A- en B-licentie-eisen. Per licentie-eis is aangegeven tot welke categorie de betreffende licentie-eis behoort</w:t>
      </w:r>
      <w:r w:rsidR="005B2107">
        <w:rPr>
          <w:sz w:val="24"/>
          <w:szCs w:val="24"/>
        </w:rPr>
        <w:t xml:space="preserve"> </w:t>
      </w:r>
      <w:sdt>
        <w:sdtPr>
          <w:rPr>
            <w:sz w:val="24"/>
            <w:szCs w:val="24"/>
          </w:rPr>
          <w:id w:val="2074619670"/>
          <w:citation/>
        </w:sdtPr>
        <w:sdtContent>
          <w:r w:rsidR="000C5AB6">
            <w:rPr>
              <w:sz w:val="24"/>
              <w:szCs w:val="24"/>
            </w:rPr>
            <w:fldChar w:fldCharType="begin"/>
          </w:r>
          <w:r w:rsidR="005B2107">
            <w:rPr>
              <w:sz w:val="24"/>
              <w:szCs w:val="24"/>
            </w:rPr>
            <w:instrText xml:space="preserve"> CITATION Ric15 \l 1043 </w:instrText>
          </w:r>
          <w:r w:rsidR="000C5AB6">
            <w:rPr>
              <w:sz w:val="24"/>
              <w:szCs w:val="24"/>
            </w:rPr>
            <w:fldChar w:fldCharType="separate"/>
          </w:r>
          <w:r w:rsidR="00062BB9" w:rsidRPr="00062BB9">
            <w:rPr>
              <w:noProof/>
              <w:sz w:val="24"/>
              <w:szCs w:val="24"/>
            </w:rPr>
            <w:t>(Richtlijn Licensie-eisen, 2015)</w:t>
          </w:r>
          <w:r w:rsidR="000C5AB6">
            <w:rPr>
              <w:sz w:val="24"/>
              <w:szCs w:val="24"/>
            </w:rPr>
            <w:fldChar w:fldCharType="end"/>
          </w:r>
        </w:sdtContent>
      </w:sdt>
      <w:r>
        <w:rPr>
          <w:sz w:val="24"/>
          <w:szCs w:val="24"/>
        </w:rPr>
        <w:t xml:space="preserve">. Het verschil tussen bovengenoemde </w:t>
      </w:r>
      <w:r w:rsidR="00326F90">
        <w:rPr>
          <w:sz w:val="24"/>
          <w:szCs w:val="24"/>
        </w:rPr>
        <w:t>categorieën</w:t>
      </w:r>
      <w:r>
        <w:rPr>
          <w:sz w:val="24"/>
          <w:szCs w:val="24"/>
        </w:rPr>
        <w:t xml:space="preserve"> heef</w:t>
      </w:r>
      <w:r w:rsidR="00326F90">
        <w:rPr>
          <w:sz w:val="24"/>
          <w:szCs w:val="24"/>
        </w:rPr>
        <w:t xml:space="preserve">t betrekking op de gevolgen indien een licentiehouder </w:t>
      </w:r>
      <w:r w:rsidR="00326F90">
        <w:rPr>
          <w:i/>
          <w:sz w:val="24"/>
          <w:szCs w:val="24"/>
        </w:rPr>
        <w:t>niet</w:t>
      </w:r>
      <w:r w:rsidR="00326F90">
        <w:rPr>
          <w:sz w:val="24"/>
          <w:szCs w:val="24"/>
        </w:rPr>
        <w:t xml:space="preserve"> voldoet aan de eisen:</w:t>
      </w:r>
    </w:p>
    <w:p w:rsidR="00326F90" w:rsidRDefault="00326F90" w:rsidP="00326F90">
      <w:pPr>
        <w:pStyle w:val="ListParagraph"/>
        <w:numPr>
          <w:ilvl w:val="0"/>
          <w:numId w:val="12"/>
        </w:numPr>
        <w:spacing w:line="360" w:lineRule="auto"/>
        <w:jc w:val="both"/>
        <w:rPr>
          <w:sz w:val="24"/>
          <w:szCs w:val="24"/>
        </w:rPr>
      </w:pPr>
      <w:r>
        <w:rPr>
          <w:sz w:val="24"/>
          <w:szCs w:val="24"/>
        </w:rPr>
        <w:t xml:space="preserve">Indien een licentiehouder niet aan een categorie A-eis voldoet, kan desbetreffende BVO verplicht worden tot het opmaken van een plan van aanpak. In dit plan wordt </w:t>
      </w:r>
      <w:r w:rsidR="00711F54">
        <w:rPr>
          <w:sz w:val="24"/>
          <w:szCs w:val="24"/>
        </w:rPr>
        <w:t xml:space="preserve">opgesteld </w:t>
      </w:r>
      <w:r>
        <w:rPr>
          <w:sz w:val="24"/>
          <w:szCs w:val="24"/>
        </w:rPr>
        <w:t>hoe, en binnen welke termijn de BVO aan desbetreffende licentie-eis gaat voldoen. Het plan van aanpak moet goedgekeurd worden door de licentiecommissie, waarna een sanctie-traject wordt opgesteld waarin de sancties zijn opgenomen die worden genomen indien de licentiehouder zich niet houdt aan de financiële doelen uit het plan van aanpak. Mogelijkerwijs</w:t>
      </w:r>
      <w:r w:rsidR="00717B16">
        <w:rPr>
          <w:sz w:val="24"/>
          <w:szCs w:val="24"/>
        </w:rPr>
        <w:t xml:space="preserve"> volgt hieruit een geldboete, winstpunten in mindering of</w:t>
      </w:r>
      <w:r>
        <w:rPr>
          <w:sz w:val="24"/>
          <w:szCs w:val="24"/>
        </w:rPr>
        <w:t xml:space="preserve"> kan desbetreffende licentiehouder uitgesloten worden van deelname aan Europese competities.</w:t>
      </w:r>
    </w:p>
    <w:p w:rsidR="00717B16" w:rsidRDefault="00717B16" w:rsidP="00326F90">
      <w:pPr>
        <w:pStyle w:val="ListParagraph"/>
        <w:numPr>
          <w:ilvl w:val="0"/>
          <w:numId w:val="12"/>
        </w:numPr>
        <w:spacing w:line="360" w:lineRule="auto"/>
        <w:jc w:val="both"/>
        <w:rPr>
          <w:sz w:val="24"/>
          <w:szCs w:val="24"/>
        </w:rPr>
      </w:pPr>
      <w:r>
        <w:rPr>
          <w:sz w:val="24"/>
          <w:szCs w:val="24"/>
        </w:rPr>
        <w:t xml:space="preserve">Bij overtreding van een categorie </w:t>
      </w:r>
      <w:proofErr w:type="spellStart"/>
      <w:r>
        <w:rPr>
          <w:sz w:val="24"/>
          <w:szCs w:val="24"/>
        </w:rPr>
        <w:t>B-eis</w:t>
      </w:r>
      <w:proofErr w:type="spellEnd"/>
      <w:r>
        <w:rPr>
          <w:sz w:val="24"/>
          <w:szCs w:val="24"/>
        </w:rPr>
        <w:t xml:space="preserve"> volgt een geldboete en wordt door de licentiecommissie een nieuwe termijn vastgesteld waarbinnen de licentiehouder alsnog aan de eis moet voldoen.</w:t>
      </w:r>
    </w:p>
    <w:p w:rsidR="00717B16" w:rsidRDefault="00717B16" w:rsidP="00717B16">
      <w:pPr>
        <w:spacing w:line="360" w:lineRule="auto"/>
        <w:jc w:val="both"/>
        <w:rPr>
          <w:sz w:val="24"/>
          <w:szCs w:val="24"/>
        </w:rPr>
      </w:pPr>
      <w:r>
        <w:rPr>
          <w:sz w:val="24"/>
          <w:szCs w:val="24"/>
        </w:rPr>
        <w:t xml:space="preserve">Indien een licentiehouder een betalingsachterstand heeft bij een andere BVO (als gevolg van een transferactiviteit, bij de Stichting Contractspelersfonds KNVB </w:t>
      </w:r>
      <w:proofErr w:type="gramStart"/>
      <w:r>
        <w:rPr>
          <w:sz w:val="24"/>
          <w:szCs w:val="24"/>
        </w:rPr>
        <w:t>(</w:t>
      </w:r>
      <w:proofErr w:type="gramEnd"/>
      <w:r>
        <w:rPr>
          <w:sz w:val="24"/>
          <w:szCs w:val="24"/>
        </w:rPr>
        <w:t>CFK) of bij de eigen (ex-)werknemers worden wedstrijdpunten in mindering gebracht.</w:t>
      </w:r>
    </w:p>
    <w:p w:rsidR="003D5C54" w:rsidRDefault="00387879" w:rsidP="00717B16">
      <w:pPr>
        <w:spacing w:line="360" w:lineRule="auto"/>
        <w:jc w:val="both"/>
        <w:rPr>
          <w:sz w:val="24"/>
          <w:szCs w:val="24"/>
        </w:rPr>
      </w:pPr>
      <w:r>
        <w:rPr>
          <w:sz w:val="24"/>
          <w:szCs w:val="24"/>
        </w:rPr>
        <w:t>De huidige eisen van het licentiesysteem zijn onderverdeeld naar de volgende vijf deelgebieden:</w:t>
      </w:r>
    </w:p>
    <w:p w:rsidR="00387879" w:rsidRDefault="00387879" w:rsidP="00387879">
      <w:pPr>
        <w:pStyle w:val="ListParagraph"/>
        <w:numPr>
          <w:ilvl w:val="0"/>
          <w:numId w:val="15"/>
        </w:numPr>
        <w:spacing w:line="360" w:lineRule="auto"/>
        <w:jc w:val="both"/>
        <w:rPr>
          <w:sz w:val="24"/>
          <w:szCs w:val="24"/>
        </w:rPr>
      </w:pPr>
      <w:r w:rsidRPr="00387879">
        <w:rPr>
          <w:b/>
          <w:sz w:val="24"/>
          <w:szCs w:val="24"/>
        </w:rPr>
        <w:t>Sportief kader</w:t>
      </w:r>
      <w:r>
        <w:rPr>
          <w:sz w:val="24"/>
          <w:szCs w:val="24"/>
        </w:rPr>
        <w:t xml:space="preserve">; het sportieve aspect omvat zeven criteria, die logischerwijs gefocust zijn op het voetbaltechnische gedeelte van de licentiehouder. Gedurende de </w:t>
      </w:r>
      <w:r>
        <w:rPr>
          <w:sz w:val="24"/>
          <w:szCs w:val="24"/>
        </w:rPr>
        <w:lastRenderedPageBreak/>
        <w:t xml:space="preserve">kwaliteitstoetsing wordt in dit kader onder andere de jeugdopleiding beoordeeld en worden het minimum aantal jeugdteams en contractspelers opgesteld. Tevens </w:t>
      </w:r>
      <w:r w:rsidR="00F55F4C">
        <w:rPr>
          <w:sz w:val="24"/>
          <w:szCs w:val="24"/>
        </w:rPr>
        <w:t>moet een BVO tweemaal per jaar een uitgebreide medische controle uitvoeren op alle A-selectiespelers</w:t>
      </w:r>
      <w:r w:rsidR="00F55F4C">
        <w:rPr>
          <w:rStyle w:val="FootnoteReference"/>
          <w:sz w:val="24"/>
          <w:szCs w:val="24"/>
        </w:rPr>
        <w:footnoteReference w:id="54"/>
      </w:r>
      <w:r w:rsidR="00F55F4C">
        <w:rPr>
          <w:sz w:val="24"/>
          <w:szCs w:val="24"/>
        </w:rPr>
        <w:t xml:space="preserve"> en moet er door de club een antiracisme beleid zijn opgesteld.</w:t>
      </w:r>
    </w:p>
    <w:p w:rsidR="00F55F4C" w:rsidRDefault="00F55F4C" w:rsidP="00387879">
      <w:pPr>
        <w:pStyle w:val="ListParagraph"/>
        <w:numPr>
          <w:ilvl w:val="0"/>
          <w:numId w:val="15"/>
        </w:numPr>
        <w:spacing w:line="360" w:lineRule="auto"/>
        <w:jc w:val="both"/>
        <w:rPr>
          <w:sz w:val="24"/>
          <w:szCs w:val="24"/>
        </w:rPr>
      </w:pPr>
      <w:r>
        <w:rPr>
          <w:b/>
          <w:sz w:val="24"/>
          <w:szCs w:val="24"/>
        </w:rPr>
        <w:t>Organisatorisch en administratief kader</w:t>
      </w:r>
      <w:r>
        <w:rPr>
          <w:sz w:val="24"/>
          <w:szCs w:val="24"/>
        </w:rPr>
        <w:t xml:space="preserve">; dit kader, bestaande uit zeventien criteria, richt zich op het bedrijfstechnische aspect van de betaald voetbal organisatie. De licentiehouder is verplicht een technisch- en algemeen directeur in loondienst te hebben. Daarnaast moeten er adequate personen aangesteld worden voor de posities van onder andere de clubsecretaris, arts, fysiotherapeut, (assistent-)coach, persvoorlichter en </w:t>
      </w:r>
      <w:r w:rsidR="00B96720">
        <w:rPr>
          <w:sz w:val="24"/>
          <w:szCs w:val="24"/>
        </w:rPr>
        <w:t>stewarding</w:t>
      </w:r>
      <w:r>
        <w:rPr>
          <w:sz w:val="24"/>
          <w:szCs w:val="24"/>
        </w:rPr>
        <w:t>.</w:t>
      </w:r>
      <w:r w:rsidR="00B96720">
        <w:rPr>
          <w:sz w:val="24"/>
          <w:szCs w:val="24"/>
        </w:rPr>
        <w:t xml:space="preserve"> Op bepaalde facetten van dit kader zijn er aanvullende eisen vanuit de UEFA van toepassing.</w:t>
      </w:r>
    </w:p>
    <w:p w:rsidR="00F55F4C" w:rsidRDefault="00E56513" w:rsidP="00387879">
      <w:pPr>
        <w:pStyle w:val="ListParagraph"/>
        <w:numPr>
          <w:ilvl w:val="0"/>
          <w:numId w:val="15"/>
        </w:numPr>
        <w:spacing w:line="360" w:lineRule="auto"/>
        <w:jc w:val="both"/>
        <w:rPr>
          <w:sz w:val="24"/>
          <w:szCs w:val="24"/>
        </w:rPr>
      </w:pPr>
      <w:r>
        <w:rPr>
          <w:b/>
          <w:sz w:val="24"/>
          <w:szCs w:val="24"/>
        </w:rPr>
        <w:t>Juridisch kader</w:t>
      </w:r>
      <w:r>
        <w:rPr>
          <w:sz w:val="24"/>
          <w:szCs w:val="24"/>
        </w:rPr>
        <w:t xml:space="preserve">; </w:t>
      </w:r>
      <w:r w:rsidR="00B96720">
        <w:rPr>
          <w:sz w:val="24"/>
          <w:szCs w:val="24"/>
        </w:rPr>
        <w:t>de belangrijkste eis uit dit kader schrijft voor dat de licentiehouder zich conformeert aan de door de KNVB en UEFA opgestelde s</w:t>
      </w:r>
      <w:r w:rsidR="0072560E">
        <w:rPr>
          <w:sz w:val="24"/>
          <w:szCs w:val="24"/>
        </w:rPr>
        <w:t>tatuten, om zodoende deel te nemen aan de (Europese) competities. De andere drie eisen zijn erop gericht de onafhankelijkheid en continuïteit van de licentiehouder te waarborgen en dat de BVO zijn verplichtingen nakomt en statuten toepast.</w:t>
      </w:r>
      <w:r w:rsidR="000B4502">
        <w:rPr>
          <w:sz w:val="24"/>
          <w:szCs w:val="24"/>
        </w:rPr>
        <w:t xml:space="preserve"> Zodoende moet de licentiehouder bijvoorbeeld te allen tijden in het bezit zijn van actueel uittreksel uit het Handelsregister van de Kamer van Koophandel.</w:t>
      </w:r>
    </w:p>
    <w:p w:rsidR="0072560E" w:rsidRDefault="0072560E" w:rsidP="00387879">
      <w:pPr>
        <w:pStyle w:val="ListParagraph"/>
        <w:numPr>
          <w:ilvl w:val="0"/>
          <w:numId w:val="15"/>
        </w:numPr>
        <w:spacing w:line="360" w:lineRule="auto"/>
        <w:jc w:val="both"/>
        <w:rPr>
          <w:sz w:val="24"/>
          <w:szCs w:val="24"/>
        </w:rPr>
      </w:pPr>
      <w:r>
        <w:rPr>
          <w:b/>
          <w:sz w:val="24"/>
          <w:szCs w:val="24"/>
        </w:rPr>
        <w:t>Infrastructureel kader</w:t>
      </w:r>
      <w:r>
        <w:rPr>
          <w:sz w:val="24"/>
          <w:szCs w:val="24"/>
        </w:rPr>
        <w:t xml:space="preserve">; dit kader is onderverdeeld in 23 criteria en zodoende het meest omvangrijke </w:t>
      </w:r>
      <w:proofErr w:type="gramStart"/>
      <w:r w:rsidR="000B4502">
        <w:rPr>
          <w:sz w:val="24"/>
          <w:szCs w:val="24"/>
        </w:rPr>
        <w:t>eisenpakket</w:t>
      </w:r>
      <w:proofErr w:type="gramEnd"/>
      <w:r w:rsidR="000B4502">
        <w:rPr>
          <w:sz w:val="24"/>
          <w:szCs w:val="24"/>
        </w:rPr>
        <w:t xml:space="preserve"> van het licentiesysteem. Dit onderdeel is volledig gericht op de facilitaire voorzieningen en de daarbij behorende veiligheidsmaatregelen. In dit onderdeel is onder andere vastgelegd dat de licentiehouder moet beschikken over een stadion en trainingsfaciliteiten. In het stadion moet onder andere stadionverlichting, een EHBO-ruimte, een speelveld en een minimum aantal zitplaatsen aanwezig zijn. Daarnaast is het infrastructurele kader het deelgebied waarop de jaarlijkse </w:t>
      </w:r>
      <w:r w:rsidR="00711F54">
        <w:rPr>
          <w:sz w:val="24"/>
          <w:szCs w:val="24"/>
        </w:rPr>
        <w:t xml:space="preserve">toetsing </w:t>
      </w:r>
      <w:r w:rsidR="000B4502">
        <w:rPr>
          <w:sz w:val="24"/>
          <w:szCs w:val="24"/>
        </w:rPr>
        <w:t xml:space="preserve">van de veiligheid wordt toegepast. Zoals eerder is gesteld, is de veiligheidsaudit van de KNVB een van de </w:t>
      </w:r>
      <w:r w:rsidR="00130AF2">
        <w:rPr>
          <w:sz w:val="24"/>
          <w:szCs w:val="24"/>
        </w:rPr>
        <w:t>drie</w:t>
      </w:r>
      <w:r w:rsidR="000B4502">
        <w:rPr>
          <w:sz w:val="24"/>
          <w:szCs w:val="24"/>
        </w:rPr>
        <w:t xml:space="preserve"> </w:t>
      </w:r>
      <w:r w:rsidR="00130AF2">
        <w:rPr>
          <w:sz w:val="24"/>
          <w:szCs w:val="24"/>
        </w:rPr>
        <w:t>belangrijkste doelstellingen</w:t>
      </w:r>
      <w:r w:rsidR="000B4502">
        <w:rPr>
          <w:sz w:val="24"/>
          <w:szCs w:val="24"/>
        </w:rPr>
        <w:t xml:space="preserve"> van het KNVB licentiesysteem. </w:t>
      </w:r>
      <w:r w:rsidR="00130AF2">
        <w:rPr>
          <w:sz w:val="24"/>
          <w:szCs w:val="24"/>
        </w:rPr>
        <w:t>Vóór 1 maart van elk jaar wordt de licentiehouder getoetst op de veiligheid, waar volledig medewerking wordt geëist van de organisatie.</w:t>
      </w:r>
    </w:p>
    <w:p w:rsidR="00130AF2" w:rsidRDefault="00130AF2" w:rsidP="00387879">
      <w:pPr>
        <w:pStyle w:val="ListParagraph"/>
        <w:numPr>
          <w:ilvl w:val="0"/>
          <w:numId w:val="15"/>
        </w:numPr>
        <w:spacing w:line="360" w:lineRule="auto"/>
        <w:jc w:val="both"/>
        <w:rPr>
          <w:sz w:val="24"/>
          <w:szCs w:val="24"/>
        </w:rPr>
      </w:pPr>
      <w:r>
        <w:rPr>
          <w:b/>
          <w:sz w:val="24"/>
          <w:szCs w:val="24"/>
        </w:rPr>
        <w:lastRenderedPageBreak/>
        <w:t>Financieel kader</w:t>
      </w:r>
      <w:r>
        <w:rPr>
          <w:sz w:val="24"/>
          <w:szCs w:val="24"/>
        </w:rPr>
        <w:t xml:space="preserve">; het financieel kader is onderverdeeld in 14 criteria, waarvan 4 Europese eisen zijn, en is het belangrijkste </w:t>
      </w:r>
      <w:proofErr w:type="gramStart"/>
      <w:r>
        <w:rPr>
          <w:sz w:val="24"/>
          <w:szCs w:val="24"/>
        </w:rPr>
        <w:t>eisenpakket</w:t>
      </w:r>
      <w:proofErr w:type="gramEnd"/>
      <w:r>
        <w:rPr>
          <w:sz w:val="24"/>
          <w:szCs w:val="24"/>
        </w:rPr>
        <w:t xml:space="preserve"> van het licentiesysteem. De licentiehouder moet –ongeacht zijn juridische structuur– jaarstukken, prognoses, halfjaarcijfers en jaarverslag inleveren volgens de door het eerder vernoemde richtlijn KNVB modelstaten opstellen.</w:t>
      </w:r>
      <w:r w:rsidR="00AA6EEE">
        <w:rPr>
          <w:sz w:val="24"/>
          <w:szCs w:val="24"/>
        </w:rPr>
        <w:t xml:space="preserve"> Daarnaast moet de licentiehouder aantonen geen betalingsachterstanden te hebben bij werknemers, de Belastingdienst, het CFK of andere </w:t>
      </w:r>
      <w:proofErr w:type="spellStart"/>
      <w:r w:rsidR="00AA6EEE">
        <w:rPr>
          <w:sz w:val="24"/>
          <w:szCs w:val="24"/>
        </w:rPr>
        <w:t>BVO’s</w:t>
      </w:r>
      <w:proofErr w:type="spellEnd"/>
      <w:r w:rsidR="00AA6EEE">
        <w:rPr>
          <w:sz w:val="24"/>
          <w:szCs w:val="24"/>
        </w:rPr>
        <w:t xml:space="preserve"> (</w:t>
      </w:r>
      <w:proofErr w:type="gramStart"/>
      <w:r w:rsidR="00AA6EEE">
        <w:rPr>
          <w:sz w:val="24"/>
          <w:szCs w:val="24"/>
        </w:rPr>
        <w:t>uit hoofde van</w:t>
      </w:r>
      <w:proofErr w:type="gramEnd"/>
      <w:r w:rsidR="00AA6EEE">
        <w:rPr>
          <w:sz w:val="24"/>
          <w:szCs w:val="24"/>
        </w:rPr>
        <w:t xml:space="preserve"> transferactiviteiten). Dit pakket wordt beschouwd als het belangrijkste onderdeel omdat het financieel kader jaarlijks getoetst wordt om de financiële positie van de licentiehouder te bepalen. Deze toetsing geschied via het eerder genoemde Financieel Rating Systeem, die bepaald in welke categorie de licentiehouder ingedeeld is.</w:t>
      </w:r>
    </w:p>
    <w:p w:rsidR="00B11B19" w:rsidRDefault="00AA6EEE" w:rsidP="00AA6EEE">
      <w:pPr>
        <w:spacing w:line="360" w:lineRule="auto"/>
        <w:jc w:val="both"/>
        <w:rPr>
          <w:sz w:val="24"/>
          <w:szCs w:val="24"/>
        </w:rPr>
      </w:pPr>
      <w:r>
        <w:rPr>
          <w:sz w:val="24"/>
          <w:szCs w:val="24"/>
        </w:rPr>
        <w:t xml:space="preserve">Door de omvang van deze vijf kaders, zijn de volledige richtlijnen voor de licentie-eisen in </w:t>
      </w:r>
      <w:proofErr w:type="gramStart"/>
      <w:r>
        <w:rPr>
          <w:sz w:val="24"/>
          <w:szCs w:val="24"/>
        </w:rPr>
        <w:t>de</w:t>
      </w:r>
      <w:proofErr w:type="gramEnd"/>
      <w:r>
        <w:rPr>
          <w:sz w:val="24"/>
          <w:szCs w:val="24"/>
        </w:rPr>
        <w:t xml:space="preserve"> appendix toegevoegd</w:t>
      </w:r>
      <w:r w:rsidR="005B2107">
        <w:rPr>
          <w:sz w:val="24"/>
          <w:szCs w:val="24"/>
        </w:rPr>
        <w:t xml:space="preserve"> </w:t>
      </w:r>
      <w:sdt>
        <w:sdtPr>
          <w:rPr>
            <w:sz w:val="24"/>
            <w:szCs w:val="24"/>
          </w:rPr>
          <w:id w:val="-1630471507"/>
          <w:citation/>
        </w:sdtPr>
        <w:sdtContent>
          <w:r w:rsidR="000C5AB6">
            <w:rPr>
              <w:sz w:val="24"/>
              <w:szCs w:val="24"/>
            </w:rPr>
            <w:fldChar w:fldCharType="begin"/>
          </w:r>
          <w:r w:rsidR="005B2107">
            <w:rPr>
              <w:sz w:val="24"/>
              <w:szCs w:val="24"/>
            </w:rPr>
            <w:instrText xml:space="preserve"> CITATION Ric15 \l 1043 </w:instrText>
          </w:r>
          <w:r w:rsidR="000C5AB6">
            <w:rPr>
              <w:sz w:val="24"/>
              <w:szCs w:val="24"/>
            </w:rPr>
            <w:fldChar w:fldCharType="separate"/>
          </w:r>
          <w:r w:rsidR="00062BB9" w:rsidRPr="00062BB9">
            <w:rPr>
              <w:noProof/>
              <w:sz w:val="24"/>
              <w:szCs w:val="24"/>
            </w:rPr>
            <w:t>(Richtlijn Licensie-eisen, 2015)</w:t>
          </w:r>
          <w:r w:rsidR="000C5AB6">
            <w:rPr>
              <w:sz w:val="24"/>
              <w:szCs w:val="24"/>
            </w:rPr>
            <w:fldChar w:fldCharType="end"/>
          </w:r>
        </w:sdtContent>
      </w:sdt>
      <w:r>
        <w:rPr>
          <w:sz w:val="24"/>
          <w:szCs w:val="24"/>
        </w:rPr>
        <w:t xml:space="preserve">. In deze richtlijnen wordt per criteria een omschrijving gegeven en zijn eventuele aanvullende UEFA-eisen toegevoegd. </w:t>
      </w:r>
      <w:r w:rsidR="00B11B19">
        <w:rPr>
          <w:sz w:val="24"/>
          <w:szCs w:val="24"/>
        </w:rPr>
        <w:t xml:space="preserve">Daarnaast wordt per criteria aangegeven of het een categorie A- of </w:t>
      </w:r>
      <w:proofErr w:type="spellStart"/>
      <w:r w:rsidR="00B11B19">
        <w:rPr>
          <w:sz w:val="24"/>
          <w:szCs w:val="24"/>
        </w:rPr>
        <w:t>B-eis</w:t>
      </w:r>
      <w:proofErr w:type="spellEnd"/>
      <w:r w:rsidR="00B11B19">
        <w:rPr>
          <w:sz w:val="24"/>
          <w:szCs w:val="24"/>
        </w:rPr>
        <w:t xml:space="preserve"> betreft, wat van belang is voor de strafeis bij het niet voldoen </w:t>
      </w:r>
      <w:r w:rsidR="005B2107">
        <w:rPr>
          <w:sz w:val="24"/>
          <w:szCs w:val="24"/>
        </w:rPr>
        <w:t>aan</w:t>
      </w:r>
      <w:r w:rsidR="00B11B19">
        <w:rPr>
          <w:sz w:val="24"/>
          <w:szCs w:val="24"/>
        </w:rPr>
        <w:t xml:space="preserve"> desbetreffende eis.</w:t>
      </w:r>
    </w:p>
    <w:p w:rsidR="00B11B19" w:rsidRPr="00633A13" w:rsidRDefault="00776867" w:rsidP="00633A13">
      <w:pPr>
        <w:pStyle w:val="Heading2"/>
      </w:pPr>
      <w:bookmarkStart w:id="26" w:name="_Toc425516492"/>
      <w:r>
        <w:t>3</w:t>
      </w:r>
      <w:r w:rsidR="00633A13">
        <w:t xml:space="preserve">.3. </w:t>
      </w:r>
      <w:r w:rsidR="00B11B19" w:rsidRPr="00633A13">
        <w:t>Financieel Rating Systeem</w:t>
      </w:r>
      <w:bookmarkEnd w:id="26"/>
    </w:p>
    <w:p w:rsidR="00AA6EEE" w:rsidRDefault="003F311D" w:rsidP="00AA6EEE">
      <w:pPr>
        <w:spacing w:line="360" w:lineRule="auto"/>
        <w:jc w:val="both"/>
        <w:rPr>
          <w:sz w:val="24"/>
          <w:szCs w:val="24"/>
        </w:rPr>
      </w:pPr>
      <w:r>
        <w:rPr>
          <w:sz w:val="24"/>
          <w:szCs w:val="24"/>
        </w:rPr>
        <w:t xml:space="preserve">Het Financieel Rating Systeem </w:t>
      </w:r>
      <w:r w:rsidR="00C022B1">
        <w:rPr>
          <w:sz w:val="24"/>
          <w:szCs w:val="24"/>
        </w:rPr>
        <w:t xml:space="preserve">(FRS) </w:t>
      </w:r>
      <w:r>
        <w:rPr>
          <w:sz w:val="24"/>
          <w:szCs w:val="24"/>
        </w:rPr>
        <w:t>wordt beschouwd als het belangrijkste onderdeel van het licentiesysteem van de KNVB, omdat de gevolgen van de toetsing van levensbelang kunnen zijn. De indeling van de financiële positie van een licentiehouder is gebaseerd op basis van diverse financiële rapportages die driejaarlijks op vooraf vastgestelde meetmomenten dienen ingeleverd te worden bij de licentiecommissie</w:t>
      </w:r>
      <w:r w:rsidR="00C022B1">
        <w:rPr>
          <w:sz w:val="24"/>
          <w:szCs w:val="24"/>
        </w:rPr>
        <w:t xml:space="preserve"> </w:t>
      </w:r>
      <w:sdt>
        <w:sdtPr>
          <w:rPr>
            <w:sz w:val="24"/>
            <w:szCs w:val="24"/>
          </w:rPr>
          <w:id w:val="350223314"/>
          <w:citation/>
        </w:sdtPr>
        <w:sdtContent>
          <w:r w:rsidR="000C5AB6">
            <w:rPr>
              <w:sz w:val="24"/>
              <w:szCs w:val="24"/>
            </w:rPr>
            <w:fldChar w:fldCharType="begin"/>
          </w:r>
          <w:r w:rsidR="00C022B1">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Pr>
          <w:sz w:val="24"/>
          <w:szCs w:val="24"/>
        </w:rPr>
        <w:t>.</w:t>
      </w:r>
      <w:r w:rsidR="00AA6EEE">
        <w:rPr>
          <w:sz w:val="24"/>
          <w:szCs w:val="24"/>
        </w:rPr>
        <w:t xml:space="preserve"> </w:t>
      </w:r>
      <w:r>
        <w:rPr>
          <w:sz w:val="24"/>
          <w:szCs w:val="24"/>
        </w:rPr>
        <w:t xml:space="preserve">Belangrijke input van het Financieel Rating Systeem zijn de (half)jaarcijfers met bijbehorende prognoses en de </w:t>
      </w:r>
      <w:r w:rsidR="00711F54">
        <w:rPr>
          <w:sz w:val="24"/>
          <w:szCs w:val="24"/>
        </w:rPr>
        <w:t>begroting.</w:t>
      </w:r>
    </w:p>
    <w:p w:rsidR="00633A13" w:rsidRDefault="003F311D" w:rsidP="00AA6EEE">
      <w:pPr>
        <w:spacing w:line="360" w:lineRule="auto"/>
        <w:jc w:val="both"/>
        <w:rPr>
          <w:sz w:val="24"/>
          <w:szCs w:val="24"/>
        </w:rPr>
      </w:pPr>
      <w:r>
        <w:rPr>
          <w:sz w:val="24"/>
          <w:szCs w:val="24"/>
        </w:rPr>
        <w:t xml:space="preserve">Het FRS is onderverdeeld in tien kernvariabelen, die veelal bestaan uit variabelen gebaseerd op het verleden maar tevens </w:t>
      </w:r>
      <w:r w:rsidR="00F0235C">
        <w:rPr>
          <w:sz w:val="24"/>
          <w:szCs w:val="24"/>
        </w:rPr>
        <w:t xml:space="preserve">drie </w:t>
      </w:r>
      <w:r>
        <w:rPr>
          <w:sz w:val="24"/>
          <w:szCs w:val="24"/>
        </w:rPr>
        <w:t xml:space="preserve">toekomstige variabelen bevat. Informatie over deze variabelen is herleidbaar uit de ingeleverde jaarstukken en zullen leiden tot een bepaalde score per kernvariabele. Aan elk van de tien variabelen is een multiplier gekoppeld, die het gewicht en belang per variabele op de uiteindelijke financiële positie tot uitdrukking brengt. De score per variabele is te berekenen door de multiplier te vermenigvuldigen met de door </w:t>
      </w:r>
      <w:r>
        <w:rPr>
          <w:sz w:val="24"/>
          <w:szCs w:val="24"/>
        </w:rPr>
        <w:lastRenderedPageBreak/>
        <w:t>de KNVB opgestelde bandbreedte.</w:t>
      </w:r>
      <w:r w:rsidR="00F0235C">
        <w:rPr>
          <w:sz w:val="24"/>
          <w:szCs w:val="24"/>
        </w:rPr>
        <w:t xml:space="preserve"> Globaal gezien staan in onderstaand figuur de tien kernvariabelen beschreven met bijbehorende multipliers.</w:t>
      </w:r>
    </w:p>
    <w:p w:rsidR="00F0235C" w:rsidRDefault="000C5AB6" w:rsidP="00AA6EEE">
      <w:pPr>
        <w:spacing w:line="360" w:lineRule="auto"/>
        <w:jc w:val="both"/>
        <w:rPr>
          <w:sz w:val="24"/>
          <w:szCs w:val="24"/>
        </w:rPr>
      </w:pPr>
      <w:r w:rsidRPr="000C5AB6">
        <w:rPr>
          <w:noProof/>
          <w:sz w:val="24"/>
          <w:szCs w:val="24"/>
          <w:lang w:val="en-GB" w:eastAsia="en-GB"/>
        </w:rPr>
        <w:pict>
          <v:rect id="Rechthoek 19" o:spid="_x0000_s1042" style="position:absolute;left:0;text-align:left;margin-left:0;margin-top:6.35pt;width:54pt;height:21.75pt;z-index:25167872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" fillcolor="white [3201]" strokecolor="#5b9bd5 [3204]" strokeweight="1pt">
            <v:textbox>
              <w:txbxContent>
                <w:p w:rsidR="00776867" w:rsidRDefault="00776867" w:rsidP="00F0235C">
                  <w:pPr>
                    <w:jc w:val="center"/>
                  </w:pPr>
                  <w:r>
                    <w:t>Figuur 8</w:t>
                  </w:r>
                </w:p>
              </w:txbxContent>
            </v:textbox>
            <w10:wrap anchorx="margin"/>
          </v:rect>
        </w:pict>
      </w:r>
    </w:p>
    <w:p w:rsidR="00F0235C" w:rsidRPr="00AA6EEE" w:rsidRDefault="00F0235C" w:rsidP="00AA6EEE">
      <w:pPr>
        <w:spacing w:line="360" w:lineRule="auto"/>
        <w:jc w:val="both"/>
        <w:rPr>
          <w:sz w:val="24"/>
          <w:szCs w:val="24"/>
        </w:rPr>
      </w:pPr>
      <w:r>
        <w:rPr>
          <w:noProof/>
          <w:sz w:val="24"/>
          <w:szCs w:val="24"/>
          <w:lang w:val="en-US"/>
        </w:rPr>
        <w:drawing>
          <wp:inline distT="0" distB="0" distL="0" distR="0">
            <wp:extent cx="3581400" cy="2219325"/>
            <wp:effectExtent l="0" t="0" r="0" b="9525"/>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1400" cy="2219325"/>
                    </a:xfrm>
                    <a:prstGeom prst="rect">
                      <a:avLst/>
                    </a:prstGeom>
                    <a:noFill/>
                    <a:ln>
                      <a:noFill/>
                    </a:ln>
                  </pic:spPr>
                </pic:pic>
              </a:graphicData>
            </a:graphic>
          </wp:inline>
        </w:drawing>
      </w:r>
    </w:p>
    <w:p w:rsidR="00717B16" w:rsidRDefault="00243A9F" w:rsidP="00717B16">
      <w:pPr>
        <w:spacing w:line="360" w:lineRule="auto"/>
        <w:jc w:val="both"/>
        <w:rPr>
          <w:sz w:val="24"/>
          <w:szCs w:val="24"/>
        </w:rPr>
      </w:pPr>
      <w:r>
        <w:rPr>
          <w:sz w:val="24"/>
          <w:szCs w:val="24"/>
        </w:rPr>
        <w:t xml:space="preserve">In </w:t>
      </w:r>
      <w:proofErr w:type="gramStart"/>
      <w:r>
        <w:rPr>
          <w:sz w:val="24"/>
          <w:szCs w:val="24"/>
        </w:rPr>
        <w:t>de</w:t>
      </w:r>
      <w:proofErr w:type="gramEnd"/>
      <w:r>
        <w:rPr>
          <w:sz w:val="24"/>
          <w:szCs w:val="24"/>
        </w:rPr>
        <w:t xml:space="preserve"> appendix is een uitgebreide richtlijn toegevoegd die de precieze definiëring van elke kernvariabele </w:t>
      </w:r>
      <w:r w:rsidR="00C5456F">
        <w:rPr>
          <w:sz w:val="24"/>
          <w:szCs w:val="24"/>
        </w:rPr>
        <w:t>weergeeft</w:t>
      </w:r>
      <w:r>
        <w:rPr>
          <w:sz w:val="24"/>
          <w:szCs w:val="24"/>
        </w:rPr>
        <w:t xml:space="preserve"> en aangeeft welke input uit de financiële jaarstukken van de licentiehouder benodigd is om de financiële positie van de BVO te berekenen</w:t>
      </w:r>
      <w:r w:rsidR="00394E71">
        <w:rPr>
          <w:sz w:val="24"/>
          <w:szCs w:val="24"/>
        </w:rPr>
        <w:t xml:space="preserve"> </w:t>
      </w:r>
      <w:sdt>
        <w:sdtPr>
          <w:rPr>
            <w:sz w:val="24"/>
            <w:szCs w:val="24"/>
          </w:rPr>
          <w:id w:val="679019397"/>
          <w:citation/>
        </w:sdtPr>
        <w:sdtContent>
          <w:r w:rsidR="000C5AB6">
            <w:rPr>
              <w:sz w:val="24"/>
              <w:szCs w:val="24"/>
            </w:rPr>
            <w:fldChar w:fldCharType="begin"/>
          </w:r>
          <w:r w:rsidR="00394E71">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Pr>
          <w:sz w:val="24"/>
          <w:szCs w:val="24"/>
        </w:rPr>
        <w:t xml:space="preserve">. Daaropvolgend is in </w:t>
      </w:r>
      <w:proofErr w:type="gramStart"/>
      <w:r>
        <w:rPr>
          <w:sz w:val="24"/>
          <w:szCs w:val="24"/>
        </w:rPr>
        <w:t>de</w:t>
      </w:r>
      <w:proofErr w:type="gramEnd"/>
      <w:r>
        <w:rPr>
          <w:sz w:val="24"/>
          <w:szCs w:val="24"/>
        </w:rPr>
        <w:t xml:space="preserve"> appendix een tabel toegevoegd die de bandbreedtes per kernvariabele presenteert met het daarbij behorende</w:t>
      </w:r>
      <w:r w:rsidR="00394E71">
        <w:rPr>
          <w:sz w:val="24"/>
          <w:szCs w:val="24"/>
        </w:rPr>
        <w:t xml:space="preserve"> gewicht/multiplier </w:t>
      </w:r>
      <w:sdt>
        <w:sdtPr>
          <w:rPr>
            <w:sz w:val="24"/>
            <w:szCs w:val="24"/>
          </w:rPr>
          <w:id w:val="-311097111"/>
          <w:citation/>
        </w:sdtPr>
        <w:sdtContent>
          <w:r w:rsidR="000C5AB6">
            <w:rPr>
              <w:sz w:val="24"/>
              <w:szCs w:val="24"/>
            </w:rPr>
            <w:fldChar w:fldCharType="begin"/>
          </w:r>
          <w:r w:rsidR="00CB4A2A">
            <w:rPr>
              <w:sz w:val="24"/>
              <w:szCs w:val="24"/>
            </w:rPr>
            <w:instrText xml:space="preserve">CITATION Ric142 \l 1043 </w:instrText>
          </w:r>
          <w:r w:rsidR="000C5AB6">
            <w:rPr>
              <w:sz w:val="24"/>
              <w:szCs w:val="24"/>
            </w:rPr>
            <w:fldChar w:fldCharType="separate"/>
          </w:r>
          <w:r w:rsidR="00062BB9" w:rsidRPr="00062BB9">
            <w:rPr>
              <w:noProof/>
              <w:sz w:val="24"/>
              <w:szCs w:val="24"/>
            </w:rPr>
            <w:t>(Richtlijn Plan van Aanpak, 2014)</w:t>
          </w:r>
          <w:r w:rsidR="000C5AB6">
            <w:rPr>
              <w:sz w:val="24"/>
              <w:szCs w:val="24"/>
            </w:rPr>
            <w:fldChar w:fldCharType="end"/>
          </w:r>
        </w:sdtContent>
      </w:sdt>
      <w:r>
        <w:rPr>
          <w:sz w:val="24"/>
          <w:szCs w:val="24"/>
        </w:rPr>
        <w:t>.</w:t>
      </w:r>
    </w:p>
    <w:p w:rsidR="00243A9F" w:rsidRDefault="00A15087" w:rsidP="00717B16">
      <w:pPr>
        <w:spacing w:line="360" w:lineRule="auto"/>
        <w:jc w:val="both"/>
        <w:rPr>
          <w:sz w:val="24"/>
          <w:szCs w:val="24"/>
        </w:rPr>
      </w:pPr>
      <w:r>
        <w:rPr>
          <w:sz w:val="24"/>
          <w:szCs w:val="24"/>
        </w:rPr>
        <w:t>Uiteindelijk leiden de scores van de tien kernvariabelen opgeteld tot de financiële positie van de licentiehouder</w:t>
      </w:r>
      <w:proofErr w:type="gramStart"/>
      <w:r>
        <w:rPr>
          <w:sz w:val="24"/>
          <w:szCs w:val="24"/>
        </w:rPr>
        <w:t>, wat</w:t>
      </w:r>
      <w:proofErr w:type="gramEnd"/>
      <w:r>
        <w:rPr>
          <w:sz w:val="24"/>
          <w:szCs w:val="24"/>
        </w:rPr>
        <w:t xml:space="preserve"> leidt tot een indeling in een van de drie categorieën. </w:t>
      </w:r>
      <w:r w:rsidR="009F58E1">
        <w:rPr>
          <w:sz w:val="24"/>
          <w:szCs w:val="24"/>
        </w:rPr>
        <w:t xml:space="preserve">De categorieën zijn te onderscheiden door het aantal behaalde </w:t>
      </w:r>
      <w:r w:rsidR="00C7286F">
        <w:rPr>
          <w:sz w:val="24"/>
          <w:szCs w:val="24"/>
        </w:rPr>
        <w:t>punten op de toetsing van de FRS</w:t>
      </w:r>
      <w:r w:rsidR="009F58E1">
        <w:rPr>
          <w:sz w:val="24"/>
          <w:szCs w:val="24"/>
        </w:rPr>
        <w:t xml:space="preserve"> en zijn als volgt opgesteld:</w:t>
      </w:r>
    </w:p>
    <w:p w:rsidR="009F58E1" w:rsidRDefault="009F58E1" w:rsidP="009F58E1">
      <w:pPr>
        <w:pStyle w:val="ListParagraph"/>
        <w:numPr>
          <w:ilvl w:val="0"/>
          <w:numId w:val="5"/>
        </w:numPr>
        <w:spacing w:line="360" w:lineRule="auto"/>
        <w:jc w:val="both"/>
        <w:rPr>
          <w:sz w:val="24"/>
          <w:szCs w:val="24"/>
        </w:rPr>
      </w:pPr>
      <w:r w:rsidRPr="009F58E1">
        <w:rPr>
          <w:b/>
          <w:sz w:val="24"/>
          <w:szCs w:val="24"/>
        </w:rPr>
        <w:t>Categorie 1</w:t>
      </w:r>
      <w:r>
        <w:rPr>
          <w:sz w:val="24"/>
          <w:szCs w:val="24"/>
        </w:rPr>
        <w:t>: van -16 tot en met 64 punten. Indeling in deze categorie betekent dat de financiële positie van de licentiehouder als onvoldoende wordt beschouwd.</w:t>
      </w:r>
    </w:p>
    <w:p w:rsidR="009F58E1" w:rsidRDefault="009F58E1" w:rsidP="009F58E1">
      <w:pPr>
        <w:pStyle w:val="ListParagraph"/>
        <w:numPr>
          <w:ilvl w:val="0"/>
          <w:numId w:val="5"/>
        </w:numPr>
        <w:spacing w:line="360" w:lineRule="auto"/>
        <w:jc w:val="both"/>
        <w:rPr>
          <w:sz w:val="24"/>
          <w:szCs w:val="24"/>
        </w:rPr>
      </w:pPr>
      <w:r>
        <w:rPr>
          <w:b/>
          <w:sz w:val="24"/>
          <w:szCs w:val="24"/>
        </w:rPr>
        <w:t>Categorie 2</w:t>
      </w:r>
      <w:r w:rsidRPr="009F58E1">
        <w:rPr>
          <w:sz w:val="24"/>
          <w:szCs w:val="24"/>
        </w:rPr>
        <w:t>:</w:t>
      </w:r>
      <w:r>
        <w:rPr>
          <w:b/>
          <w:sz w:val="24"/>
          <w:szCs w:val="24"/>
        </w:rPr>
        <w:t xml:space="preserve"> </w:t>
      </w:r>
      <w:r>
        <w:rPr>
          <w:sz w:val="24"/>
          <w:szCs w:val="24"/>
        </w:rPr>
        <w:t>van 65 tot en met 129 punten. Positionering in categorie 2 heeft tot gevolg dat de financiële positie van de licentiehouder wordt bestempeld als voldoende.</w:t>
      </w:r>
    </w:p>
    <w:p w:rsidR="009F58E1" w:rsidRDefault="009F58E1" w:rsidP="009F58E1">
      <w:pPr>
        <w:pStyle w:val="ListParagraph"/>
        <w:numPr>
          <w:ilvl w:val="0"/>
          <w:numId w:val="5"/>
        </w:numPr>
        <w:spacing w:line="360" w:lineRule="auto"/>
        <w:jc w:val="both"/>
        <w:rPr>
          <w:sz w:val="24"/>
          <w:szCs w:val="24"/>
        </w:rPr>
      </w:pPr>
      <w:r>
        <w:rPr>
          <w:b/>
          <w:sz w:val="24"/>
          <w:szCs w:val="24"/>
        </w:rPr>
        <w:t>Categorie 3:</w:t>
      </w:r>
      <w:r>
        <w:rPr>
          <w:sz w:val="24"/>
          <w:szCs w:val="24"/>
        </w:rPr>
        <w:t xml:space="preserve"> van 130 tot en met 240 punten. Clubs in deze categorie worden tot de gezondste clubs </w:t>
      </w:r>
      <w:r w:rsidR="008123C5">
        <w:rPr>
          <w:sz w:val="24"/>
          <w:szCs w:val="24"/>
        </w:rPr>
        <w:t>van het land geschaard en krijgen</w:t>
      </w:r>
      <w:r>
        <w:rPr>
          <w:sz w:val="24"/>
          <w:szCs w:val="24"/>
        </w:rPr>
        <w:t xml:space="preserve"> een goede beoordeling.</w:t>
      </w:r>
    </w:p>
    <w:p w:rsidR="00286E72" w:rsidRDefault="008123C5" w:rsidP="008123C5">
      <w:pPr>
        <w:spacing w:line="360" w:lineRule="auto"/>
        <w:jc w:val="both"/>
        <w:rPr>
          <w:sz w:val="24"/>
          <w:szCs w:val="24"/>
        </w:rPr>
      </w:pPr>
      <w:r>
        <w:rPr>
          <w:sz w:val="24"/>
          <w:szCs w:val="24"/>
        </w:rPr>
        <w:t xml:space="preserve">Op zijn minst wordt driemaal per kalenderjaar de categorie-indeling van de licentiehouders bekendgemaakt, inclusief een toelichting met onder andere bekendmaking van hoelang een </w:t>
      </w:r>
      <w:r>
        <w:rPr>
          <w:sz w:val="24"/>
          <w:szCs w:val="24"/>
        </w:rPr>
        <w:lastRenderedPageBreak/>
        <w:t xml:space="preserve">licentiehouder in een bepaalde categorie is ingedeeld. </w:t>
      </w:r>
      <w:r w:rsidR="00711F54">
        <w:rPr>
          <w:sz w:val="24"/>
          <w:szCs w:val="24"/>
        </w:rPr>
        <w:t>O</w:t>
      </w:r>
      <w:r w:rsidR="00286E72">
        <w:rPr>
          <w:sz w:val="24"/>
          <w:szCs w:val="24"/>
        </w:rPr>
        <w:t xml:space="preserve">nderstaande figuur </w:t>
      </w:r>
      <w:r w:rsidR="00711F54">
        <w:rPr>
          <w:sz w:val="24"/>
          <w:szCs w:val="24"/>
        </w:rPr>
        <w:t>geeft</w:t>
      </w:r>
      <w:r w:rsidR="00286E72">
        <w:rPr>
          <w:sz w:val="24"/>
          <w:szCs w:val="24"/>
        </w:rPr>
        <w:t xml:space="preserve"> de drie meetmomenten </w:t>
      </w:r>
      <w:r w:rsidR="00711F54">
        <w:rPr>
          <w:sz w:val="24"/>
          <w:szCs w:val="24"/>
        </w:rPr>
        <w:t xml:space="preserve">weer met daarbij de in te </w:t>
      </w:r>
      <w:r w:rsidR="00286E72">
        <w:rPr>
          <w:sz w:val="24"/>
          <w:szCs w:val="24"/>
        </w:rPr>
        <w:t xml:space="preserve">leveren stukken. </w:t>
      </w:r>
    </w:p>
    <w:p w:rsidR="00286E72" w:rsidRDefault="000C5AB6" w:rsidP="008123C5">
      <w:pPr>
        <w:spacing w:line="360" w:lineRule="auto"/>
        <w:jc w:val="both"/>
        <w:rPr>
          <w:sz w:val="24"/>
          <w:szCs w:val="24"/>
        </w:rPr>
      </w:pPr>
      <w:r w:rsidRPr="000C5AB6">
        <w:rPr>
          <w:noProof/>
          <w:sz w:val="24"/>
          <w:szCs w:val="24"/>
          <w:lang w:val="en-GB" w:eastAsia="en-GB"/>
        </w:rPr>
        <w:pict>
          <v:rect id="Rechthoek 22" o:spid="_x0000_s1043" style="position:absolute;left:0;text-align:left;margin-left:0;margin-top:6.25pt;width:56.25pt;height:22.5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" fillcolor="white [3201]" strokecolor="#5b9bd5 [3204]" strokeweight="1pt">
            <v:textbox>
              <w:txbxContent>
                <w:p w:rsidR="00776867" w:rsidRDefault="00776867" w:rsidP="00286E72">
                  <w:pPr>
                    <w:jc w:val="center"/>
                  </w:pPr>
                  <w:r>
                    <w:t>Figuur 9</w:t>
                  </w:r>
                </w:p>
              </w:txbxContent>
            </v:textbox>
            <w10:wrap anchorx="margin"/>
          </v:rect>
        </w:pict>
      </w:r>
      <w:r w:rsidRPr="000C5AB6">
        <w:rPr>
          <w:noProof/>
          <w:sz w:val="24"/>
          <w:szCs w:val="24"/>
          <w:lang w:val="en-GB" w:eastAsia="en-GB"/>
        </w:rPr>
        <w:pict>
          <v:rect id="Rechthoek 21" o:spid="_x0000_s1071" style="position:absolute;left:0;text-align:left;margin-left:1.15pt;margin-top:18.3pt;width:33pt;height:9.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" fillcolor="#5b9bd5 [3204]" strokecolor="#1f4d78 [1604]" strokeweight="1pt"/>
        </w:pict>
      </w:r>
    </w:p>
    <w:p w:rsidR="00286E72" w:rsidRPr="008123C5" w:rsidRDefault="00286E72" w:rsidP="008123C5">
      <w:pPr>
        <w:spacing w:line="360" w:lineRule="auto"/>
        <w:jc w:val="both"/>
        <w:rPr>
          <w:sz w:val="24"/>
          <w:szCs w:val="24"/>
        </w:rPr>
      </w:pPr>
      <w:r>
        <w:rPr>
          <w:noProof/>
          <w:sz w:val="24"/>
          <w:szCs w:val="24"/>
          <w:lang w:val="en-US"/>
        </w:rPr>
        <w:drawing>
          <wp:inline distT="0" distB="0" distL="0" distR="0">
            <wp:extent cx="5762625" cy="1514475"/>
            <wp:effectExtent l="0" t="0" r="9525" b="952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1514475"/>
                    </a:xfrm>
                    <a:prstGeom prst="rect">
                      <a:avLst/>
                    </a:prstGeom>
                    <a:noFill/>
                    <a:ln>
                      <a:noFill/>
                    </a:ln>
                  </pic:spPr>
                </pic:pic>
              </a:graphicData>
            </a:graphic>
          </wp:inline>
        </w:drawing>
      </w:r>
    </w:p>
    <w:p w:rsidR="00D471DF" w:rsidRDefault="00111350" w:rsidP="006E3FF9">
      <w:pPr>
        <w:spacing w:line="360" w:lineRule="auto"/>
        <w:jc w:val="both"/>
        <w:rPr>
          <w:sz w:val="24"/>
          <w:szCs w:val="24"/>
        </w:rPr>
      </w:pPr>
      <w:r>
        <w:rPr>
          <w:sz w:val="24"/>
          <w:szCs w:val="24"/>
        </w:rPr>
        <w:t>Indien ee</w:t>
      </w:r>
      <w:r w:rsidR="00C7286F">
        <w:rPr>
          <w:sz w:val="24"/>
          <w:szCs w:val="24"/>
        </w:rPr>
        <w:t>n licentiehouder volgens het FRS</w:t>
      </w:r>
      <w:r>
        <w:rPr>
          <w:sz w:val="24"/>
          <w:szCs w:val="24"/>
        </w:rPr>
        <w:t xml:space="preserve"> ingedeeld wordt in categorie 1, kan promotie naar categorie 2 of categorie 3 pas volgen indien er sprake is van een structurele verbetering. Er is pas sprake van een structurele verbetering als op twee opeenvolgende meetmomenten meer dan 64 punten behaald is</w:t>
      </w:r>
      <w:r w:rsidR="005C5A04">
        <w:rPr>
          <w:sz w:val="24"/>
          <w:szCs w:val="24"/>
        </w:rPr>
        <w:t xml:space="preserve"> </w:t>
      </w:r>
      <w:sdt>
        <w:sdtPr>
          <w:rPr>
            <w:sz w:val="24"/>
            <w:szCs w:val="24"/>
          </w:rPr>
          <w:id w:val="1327170522"/>
          <w:citation/>
        </w:sdtPr>
        <w:sdtContent>
          <w:r w:rsidR="000C5AB6">
            <w:rPr>
              <w:sz w:val="24"/>
              <w:szCs w:val="24"/>
            </w:rPr>
            <w:fldChar w:fldCharType="begin"/>
          </w:r>
          <w:r w:rsidR="005C5A04">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Pr>
          <w:sz w:val="24"/>
          <w:szCs w:val="24"/>
        </w:rPr>
        <w:t>.</w:t>
      </w:r>
    </w:p>
    <w:p w:rsidR="00111350" w:rsidRPr="00C5456F" w:rsidRDefault="00776867" w:rsidP="00C5456F">
      <w:pPr>
        <w:pStyle w:val="Heading3"/>
        <w:rPr>
          <w:sz w:val="28"/>
        </w:rPr>
      </w:pPr>
      <w:bookmarkStart w:id="27" w:name="_Toc425516493"/>
      <w:r>
        <w:rPr>
          <w:sz w:val="28"/>
        </w:rPr>
        <w:t>3</w:t>
      </w:r>
      <w:r w:rsidR="00C5456F" w:rsidRPr="00C5456F">
        <w:rPr>
          <w:sz w:val="28"/>
        </w:rPr>
        <w:t xml:space="preserve">.3.1. </w:t>
      </w:r>
      <w:r w:rsidR="00C7286F" w:rsidRPr="00C5456F">
        <w:rPr>
          <w:sz w:val="28"/>
        </w:rPr>
        <w:t>Maatregelen en sancties F</w:t>
      </w:r>
      <w:r w:rsidR="00C5456F">
        <w:rPr>
          <w:sz w:val="28"/>
        </w:rPr>
        <w:t xml:space="preserve">inancieel </w:t>
      </w:r>
      <w:r w:rsidR="00C7286F" w:rsidRPr="00C5456F">
        <w:rPr>
          <w:sz w:val="28"/>
        </w:rPr>
        <w:t>R</w:t>
      </w:r>
      <w:r w:rsidR="00C5456F">
        <w:rPr>
          <w:sz w:val="28"/>
        </w:rPr>
        <w:t xml:space="preserve">ating </w:t>
      </w:r>
      <w:r w:rsidR="00C7286F" w:rsidRPr="00C5456F">
        <w:rPr>
          <w:sz w:val="28"/>
        </w:rPr>
        <w:t>S</w:t>
      </w:r>
      <w:r w:rsidR="00C5456F">
        <w:rPr>
          <w:sz w:val="28"/>
        </w:rPr>
        <w:t>ysteem</w:t>
      </w:r>
      <w:bookmarkEnd w:id="27"/>
    </w:p>
    <w:p w:rsidR="00111350" w:rsidRDefault="00141146" w:rsidP="006E3FF9">
      <w:pPr>
        <w:spacing w:line="360" w:lineRule="auto"/>
        <w:jc w:val="both"/>
        <w:rPr>
          <w:sz w:val="24"/>
          <w:szCs w:val="24"/>
        </w:rPr>
      </w:pPr>
      <w:r>
        <w:rPr>
          <w:sz w:val="24"/>
          <w:szCs w:val="24"/>
        </w:rPr>
        <w:t>Indien niet wordt voldaan aan de eisen van het licentiesysteem, heeft de licentiecommissie de beschikking over verschillende soorten sancties.</w:t>
      </w:r>
      <w:r w:rsidR="00EE57C8">
        <w:rPr>
          <w:sz w:val="24"/>
          <w:szCs w:val="24"/>
        </w:rPr>
        <w:t xml:space="preserve"> De vorm van de sanctie is (vooral) afhankelijk van de aard van de overtreding. Indien er sprake is van een overtreding van een categorie </w:t>
      </w:r>
      <w:proofErr w:type="spellStart"/>
      <w:r w:rsidR="00EE57C8">
        <w:rPr>
          <w:sz w:val="24"/>
          <w:szCs w:val="24"/>
        </w:rPr>
        <w:t>B-eis</w:t>
      </w:r>
      <w:proofErr w:type="spellEnd"/>
      <w:r w:rsidR="00EE57C8">
        <w:rPr>
          <w:sz w:val="24"/>
          <w:szCs w:val="24"/>
        </w:rPr>
        <w:t xml:space="preserve">, wordt er een geldboete opgelegd aan de licentiehouder. In het geval van een overtreding van een categorie </w:t>
      </w:r>
      <w:proofErr w:type="spellStart"/>
      <w:r w:rsidR="00EE57C8">
        <w:rPr>
          <w:sz w:val="24"/>
          <w:szCs w:val="24"/>
        </w:rPr>
        <w:t>B-eis</w:t>
      </w:r>
      <w:proofErr w:type="spellEnd"/>
      <w:r w:rsidR="00EE57C8">
        <w:rPr>
          <w:sz w:val="24"/>
          <w:szCs w:val="24"/>
        </w:rPr>
        <w:t xml:space="preserve">, heeft de licentiecommissie de keuze tussen het opleggen van een geldboete of het verplichten tot het opstellen van een plan van aanpak om de financiële positie van de licentiehouder weer op orde te krijgen. </w:t>
      </w:r>
    </w:p>
    <w:p w:rsidR="006823D3" w:rsidRDefault="00157C42" w:rsidP="006E3FF9">
      <w:pPr>
        <w:spacing w:line="360" w:lineRule="auto"/>
        <w:jc w:val="both"/>
        <w:rPr>
          <w:sz w:val="24"/>
          <w:szCs w:val="24"/>
        </w:rPr>
      </w:pPr>
      <w:r>
        <w:rPr>
          <w:sz w:val="24"/>
          <w:szCs w:val="24"/>
        </w:rPr>
        <w:t xml:space="preserve">Indien de licentiehouder niet voldoet aan de gestelde eisen met betrekking tot haar </w:t>
      </w:r>
      <w:r w:rsidR="00110D0D">
        <w:rPr>
          <w:sz w:val="24"/>
          <w:szCs w:val="24"/>
        </w:rPr>
        <w:t>financiële</w:t>
      </w:r>
      <w:r>
        <w:rPr>
          <w:sz w:val="24"/>
          <w:szCs w:val="24"/>
        </w:rPr>
        <w:t xml:space="preserve"> positie en zodoende in categorie 1 wordt ingedeeld, moet de licentiehouder een plan van aanpak stellen dat moet leiden tot een structurele terugkeer naar categorie 2 of 3</w:t>
      </w:r>
      <w:r w:rsidR="005C5A04">
        <w:rPr>
          <w:sz w:val="24"/>
          <w:szCs w:val="24"/>
        </w:rPr>
        <w:t xml:space="preserve"> </w:t>
      </w:r>
      <w:sdt>
        <w:sdtPr>
          <w:rPr>
            <w:sz w:val="24"/>
            <w:szCs w:val="24"/>
          </w:rPr>
          <w:id w:val="-149833878"/>
          <w:citation/>
        </w:sdtPr>
        <w:sdtContent>
          <w:r w:rsidR="000C5AB6">
            <w:rPr>
              <w:sz w:val="24"/>
              <w:szCs w:val="24"/>
            </w:rPr>
            <w:fldChar w:fldCharType="begin"/>
          </w:r>
          <w:r w:rsidR="00CB4A2A">
            <w:rPr>
              <w:sz w:val="24"/>
              <w:szCs w:val="24"/>
            </w:rPr>
            <w:instrText xml:space="preserve">CITATION Ric142 \l 1043 </w:instrText>
          </w:r>
          <w:r w:rsidR="000C5AB6">
            <w:rPr>
              <w:sz w:val="24"/>
              <w:szCs w:val="24"/>
            </w:rPr>
            <w:fldChar w:fldCharType="separate"/>
          </w:r>
          <w:r w:rsidR="00062BB9" w:rsidRPr="00062BB9">
            <w:rPr>
              <w:noProof/>
              <w:sz w:val="24"/>
              <w:szCs w:val="24"/>
            </w:rPr>
            <w:t>(Richtlijn Plan van Aanpak, 2014)</w:t>
          </w:r>
          <w:r w:rsidR="000C5AB6">
            <w:rPr>
              <w:sz w:val="24"/>
              <w:szCs w:val="24"/>
            </w:rPr>
            <w:fldChar w:fldCharType="end"/>
          </w:r>
        </w:sdtContent>
      </w:sdt>
      <w:r>
        <w:rPr>
          <w:sz w:val="24"/>
          <w:szCs w:val="24"/>
        </w:rPr>
        <w:t xml:space="preserve">. Ter aanvulling hierop vereist het licentiesysteem dat een licentiehouder in de volgende vijftien meetmomenten maximaal negen keer ingedeeld mag worden in categorie 1, wederom op basis van de score van het FRS. Indien het aantal meetmomenten de negen overschrijft, leidt dat tot een intrekking van de licentie, waarop het voortbestaan van de club op </w:t>
      </w:r>
      <w:proofErr w:type="gramStart"/>
      <w:r>
        <w:rPr>
          <w:sz w:val="24"/>
          <w:szCs w:val="24"/>
        </w:rPr>
        <w:t>betaald</w:t>
      </w:r>
      <w:proofErr w:type="gramEnd"/>
      <w:r>
        <w:rPr>
          <w:sz w:val="24"/>
          <w:szCs w:val="24"/>
        </w:rPr>
        <w:t xml:space="preserve"> voetbalniveau uitgesloten wordt. Het doel van het plan van aanpak is om de club binnen maximaal 9 meetmomenten structureel naar categorie 2 of 3 te brengen. Tijdens dit proces houdt de licentiecommissie streng toezicht op de </w:t>
      </w:r>
      <w:r>
        <w:rPr>
          <w:sz w:val="24"/>
          <w:szCs w:val="24"/>
        </w:rPr>
        <w:lastRenderedPageBreak/>
        <w:t xml:space="preserve">afspraken in dit plan van aanpak. </w:t>
      </w:r>
      <w:r w:rsidRPr="00157C42">
        <w:rPr>
          <w:sz w:val="24"/>
          <w:szCs w:val="24"/>
        </w:rPr>
        <w:t xml:space="preserve">Elk jaar </w:t>
      </w:r>
      <w:proofErr w:type="gramStart"/>
      <w:r w:rsidRPr="00157C42">
        <w:rPr>
          <w:sz w:val="24"/>
          <w:szCs w:val="24"/>
        </w:rPr>
        <w:t>zijn</w:t>
      </w:r>
      <w:proofErr w:type="gramEnd"/>
      <w:r w:rsidRPr="00157C42">
        <w:rPr>
          <w:sz w:val="24"/>
          <w:szCs w:val="24"/>
        </w:rPr>
        <w:t xml:space="preserve"> er drie meetmomenten</w:t>
      </w:r>
      <w:r>
        <w:rPr>
          <w:sz w:val="24"/>
          <w:szCs w:val="24"/>
        </w:rPr>
        <w:t xml:space="preserve"> voor de categorie-indeling, wat</w:t>
      </w:r>
      <w:r w:rsidRPr="00157C42">
        <w:rPr>
          <w:sz w:val="24"/>
          <w:szCs w:val="24"/>
        </w:rPr>
        <w:t xml:space="preserve"> betekent dat het plan van aanpak binnen drie jaar de club naar categorie 2 of 3 moet brengen.</w:t>
      </w:r>
      <w:r w:rsidR="00E72740">
        <w:rPr>
          <w:sz w:val="24"/>
          <w:szCs w:val="24"/>
        </w:rPr>
        <w:t xml:space="preserve"> </w:t>
      </w:r>
    </w:p>
    <w:p w:rsidR="006823D3" w:rsidRDefault="00E72740" w:rsidP="006E3FF9">
      <w:pPr>
        <w:spacing w:line="360" w:lineRule="auto"/>
        <w:jc w:val="both"/>
        <w:rPr>
          <w:sz w:val="24"/>
          <w:szCs w:val="24"/>
        </w:rPr>
      </w:pPr>
      <w:r>
        <w:rPr>
          <w:sz w:val="24"/>
          <w:szCs w:val="24"/>
        </w:rPr>
        <w:t xml:space="preserve">Het financieel plan van aanpak kan gedurende de volgende meetmomenten aan verandering onderhevig zijn. </w:t>
      </w:r>
      <w:r w:rsidR="006823D3">
        <w:rPr>
          <w:sz w:val="24"/>
          <w:szCs w:val="24"/>
        </w:rPr>
        <w:t xml:space="preserve">Als gevolg van de puntenindeling van het FRS onder de 65 punten moet een oorspronkelijk plan van aanpak opgemaakt. Dit plan heeft betrekking op de aankomende negen meetmomenten en betekent de start van het traject om terug te keren naar structurele verbetering. </w:t>
      </w:r>
    </w:p>
    <w:p w:rsidR="006823D3" w:rsidRDefault="006823D3" w:rsidP="006E3FF9">
      <w:pPr>
        <w:spacing w:line="360" w:lineRule="auto"/>
        <w:jc w:val="both"/>
        <w:rPr>
          <w:sz w:val="24"/>
          <w:szCs w:val="24"/>
        </w:rPr>
      </w:pPr>
      <w:r>
        <w:rPr>
          <w:sz w:val="24"/>
          <w:szCs w:val="24"/>
        </w:rPr>
        <w:t xml:space="preserve">Op meetmoment 3, waar de begroting bestaande uit een winst- en verliesrekening (op jaarbasis) en een liquiditeitsbegroting (op kwartaalbasis) dient ingeleverd te worden, moet een licentiehouder die geplaatst in categorie 1 is ingedeeld het vervolg plan van aanpak inleveren. Hierin moet de licentiehouder aantonen dat de structurele verbetering naar categorie 2 of 3 nog steeds behaald kan worden in de resterende periode van maximaal 9 meetmomenten. De licentiecommissie dient hier goedkeuring over te geven. Indien de begroting in negatieve zin afwijkt van het oorspronkelijke plan van aanpak, mag er op verzoek van de licentiehouder een herzien plan van aanpak opgesteld worden. </w:t>
      </w:r>
    </w:p>
    <w:p w:rsidR="006823D3" w:rsidRDefault="006823D3" w:rsidP="006E3FF9">
      <w:pPr>
        <w:spacing w:line="360" w:lineRule="auto"/>
        <w:jc w:val="both"/>
        <w:rPr>
          <w:sz w:val="24"/>
          <w:szCs w:val="24"/>
        </w:rPr>
      </w:pPr>
      <w:r>
        <w:rPr>
          <w:sz w:val="24"/>
          <w:szCs w:val="24"/>
        </w:rPr>
        <w:t xml:space="preserve">Indien de licentiecommissie gedurende de termijn van </w:t>
      </w:r>
      <w:proofErr w:type="gramStart"/>
      <w:r>
        <w:rPr>
          <w:sz w:val="24"/>
          <w:szCs w:val="24"/>
        </w:rPr>
        <w:t>het</w:t>
      </w:r>
      <w:proofErr w:type="gramEnd"/>
      <w:r>
        <w:rPr>
          <w:sz w:val="24"/>
          <w:szCs w:val="24"/>
        </w:rPr>
        <w:t xml:space="preserve"> aanpak op de hoogte wordt gebracht van veranderende omstandigheden en/of feiten, kan de commissie de licentiehouder verplichten tot het opmaken van een aangepast plan van aanpak. Dit plan dient aan dezelfde eisen en normstellingen </w:t>
      </w:r>
      <w:r w:rsidR="00BD364F">
        <w:rPr>
          <w:sz w:val="24"/>
          <w:szCs w:val="24"/>
        </w:rPr>
        <w:t xml:space="preserve">te voldoen als het oorspronkelijke plan van aanpak, wat betekent dat de hoogte van de vereiste normen nog steeds </w:t>
      </w:r>
      <w:proofErr w:type="gramStart"/>
      <w:r w:rsidR="00BD364F">
        <w:rPr>
          <w:sz w:val="24"/>
          <w:szCs w:val="24"/>
        </w:rPr>
        <w:t>dienen</w:t>
      </w:r>
      <w:proofErr w:type="gramEnd"/>
      <w:r w:rsidR="00BD364F">
        <w:rPr>
          <w:sz w:val="24"/>
          <w:szCs w:val="24"/>
        </w:rPr>
        <w:t xml:space="preserve"> behaald te worden, tenzij er een verzoek tot herziening wordt gedaan.</w:t>
      </w:r>
    </w:p>
    <w:p w:rsidR="00C95D56" w:rsidRDefault="00C95D56" w:rsidP="006E3FF9">
      <w:pPr>
        <w:spacing w:line="360" w:lineRule="auto"/>
        <w:jc w:val="both"/>
        <w:rPr>
          <w:sz w:val="24"/>
          <w:szCs w:val="24"/>
        </w:rPr>
      </w:pPr>
      <w:r>
        <w:rPr>
          <w:sz w:val="24"/>
          <w:szCs w:val="24"/>
        </w:rPr>
        <w:t>In onderstaande figuur is globaal te zien in welke termijn de structurele verbetering naar categorie 2 of 3 dient te worden behaald, wat betekent dat de licentiehouder op twee achtereenvolgende meetmomenten een score van minimaal 65 punten moet behalen op basis van het Financieel Rating Systeem.</w:t>
      </w:r>
    </w:p>
    <w:p w:rsidR="00C5456F" w:rsidRDefault="00C5456F" w:rsidP="006E3FF9">
      <w:pPr>
        <w:spacing w:line="360" w:lineRule="auto"/>
        <w:jc w:val="both"/>
        <w:rPr>
          <w:sz w:val="24"/>
          <w:szCs w:val="24"/>
        </w:rPr>
      </w:pPr>
    </w:p>
    <w:p w:rsidR="00C5456F" w:rsidRDefault="00C5456F" w:rsidP="006E3FF9">
      <w:pPr>
        <w:spacing w:line="360" w:lineRule="auto"/>
        <w:jc w:val="both"/>
        <w:rPr>
          <w:sz w:val="24"/>
          <w:szCs w:val="24"/>
        </w:rPr>
      </w:pPr>
    </w:p>
    <w:p w:rsidR="00C5456F" w:rsidRDefault="00C5456F" w:rsidP="006E3FF9">
      <w:pPr>
        <w:spacing w:line="360" w:lineRule="auto"/>
        <w:jc w:val="both"/>
        <w:rPr>
          <w:sz w:val="24"/>
          <w:szCs w:val="24"/>
        </w:rPr>
      </w:pPr>
    </w:p>
    <w:p w:rsidR="00C5456F" w:rsidRDefault="00C5456F" w:rsidP="006E3FF9">
      <w:pPr>
        <w:spacing w:line="360" w:lineRule="auto"/>
        <w:jc w:val="both"/>
        <w:rPr>
          <w:sz w:val="24"/>
          <w:szCs w:val="24"/>
        </w:rPr>
      </w:pPr>
    </w:p>
    <w:p w:rsidR="00C95D56" w:rsidRDefault="000C5AB6" w:rsidP="006E3FF9">
      <w:pPr>
        <w:spacing w:line="360" w:lineRule="auto"/>
        <w:jc w:val="both"/>
        <w:rPr>
          <w:sz w:val="24"/>
          <w:szCs w:val="24"/>
        </w:rPr>
      </w:pPr>
      <w:r w:rsidRPr="000C5AB6">
        <w:rPr>
          <w:noProof/>
          <w:sz w:val="24"/>
          <w:szCs w:val="24"/>
          <w:lang w:val="en-GB" w:eastAsia="en-GB"/>
        </w:rPr>
        <w:lastRenderedPageBreak/>
        <w:pict>
          <v:rect id="Rechthoek 24" o:spid="_x0000_s1044" style="position:absolute;left:0;text-align:left;margin-left:0;margin-top:1.15pt;width:57.75pt;height:23.1pt;z-index:2516817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" fillcolor="white [3201]" strokecolor="black [3213]" strokeweight="1pt">
            <v:textbox>
              <w:txbxContent>
                <w:p w:rsidR="00776867" w:rsidRPr="00C5456F" w:rsidRDefault="00776867" w:rsidP="00C95D56">
                  <w:pPr>
                    <w:jc w:val="center"/>
                    <w:rPr>
                      <w:sz w:val="22"/>
                    </w:rPr>
                  </w:pPr>
                  <w:r>
                    <w:rPr>
                      <w:sz w:val="22"/>
                    </w:rPr>
                    <w:t>Figuur 10</w:t>
                  </w:r>
                </w:p>
              </w:txbxContent>
            </v:textbox>
            <w10:wrap anchorx="margin"/>
          </v:rect>
        </w:pict>
      </w:r>
    </w:p>
    <w:p w:rsidR="008F5EDC" w:rsidRDefault="00C95D56" w:rsidP="006E3FF9">
      <w:pPr>
        <w:spacing w:line="360" w:lineRule="auto"/>
        <w:jc w:val="both"/>
        <w:rPr>
          <w:sz w:val="24"/>
          <w:szCs w:val="24"/>
        </w:rPr>
      </w:pPr>
      <w:r>
        <w:rPr>
          <w:noProof/>
          <w:sz w:val="24"/>
          <w:szCs w:val="24"/>
          <w:lang w:val="en-US"/>
        </w:rPr>
        <w:drawing>
          <wp:inline distT="0" distB="0" distL="0" distR="0">
            <wp:extent cx="5753100" cy="1514475"/>
            <wp:effectExtent l="0" t="0" r="0" b="952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1514475"/>
                    </a:xfrm>
                    <a:prstGeom prst="rect">
                      <a:avLst/>
                    </a:prstGeom>
                    <a:noFill/>
                    <a:ln>
                      <a:noFill/>
                    </a:ln>
                  </pic:spPr>
                </pic:pic>
              </a:graphicData>
            </a:graphic>
          </wp:inline>
        </w:drawing>
      </w:r>
    </w:p>
    <w:p w:rsidR="00154140" w:rsidRDefault="008F5EDC" w:rsidP="006E3FF9">
      <w:pPr>
        <w:spacing w:line="360" w:lineRule="auto"/>
        <w:jc w:val="both"/>
        <w:rPr>
          <w:sz w:val="24"/>
          <w:szCs w:val="24"/>
        </w:rPr>
      </w:pPr>
      <w:r>
        <w:rPr>
          <w:sz w:val="24"/>
          <w:szCs w:val="24"/>
        </w:rPr>
        <w:t>Indien het voorgestelde plan aanpak wordt goedgekeurd door de licentiecommissie, wordt er een sanctietraject aan toegevoegd. In dit sanctieproject wordt liggen één of meerdere sancties vast indien de licentiehouder</w:t>
      </w:r>
      <w:r w:rsidR="00154140">
        <w:rPr>
          <w:sz w:val="24"/>
          <w:szCs w:val="24"/>
        </w:rPr>
        <w:t xml:space="preserve"> zich</w:t>
      </w:r>
      <w:r>
        <w:rPr>
          <w:sz w:val="24"/>
          <w:szCs w:val="24"/>
        </w:rPr>
        <w:t xml:space="preserve"> niet aan de verplichtingen uit het plan van aanpak </w:t>
      </w:r>
      <w:r w:rsidR="00154140">
        <w:rPr>
          <w:sz w:val="24"/>
          <w:szCs w:val="24"/>
        </w:rPr>
        <w:t>houdt. De licentiecommissie heeft de beschikking over de volgende vormen van sancties, die (veelal) in die volgorde worden uitgedeeld aan de overtredende licentiehouder:</w:t>
      </w:r>
    </w:p>
    <w:p w:rsidR="00154140" w:rsidRDefault="00154140" w:rsidP="00154140">
      <w:pPr>
        <w:pStyle w:val="ListParagraph"/>
        <w:numPr>
          <w:ilvl w:val="0"/>
          <w:numId w:val="17"/>
        </w:numPr>
        <w:spacing w:line="360" w:lineRule="auto"/>
        <w:jc w:val="both"/>
        <w:rPr>
          <w:sz w:val="24"/>
          <w:szCs w:val="24"/>
        </w:rPr>
      </w:pPr>
      <w:r>
        <w:rPr>
          <w:sz w:val="24"/>
          <w:szCs w:val="24"/>
        </w:rPr>
        <w:t>Een publieke waarschuwing, waar de wijze van bepaald wordt door de licentiecommissie.</w:t>
      </w:r>
    </w:p>
    <w:p w:rsidR="00154140" w:rsidRDefault="00154140" w:rsidP="00154140">
      <w:pPr>
        <w:pStyle w:val="ListParagraph"/>
        <w:numPr>
          <w:ilvl w:val="0"/>
          <w:numId w:val="17"/>
        </w:numPr>
        <w:spacing w:line="360" w:lineRule="auto"/>
        <w:jc w:val="both"/>
        <w:rPr>
          <w:sz w:val="24"/>
          <w:szCs w:val="24"/>
        </w:rPr>
      </w:pPr>
      <w:r>
        <w:rPr>
          <w:sz w:val="24"/>
          <w:szCs w:val="24"/>
        </w:rPr>
        <w:t xml:space="preserve">Het inbrengen van drie winstpunten in mindering, tot een maximum van negen winstpunten per seizoen. </w:t>
      </w:r>
    </w:p>
    <w:p w:rsidR="00154140" w:rsidRDefault="00154140" w:rsidP="00154140">
      <w:pPr>
        <w:pStyle w:val="ListParagraph"/>
        <w:numPr>
          <w:ilvl w:val="0"/>
          <w:numId w:val="17"/>
        </w:numPr>
        <w:spacing w:line="360" w:lineRule="auto"/>
        <w:jc w:val="both"/>
        <w:rPr>
          <w:sz w:val="24"/>
          <w:szCs w:val="24"/>
        </w:rPr>
      </w:pPr>
      <w:r>
        <w:rPr>
          <w:sz w:val="24"/>
          <w:szCs w:val="24"/>
        </w:rPr>
        <w:t>Het intrekken van de licentie, waardoor de BVO uitgesloten wordt van het betaalde voetbal.</w:t>
      </w:r>
    </w:p>
    <w:p w:rsidR="00EA2C2E" w:rsidRPr="00154140" w:rsidRDefault="00C95D56" w:rsidP="00154140">
      <w:pPr>
        <w:spacing w:line="360" w:lineRule="auto"/>
        <w:jc w:val="both"/>
        <w:rPr>
          <w:sz w:val="24"/>
          <w:szCs w:val="24"/>
        </w:rPr>
      </w:pPr>
      <w:r w:rsidRPr="00154140">
        <w:rPr>
          <w:sz w:val="24"/>
          <w:szCs w:val="24"/>
        </w:rPr>
        <w:t xml:space="preserve">Logischerwijs </w:t>
      </w:r>
      <w:r w:rsidR="00667446">
        <w:rPr>
          <w:sz w:val="24"/>
          <w:szCs w:val="24"/>
        </w:rPr>
        <w:t>verschilt de inhoud van</w:t>
      </w:r>
      <w:r w:rsidRPr="00154140">
        <w:rPr>
          <w:sz w:val="24"/>
          <w:szCs w:val="24"/>
        </w:rPr>
        <w:t xml:space="preserve"> het plan van aanpak per licentiehouder. </w:t>
      </w:r>
      <w:r w:rsidR="00A72FC2" w:rsidRPr="00154140">
        <w:rPr>
          <w:sz w:val="24"/>
          <w:szCs w:val="24"/>
        </w:rPr>
        <w:t xml:space="preserve">Echter, in grote lijnen komen </w:t>
      </w:r>
      <w:proofErr w:type="gramStart"/>
      <w:r w:rsidR="00A72FC2" w:rsidRPr="00154140">
        <w:rPr>
          <w:sz w:val="24"/>
          <w:szCs w:val="24"/>
        </w:rPr>
        <w:t>de</w:t>
      </w:r>
      <w:proofErr w:type="gramEnd"/>
      <w:r w:rsidR="00A72FC2" w:rsidRPr="00154140">
        <w:rPr>
          <w:sz w:val="24"/>
          <w:szCs w:val="24"/>
        </w:rPr>
        <w:t xml:space="preserve"> plan van aanpak om uit categorie 1 te geraken overeen. Een plan van aanpak </w:t>
      </w:r>
      <w:r w:rsidR="00667446">
        <w:rPr>
          <w:sz w:val="24"/>
          <w:szCs w:val="24"/>
        </w:rPr>
        <w:t>verplicht</w:t>
      </w:r>
      <w:r w:rsidR="00A72FC2" w:rsidRPr="00154140">
        <w:rPr>
          <w:sz w:val="24"/>
          <w:szCs w:val="24"/>
        </w:rPr>
        <w:t xml:space="preserve"> de volgende onderdelen</w:t>
      </w:r>
      <w:r w:rsidR="00667446">
        <w:rPr>
          <w:sz w:val="24"/>
          <w:szCs w:val="24"/>
        </w:rPr>
        <w:t xml:space="preserve"> </w:t>
      </w:r>
      <w:r w:rsidR="00A72FC2" w:rsidRPr="00154140">
        <w:rPr>
          <w:sz w:val="24"/>
          <w:szCs w:val="24"/>
        </w:rPr>
        <w:t>te bevatten:</w:t>
      </w:r>
    </w:p>
    <w:p w:rsidR="00A72FC2" w:rsidRDefault="00A72FC2" w:rsidP="00A72FC2">
      <w:pPr>
        <w:pStyle w:val="ListParagraph"/>
        <w:numPr>
          <w:ilvl w:val="0"/>
          <w:numId w:val="16"/>
        </w:numPr>
        <w:spacing w:line="360" w:lineRule="auto"/>
        <w:jc w:val="both"/>
        <w:rPr>
          <w:sz w:val="24"/>
          <w:szCs w:val="24"/>
        </w:rPr>
      </w:pPr>
      <w:r>
        <w:rPr>
          <w:sz w:val="24"/>
          <w:szCs w:val="24"/>
        </w:rPr>
        <w:t>Een probleemanalyse, inclusief risicoanalyse;</w:t>
      </w:r>
    </w:p>
    <w:p w:rsidR="00A72FC2" w:rsidRDefault="00A72FC2" w:rsidP="00A72FC2">
      <w:pPr>
        <w:pStyle w:val="ListParagraph"/>
        <w:numPr>
          <w:ilvl w:val="0"/>
          <w:numId w:val="16"/>
        </w:numPr>
        <w:spacing w:line="360" w:lineRule="auto"/>
        <w:jc w:val="both"/>
        <w:rPr>
          <w:sz w:val="24"/>
          <w:szCs w:val="24"/>
        </w:rPr>
      </w:pPr>
      <w:r>
        <w:rPr>
          <w:sz w:val="24"/>
          <w:szCs w:val="24"/>
        </w:rPr>
        <w:t>De aanpak voor meerdere jaren die moet leiden tot een verbetering van de financiële positie;</w:t>
      </w:r>
    </w:p>
    <w:p w:rsidR="00A72FC2" w:rsidRDefault="00A72FC2" w:rsidP="00A72FC2">
      <w:pPr>
        <w:pStyle w:val="ListParagraph"/>
        <w:numPr>
          <w:ilvl w:val="0"/>
          <w:numId w:val="16"/>
        </w:numPr>
        <w:spacing w:line="360" w:lineRule="auto"/>
        <w:jc w:val="both"/>
        <w:rPr>
          <w:sz w:val="24"/>
          <w:szCs w:val="24"/>
        </w:rPr>
      </w:pPr>
      <w:r>
        <w:rPr>
          <w:sz w:val="24"/>
          <w:szCs w:val="24"/>
        </w:rPr>
        <w:t>Een inzicht op de (financiële) gevolgen van de gekozen aanpak</w:t>
      </w:r>
      <w:r w:rsidR="00176453">
        <w:rPr>
          <w:sz w:val="24"/>
          <w:szCs w:val="24"/>
        </w:rPr>
        <w:t>. Hierdoor dient de licentiehouder prognoses te maken voor de balans- en winst-en-verliesrekeningspositie voor het komende halfjaar, een liquiditeitsprognose voor het komende kwartaal en een overzicht van de personeelscontracten op jaarbasis.</w:t>
      </w:r>
    </w:p>
    <w:p w:rsidR="00176453" w:rsidRDefault="00176453" w:rsidP="00A72FC2">
      <w:pPr>
        <w:pStyle w:val="ListParagraph"/>
        <w:numPr>
          <w:ilvl w:val="0"/>
          <w:numId w:val="16"/>
        </w:numPr>
        <w:spacing w:line="360" w:lineRule="auto"/>
        <w:jc w:val="both"/>
        <w:rPr>
          <w:sz w:val="24"/>
          <w:szCs w:val="24"/>
        </w:rPr>
      </w:pPr>
      <w:r>
        <w:rPr>
          <w:sz w:val="24"/>
          <w:szCs w:val="24"/>
        </w:rPr>
        <w:t>Investeringen gedurende het plan van aanpak traject. Investeringen in (</w:t>
      </w:r>
      <w:proofErr w:type="spellStart"/>
      <w:r>
        <w:rPr>
          <w:sz w:val="24"/>
          <w:szCs w:val="24"/>
        </w:rPr>
        <w:t>im</w:t>
      </w:r>
      <w:proofErr w:type="spellEnd"/>
      <w:r>
        <w:rPr>
          <w:sz w:val="24"/>
          <w:szCs w:val="24"/>
        </w:rPr>
        <w:t>)</w:t>
      </w:r>
      <w:r w:rsidR="00E01DA4">
        <w:rPr>
          <w:sz w:val="24"/>
          <w:szCs w:val="24"/>
        </w:rPr>
        <w:t>materiële</w:t>
      </w:r>
      <w:r>
        <w:rPr>
          <w:sz w:val="24"/>
          <w:szCs w:val="24"/>
        </w:rPr>
        <w:t xml:space="preserve"> activa groter dan 50.000 euro kunnen alleen gedaan worden met goedkeuring van de licentiecommissie.</w:t>
      </w:r>
    </w:p>
    <w:p w:rsidR="00176453" w:rsidRDefault="00176453" w:rsidP="00A72FC2">
      <w:pPr>
        <w:pStyle w:val="ListParagraph"/>
        <w:numPr>
          <w:ilvl w:val="0"/>
          <w:numId w:val="16"/>
        </w:numPr>
        <w:spacing w:line="360" w:lineRule="auto"/>
        <w:jc w:val="both"/>
        <w:rPr>
          <w:sz w:val="24"/>
          <w:szCs w:val="24"/>
        </w:rPr>
      </w:pPr>
      <w:r>
        <w:rPr>
          <w:sz w:val="24"/>
          <w:szCs w:val="24"/>
        </w:rPr>
        <w:lastRenderedPageBreak/>
        <w:t xml:space="preserve">Een tijdspad met </w:t>
      </w:r>
      <w:r w:rsidR="00DB728A">
        <w:rPr>
          <w:sz w:val="24"/>
          <w:szCs w:val="24"/>
        </w:rPr>
        <w:t>momenten van terugkoppeling</w:t>
      </w:r>
      <w:r>
        <w:rPr>
          <w:sz w:val="24"/>
          <w:szCs w:val="24"/>
        </w:rPr>
        <w:t xml:space="preserve"> en normstellingen. In dit onderdeel wordt het eerder benoemde plan van aanpak traject beschreven.</w:t>
      </w:r>
    </w:p>
    <w:p w:rsidR="00176453" w:rsidRDefault="00176453" w:rsidP="00A72FC2">
      <w:pPr>
        <w:pStyle w:val="ListParagraph"/>
        <w:numPr>
          <w:ilvl w:val="0"/>
          <w:numId w:val="16"/>
        </w:numPr>
        <w:spacing w:line="360" w:lineRule="auto"/>
        <w:jc w:val="both"/>
        <w:rPr>
          <w:sz w:val="24"/>
          <w:szCs w:val="24"/>
        </w:rPr>
      </w:pPr>
      <w:r>
        <w:rPr>
          <w:sz w:val="24"/>
          <w:szCs w:val="24"/>
        </w:rPr>
        <w:t>Een aanspreekpunt voor de licentiecommissie. De licentiehouder dient minimaal één persoon te benoemen die te allen tijden bereikbaar is voor vragen en opmerkingen van de commissie.</w:t>
      </w:r>
    </w:p>
    <w:p w:rsidR="00110D0D" w:rsidRPr="000062AA" w:rsidRDefault="00176453" w:rsidP="00110D0D">
      <w:pPr>
        <w:pStyle w:val="ListParagraph"/>
        <w:numPr>
          <w:ilvl w:val="0"/>
          <w:numId w:val="16"/>
        </w:numPr>
        <w:spacing w:line="360" w:lineRule="auto"/>
        <w:jc w:val="both"/>
        <w:rPr>
          <w:sz w:val="24"/>
          <w:szCs w:val="24"/>
        </w:rPr>
      </w:pPr>
      <w:r>
        <w:rPr>
          <w:sz w:val="24"/>
          <w:szCs w:val="24"/>
        </w:rPr>
        <w:t>Elke vorm van feedback dient schriftelijk ondertekend te worden door de verantwoordelijke binnen de organisatie van de licentiehouder.</w:t>
      </w:r>
    </w:p>
    <w:p w:rsidR="00B83B54" w:rsidRPr="00C5456F" w:rsidRDefault="00776867" w:rsidP="00C5456F">
      <w:pPr>
        <w:pStyle w:val="Heading3"/>
        <w:rPr>
          <w:sz w:val="28"/>
        </w:rPr>
      </w:pPr>
      <w:bookmarkStart w:id="28" w:name="_Toc425516494"/>
      <w:r>
        <w:rPr>
          <w:sz w:val="28"/>
        </w:rPr>
        <w:t>3</w:t>
      </w:r>
      <w:r w:rsidR="00C5456F" w:rsidRPr="00C5456F">
        <w:rPr>
          <w:sz w:val="28"/>
        </w:rPr>
        <w:t xml:space="preserve">.3.2. </w:t>
      </w:r>
      <w:r w:rsidR="00B83B54" w:rsidRPr="00C5456F">
        <w:rPr>
          <w:sz w:val="28"/>
        </w:rPr>
        <w:t>Vangnetbepaling</w:t>
      </w:r>
      <w:r w:rsidR="00C7286F" w:rsidRPr="00C5456F">
        <w:rPr>
          <w:sz w:val="28"/>
        </w:rPr>
        <w:t xml:space="preserve"> </w:t>
      </w:r>
      <w:r w:rsidR="00C5456F" w:rsidRPr="00C5456F">
        <w:rPr>
          <w:sz w:val="28"/>
        </w:rPr>
        <w:t>Financieel Rating Systeem</w:t>
      </w:r>
      <w:bookmarkEnd w:id="28"/>
    </w:p>
    <w:p w:rsidR="00B83B54" w:rsidRDefault="00B83B54" w:rsidP="00B83B54">
      <w:pPr>
        <w:spacing w:line="360" w:lineRule="auto"/>
        <w:jc w:val="both"/>
        <w:rPr>
          <w:sz w:val="24"/>
          <w:szCs w:val="24"/>
        </w:rPr>
      </w:pPr>
      <w:r>
        <w:rPr>
          <w:sz w:val="24"/>
          <w:szCs w:val="24"/>
        </w:rPr>
        <w:t xml:space="preserve">Ook indien een licentiehouder een puntenscore boven de </w:t>
      </w:r>
      <w:r w:rsidR="00F85B9F">
        <w:rPr>
          <w:sz w:val="24"/>
          <w:szCs w:val="24"/>
        </w:rPr>
        <w:t xml:space="preserve">64 punten </w:t>
      </w:r>
      <w:proofErr w:type="gramStart"/>
      <w:r w:rsidR="00F85B9F">
        <w:rPr>
          <w:sz w:val="24"/>
          <w:szCs w:val="24"/>
        </w:rPr>
        <w:t>behaald</w:t>
      </w:r>
      <w:proofErr w:type="gramEnd"/>
      <w:r w:rsidR="00F85B9F">
        <w:rPr>
          <w:sz w:val="24"/>
          <w:szCs w:val="24"/>
        </w:rPr>
        <w:t>, bestaan er situatie waarin desbetreffende club desondanks ingedeeld wordt in categorie 1</w:t>
      </w:r>
      <w:r w:rsidR="000062AA">
        <w:rPr>
          <w:sz w:val="24"/>
          <w:szCs w:val="24"/>
        </w:rPr>
        <w:t xml:space="preserve"> </w:t>
      </w:r>
      <w:sdt>
        <w:sdtPr>
          <w:rPr>
            <w:sz w:val="24"/>
            <w:szCs w:val="24"/>
          </w:rPr>
          <w:id w:val="1740748956"/>
          <w:citation/>
        </w:sdtPr>
        <w:sdtContent>
          <w:r w:rsidR="000C5AB6">
            <w:rPr>
              <w:sz w:val="24"/>
              <w:szCs w:val="24"/>
            </w:rPr>
            <w:fldChar w:fldCharType="begin"/>
          </w:r>
          <w:r w:rsidR="000062AA">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F85B9F">
        <w:rPr>
          <w:sz w:val="24"/>
          <w:szCs w:val="24"/>
        </w:rPr>
        <w:t>. De licentiecommissie heeft een vangnetbepaling opgenomen die ongeacht het aantal behaalde punten in het FRS kunnen leiden tot een indeling in categorie 1. In de volgende situaties kan veroordeling naar categorie 1 van toepassing zijn:</w:t>
      </w:r>
    </w:p>
    <w:p w:rsidR="00F85B9F" w:rsidRDefault="00F85B9F" w:rsidP="00F85B9F">
      <w:pPr>
        <w:pStyle w:val="ListParagraph"/>
        <w:numPr>
          <w:ilvl w:val="0"/>
          <w:numId w:val="5"/>
        </w:numPr>
        <w:spacing w:line="360" w:lineRule="auto"/>
        <w:jc w:val="both"/>
        <w:rPr>
          <w:sz w:val="24"/>
          <w:szCs w:val="24"/>
        </w:rPr>
      </w:pPr>
      <w:r>
        <w:rPr>
          <w:sz w:val="24"/>
          <w:szCs w:val="24"/>
        </w:rPr>
        <w:t>Indien de licentiehouder een betalingsachterstand heeft van meer dan drie maanden bij haar (ex-)werknemers, het CFK, de Belastingdienst, andere BVO’s of de KNVB, wordt de licentiehouder ingedeeld in categorie 1. Tevens dient het plan van aanpak een plan te bevatten om de achterstallige betalingen in te lopen.</w:t>
      </w:r>
    </w:p>
    <w:p w:rsidR="00F85B9F" w:rsidRDefault="00F85B9F" w:rsidP="00F85B9F">
      <w:pPr>
        <w:pStyle w:val="ListParagraph"/>
        <w:numPr>
          <w:ilvl w:val="0"/>
          <w:numId w:val="5"/>
        </w:numPr>
        <w:spacing w:line="360" w:lineRule="auto"/>
        <w:jc w:val="both"/>
        <w:rPr>
          <w:sz w:val="24"/>
          <w:szCs w:val="24"/>
        </w:rPr>
      </w:pPr>
      <w:r>
        <w:rPr>
          <w:sz w:val="24"/>
          <w:szCs w:val="24"/>
        </w:rPr>
        <w:t>Indien de licentiehouder op uiterlijk het meetmoment van 1 november geen sluitende liquiditeitsprognose heeft ingediend, volgt indeling naar categorie 1. Een sluitende liquiditeitsprognose is een prospectief liquiditeitsoverzicht waarin zowel de eindstand als gedurende het seizoen een saldo presenteert groter of gelijk aan nihil.</w:t>
      </w:r>
    </w:p>
    <w:p w:rsidR="000D08D5" w:rsidRPr="00F85B9F" w:rsidRDefault="00110D0D" w:rsidP="00F85B9F">
      <w:pPr>
        <w:pStyle w:val="ListParagraph"/>
        <w:numPr>
          <w:ilvl w:val="0"/>
          <w:numId w:val="5"/>
        </w:numPr>
        <w:spacing w:line="360" w:lineRule="auto"/>
        <w:jc w:val="both"/>
        <w:rPr>
          <w:sz w:val="24"/>
          <w:szCs w:val="24"/>
        </w:rPr>
      </w:pPr>
      <w:r>
        <w:rPr>
          <w:sz w:val="24"/>
          <w:szCs w:val="24"/>
        </w:rPr>
        <w:t>Indien een licentiehouder in categorie 2 of 3 niet in staat is het negatieve weerstandsvermogen te saneren tot maximaal eenmaal de hoogte van zijn netto-(jaar)omzet. Onder weerstandsvermogen wordt verstaan een buffervermogen die een onderneming in staat stelt in ongunstige tijden de bedrijfsactiviteiten voort te kunnen zetten.</w:t>
      </w:r>
    </w:p>
    <w:p w:rsidR="00232073" w:rsidRPr="00C5456F" w:rsidRDefault="00776867" w:rsidP="00C5456F">
      <w:pPr>
        <w:pStyle w:val="Heading2"/>
        <w:rPr>
          <w:sz w:val="32"/>
        </w:rPr>
      </w:pPr>
      <w:bookmarkStart w:id="29" w:name="_Toc425516495"/>
      <w:r>
        <w:rPr>
          <w:sz w:val="32"/>
        </w:rPr>
        <w:t>3</w:t>
      </w:r>
      <w:r w:rsidR="00C5456F" w:rsidRPr="00C5456F">
        <w:rPr>
          <w:sz w:val="32"/>
        </w:rPr>
        <w:t xml:space="preserve">.4. </w:t>
      </w:r>
      <w:r w:rsidR="00232073" w:rsidRPr="00C5456F">
        <w:rPr>
          <w:sz w:val="32"/>
        </w:rPr>
        <w:t xml:space="preserve">Conclusie hoofdstuk </w:t>
      </w:r>
      <w:r>
        <w:rPr>
          <w:sz w:val="32"/>
        </w:rPr>
        <w:t>3</w:t>
      </w:r>
      <w:bookmarkEnd w:id="29"/>
    </w:p>
    <w:p w:rsidR="00232073" w:rsidRDefault="00232073" w:rsidP="00232073">
      <w:pPr>
        <w:spacing w:line="360" w:lineRule="auto"/>
        <w:jc w:val="both"/>
        <w:rPr>
          <w:sz w:val="24"/>
          <w:szCs w:val="24"/>
        </w:rPr>
      </w:pPr>
      <w:r>
        <w:rPr>
          <w:sz w:val="24"/>
          <w:szCs w:val="40"/>
        </w:rPr>
        <w:t xml:space="preserve">Om in Nederland betaald voetbal te mogen spelen, heeft iedere betaald voetbal organisatie (BVO) een licentie nodig. </w:t>
      </w:r>
      <w:r>
        <w:rPr>
          <w:sz w:val="24"/>
          <w:szCs w:val="24"/>
        </w:rPr>
        <w:t xml:space="preserve">Er bestaat geen onderscheid in de licentievoorwaarden voor voetbalclubs in de hoogste voetbalafdeling van Nederland, de Eredivisie, en het tweede </w:t>
      </w:r>
      <w:r>
        <w:rPr>
          <w:sz w:val="24"/>
          <w:szCs w:val="24"/>
        </w:rPr>
        <w:lastRenderedPageBreak/>
        <w:t>profniveau de Jupiler League. De licentiecommissie van de KNVB is de verstrekker van de benodigde licentie.</w:t>
      </w:r>
      <w:r>
        <w:rPr>
          <w:sz w:val="24"/>
          <w:szCs w:val="40"/>
        </w:rPr>
        <w:t xml:space="preserve"> </w:t>
      </w:r>
      <w:r>
        <w:rPr>
          <w:sz w:val="24"/>
          <w:szCs w:val="24"/>
        </w:rPr>
        <w:t xml:space="preserve">Het voornaamste doel van het licentiesysteem is het waarborgen van een eerlijk verloop van de competities betaald voetbal. Dit probeert de KNVB te bereiken door de (financiële) continuïteit van de voetbalclubs te waarborgen. Hierbij streeft het systeem ernaar om de toestand van Betaald Voetbal Organisaties zo transparant als mogelijk te maken op het gebied van de financiën, de veiligheid en de organisatie. De licentiecommissie houdt streng toezicht op de voetbalclubs en heeft hiervoor een streng raamwerk voor opgericht. Ten eerste heeft de commissie een licentiesysteem opgericht, die de eisen voorschrijft om in aanmerking te komen voor betaald voetbal. Het licentiepakket bestaat uit vijf deelgebieden, te weten het Sportieve kader, het Organisatorisch en Administratieve kader, het Juridische kader, het Infrastructurele </w:t>
      </w:r>
      <w:r w:rsidR="00DD78E5">
        <w:rPr>
          <w:sz w:val="24"/>
          <w:szCs w:val="24"/>
        </w:rPr>
        <w:t>kader en de belangrijkste, het F</w:t>
      </w:r>
      <w:r>
        <w:rPr>
          <w:sz w:val="24"/>
          <w:szCs w:val="24"/>
        </w:rPr>
        <w:t>inanciële kader. Deze kaders bevatten meerdere criteria, die ondergebracht worden in de categorie A-eisen en categorie B-eisen</w:t>
      </w:r>
      <w:r w:rsidR="00DD78E5">
        <w:rPr>
          <w:sz w:val="24"/>
          <w:szCs w:val="24"/>
        </w:rPr>
        <w:t>. Bij overtreding van een van de eisen, kan de licentiecommissie sancties opleggen aan de BVO.</w:t>
      </w:r>
    </w:p>
    <w:p w:rsidR="00C5456F" w:rsidRPr="00C5456F" w:rsidRDefault="00DD78E5" w:rsidP="006E3FF9">
      <w:pPr>
        <w:spacing w:line="360" w:lineRule="auto"/>
        <w:jc w:val="both"/>
        <w:rPr>
          <w:sz w:val="24"/>
          <w:szCs w:val="24"/>
        </w:rPr>
      </w:pPr>
      <w:r>
        <w:rPr>
          <w:sz w:val="24"/>
          <w:szCs w:val="24"/>
        </w:rPr>
        <w:t>Het Financiële kader is de belangrijkste spil binnen het licentiesysteem. Dit kader toetst de financiële posities van de voetbalclubs aan de hand van Financieel Rating Systeem (FRS). Het FRS kent 10 kernvariabelen, met allen hun eigen gewicht op de totaalscore</w:t>
      </w:r>
      <w:proofErr w:type="gramStart"/>
      <w:r>
        <w:rPr>
          <w:sz w:val="24"/>
          <w:szCs w:val="24"/>
        </w:rPr>
        <w:t>, die</w:t>
      </w:r>
      <w:proofErr w:type="gramEnd"/>
      <w:r>
        <w:rPr>
          <w:sz w:val="24"/>
          <w:szCs w:val="24"/>
        </w:rPr>
        <w:t xml:space="preserve"> bepalend is voor de indeling in categorie 1 (onvoldoende), categorie 2 (voldoende) en categorie 3 (goed). De kernvariabelen zijn te berekenen aan de hand van verschillende ratio’s die te herleiden zijn uit de jaarrekening van desbetreffende voetbalclub. Indien een BVO ingedeeld wordt in categorie 1, volgt een financieel plan van a</w:t>
      </w:r>
      <w:r w:rsidR="005C60AA">
        <w:rPr>
          <w:sz w:val="24"/>
          <w:szCs w:val="24"/>
        </w:rPr>
        <w:t xml:space="preserve">anpak die de club in maximaal negen meetmomenten (drie </w:t>
      </w:r>
      <w:r>
        <w:rPr>
          <w:sz w:val="24"/>
          <w:szCs w:val="24"/>
        </w:rPr>
        <w:t xml:space="preserve">jaar) tot een structurele verbetering moet leiden naar categorie 2 of 3. De licentiecommissie houdt tijdens deze termijn scherp toezicht op de financiële huishouding van de club en moet akkoord gaan met het voorgestelde plan van aanpak. Indien de BVO </w:t>
      </w:r>
      <w:r w:rsidR="005C60AA">
        <w:rPr>
          <w:sz w:val="24"/>
          <w:szCs w:val="24"/>
        </w:rPr>
        <w:t>in staat is om op twee opeenvolgende meetmomenten een score te behalen boven de 64 punten (categorie 2 of vanaf 130 punten categorie 3), is het plan van aanpak ten einde gekomen en is promotie uit categorie 1 een feit.</w:t>
      </w:r>
    </w:p>
    <w:p w:rsidR="00C5456F" w:rsidRDefault="00776867" w:rsidP="00C5456F">
      <w:pPr>
        <w:pStyle w:val="Heading1"/>
        <w:rPr>
          <w:sz w:val="40"/>
        </w:rPr>
      </w:pPr>
      <w:bookmarkStart w:id="30" w:name="_Toc425516496"/>
      <w:r>
        <w:rPr>
          <w:sz w:val="40"/>
        </w:rPr>
        <w:t>Hoofdstuk 4</w:t>
      </w:r>
      <w:r w:rsidR="00232073" w:rsidRPr="00C5456F">
        <w:rPr>
          <w:sz w:val="40"/>
        </w:rPr>
        <w:t xml:space="preserve">: FC Twente in categorie 1 van het </w:t>
      </w:r>
      <w:r w:rsidR="00C5456F">
        <w:rPr>
          <w:sz w:val="40"/>
        </w:rPr>
        <w:t>Financieel Rating Systeem</w:t>
      </w:r>
      <w:bookmarkEnd w:id="30"/>
    </w:p>
    <w:p w:rsidR="00C5456F" w:rsidRPr="00C5456F" w:rsidRDefault="00C5456F" w:rsidP="00C5456F"/>
    <w:p w:rsidR="00232073" w:rsidRPr="00C5456F" w:rsidRDefault="00776867" w:rsidP="00C5456F">
      <w:pPr>
        <w:pStyle w:val="Heading2"/>
        <w:rPr>
          <w:sz w:val="32"/>
        </w:rPr>
      </w:pPr>
      <w:bookmarkStart w:id="31" w:name="_Toc425516497"/>
      <w:r>
        <w:rPr>
          <w:sz w:val="32"/>
        </w:rPr>
        <w:lastRenderedPageBreak/>
        <w:t>4</w:t>
      </w:r>
      <w:r w:rsidR="00C5456F" w:rsidRPr="00C5456F">
        <w:rPr>
          <w:sz w:val="32"/>
        </w:rPr>
        <w:t xml:space="preserve">.1 </w:t>
      </w:r>
      <w:r w:rsidR="00232073" w:rsidRPr="00C5456F">
        <w:rPr>
          <w:sz w:val="32"/>
        </w:rPr>
        <w:t>Inleiding hoofdstuk</w:t>
      </w:r>
      <w:r w:rsidR="00866BAF" w:rsidRPr="00C5456F">
        <w:rPr>
          <w:sz w:val="32"/>
        </w:rPr>
        <w:t xml:space="preserve"> </w:t>
      </w:r>
      <w:r>
        <w:rPr>
          <w:sz w:val="32"/>
        </w:rPr>
        <w:t>4</w:t>
      </w:r>
      <w:bookmarkEnd w:id="31"/>
    </w:p>
    <w:p w:rsidR="001849A2" w:rsidRDefault="00F229D6" w:rsidP="006E3FF9">
      <w:pPr>
        <w:spacing w:line="360" w:lineRule="auto"/>
        <w:jc w:val="both"/>
        <w:rPr>
          <w:sz w:val="24"/>
          <w:szCs w:val="24"/>
        </w:rPr>
      </w:pPr>
      <w:r>
        <w:rPr>
          <w:sz w:val="24"/>
          <w:szCs w:val="24"/>
        </w:rPr>
        <w:t>Tijdens hoofdstuk 3</w:t>
      </w:r>
      <w:r w:rsidR="00CC5BD1">
        <w:rPr>
          <w:sz w:val="24"/>
          <w:szCs w:val="24"/>
        </w:rPr>
        <w:t xml:space="preserve"> is uitgebreid aan bod gekomen welke eisen er worden gesteld om betaald voetbal te kunnen bespelen in Nederland. Om de beschikking te krijgen over de benodigde licentie, verstrekt door de licentiecommissie van de KNVB, moet er voldaan worden aan een uitgebreid </w:t>
      </w:r>
      <w:proofErr w:type="gramStart"/>
      <w:r w:rsidR="00CC5BD1">
        <w:rPr>
          <w:sz w:val="24"/>
          <w:szCs w:val="24"/>
        </w:rPr>
        <w:t>eisenpakket</w:t>
      </w:r>
      <w:proofErr w:type="gramEnd"/>
      <w:r w:rsidR="00CC5BD1">
        <w:rPr>
          <w:sz w:val="24"/>
          <w:szCs w:val="24"/>
        </w:rPr>
        <w:t xml:space="preserve">. Het belangrijkste onderdeel van het </w:t>
      </w:r>
      <w:proofErr w:type="gramStart"/>
      <w:r w:rsidR="00CC5BD1">
        <w:rPr>
          <w:sz w:val="24"/>
          <w:szCs w:val="24"/>
        </w:rPr>
        <w:t>eisenpakket</w:t>
      </w:r>
      <w:proofErr w:type="gramEnd"/>
      <w:r w:rsidR="00CC5BD1">
        <w:rPr>
          <w:sz w:val="24"/>
          <w:szCs w:val="24"/>
        </w:rPr>
        <w:t xml:space="preserve"> betreft het Financiële kader. Om de financiële posities van de betaald voetbal organisaties te toetsen, heeft de KNVB licentiecommissie het Financieel Rating Systeem opgezet. </w:t>
      </w:r>
      <w:r w:rsidR="00DB728A">
        <w:rPr>
          <w:sz w:val="24"/>
          <w:szCs w:val="24"/>
        </w:rPr>
        <w:t>Gedurende</w:t>
      </w:r>
      <w:r w:rsidR="00CC5BD1">
        <w:rPr>
          <w:sz w:val="24"/>
          <w:szCs w:val="24"/>
        </w:rPr>
        <w:t xml:space="preserve"> het vorige </w:t>
      </w:r>
      <w:r w:rsidR="00E874F8">
        <w:rPr>
          <w:sz w:val="24"/>
          <w:szCs w:val="24"/>
        </w:rPr>
        <w:t xml:space="preserve">hoofdstuk is de opzet van dit systeem uiteengezet en zijn de eventuele gevolgen van de indeling naar categorie 1 (onvoldoende) uitvoerig besproken. In dit hoofdstuk wordt het Financieel Rating Systeem in de praktijk toegepast, te weten op de financiële positie van FC Twente. Zoals eerder gesteld, is FC Twente op basis van de gegevens uit de jaarrekening van FC Twente over het boekjaar 2013/2014 ingedeeld in de gevreesde categorie 1. Om in categorie 1 ingedeeld te worden, moet de voetbalclub een totaalscore beneden de 64 punten hebben behaald. Tijdens dit hoofdstuk wordt berekend welke score FC Twente heeft behaald over het boekjaar 2013/2014 in het Financieel Rating Systeem. </w:t>
      </w:r>
    </w:p>
    <w:p w:rsidR="001849A2" w:rsidRDefault="00E874F8" w:rsidP="006E3FF9">
      <w:pPr>
        <w:spacing w:line="360" w:lineRule="auto"/>
        <w:jc w:val="both"/>
        <w:rPr>
          <w:sz w:val="24"/>
          <w:szCs w:val="24"/>
        </w:rPr>
      </w:pPr>
      <w:r>
        <w:rPr>
          <w:sz w:val="24"/>
          <w:szCs w:val="24"/>
        </w:rPr>
        <w:t xml:space="preserve">Bovenstaande </w:t>
      </w:r>
      <w:r w:rsidR="001849A2">
        <w:rPr>
          <w:sz w:val="24"/>
          <w:szCs w:val="24"/>
        </w:rPr>
        <w:t xml:space="preserve">probleemstelling wordt </w:t>
      </w:r>
      <w:proofErr w:type="gramStart"/>
      <w:r w:rsidR="001849A2">
        <w:rPr>
          <w:sz w:val="24"/>
          <w:szCs w:val="24"/>
        </w:rPr>
        <w:t>middels</w:t>
      </w:r>
      <w:proofErr w:type="gramEnd"/>
      <w:r w:rsidR="001849A2">
        <w:rPr>
          <w:sz w:val="24"/>
          <w:szCs w:val="24"/>
        </w:rPr>
        <w:t xml:space="preserve"> de volgende deelvraag beantwoord:</w:t>
      </w:r>
    </w:p>
    <w:p w:rsidR="00E874F8" w:rsidRDefault="00E874F8" w:rsidP="00E874F8">
      <w:pPr>
        <w:shd w:val="clear" w:color="auto" w:fill="FFFFFF"/>
        <w:spacing w:after="0" w:line="360" w:lineRule="auto"/>
        <w:jc w:val="both"/>
        <w:rPr>
          <w:rFonts w:eastAsia="Times New Roman" w:cs="Times New Roman"/>
          <w:i/>
          <w:color w:val="222222"/>
          <w:sz w:val="24"/>
          <w:szCs w:val="24"/>
          <w:lang w:eastAsia="en-GB"/>
        </w:rPr>
      </w:pPr>
      <w:r>
        <w:rPr>
          <w:rFonts w:eastAsia="Times New Roman" w:cs="Times New Roman"/>
          <w:i/>
          <w:color w:val="222222"/>
          <w:sz w:val="24"/>
          <w:szCs w:val="24"/>
          <w:lang w:eastAsia="en-GB"/>
        </w:rPr>
        <w:t>‘Welke score behaalde FC Twente in maart 2015 waardoor de club ingedeeld werd in categorie 1 van het Financieel Rating Systeem?’</w:t>
      </w:r>
    </w:p>
    <w:p w:rsidR="001849A2" w:rsidRDefault="001849A2" w:rsidP="00E874F8">
      <w:pPr>
        <w:shd w:val="clear" w:color="auto" w:fill="FFFFFF"/>
        <w:spacing w:after="0" w:line="360" w:lineRule="auto"/>
        <w:jc w:val="both"/>
        <w:rPr>
          <w:rFonts w:eastAsia="Times New Roman" w:cs="Times New Roman"/>
          <w:color w:val="222222"/>
          <w:sz w:val="24"/>
          <w:szCs w:val="24"/>
          <w:lang w:eastAsia="en-GB"/>
        </w:rPr>
      </w:pPr>
    </w:p>
    <w:p w:rsidR="001849A2" w:rsidRDefault="0023250E" w:rsidP="00E874F8">
      <w:pPr>
        <w:shd w:val="clear" w:color="auto" w:fill="FFFFFF"/>
        <w:spacing w:after="0" w:line="360" w:lineRule="auto"/>
        <w:jc w:val="both"/>
        <w:rPr>
          <w:rFonts w:eastAsia="Times New Roman" w:cs="Times New Roman"/>
          <w:color w:val="222222"/>
          <w:sz w:val="24"/>
          <w:szCs w:val="24"/>
          <w:lang w:eastAsia="en-GB"/>
        </w:rPr>
      </w:pPr>
      <w:r w:rsidRPr="00866BAF">
        <w:rPr>
          <w:rFonts w:eastAsia="Times New Roman" w:cs="Times New Roman"/>
          <w:color w:val="222222"/>
          <w:sz w:val="24"/>
          <w:szCs w:val="24"/>
          <w:lang w:eastAsia="en-GB"/>
        </w:rPr>
        <w:t xml:space="preserve">Om antwoord te geven op bovenstaande deelvraag wordt gebruikt gemaakt van de gegevens uit de </w:t>
      </w:r>
      <w:r w:rsidR="007845C4" w:rsidRPr="00866BAF">
        <w:rPr>
          <w:rFonts w:eastAsia="Times New Roman" w:cs="Times New Roman"/>
          <w:color w:val="222222"/>
          <w:sz w:val="24"/>
          <w:szCs w:val="24"/>
          <w:u w:val="single"/>
          <w:lang w:eastAsia="en-GB"/>
        </w:rPr>
        <w:t>oorspronkelijke</w:t>
      </w:r>
      <w:r w:rsidRPr="00866BAF">
        <w:rPr>
          <w:rFonts w:eastAsia="Times New Roman" w:cs="Times New Roman"/>
          <w:color w:val="222222"/>
          <w:sz w:val="24"/>
          <w:szCs w:val="24"/>
          <w:lang w:eastAsia="en-GB"/>
        </w:rPr>
        <w:t xml:space="preserve"> jaarrekening van FC Twente over het boekjaar 2013/2014</w:t>
      </w:r>
      <w:r w:rsidR="008F1C91" w:rsidRPr="00866BAF">
        <w:rPr>
          <w:rStyle w:val="FootnoteReference"/>
          <w:rFonts w:eastAsia="Times New Roman" w:cs="Times New Roman"/>
          <w:color w:val="222222"/>
          <w:sz w:val="24"/>
          <w:szCs w:val="24"/>
          <w:lang w:eastAsia="en-GB"/>
        </w:rPr>
        <w:footnoteReference w:id="55"/>
      </w:r>
      <w:r w:rsidRPr="00866BAF">
        <w:rPr>
          <w:rFonts w:eastAsia="Times New Roman" w:cs="Times New Roman"/>
          <w:color w:val="222222"/>
          <w:sz w:val="24"/>
          <w:szCs w:val="24"/>
          <w:lang w:eastAsia="en-GB"/>
        </w:rPr>
        <w:t>. Zoals eerder gesteld</w:t>
      </w:r>
      <w:r>
        <w:rPr>
          <w:rFonts w:eastAsia="Times New Roman" w:cs="Times New Roman"/>
          <w:color w:val="222222"/>
          <w:sz w:val="24"/>
          <w:szCs w:val="24"/>
          <w:lang w:eastAsia="en-GB"/>
        </w:rPr>
        <w:t xml:space="preserve">, heeft de club over desbetreffend boekjaar twee jaarrekeningen ingeleverd als gevolg van meerdere schattingswijzigingen. Echter, </w:t>
      </w:r>
      <w:r w:rsidR="00F229D6">
        <w:rPr>
          <w:rFonts w:eastAsia="Times New Roman" w:cs="Times New Roman"/>
          <w:color w:val="222222"/>
          <w:sz w:val="24"/>
          <w:szCs w:val="24"/>
          <w:lang w:eastAsia="en-GB"/>
        </w:rPr>
        <w:t>gedurende</w:t>
      </w:r>
      <w:r>
        <w:rPr>
          <w:rFonts w:eastAsia="Times New Roman" w:cs="Times New Roman"/>
          <w:color w:val="222222"/>
          <w:sz w:val="24"/>
          <w:szCs w:val="24"/>
          <w:lang w:eastAsia="en-GB"/>
        </w:rPr>
        <w:t xml:space="preserve"> dit hoofdstuk is de </w:t>
      </w:r>
      <w:r w:rsidR="007845C4">
        <w:rPr>
          <w:rFonts w:eastAsia="Times New Roman" w:cs="Times New Roman"/>
          <w:color w:val="222222"/>
          <w:sz w:val="24"/>
          <w:szCs w:val="24"/>
          <w:lang w:eastAsia="en-GB"/>
        </w:rPr>
        <w:t>oorspronkelijke</w:t>
      </w:r>
      <w:r>
        <w:rPr>
          <w:rFonts w:eastAsia="Times New Roman" w:cs="Times New Roman"/>
          <w:color w:val="222222"/>
          <w:sz w:val="24"/>
          <w:szCs w:val="24"/>
          <w:lang w:eastAsia="en-GB"/>
        </w:rPr>
        <w:t xml:space="preserve"> versie </w:t>
      </w:r>
      <w:r w:rsidR="007845C4">
        <w:rPr>
          <w:rFonts w:eastAsia="Times New Roman" w:cs="Times New Roman"/>
          <w:color w:val="222222"/>
          <w:sz w:val="24"/>
          <w:szCs w:val="24"/>
          <w:lang w:eastAsia="en-GB"/>
        </w:rPr>
        <w:t>be</w:t>
      </w:r>
      <w:r>
        <w:rPr>
          <w:rFonts w:eastAsia="Times New Roman" w:cs="Times New Roman"/>
          <w:color w:val="222222"/>
          <w:sz w:val="24"/>
          <w:szCs w:val="24"/>
          <w:lang w:eastAsia="en-GB"/>
        </w:rPr>
        <w:t>nodig</w:t>
      </w:r>
      <w:r w:rsidR="007845C4">
        <w:rPr>
          <w:rFonts w:eastAsia="Times New Roman" w:cs="Times New Roman"/>
          <w:color w:val="222222"/>
          <w:sz w:val="24"/>
          <w:szCs w:val="24"/>
          <w:lang w:eastAsia="en-GB"/>
        </w:rPr>
        <w:t>d</w:t>
      </w:r>
      <w:r>
        <w:rPr>
          <w:rFonts w:eastAsia="Times New Roman" w:cs="Times New Roman"/>
          <w:color w:val="222222"/>
          <w:sz w:val="24"/>
          <w:szCs w:val="24"/>
          <w:lang w:eastAsia="en-GB"/>
        </w:rPr>
        <w:t xml:space="preserve"> (datum vaststelling: 23 januari 2015).</w:t>
      </w:r>
      <w:r w:rsidR="0006351F">
        <w:rPr>
          <w:rFonts w:eastAsia="Times New Roman" w:cs="Times New Roman"/>
          <w:color w:val="222222"/>
          <w:sz w:val="24"/>
          <w:szCs w:val="24"/>
          <w:lang w:eastAsia="en-GB"/>
        </w:rPr>
        <w:t xml:space="preserve"> De vernieuwde jaarrekening </w:t>
      </w:r>
      <w:r w:rsidR="00711F54">
        <w:rPr>
          <w:rFonts w:eastAsia="Times New Roman" w:cs="Times New Roman"/>
          <w:color w:val="222222"/>
          <w:sz w:val="24"/>
          <w:szCs w:val="24"/>
          <w:lang w:eastAsia="en-GB"/>
        </w:rPr>
        <w:t xml:space="preserve">over </w:t>
      </w:r>
      <w:r w:rsidR="0006351F">
        <w:rPr>
          <w:rFonts w:eastAsia="Times New Roman" w:cs="Times New Roman"/>
          <w:color w:val="222222"/>
          <w:sz w:val="24"/>
          <w:szCs w:val="24"/>
          <w:lang w:eastAsia="en-GB"/>
        </w:rPr>
        <w:t xml:space="preserve">het boekjaar 2013/2014 (datum vaststelling: 8 april 2015) wordt tijdens dit hoofdstuk buiten beschouwing gelaten. </w:t>
      </w:r>
      <w:r w:rsidR="00284635">
        <w:rPr>
          <w:rFonts w:eastAsia="Times New Roman" w:cs="Times New Roman"/>
          <w:color w:val="222222"/>
          <w:sz w:val="24"/>
          <w:szCs w:val="24"/>
          <w:lang w:eastAsia="en-GB"/>
        </w:rPr>
        <w:t>Voor de berekening van enkele kernvariabelen worden tevens gegevens uit vorige boekjaren gebruikt. Indien dit het geval is, wordt dit duidelijk opgemerkt.</w:t>
      </w:r>
    </w:p>
    <w:p w:rsidR="0006351F" w:rsidRDefault="0006351F" w:rsidP="00E874F8">
      <w:pPr>
        <w:shd w:val="clear" w:color="auto" w:fill="FFFFFF"/>
        <w:spacing w:after="0" w:line="360" w:lineRule="auto"/>
        <w:jc w:val="both"/>
        <w:rPr>
          <w:rFonts w:eastAsia="Times New Roman" w:cs="Times New Roman"/>
          <w:color w:val="222222"/>
          <w:sz w:val="24"/>
          <w:szCs w:val="24"/>
          <w:lang w:eastAsia="en-GB"/>
        </w:rPr>
      </w:pPr>
    </w:p>
    <w:p w:rsidR="00C5456F" w:rsidRDefault="0006351F" w:rsidP="00E874F8">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lastRenderedPageBreak/>
        <w:t xml:space="preserve">Zoals eerder gesteld, betreffen drie van de tien kernvariabelen uit het Financieel Rating Systeem toekomstige ratio’s. Omdat de KNVB Licentiecommissie wat betreft deze waardes een </w:t>
      </w:r>
      <w:r w:rsidR="00DB728A">
        <w:rPr>
          <w:rFonts w:eastAsia="Times New Roman" w:cs="Times New Roman"/>
          <w:color w:val="222222"/>
          <w:sz w:val="24"/>
          <w:szCs w:val="24"/>
          <w:lang w:eastAsia="en-GB"/>
        </w:rPr>
        <w:t>geheimhoudingsovereenkomst</w:t>
      </w:r>
      <w:r>
        <w:rPr>
          <w:rFonts w:eastAsia="Times New Roman" w:cs="Times New Roman"/>
          <w:color w:val="222222"/>
          <w:sz w:val="24"/>
          <w:szCs w:val="24"/>
          <w:lang w:eastAsia="en-GB"/>
        </w:rPr>
        <w:t xml:space="preserve"> he</w:t>
      </w:r>
      <w:r w:rsidR="001245CE">
        <w:rPr>
          <w:rFonts w:eastAsia="Times New Roman" w:cs="Times New Roman"/>
          <w:color w:val="222222"/>
          <w:sz w:val="24"/>
          <w:szCs w:val="24"/>
          <w:lang w:eastAsia="en-GB"/>
        </w:rPr>
        <w:t>eft</w:t>
      </w:r>
      <w:r>
        <w:rPr>
          <w:rFonts w:eastAsia="Times New Roman" w:cs="Times New Roman"/>
          <w:color w:val="222222"/>
          <w:sz w:val="24"/>
          <w:szCs w:val="24"/>
          <w:lang w:eastAsia="en-GB"/>
        </w:rPr>
        <w:t xml:space="preserve"> gesloten met de betaald voetbal organisaties, dienen er assumpties te worden gemaakt over de waarde van desbetreffende ratio’s </w:t>
      </w:r>
      <w:sdt>
        <w:sdtPr>
          <w:rPr>
            <w:rFonts w:eastAsia="Times New Roman" w:cs="Times New Roman"/>
            <w:color w:val="222222"/>
            <w:sz w:val="24"/>
            <w:szCs w:val="24"/>
            <w:lang w:eastAsia="en-GB"/>
          </w:rPr>
          <w:id w:val="1123734235"/>
          <w:citation/>
        </w:sdtPr>
        <w:sdtContent>
          <w:r w:rsidR="000C5AB6">
            <w:rPr>
              <w:rFonts w:eastAsia="Times New Roman" w:cs="Times New Roman"/>
              <w:color w:val="222222"/>
              <w:sz w:val="24"/>
              <w:szCs w:val="24"/>
              <w:lang w:eastAsia="en-GB"/>
            </w:rPr>
            <w:fldChar w:fldCharType="begin"/>
          </w:r>
          <w:r>
            <w:rPr>
              <w:rFonts w:eastAsia="Times New Roman" w:cs="Times New Roman"/>
              <w:color w:val="222222"/>
              <w:sz w:val="24"/>
              <w:szCs w:val="24"/>
              <w:lang w:eastAsia="en-GB"/>
            </w:rPr>
            <w:instrText xml:space="preserve"> CITATION Rav15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(Ravensbergen, 2015)</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 xml:space="preserve">. Indien desbetreffende ratio’s aan de orde zijn </w:t>
      </w:r>
      <w:r w:rsidR="00F229D6">
        <w:rPr>
          <w:rFonts w:eastAsia="Times New Roman" w:cs="Times New Roman"/>
          <w:color w:val="222222"/>
          <w:sz w:val="24"/>
          <w:szCs w:val="24"/>
          <w:lang w:eastAsia="en-GB"/>
        </w:rPr>
        <w:t>gedurende</w:t>
      </w:r>
      <w:r>
        <w:rPr>
          <w:rFonts w:eastAsia="Times New Roman" w:cs="Times New Roman"/>
          <w:color w:val="222222"/>
          <w:sz w:val="24"/>
          <w:szCs w:val="24"/>
          <w:lang w:eastAsia="en-GB"/>
        </w:rPr>
        <w:t xml:space="preserve"> dit hoofdstuk, wordt de gekozen</w:t>
      </w:r>
      <w:r w:rsidR="00C5456F">
        <w:rPr>
          <w:rFonts w:eastAsia="Times New Roman" w:cs="Times New Roman"/>
          <w:color w:val="222222"/>
          <w:sz w:val="24"/>
          <w:szCs w:val="24"/>
          <w:lang w:eastAsia="en-GB"/>
        </w:rPr>
        <w:t xml:space="preserve"> waarde realistisch onderbouwd.</w:t>
      </w:r>
    </w:p>
    <w:p w:rsidR="00C5456F" w:rsidRDefault="00776867" w:rsidP="00C5456F">
      <w:pPr>
        <w:pStyle w:val="Heading2"/>
        <w:rPr>
          <w:rFonts w:eastAsia="Times New Roman"/>
          <w:lang w:eastAsia="en-GB"/>
        </w:rPr>
      </w:pPr>
      <w:bookmarkStart w:id="32" w:name="_Toc425516498"/>
      <w:r>
        <w:rPr>
          <w:rFonts w:eastAsia="Times New Roman"/>
          <w:sz w:val="32"/>
          <w:lang w:eastAsia="en-GB"/>
        </w:rPr>
        <w:t>4</w:t>
      </w:r>
      <w:r w:rsidR="00C5456F" w:rsidRPr="00C5456F">
        <w:rPr>
          <w:rFonts w:eastAsia="Times New Roman"/>
          <w:sz w:val="32"/>
          <w:lang w:eastAsia="en-GB"/>
        </w:rPr>
        <w:t>.</w:t>
      </w:r>
      <w:r w:rsidR="00C5456F">
        <w:rPr>
          <w:rFonts w:eastAsia="Times New Roman"/>
          <w:sz w:val="32"/>
          <w:lang w:eastAsia="en-GB"/>
        </w:rPr>
        <w:t xml:space="preserve">2. </w:t>
      </w:r>
      <w:r w:rsidR="00C5456F" w:rsidRPr="00C5456F">
        <w:rPr>
          <w:rFonts w:eastAsia="Times New Roman"/>
          <w:sz w:val="32"/>
          <w:lang w:eastAsia="en-GB"/>
        </w:rPr>
        <w:t>Praktische informatie Financieel Rating Systeem</w:t>
      </w:r>
      <w:bookmarkEnd w:id="32"/>
    </w:p>
    <w:p w:rsidR="001245CE" w:rsidRDefault="001245CE" w:rsidP="00E874F8">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Ter introductie van dit hoofdstuk, </w:t>
      </w:r>
      <w:r w:rsidR="00985A31">
        <w:rPr>
          <w:rFonts w:eastAsia="Times New Roman" w:cs="Times New Roman"/>
          <w:color w:val="222222"/>
          <w:sz w:val="24"/>
          <w:szCs w:val="24"/>
          <w:lang w:eastAsia="en-GB"/>
        </w:rPr>
        <w:t>wordt</w:t>
      </w:r>
      <w:r w:rsidR="00284635">
        <w:rPr>
          <w:rFonts w:eastAsia="Times New Roman" w:cs="Times New Roman"/>
          <w:color w:val="222222"/>
          <w:sz w:val="24"/>
          <w:szCs w:val="24"/>
          <w:lang w:eastAsia="en-GB"/>
        </w:rPr>
        <w:t xml:space="preserve"> wederom</w:t>
      </w:r>
      <w:r w:rsidR="00985A31">
        <w:rPr>
          <w:rFonts w:eastAsia="Times New Roman" w:cs="Times New Roman"/>
          <w:color w:val="222222"/>
          <w:sz w:val="24"/>
          <w:szCs w:val="24"/>
          <w:lang w:eastAsia="en-GB"/>
        </w:rPr>
        <w:t xml:space="preserve"> bondig beschreven hoe het Financieel Rating Systeem in werking treedt. Het FRS is opgebouwd uit 10 kernvariabelen, die herleidbaar zijn uit de financiële gegevens uit de jaarrekening van FC Twente. In het systeem wordt het aantal punten per kernvariabele bepaald door het gewicht (multiplier) van de variabele en de schaal (bandbreedte) waarin de uitkomst van de variabele wordt geplaatst </w:t>
      </w:r>
      <w:sdt>
        <w:sdtPr>
          <w:rPr>
            <w:rFonts w:eastAsia="Times New Roman" w:cs="Times New Roman"/>
            <w:color w:val="222222"/>
            <w:sz w:val="24"/>
            <w:szCs w:val="24"/>
            <w:lang w:eastAsia="en-GB"/>
          </w:rPr>
          <w:id w:val="-2040574500"/>
          <w:citation/>
        </w:sdtPr>
        <w:sdtContent>
          <w:r w:rsidR="000C5AB6">
            <w:rPr>
              <w:rFonts w:eastAsia="Times New Roman" w:cs="Times New Roman"/>
              <w:color w:val="222222"/>
              <w:sz w:val="24"/>
              <w:szCs w:val="24"/>
              <w:lang w:eastAsia="en-GB"/>
            </w:rPr>
            <w:fldChar w:fldCharType="begin"/>
          </w:r>
          <w:r w:rsidR="00985A31">
            <w:rPr>
              <w:rFonts w:eastAsia="Times New Roman" w:cs="Times New Roman"/>
              <w:color w:val="222222"/>
              <w:sz w:val="24"/>
              <w:szCs w:val="24"/>
              <w:lang w:eastAsia="en-GB"/>
            </w:rPr>
            <w:instrText xml:space="preserve"> CITATION Ric141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(Richtlijn Financieel Rating Systeem, 2014)</w:t>
          </w:r>
          <w:r w:rsidR="000C5AB6">
            <w:rPr>
              <w:rFonts w:eastAsia="Times New Roman" w:cs="Times New Roman"/>
              <w:color w:val="222222"/>
              <w:sz w:val="24"/>
              <w:szCs w:val="24"/>
              <w:lang w:eastAsia="en-GB"/>
            </w:rPr>
            <w:fldChar w:fldCharType="end"/>
          </w:r>
        </w:sdtContent>
      </w:sdt>
      <w:r w:rsidR="00985A31">
        <w:rPr>
          <w:rFonts w:eastAsia="Times New Roman" w:cs="Times New Roman"/>
          <w:color w:val="222222"/>
          <w:sz w:val="24"/>
          <w:szCs w:val="24"/>
          <w:lang w:eastAsia="en-GB"/>
        </w:rPr>
        <w:t xml:space="preserve">. Het gewicht per variabele en de bijbehorende schaal staan uitgebreid vermeld in figuur Financieel Rating Systeem in </w:t>
      </w:r>
      <w:proofErr w:type="gramStart"/>
      <w:r w:rsidR="00985A31">
        <w:rPr>
          <w:rFonts w:eastAsia="Times New Roman" w:cs="Times New Roman"/>
          <w:color w:val="222222"/>
          <w:sz w:val="24"/>
          <w:szCs w:val="24"/>
          <w:lang w:eastAsia="en-GB"/>
        </w:rPr>
        <w:t>de</w:t>
      </w:r>
      <w:proofErr w:type="gramEnd"/>
      <w:r w:rsidR="00985A31">
        <w:rPr>
          <w:rFonts w:eastAsia="Times New Roman" w:cs="Times New Roman"/>
          <w:color w:val="222222"/>
          <w:sz w:val="24"/>
          <w:szCs w:val="24"/>
          <w:lang w:eastAsia="en-GB"/>
        </w:rPr>
        <w:t xml:space="preserve"> appendix </w:t>
      </w:r>
      <w:sdt>
        <w:sdtPr>
          <w:rPr>
            <w:rFonts w:eastAsia="Times New Roman" w:cs="Times New Roman"/>
            <w:color w:val="222222"/>
            <w:sz w:val="24"/>
            <w:szCs w:val="24"/>
            <w:lang w:eastAsia="en-GB"/>
          </w:rPr>
          <w:id w:val="-1295060646"/>
          <w:citation/>
        </w:sdtPr>
        <w:sdtContent>
          <w:r w:rsidR="000C5AB6">
            <w:rPr>
              <w:rFonts w:eastAsia="Times New Roman" w:cs="Times New Roman"/>
              <w:color w:val="222222"/>
              <w:sz w:val="24"/>
              <w:szCs w:val="24"/>
              <w:lang w:eastAsia="en-GB"/>
            </w:rPr>
            <w:fldChar w:fldCharType="begin"/>
          </w:r>
          <w:r w:rsidR="00CB4A2A">
            <w:rPr>
              <w:rFonts w:eastAsia="Times New Roman" w:cs="Times New Roman"/>
              <w:color w:val="222222"/>
              <w:sz w:val="24"/>
              <w:szCs w:val="24"/>
              <w:lang w:eastAsia="en-GB"/>
            </w:rPr>
            <w:instrText xml:space="preserve">CITATION Ric142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(Richtlijn Plan van Aanpak, 2014)</w:t>
          </w:r>
          <w:r w:rsidR="000C5AB6">
            <w:rPr>
              <w:rFonts w:eastAsia="Times New Roman" w:cs="Times New Roman"/>
              <w:color w:val="222222"/>
              <w:sz w:val="24"/>
              <w:szCs w:val="24"/>
              <w:lang w:eastAsia="en-GB"/>
            </w:rPr>
            <w:fldChar w:fldCharType="end"/>
          </w:r>
        </w:sdtContent>
      </w:sdt>
      <w:r w:rsidR="00985A31">
        <w:rPr>
          <w:rFonts w:eastAsia="Times New Roman" w:cs="Times New Roman"/>
          <w:color w:val="222222"/>
          <w:sz w:val="24"/>
          <w:szCs w:val="24"/>
          <w:lang w:eastAsia="en-GB"/>
        </w:rPr>
        <w:t>. In onderstaande figuur worden de tien kernvariabelen en bijbehorende multiplier kort omschreven.</w:t>
      </w:r>
    </w:p>
    <w:p w:rsidR="00985A31" w:rsidRDefault="00985A31" w:rsidP="00E874F8">
      <w:pPr>
        <w:shd w:val="clear" w:color="auto" w:fill="FFFFFF"/>
        <w:spacing w:after="0" w:line="360" w:lineRule="auto"/>
        <w:jc w:val="both"/>
        <w:rPr>
          <w:rFonts w:eastAsia="Times New Roman" w:cs="Times New Roman"/>
          <w:color w:val="222222"/>
          <w:sz w:val="24"/>
          <w:szCs w:val="24"/>
          <w:lang w:eastAsia="en-GB"/>
        </w:rPr>
      </w:pPr>
    </w:p>
    <w:p w:rsidR="00985A31" w:rsidRDefault="000C5AB6" w:rsidP="00E874F8">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25" o:spid="_x0000_s1045" style="position:absolute;left:0;text-align:left;margin-left:0;margin-top:.6pt;width:57.75pt;height:21.75pt;z-index:251682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" fillcolor="white [3201]" strokecolor="#5b9bd5 [3204]" strokeweight="1pt">
            <v:textbox>
              <w:txbxContent>
                <w:p w:rsidR="00776867" w:rsidRDefault="00776867" w:rsidP="00985A31">
                  <w:pPr>
                    <w:jc w:val="center"/>
                  </w:pPr>
                  <w:r>
                    <w:t>Figuur 11</w:t>
                  </w:r>
                </w:p>
              </w:txbxContent>
            </v:textbox>
            <w10:wrap anchorx="margin"/>
          </v:rect>
        </w:pict>
      </w:r>
    </w:p>
    <w:p w:rsidR="002F065D" w:rsidRPr="004427E8" w:rsidRDefault="00985A31" w:rsidP="00284635">
      <w:pPr>
        <w:shd w:val="clear" w:color="auto" w:fill="FFFFFF"/>
        <w:spacing w:after="0" w:line="360" w:lineRule="auto"/>
        <w:jc w:val="both"/>
        <w:rPr>
          <w:rFonts w:eastAsia="Times New Roman" w:cs="Times New Roman"/>
          <w:b/>
          <w:color w:val="222222"/>
          <w:sz w:val="24"/>
          <w:szCs w:val="24"/>
          <w:lang w:eastAsia="en-GB"/>
        </w:rPr>
      </w:pPr>
      <w:r>
        <w:rPr>
          <w:noProof/>
          <w:sz w:val="24"/>
          <w:szCs w:val="24"/>
          <w:lang w:val="en-US"/>
        </w:rPr>
        <w:drawing>
          <wp:anchor distT="0" distB="0" distL="114300" distR="114300" simplePos="0" relativeHeight="251716608" behindDoc="0" locked="0" layoutInCell="1" allowOverlap="1">
            <wp:simplePos x="895350" y="6781800"/>
            <wp:positionH relativeFrom="column">
              <wp:align>left</wp:align>
            </wp:positionH>
            <wp:positionV relativeFrom="paragraph">
              <wp:align>top</wp:align>
            </wp:positionV>
            <wp:extent cx="3581400" cy="2219325"/>
            <wp:effectExtent l="0" t="0" r="0" b="9525"/>
            <wp:wrapSquare wrapText="bothSides"/>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1400" cy="2219325"/>
                    </a:xfrm>
                    <a:prstGeom prst="rect">
                      <a:avLst/>
                    </a:prstGeom>
                    <a:noFill/>
                    <a:ln>
                      <a:noFill/>
                    </a:ln>
                  </pic:spPr>
                </pic:pic>
              </a:graphicData>
            </a:graphic>
          </wp:anchor>
        </w:drawing>
      </w:r>
      <w:r w:rsidR="00DB728A">
        <w:rPr>
          <w:rFonts w:eastAsia="Times New Roman" w:cs="Times New Roman"/>
          <w:b/>
          <w:color w:val="222222"/>
          <w:sz w:val="24"/>
          <w:szCs w:val="24"/>
          <w:lang w:eastAsia="en-GB"/>
        </w:rPr>
        <w:br w:type="textWrapping" w:clear="all"/>
      </w:r>
    </w:p>
    <w:p w:rsidR="00284635" w:rsidRDefault="00284635" w:rsidP="0028463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Door de scores van de licentiehouders per kernvariabele op te tellen, wordt de financiële positie van de club op basis van het eindtotaal bepaald en ingedeeld naar een van de drie categorieën. De grenzen van desbetreffende categorieën zijn als volgt vastgesteld:</w:t>
      </w:r>
    </w:p>
    <w:p w:rsidR="00284635" w:rsidRDefault="00284635" w:rsidP="00284635">
      <w:pPr>
        <w:pStyle w:val="ListParagraph"/>
        <w:numPr>
          <w:ilvl w:val="0"/>
          <w:numId w:val="5"/>
        </w:numPr>
        <w:spacing w:line="360" w:lineRule="auto"/>
        <w:jc w:val="both"/>
        <w:rPr>
          <w:sz w:val="24"/>
          <w:szCs w:val="24"/>
        </w:rPr>
      </w:pPr>
      <w:r w:rsidRPr="009F58E1">
        <w:rPr>
          <w:b/>
          <w:sz w:val="24"/>
          <w:szCs w:val="24"/>
        </w:rPr>
        <w:t>Categorie 1</w:t>
      </w:r>
      <w:r>
        <w:rPr>
          <w:sz w:val="24"/>
          <w:szCs w:val="24"/>
        </w:rPr>
        <w:t>: van -16 tot en met 64 punten. Indeling in deze categorie betekent dat de financiële positie van de licentiehouder als onvoldoende wordt beschouwd.</w:t>
      </w:r>
    </w:p>
    <w:p w:rsidR="00284635" w:rsidRDefault="00284635" w:rsidP="00284635">
      <w:pPr>
        <w:pStyle w:val="ListParagraph"/>
        <w:numPr>
          <w:ilvl w:val="0"/>
          <w:numId w:val="5"/>
        </w:numPr>
        <w:spacing w:line="360" w:lineRule="auto"/>
        <w:jc w:val="both"/>
        <w:rPr>
          <w:sz w:val="24"/>
          <w:szCs w:val="24"/>
        </w:rPr>
      </w:pPr>
      <w:r>
        <w:rPr>
          <w:b/>
          <w:sz w:val="24"/>
          <w:szCs w:val="24"/>
        </w:rPr>
        <w:lastRenderedPageBreak/>
        <w:t>Categorie 2</w:t>
      </w:r>
      <w:r w:rsidRPr="009F58E1">
        <w:rPr>
          <w:sz w:val="24"/>
          <w:szCs w:val="24"/>
        </w:rPr>
        <w:t>:</w:t>
      </w:r>
      <w:r>
        <w:rPr>
          <w:b/>
          <w:sz w:val="24"/>
          <w:szCs w:val="24"/>
        </w:rPr>
        <w:t xml:space="preserve"> </w:t>
      </w:r>
      <w:r>
        <w:rPr>
          <w:sz w:val="24"/>
          <w:szCs w:val="24"/>
        </w:rPr>
        <w:t>van 65 tot en met 129 punten. Positionering in categorie 2 heeft tot gevolg dat de financiële positie van de licentiehouder wordt bestempeld als voldoende.</w:t>
      </w:r>
    </w:p>
    <w:p w:rsidR="00284635" w:rsidRDefault="00284635" w:rsidP="00284635">
      <w:pPr>
        <w:pStyle w:val="ListParagraph"/>
        <w:numPr>
          <w:ilvl w:val="0"/>
          <w:numId w:val="5"/>
        </w:numPr>
        <w:spacing w:line="360" w:lineRule="auto"/>
        <w:jc w:val="both"/>
        <w:rPr>
          <w:sz w:val="24"/>
          <w:szCs w:val="24"/>
        </w:rPr>
      </w:pPr>
      <w:r>
        <w:rPr>
          <w:b/>
          <w:sz w:val="24"/>
          <w:szCs w:val="24"/>
        </w:rPr>
        <w:t>Categorie 3:</w:t>
      </w:r>
      <w:r>
        <w:rPr>
          <w:sz w:val="24"/>
          <w:szCs w:val="24"/>
        </w:rPr>
        <w:t xml:space="preserve"> van 130 tot en met 240 punten. Clubs in deze categorie worden tot de gezondste clubs van het land geschaard en krijgen een goede beoordeling.</w:t>
      </w:r>
    </w:p>
    <w:p w:rsidR="00866BAF" w:rsidRPr="00D91D4E" w:rsidRDefault="00776867" w:rsidP="00D91D4E">
      <w:pPr>
        <w:pStyle w:val="Heading2"/>
        <w:rPr>
          <w:rFonts w:eastAsia="Times New Roman"/>
          <w:sz w:val="32"/>
          <w:lang w:eastAsia="en-GB"/>
        </w:rPr>
      </w:pPr>
      <w:bookmarkStart w:id="33" w:name="_Toc425516499"/>
      <w:r>
        <w:rPr>
          <w:rFonts w:eastAsia="Times New Roman"/>
          <w:sz w:val="32"/>
          <w:lang w:eastAsia="en-GB"/>
        </w:rPr>
        <w:t>4</w:t>
      </w:r>
      <w:r w:rsidR="00D91D4E" w:rsidRPr="00D91D4E">
        <w:rPr>
          <w:rFonts w:eastAsia="Times New Roman"/>
          <w:sz w:val="32"/>
          <w:lang w:eastAsia="en-GB"/>
        </w:rPr>
        <w:t xml:space="preserve">.3. </w:t>
      </w:r>
      <w:r w:rsidR="00866BAF" w:rsidRPr="00D91D4E">
        <w:rPr>
          <w:rFonts w:eastAsia="Times New Roman"/>
          <w:sz w:val="32"/>
          <w:lang w:eastAsia="en-GB"/>
        </w:rPr>
        <w:t xml:space="preserve">Toetsing FC Twente </w:t>
      </w:r>
      <w:proofErr w:type="gramStart"/>
      <w:r w:rsidR="00866BAF" w:rsidRPr="00D91D4E">
        <w:rPr>
          <w:rFonts w:eastAsia="Times New Roman"/>
          <w:sz w:val="32"/>
          <w:lang w:eastAsia="en-GB"/>
        </w:rPr>
        <w:t>middels</w:t>
      </w:r>
      <w:proofErr w:type="gramEnd"/>
      <w:r w:rsidR="00866BAF" w:rsidRPr="00D91D4E">
        <w:rPr>
          <w:rFonts w:eastAsia="Times New Roman"/>
          <w:sz w:val="32"/>
          <w:lang w:eastAsia="en-GB"/>
        </w:rPr>
        <w:t xml:space="preserve"> Financieel Rating Systeem</w:t>
      </w:r>
      <w:bookmarkEnd w:id="33"/>
    </w:p>
    <w:p w:rsidR="00284635" w:rsidRDefault="00284635" w:rsidP="0028463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Na deze introductie van het FRS wordt de financiële positie van FC Twente bepaald en berekend aan de hand van de tien kernvariabelen.</w:t>
      </w:r>
      <w:r w:rsidR="00F501CE">
        <w:rPr>
          <w:rFonts w:eastAsia="Times New Roman" w:cs="Times New Roman"/>
          <w:color w:val="222222"/>
          <w:sz w:val="24"/>
          <w:szCs w:val="24"/>
          <w:lang w:eastAsia="en-GB"/>
        </w:rPr>
        <w:t xml:space="preserve"> Belangrijk gegeven is dat de berekeningen geschieden op meetmoment 1 (november)</w:t>
      </w:r>
      <w:r w:rsidR="00F501CE">
        <w:rPr>
          <w:rStyle w:val="FootnoteReference"/>
          <w:rFonts w:eastAsia="Times New Roman" w:cs="Times New Roman"/>
          <w:color w:val="222222"/>
          <w:sz w:val="24"/>
          <w:szCs w:val="24"/>
          <w:lang w:eastAsia="en-GB"/>
        </w:rPr>
        <w:footnoteReference w:id="56"/>
      </w:r>
      <w:r w:rsidR="00F501CE">
        <w:rPr>
          <w:rFonts w:eastAsia="Times New Roman" w:cs="Times New Roman"/>
          <w:color w:val="222222"/>
          <w:sz w:val="24"/>
          <w:szCs w:val="24"/>
          <w:lang w:eastAsia="en-GB"/>
        </w:rPr>
        <w:t>.</w:t>
      </w:r>
    </w:p>
    <w:p w:rsidR="00866BAF" w:rsidRPr="00866BAF" w:rsidRDefault="00866BAF" w:rsidP="00284635">
      <w:pPr>
        <w:shd w:val="clear" w:color="auto" w:fill="FFFFFF"/>
        <w:spacing w:after="0" w:line="360" w:lineRule="auto"/>
        <w:jc w:val="both"/>
        <w:rPr>
          <w:rFonts w:eastAsia="Times New Roman" w:cs="Times New Roman"/>
          <w:color w:val="222222"/>
          <w:sz w:val="24"/>
          <w:szCs w:val="24"/>
          <w:lang w:eastAsia="en-GB"/>
        </w:rPr>
      </w:pPr>
    </w:p>
    <w:p w:rsidR="00284635" w:rsidRPr="00D91D4E" w:rsidRDefault="00776867" w:rsidP="00D91D4E">
      <w:pPr>
        <w:pStyle w:val="Heading3"/>
        <w:rPr>
          <w:rFonts w:eastAsia="Times New Roman"/>
          <w:lang w:eastAsia="en-GB"/>
        </w:rPr>
      </w:pPr>
      <w:bookmarkStart w:id="34" w:name="_Toc425516500"/>
      <w:r>
        <w:rPr>
          <w:rFonts w:eastAsia="Times New Roman"/>
          <w:sz w:val="28"/>
          <w:lang w:eastAsia="en-GB"/>
        </w:rPr>
        <w:t>4</w:t>
      </w:r>
      <w:r w:rsidR="00D91D4E" w:rsidRPr="00D91D4E">
        <w:rPr>
          <w:rFonts w:eastAsia="Times New Roman"/>
          <w:sz w:val="28"/>
          <w:lang w:eastAsia="en-GB"/>
        </w:rPr>
        <w:t>.3.1</w:t>
      </w:r>
      <w:r w:rsidR="00D91D4E">
        <w:rPr>
          <w:rFonts w:eastAsia="Times New Roman"/>
          <w:sz w:val="28"/>
          <w:lang w:eastAsia="en-GB"/>
        </w:rPr>
        <w:t>.</w:t>
      </w:r>
      <w:r w:rsidR="00D91D4E" w:rsidRPr="00D91D4E">
        <w:rPr>
          <w:rFonts w:eastAsia="Times New Roman"/>
          <w:sz w:val="28"/>
          <w:lang w:eastAsia="en-GB"/>
        </w:rPr>
        <w:t xml:space="preserve"> </w:t>
      </w:r>
      <w:r w:rsidR="00284635" w:rsidRPr="00D91D4E">
        <w:rPr>
          <w:rFonts w:eastAsia="Times New Roman"/>
          <w:sz w:val="28"/>
          <w:lang w:eastAsia="en-GB"/>
        </w:rPr>
        <w:t>Kernvariabele 1: Buffer liquide middelen op basis van historie</w:t>
      </w:r>
      <w:bookmarkEnd w:id="34"/>
    </w:p>
    <w:p w:rsidR="00284635" w:rsidRDefault="00662468" w:rsidP="0028463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De liquiditeitspositie is te berekenen door gemiddelde toe/afname van liquide middelen over de afgelopen twee boekjaren uit te drukken in de maandelijkse personeelskosten over </w:t>
      </w:r>
      <w:proofErr w:type="gramStart"/>
      <w:r>
        <w:rPr>
          <w:rFonts w:eastAsia="Times New Roman" w:cs="Times New Roman"/>
          <w:color w:val="222222"/>
          <w:sz w:val="24"/>
          <w:szCs w:val="24"/>
          <w:lang w:eastAsia="en-GB"/>
        </w:rPr>
        <w:t>de</w:t>
      </w:r>
      <w:proofErr w:type="gramEnd"/>
      <w:r>
        <w:rPr>
          <w:rFonts w:eastAsia="Times New Roman" w:cs="Times New Roman"/>
          <w:color w:val="222222"/>
          <w:sz w:val="24"/>
          <w:szCs w:val="24"/>
          <w:lang w:eastAsia="en-GB"/>
        </w:rPr>
        <w:t xml:space="preserve"> aflopen boekjaren</w:t>
      </w:r>
      <w:r w:rsidR="00ED3319">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896092459"/>
          <w:citation/>
        </w:sdtPr>
        <w:sdtContent>
          <w:r w:rsidR="000C5AB6">
            <w:rPr>
              <w:rFonts w:eastAsia="Times New Roman" w:cs="Times New Roman"/>
              <w:color w:val="222222"/>
              <w:sz w:val="24"/>
              <w:szCs w:val="24"/>
              <w:lang w:eastAsia="en-GB"/>
            </w:rPr>
            <w:fldChar w:fldCharType="begin"/>
          </w:r>
          <w:r w:rsidR="00ED3319">
            <w:rPr>
              <w:rFonts w:eastAsia="Times New Roman" w:cs="Times New Roman"/>
              <w:color w:val="222222"/>
              <w:sz w:val="24"/>
              <w:szCs w:val="24"/>
              <w:lang w:eastAsia="en-GB"/>
            </w:rPr>
            <w:instrText xml:space="preserve"> CITATION Ric141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(Richtlijn Financieel Rating Systeem, 2014)</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 xml:space="preserve">. </w:t>
      </w:r>
      <w:r w:rsidR="003F39DC">
        <w:rPr>
          <w:rFonts w:eastAsia="Times New Roman" w:cs="Times New Roman"/>
          <w:color w:val="222222"/>
          <w:sz w:val="24"/>
          <w:szCs w:val="24"/>
          <w:lang w:eastAsia="en-GB"/>
        </w:rPr>
        <w:t xml:space="preserve">Deze kernvariabele hoeft enkel eenmaal per jaar berekend worden op basis van de jaarcijfers. </w:t>
      </w:r>
      <w:r>
        <w:rPr>
          <w:rFonts w:eastAsia="Times New Roman" w:cs="Times New Roman"/>
          <w:color w:val="222222"/>
          <w:sz w:val="24"/>
          <w:szCs w:val="24"/>
          <w:lang w:eastAsia="en-GB"/>
        </w:rPr>
        <w:t>De gewenste input bestaat uit:</w:t>
      </w:r>
    </w:p>
    <w:p w:rsidR="00662468" w:rsidRDefault="00662468" w:rsidP="00662468">
      <w:pPr>
        <w:pStyle w:val="ListParagraph"/>
        <w:numPr>
          <w:ilvl w:val="0"/>
          <w:numId w:val="5"/>
        </w:num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De balanspositie van liquide middelen per 30 juni over </w:t>
      </w:r>
      <w:proofErr w:type="gramStart"/>
      <w:r>
        <w:rPr>
          <w:rFonts w:eastAsia="Times New Roman" w:cs="Times New Roman"/>
          <w:color w:val="222222"/>
          <w:sz w:val="24"/>
          <w:szCs w:val="24"/>
          <w:lang w:eastAsia="en-GB"/>
        </w:rPr>
        <w:t>de</w:t>
      </w:r>
      <w:proofErr w:type="gramEnd"/>
      <w:r>
        <w:rPr>
          <w:rFonts w:eastAsia="Times New Roman" w:cs="Times New Roman"/>
          <w:color w:val="222222"/>
          <w:sz w:val="24"/>
          <w:szCs w:val="24"/>
          <w:lang w:eastAsia="en-GB"/>
        </w:rPr>
        <w:t xml:space="preserve"> aflopen drie boekjaren.</w:t>
      </w:r>
    </w:p>
    <w:p w:rsidR="00662468" w:rsidRDefault="00662468" w:rsidP="00662468">
      <w:pPr>
        <w:pStyle w:val="ListParagraph"/>
        <w:numPr>
          <w:ilvl w:val="0"/>
          <w:numId w:val="5"/>
        </w:num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De maandelijkse personeelskosten van de afgelopen twee boekjaren.</w:t>
      </w:r>
    </w:p>
    <w:p w:rsidR="00ED3319" w:rsidRDefault="00ED3319" w:rsidP="00ED3319">
      <w:pPr>
        <w:shd w:val="clear" w:color="auto" w:fill="FFFFFF"/>
        <w:spacing w:after="0" w:line="360" w:lineRule="auto"/>
        <w:jc w:val="both"/>
        <w:rPr>
          <w:rFonts w:eastAsia="Times New Roman" w:cs="Times New Roman"/>
          <w:color w:val="222222"/>
          <w:sz w:val="24"/>
          <w:szCs w:val="24"/>
          <w:lang w:eastAsia="en-GB"/>
        </w:rPr>
      </w:pPr>
    </w:p>
    <w:p w:rsidR="00ED3319" w:rsidRPr="00ED3319" w:rsidRDefault="00ED3319" w:rsidP="00ED3319">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Voor de balanspositie liquide middelen zijn de volgende gegevens uit de jaarrekeningen over het boekjaar 2013/2014</w:t>
      </w:r>
      <w:r w:rsidR="00575EA0">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887919828"/>
          <w:citation/>
        </w:sdtPr>
        <w:sdtContent>
          <w:r w:rsidR="000C5AB6">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 xml:space="preserve"> </w:t>
      </w:r>
      <w:proofErr w:type="gramStart"/>
      <w:r>
        <w:rPr>
          <w:rFonts w:eastAsia="Times New Roman" w:cs="Times New Roman"/>
          <w:color w:val="222222"/>
          <w:sz w:val="24"/>
          <w:szCs w:val="24"/>
          <w:lang w:eastAsia="en-GB"/>
        </w:rPr>
        <w:t>en</w:t>
      </w:r>
      <w:proofErr w:type="gramEnd"/>
      <w:r>
        <w:rPr>
          <w:rFonts w:eastAsia="Times New Roman" w:cs="Times New Roman"/>
          <w:color w:val="222222"/>
          <w:sz w:val="24"/>
          <w:szCs w:val="24"/>
          <w:lang w:eastAsia="en-GB"/>
        </w:rPr>
        <w:t xml:space="preserve"> boekjaar 2012/2013 benodigd</w:t>
      </w:r>
      <w:r w:rsidR="003F39DC">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798063580"/>
          <w:citation/>
        </w:sdtPr>
        <w:sdtContent>
          <w:r w:rsidR="000C5AB6">
            <w:rPr>
              <w:rFonts w:eastAsia="Times New Roman" w:cs="Times New Roman"/>
              <w:color w:val="222222"/>
              <w:sz w:val="24"/>
              <w:szCs w:val="24"/>
              <w:lang w:eastAsia="en-GB"/>
            </w:rPr>
            <w:fldChar w:fldCharType="begin"/>
          </w:r>
          <w:r w:rsidR="003F39DC">
            <w:rPr>
              <w:rFonts w:eastAsia="Times New Roman" w:cs="Times New Roman"/>
              <w:color w:val="222222"/>
              <w:sz w:val="24"/>
              <w:szCs w:val="24"/>
              <w:lang w:eastAsia="en-GB"/>
            </w:rPr>
            <w:instrText xml:space="preserve"> CITATION Sti14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2014)</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w:t>
      </w:r>
    </w:p>
    <w:p w:rsidR="00ED3319" w:rsidRDefault="000C5AB6" w:rsidP="00ED3319">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29" o:spid="_x0000_s1046" style="position:absolute;left:0;text-align:left;margin-left:3.65pt;margin-top:16.45pt;width:58.6pt;height:20.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" fillcolor="white [3201]" strokecolor="black [3213]" strokeweight="1pt">
            <v:textbox>
              <w:txbxContent>
                <w:p w:rsidR="00776867" w:rsidRDefault="00776867" w:rsidP="00ED3319">
                  <w:pPr>
                    <w:jc w:val="center"/>
                  </w:pPr>
                  <w:r>
                    <w:t>Figuur 12</w:t>
                  </w:r>
                </w:p>
              </w:txbxContent>
            </v:textbox>
          </v:rect>
        </w:pict>
      </w:r>
    </w:p>
    <w:p w:rsidR="00ED3319" w:rsidRPr="00ED3319" w:rsidRDefault="00ED3319" w:rsidP="00ED3319">
      <w:pPr>
        <w:shd w:val="clear" w:color="auto" w:fill="FFFFFF"/>
        <w:spacing w:after="0" w:line="360" w:lineRule="auto"/>
        <w:jc w:val="both"/>
        <w:rPr>
          <w:rFonts w:eastAsia="Times New Roman" w:cs="Times New Roman"/>
          <w:color w:val="222222"/>
          <w:sz w:val="24"/>
          <w:szCs w:val="24"/>
          <w:lang w:eastAsia="en-GB"/>
        </w:rPr>
      </w:pPr>
    </w:p>
    <w:p w:rsidR="00662468" w:rsidRDefault="00662468" w:rsidP="00662468">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noProof/>
          <w:color w:val="222222"/>
          <w:sz w:val="24"/>
          <w:szCs w:val="24"/>
          <w:lang w:val="en-US"/>
        </w:rPr>
        <w:drawing>
          <wp:inline distT="0" distB="0" distL="0" distR="0">
            <wp:extent cx="5667375" cy="712470"/>
            <wp:effectExtent l="0" t="0" r="9525"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7375" cy="712470"/>
                    </a:xfrm>
                    <a:prstGeom prst="rect">
                      <a:avLst/>
                    </a:prstGeom>
                    <a:noFill/>
                    <a:ln>
                      <a:noFill/>
                    </a:ln>
                  </pic:spPr>
                </pic:pic>
              </a:graphicData>
            </a:graphic>
          </wp:inline>
        </w:drawing>
      </w:r>
    </w:p>
    <w:p w:rsidR="00575EA0" w:rsidRDefault="00575EA0" w:rsidP="00662468">
      <w:pPr>
        <w:shd w:val="clear" w:color="auto" w:fill="FFFFFF"/>
        <w:spacing w:after="0" w:line="360" w:lineRule="auto"/>
        <w:jc w:val="both"/>
        <w:rPr>
          <w:rFonts w:eastAsia="Times New Roman" w:cs="Times New Roman"/>
          <w:color w:val="222222"/>
          <w:sz w:val="24"/>
          <w:szCs w:val="24"/>
          <w:lang w:eastAsia="en-GB"/>
        </w:rPr>
      </w:pPr>
    </w:p>
    <w:p w:rsidR="00ED3319" w:rsidRDefault="000C5AB6" w:rsidP="00662468">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28" o:spid="_x0000_s1047" style="position:absolute;left:0;text-align:left;margin-left:1.15pt;margin-top:19.6pt;width:57.75pt;height:20.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" fillcolor="white [3201]" strokecolor="black [3213]" strokeweight="1pt">
            <v:textbox>
              <w:txbxContent>
                <w:p w:rsidR="00776867" w:rsidRDefault="00776867" w:rsidP="00ED3319">
                  <w:pPr>
                    <w:jc w:val="center"/>
                  </w:pPr>
                  <w:r>
                    <w:t>Figuur 13</w:t>
                  </w:r>
                </w:p>
              </w:txbxContent>
            </v:textbox>
          </v:rect>
        </w:pict>
      </w:r>
    </w:p>
    <w:p w:rsidR="00ED3319" w:rsidRDefault="00ED3319" w:rsidP="00662468">
      <w:pPr>
        <w:shd w:val="clear" w:color="auto" w:fill="FFFFFF"/>
        <w:spacing w:after="0" w:line="360" w:lineRule="auto"/>
        <w:jc w:val="both"/>
        <w:rPr>
          <w:rFonts w:eastAsia="Times New Roman" w:cs="Times New Roman"/>
          <w:color w:val="222222"/>
          <w:sz w:val="24"/>
          <w:szCs w:val="24"/>
          <w:lang w:eastAsia="en-GB"/>
        </w:rPr>
      </w:pPr>
    </w:p>
    <w:p w:rsidR="00ED3319" w:rsidRPr="00662468" w:rsidRDefault="00ED3319" w:rsidP="00662468">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noProof/>
          <w:color w:val="222222"/>
          <w:sz w:val="24"/>
          <w:szCs w:val="24"/>
          <w:lang w:val="en-US"/>
        </w:rPr>
        <w:lastRenderedPageBreak/>
        <w:drawing>
          <wp:inline distT="0" distB="0" distL="0" distR="0">
            <wp:extent cx="5752214" cy="715784"/>
            <wp:effectExtent l="0" t="0" r="1270" b="8255"/>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4235" cy="722257"/>
                    </a:xfrm>
                    <a:prstGeom prst="rect">
                      <a:avLst/>
                    </a:prstGeom>
                    <a:noFill/>
                    <a:ln>
                      <a:noFill/>
                    </a:ln>
                  </pic:spPr>
                </pic:pic>
              </a:graphicData>
            </a:graphic>
          </wp:inline>
        </w:drawing>
      </w:r>
    </w:p>
    <w:p w:rsidR="001849A2" w:rsidRDefault="001849A2" w:rsidP="00E874F8">
      <w:pPr>
        <w:shd w:val="clear" w:color="auto" w:fill="FFFFFF"/>
        <w:spacing w:after="0" w:line="360" w:lineRule="auto"/>
        <w:jc w:val="both"/>
        <w:rPr>
          <w:rFonts w:eastAsia="Times New Roman" w:cs="Times New Roman"/>
          <w:i/>
          <w:color w:val="222222"/>
          <w:sz w:val="24"/>
          <w:szCs w:val="24"/>
          <w:lang w:eastAsia="en-GB"/>
        </w:rPr>
      </w:pPr>
    </w:p>
    <w:p w:rsidR="003F39DC" w:rsidRDefault="000C5AB6" w:rsidP="00E874F8">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31" o:spid="_x0000_s1048" style="position:absolute;left:0;text-align:left;margin-left:0;margin-top:60.75pt;width:58.6pt;height:20.9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" fillcolor="white [3201]" strokecolor="black [3213]" strokeweight="1pt">
            <v:textbox>
              <w:txbxContent>
                <w:p w:rsidR="00776867" w:rsidRDefault="00776867" w:rsidP="003F39DC">
                  <w:pPr>
                    <w:jc w:val="center"/>
                  </w:pPr>
                  <w:r>
                    <w:t>Figuur 14</w:t>
                  </w:r>
                </w:p>
              </w:txbxContent>
            </v:textbox>
            <w10:wrap anchorx="margin"/>
          </v:rect>
        </w:pict>
      </w:r>
      <w:r w:rsidR="003B605C">
        <w:rPr>
          <w:rFonts w:eastAsia="Times New Roman" w:cs="Times New Roman"/>
          <w:color w:val="222222"/>
          <w:sz w:val="24"/>
          <w:szCs w:val="24"/>
          <w:lang w:eastAsia="en-GB"/>
        </w:rPr>
        <w:t xml:space="preserve">Voor de maandelijkse personeelskosten worden de totale </w:t>
      </w:r>
      <w:r w:rsidR="003F39DC">
        <w:rPr>
          <w:rFonts w:eastAsia="Times New Roman" w:cs="Times New Roman"/>
          <w:color w:val="222222"/>
          <w:sz w:val="24"/>
          <w:szCs w:val="24"/>
          <w:lang w:eastAsia="en-GB"/>
        </w:rPr>
        <w:t>personeelskosten over de boekjaren 2012/2013 en 2013/2014</w:t>
      </w:r>
      <w:r w:rsidR="00575EA0">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584459655"/>
          <w:citation/>
        </w:sdtPr>
        <w:sdtContent>
          <w:r>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Pr>
              <w:rFonts w:eastAsia="Times New Roman" w:cs="Times New Roman"/>
              <w:color w:val="222222"/>
              <w:sz w:val="24"/>
              <w:szCs w:val="24"/>
              <w:lang w:eastAsia="en-GB"/>
            </w:rPr>
            <w:fldChar w:fldCharType="end"/>
          </w:r>
        </w:sdtContent>
      </w:sdt>
      <w:r w:rsidR="003F39DC">
        <w:rPr>
          <w:rFonts w:eastAsia="Times New Roman" w:cs="Times New Roman"/>
          <w:color w:val="222222"/>
          <w:sz w:val="24"/>
          <w:szCs w:val="24"/>
          <w:lang w:eastAsia="en-GB"/>
        </w:rPr>
        <w:t xml:space="preserve"> </w:t>
      </w:r>
      <w:proofErr w:type="gramStart"/>
      <w:r w:rsidR="003F39DC">
        <w:rPr>
          <w:rFonts w:eastAsia="Times New Roman" w:cs="Times New Roman"/>
          <w:color w:val="222222"/>
          <w:sz w:val="24"/>
          <w:szCs w:val="24"/>
          <w:lang w:eastAsia="en-GB"/>
        </w:rPr>
        <w:t>gebruikt</w:t>
      </w:r>
      <w:proofErr w:type="gramEnd"/>
      <w:r w:rsidR="003F39DC">
        <w:rPr>
          <w:rFonts w:eastAsia="Times New Roman" w:cs="Times New Roman"/>
          <w:color w:val="222222"/>
          <w:sz w:val="24"/>
          <w:szCs w:val="24"/>
          <w:lang w:eastAsia="en-GB"/>
        </w:rPr>
        <w:t>:</w:t>
      </w:r>
      <w:r w:rsidR="00866BAF">
        <w:rPr>
          <w:rFonts w:eastAsia="Times New Roman" w:cs="Times New Roman"/>
          <w:color w:val="222222"/>
          <w:sz w:val="24"/>
          <w:szCs w:val="24"/>
          <w:lang w:eastAsia="en-GB"/>
        </w:rPr>
        <w:br/>
      </w:r>
    </w:p>
    <w:p w:rsidR="003F39DC" w:rsidRDefault="003F39DC" w:rsidP="00E874F8">
      <w:pPr>
        <w:shd w:val="clear" w:color="auto" w:fill="FFFFFF"/>
        <w:spacing w:after="0" w:line="360" w:lineRule="auto"/>
        <w:jc w:val="both"/>
        <w:rPr>
          <w:rFonts w:eastAsia="Times New Roman" w:cs="Times New Roman"/>
          <w:color w:val="222222"/>
          <w:sz w:val="24"/>
          <w:szCs w:val="24"/>
          <w:lang w:eastAsia="en-GB"/>
        </w:rPr>
      </w:pPr>
    </w:p>
    <w:p w:rsidR="003F39DC" w:rsidRPr="001849A2" w:rsidRDefault="003F39DC" w:rsidP="00E874F8">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noProof/>
          <w:color w:val="222222"/>
          <w:sz w:val="24"/>
          <w:szCs w:val="24"/>
          <w:lang w:val="en-US"/>
        </w:rPr>
        <w:drawing>
          <wp:inline distT="0" distB="0" distL="0" distR="0">
            <wp:extent cx="5667375" cy="1499235"/>
            <wp:effectExtent l="0" t="0" r="9525" b="5715"/>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7375" cy="1499235"/>
                    </a:xfrm>
                    <a:prstGeom prst="rect">
                      <a:avLst/>
                    </a:prstGeom>
                    <a:noFill/>
                    <a:ln>
                      <a:noFill/>
                    </a:ln>
                  </pic:spPr>
                </pic:pic>
              </a:graphicData>
            </a:graphic>
          </wp:inline>
        </w:drawing>
      </w:r>
    </w:p>
    <w:p w:rsidR="003F39DC" w:rsidRDefault="003F39DC" w:rsidP="006E3FF9">
      <w:pPr>
        <w:spacing w:line="360" w:lineRule="auto"/>
        <w:jc w:val="both"/>
        <w:rPr>
          <w:sz w:val="24"/>
          <w:szCs w:val="24"/>
        </w:rPr>
      </w:pPr>
    </w:p>
    <w:p w:rsidR="003F39DC" w:rsidRDefault="00950AC0" w:rsidP="006E3FF9">
      <w:pPr>
        <w:spacing w:line="360" w:lineRule="auto"/>
        <w:jc w:val="both"/>
        <w:rPr>
          <w:sz w:val="24"/>
          <w:szCs w:val="24"/>
        </w:rPr>
      </w:pPr>
      <w:r>
        <w:rPr>
          <w:sz w:val="24"/>
          <w:szCs w:val="24"/>
        </w:rPr>
        <w:t>Aan de hand van figuur 12, 13 en 14</w:t>
      </w:r>
      <w:r w:rsidR="003F39DC">
        <w:rPr>
          <w:sz w:val="24"/>
          <w:szCs w:val="24"/>
        </w:rPr>
        <w:t xml:space="preserve"> kan de liquiditeitspositie berekend worden:</w:t>
      </w:r>
    </w:p>
    <w:p w:rsidR="003F39DC" w:rsidRPr="003F39DC" w:rsidRDefault="003F39DC" w:rsidP="006E3FF9">
      <w:pPr>
        <w:spacing w:line="360" w:lineRule="auto"/>
        <w:jc w:val="both"/>
        <w:rPr>
          <w:sz w:val="24"/>
          <w:szCs w:val="24"/>
        </w:rPr>
      </w:pPr>
      <m:oMathPara>
        <m:oMath>
          <m:r>
            <w:rPr>
              <w:rFonts w:ascii="Cambria Math" w:hAnsi="Cambria Math"/>
              <w:sz w:val="24"/>
              <w:szCs w:val="24"/>
            </w:rPr>
            <m:t xml:space="preserve">Liquiditeitspositie= </m:t>
          </m:r>
          <m:f>
            <m:fPr>
              <m:ctrlPr>
                <w:rPr>
                  <w:rFonts w:ascii="Cambria Math" w:hAnsi="Cambria Math"/>
                  <w:i/>
                  <w:sz w:val="24"/>
                  <w:szCs w:val="24"/>
                </w:rPr>
              </m:ctrlPr>
            </m:fPr>
            <m:num>
              <m:r>
                <w:rPr>
                  <w:rFonts w:ascii="Cambria Math" w:hAnsi="Cambria Math"/>
                  <w:sz w:val="24"/>
                  <w:szCs w:val="24"/>
                </w:rPr>
                <m:t>411+2.240+1.197</m:t>
              </m:r>
            </m:num>
            <m:den>
              <m:r>
                <w:rPr>
                  <w:rFonts w:ascii="Cambria Math" w:hAnsi="Cambria Math"/>
                  <w:sz w:val="24"/>
                  <w:szCs w:val="24"/>
                </w:rPr>
                <m:t>28.314+33.600</m:t>
              </m:r>
            </m:den>
          </m:f>
          <m:r>
            <w:rPr>
              <w:rFonts w:ascii="Cambria Math" w:hAnsi="Cambria Math"/>
              <w:sz w:val="24"/>
              <w:szCs w:val="24"/>
            </w:rPr>
            <m:t>=0,062</m:t>
          </m:r>
        </m:oMath>
      </m:oMathPara>
    </w:p>
    <w:p w:rsidR="003F39DC" w:rsidRDefault="00D400A5" w:rsidP="006E3FF9">
      <w:pPr>
        <w:spacing w:line="360" w:lineRule="auto"/>
        <w:jc w:val="both"/>
        <w:rPr>
          <w:sz w:val="24"/>
          <w:szCs w:val="24"/>
        </w:rPr>
      </w:pPr>
      <w:r>
        <w:rPr>
          <w:sz w:val="24"/>
          <w:szCs w:val="24"/>
        </w:rPr>
        <w:t xml:space="preserve">Afgaande op de gegeven bandbreedtes in figuur Financieel Rating System in </w:t>
      </w:r>
      <w:proofErr w:type="gramStart"/>
      <w:r>
        <w:rPr>
          <w:sz w:val="24"/>
          <w:szCs w:val="24"/>
        </w:rPr>
        <w:t>de</w:t>
      </w:r>
      <w:proofErr w:type="gramEnd"/>
      <w:r>
        <w:rPr>
          <w:sz w:val="24"/>
          <w:szCs w:val="24"/>
        </w:rPr>
        <w:t xml:space="preserve"> appendix, krijgt FC Twente op basis van kernvariabele 1 zes punten toegekend. </w:t>
      </w:r>
      <w:r w:rsidR="003C243C">
        <w:rPr>
          <w:sz w:val="24"/>
          <w:szCs w:val="24"/>
        </w:rPr>
        <w:t>De liquiditeitspositie van 0,</w:t>
      </w:r>
      <w:r>
        <w:rPr>
          <w:sz w:val="24"/>
          <w:szCs w:val="24"/>
        </w:rPr>
        <w:t xml:space="preserve">062 bevindt </w:t>
      </w:r>
      <w:r w:rsidR="00711F54">
        <w:rPr>
          <w:sz w:val="24"/>
          <w:szCs w:val="24"/>
        </w:rPr>
        <w:t xml:space="preserve">zich </w:t>
      </w:r>
      <w:r>
        <w:rPr>
          <w:sz w:val="24"/>
          <w:szCs w:val="24"/>
        </w:rPr>
        <w:t>namelijk boven de bandbreedte 0 en in de bandbreedte 1. De multiplier van kernvariabele 1 bedraagt 6</w:t>
      </w:r>
      <w:proofErr w:type="gramStart"/>
      <w:r>
        <w:rPr>
          <w:sz w:val="24"/>
          <w:szCs w:val="24"/>
        </w:rPr>
        <w:t>, wat</w:t>
      </w:r>
      <w:proofErr w:type="gramEnd"/>
      <w:r>
        <w:rPr>
          <w:sz w:val="24"/>
          <w:szCs w:val="24"/>
        </w:rPr>
        <w:t xml:space="preserve"> het totaal aantal punten op 1 x 6 = 6 punten brengt.</w:t>
      </w:r>
    </w:p>
    <w:p w:rsidR="00D400A5" w:rsidRPr="00D91D4E" w:rsidRDefault="00776867" w:rsidP="00D91D4E">
      <w:pPr>
        <w:pStyle w:val="Heading3"/>
        <w:rPr>
          <w:sz w:val="28"/>
        </w:rPr>
      </w:pPr>
      <w:bookmarkStart w:id="35" w:name="_Toc425516501"/>
      <w:r>
        <w:rPr>
          <w:sz w:val="28"/>
        </w:rPr>
        <w:t>4</w:t>
      </w:r>
      <w:r w:rsidR="00D91D4E" w:rsidRPr="00D91D4E">
        <w:rPr>
          <w:sz w:val="28"/>
        </w:rPr>
        <w:t xml:space="preserve">.3.2. </w:t>
      </w:r>
      <w:r w:rsidR="00D400A5" w:rsidRPr="00D91D4E">
        <w:rPr>
          <w:sz w:val="28"/>
        </w:rPr>
        <w:t>Kernvariabele 2: Buffer liquide middelen op basis van toekomst</w:t>
      </w:r>
      <w:bookmarkEnd w:id="35"/>
    </w:p>
    <w:p w:rsidR="00DD4945" w:rsidRDefault="00D400A5" w:rsidP="006E3FF9">
      <w:pPr>
        <w:spacing w:line="360" w:lineRule="auto"/>
        <w:jc w:val="both"/>
        <w:rPr>
          <w:sz w:val="24"/>
          <w:szCs w:val="24"/>
        </w:rPr>
      </w:pPr>
      <w:r>
        <w:rPr>
          <w:sz w:val="24"/>
          <w:szCs w:val="24"/>
        </w:rPr>
        <w:t xml:space="preserve">Deze kernvariabele sluit grotendeels aan op kernvariabele 1, echter wordt in dit geval de buffer liquide middelen op basis van de toekomst gevraagd. </w:t>
      </w:r>
      <w:r w:rsidR="006D0C12">
        <w:rPr>
          <w:sz w:val="24"/>
          <w:szCs w:val="24"/>
        </w:rPr>
        <w:t xml:space="preserve">De multiplier voor deze kernvariabele bedraagt ook 6. </w:t>
      </w:r>
      <w:r>
        <w:rPr>
          <w:sz w:val="24"/>
          <w:szCs w:val="24"/>
        </w:rPr>
        <w:t xml:space="preserve">De liquiditeitspositie is te berekenen door de </w:t>
      </w:r>
      <w:r w:rsidRPr="00695E50">
        <w:rPr>
          <w:sz w:val="24"/>
          <w:szCs w:val="24"/>
        </w:rPr>
        <w:t>onderbouwde</w:t>
      </w:r>
      <w:r w:rsidR="00695E50">
        <w:rPr>
          <w:rStyle w:val="FootnoteReference"/>
          <w:sz w:val="24"/>
          <w:szCs w:val="24"/>
        </w:rPr>
        <w:footnoteReference w:id="57"/>
      </w:r>
      <w:r>
        <w:rPr>
          <w:sz w:val="24"/>
          <w:szCs w:val="24"/>
        </w:rPr>
        <w:t xml:space="preserve"> liquiditeitspositie per 30 juni van het aankomende (begrote) of lopende (prognose) boekjaar, uitgedrukt in de </w:t>
      </w:r>
      <w:proofErr w:type="gramStart"/>
      <w:r>
        <w:rPr>
          <w:sz w:val="24"/>
          <w:szCs w:val="24"/>
        </w:rPr>
        <w:t>maandelijks</w:t>
      </w:r>
      <w:proofErr w:type="gramEnd"/>
      <w:r>
        <w:rPr>
          <w:sz w:val="24"/>
          <w:szCs w:val="24"/>
        </w:rPr>
        <w:t xml:space="preserve"> personeelskosten over dezelfde periode</w:t>
      </w:r>
      <w:r w:rsidR="00DD4945">
        <w:rPr>
          <w:sz w:val="24"/>
          <w:szCs w:val="24"/>
        </w:rPr>
        <w:t xml:space="preserve"> </w:t>
      </w:r>
      <w:sdt>
        <w:sdtPr>
          <w:rPr>
            <w:sz w:val="24"/>
            <w:szCs w:val="24"/>
          </w:rPr>
          <w:id w:val="579104163"/>
          <w:citation/>
        </w:sdtPr>
        <w:sdtContent>
          <w:r w:rsidR="000C5AB6">
            <w:rPr>
              <w:sz w:val="24"/>
              <w:szCs w:val="24"/>
            </w:rPr>
            <w:fldChar w:fldCharType="begin"/>
          </w:r>
          <w:r w:rsidR="00DD4945">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Pr>
          <w:sz w:val="24"/>
          <w:szCs w:val="24"/>
        </w:rPr>
        <w:t>.</w:t>
      </w:r>
      <w:r w:rsidR="00DD4945">
        <w:rPr>
          <w:sz w:val="24"/>
          <w:szCs w:val="24"/>
        </w:rPr>
        <w:t xml:space="preserve"> De liquiditeitspositie wordt eventueel gecorrigeerd voor onzekere, niet contractueel onderbouwde posten. Voorbeelden hiervoor zijn verwachte </w:t>
      </w:r>
      <w:r w:rsidR="00DD4945">
        <w:rPr>
          <w:sz w:val="24"/>
          <w:szCs w:val="24"/>
        </w:rPr>
        <w:lastRenderedPageBreak/>
        <w:t>transferinkomsten, niet onderbouwde stijgingen van inkomsten uit sponsoring, niet onderbouwde leningen en kapitaalstortingen.</w:t>
      </w:r>
    </w:p>
    <w:p w:rsidR="00D400A5" w:rsidRDefault="00695E50" w:rsidP="006E3FF9">
      <w:pPr>
        <w:spacing w:line="360" w:lineRule="auto"/>
        <w:jc w:val="both"/>
        <w:rPr>
          <w:sz w:val="24"/>
          <w:szCs w:val="24"/>
        </w:rPr>
      </w:pPr>
      <w:r>
        <w:rPr>
          <w:sz w:val="24"/>
          <w:szCs w:val="24"/>
        </w:rPr>
        <w:t xml:space="preserve">Zoals </w:t>
      </w:r>
      <w:proofErr w:type="gramStart"/>
      <w:r>
        <w:rPr>
          <w:sz w:val="24"/>
          <w:szCs w:val="24"/>
        </w:rPr>
        <w:t>reeds</w:t>
      </w:r>
      <w:proofErr w:type="gramEnd"/>
      <w:r>
        <w:rPr>
          <w:sz w:val="24"/>
          <w:szCs w:val="24"/>
        </w:rPr>
        <w:t xml:space="preserve"> aangegeven in de introductie van dit hoofdstuk, heeft de KNVB Licentiecommissie een geheimhoudingsovereenkomst met de betaald voetbal organisaties over deze gegevens </w:t>
      </w:r>
      <w:sdt>
        <w:sdtPr>
          <w:rPr>
            <w:sz w:val="24"/>
            <w:szCs w:val="24"/>
          </w:rPr>
          <w:id w:val="-168956615"/>
          <w:citation/>
        </w:sdtPr>
        <w:sdtContent>
          <w:r w:rsidR="000C5AB6">
            <w:rPr>
              <w:sz w:val="24"/>
              <w:szCs w:val="24"/>
            </w:rPr>
            <w:fldChar w:fldCharType="begin"/>
          </w:r>
          <w:r>
            <w:rPr>
              <w:sz w:val="24"/>
              <w:szCs w:val="24"/>
            </w:rPr>
            <w:instrText xml:space="preserve"> CITATION Rav15 \l 1043 </w:instrText>
          </w:r>
          <w:r w:rsidR="000C5AB6">
            <w:rPr>
              <w:sz w:val="24"/>
              <w:szCs w:val="24"/>
            </w:rPr>
            <w:fldChar w:fldCharType="separate"/>
          </w:r>
          <w:r w:rsidR="00062BB9" w:rsidRPr="00062BB9">
            <w:rPr>
              <w:noProof/>
              <w:sz w:val="24"/>
              <w:szCs w:val="24"/>
            </w:rPr>
            <w:t>(Ravensbergen, 2015)</w:t>
          </w:r>
          <w:r w:rsidR="000C5AB6">
            <w:rPr>
              <w:sz w:val="24"/>
              <w:szCs w:val="24"/>
            </w:rPr>
            <w:fldChar w:fldCharType="end"/>
          </w:r>
        </w:sdtContent>
      </w:sdt>
      <w:r>
        <w:rPr>
          <w:sz w:val="24"/>
          <w:szCs w:val="24"/>
        </w:rPr>
        <w:t>. Als gevolg hiervan worden de volgende assumpties gemaakt om een realistische liquiditeitspositie berekenen, wat leidt tot een realistische schatting van de uitkomst van kernvariabele 2:</w:t>
      </w:r>
    </w:p>
    <w:p w:rsidR="00695E50" w:rsidRDefault="000F51BC" w:rsidP="00695E50">
      <w:pPr>
        <w:pStyle w:val="ListParagraph"/>
        <w:numPr>
          <w:ilvl w:val="0"/>
          <w:numId w:val="5"/>
        </w:numPr>
        <w:spacing w:line="360" w:lineRule="auto"/>
        <w:jc w:val="both"/>
        <w:rPr>
          <w:sz w:val="24"/>
          <w:szCs w:val="24"/>
        </w:rPr>
      </w:pPr>
      <w:r>
        <w:rPr>
          <w:sz w:val="24"/>
          <w:szCs w:val="24"/>
        </w:rPr>
        <w:t>De liquide middelen per 30 juni 2014 zijn drastisch verlaagd ten opzichte van het jaar ervoor. Met alle</w:t>
      </w:r>
      <w:r w:rsidR="00711F54">
        <w:rPr>
          <w:sz w:val="24"/>
          <w:szCs w:val="24"/>
        </w:rPr>
        <w:t xml:space="preserve"> voorgaande</w:t>
      </w:r>
      <w:r>
        <w:rPr>
          <w:sz w:val="24"/>
          <w:szCs w:val="24"/>
        </w:rPr>
        <w:t xml:space="preserve"> bezuinigingen en die in de toekomst verwacht worden, mag aangenomen worden dat de liquide middelen voor het komende boekjaar niet toegenomen zullen zijn.</w:t>
      </w:r>
    </w:p>
    <w:p w:rsidR="000F51BC" w:rsidRDefault="000F51BC" w:rsidP="00695E50">
      <w:pPr>
        <w:pStyle w:val="ListParagraph"/>
        <w:numPr>
          <w:ilvl w:val="0"/>
          <w:numId w:val="5"/>
        </w:numPr>
        <w:spacing w:line="360" w:lineRule="auto"/>
        <w:jc w:val="both"/>
        <w:rPr>
          <w:sz w:val="24"/>
          <w:szCs w:val="24"/>
        </w:rPr>
      </w:pPr>
      <w:r>
        <w:rPr>
          <w:sz w:val="24"/>
          <w:szCs w:val="24"/>
        </w:rPr>
        <w:t xml:space="preserve">De personeelslasten </w:t>
      </w:r>
      <w:proofErr w:type="gramStart"/>
      <w:r>
        <w:rPr>
          <w:sz w:val="24"/>
          <w:szCs w:val="24"/>
        </w:rPr>
        <w:t>namen</w:t>
      </w:r>
      <w:proofErr w:type="gramEnd"/>
      <w:r w:rsidR="007F53F8">
        <w:rPr>
          <w:sz w:val="24"/>
          <w:szCs w:val="24"/>
        </w:rPr>
        <w:t xml:space="preserve"> ten opzichte van het boekjaar 2012/2013</w:t>
      </w:r>
      <w:r>
        <w:rPr>
          <w:sz w:val="24"/>
          <w:szCs w:val="24"/>
        </w:rPr>
        <w:t xml:space="preserve"> met meer dan 5 miljoen euro af. Met de aangekondigde ontslagen op de werkvloer zou dit aantal </w:t>
      </w:r>
      <w:r w:rsidR="00575EA0">
        <w:rPr>
          <w:sz w:val="24"/>
          <w:szCs w:val="24"/>
        </w:rPr>
        <w:t>wederom</w:t>
      </w:r>
      <w:r>
        <w:rPr>
          <w:sz w:val="24"/>
          <w:szCs w:val="24"/>
        </w:rPr>
        <w:t xml:space="preserve"> verlaagd kunnen worden voor komend boekjaar </w:t>
      </w:r>
      <w:sdt>
        <w:sdtPr>
          <w:rPr>
            <w:sz w:val="24"/>
            <w:szCs w:val="24"/>
          </w:rPr>
          <w:id w:val="-1070738489"/>
          <w:citation/>
        </w:sdtPr>
        <w:sdtContent>
          <w:r w:rsidR="000C5AB6">
            <w:rPr>
              <w:sz w:val="24"/>
              <w:szCs w:val="24"/>
            </w:rPr>
            <w:fldChar w:fldCharType="begin"/>
          </w:r>
          <w:r>
            <w:rPr>
              <w:sz w:val="24"/>
              <w:szCs w:val="24"/>
            </w:rPr>
            <w:instrText xml:space="preserve"> CITATION Tub15 \l 1043 </w:instrText>
          </w:r>
          <w:r w:rsidR="000C5AB6">
            <w:rPr>
              <w:sz w:val="24"/>
              <w:szCs w:val="24"/>
            </w:rPr>
            <w:fldChar w:fldCharType="separate"/>
          </w:r>
          <w:r w:rsidR="00062BB9" w:rsidRPr="00062BB9">
            <w:rPr>
              <w:noProof/>
              <w:sz w:val="24"/>
              <w:szCs w:val="24"/>
            </w:rPr>
            <w:t>(Tubantia, 2015)</w:t>
          </w:r>
          <w:r w:rsidR="000C5AB6">
            <w:rPr>
              <w:sz w:val="24"/>
              <w:szCs w:val="24"/>
            </w:rPr>
            <w:fldChar w:fldCharType="end"/>
          </w:r>
        </w:sdtContent>
      </w:sdt>
      <w:r>
        <w:rPr>
          <w:sz w:val="24"/>
          <w:szCs w:val="24"/>
        </w:rPr>
        <w:t>.</w:t>
      </w:r>
      <w:r w:rsidR="000F19D4">
        <w:rPr>
          <w:sz w:val="24"/>
          <w:szCs w:val="24"/>
        </w:rPr>
        <w:t xml:space="preserve"> Daartegenover staan wel mogelijke ontslagvergoedingen die in overweging genomen moeten worden.</w:t>
      </w:r>
      <w:r w:rsidR="00A747AC">
        <w:rPr>
          <w:sz w:val="24"/>
          <w:szCs w:val="24"/>
        </w:rPr>
        <w:t xml:space="preserve"> Tevens worden meerdere aflopende contracten niet verlengd.</w:t>
      </w:r>
    </w:p>
    <w:p w:rsidR="000F51BC" w:rsidRDefault="000F51BC" w:rsidP="00695E50">
      <w:pPr>
        <w:pStyle w:val="ListParagraph"/>
        <w:numPr>
          <w:ilvl w:val="0"/>
          <w:numId w:val="5"/>
        </w:numPr>
        <w:spacing w:line="360" w:lineRule="auto"/>
        <w:jc w:val="both"/>
        <w:rPr>
          <w:sz w:val="24"/>
          <w:szCs w:val="24"/>
        </w:rPr>
      </w:pPr>
      <w:r>
        <w:rPr>
          <w:sz w:val="24"/>
          <w:szCs w:val="24"/>
        </w:rPr>
        <w:t xml:space="preserve">Met betrekking tot de onzekere, niet contractuele onderbouwde posten zou de liquiditeitspositie van FC Twente komende boekjaar kunnen verbeteren. </w:t>
      </w:r>
      <w:r w:rsidR="00202BEF">
        <w:rPr>
          <w:sz w:val="24"/>
          <w:szCs w:val="24"/>
        </w:rPr>
        <w:t xml:space="preserve">In de afgelopen maanden zijn </w:t>
      </w:r>
      <w:proofErr w:type="gramStart"/>
      <w:r w:rsidR="00202BEF">
        <w:rPr>
          <w:sz w:val="24"/>
          <w:szCs w:val="24"/>
        </w:rPr>
        <w:t>inmiddels</w:t>
      </w:r>
      <w:proofErr w:type="gramEnd"/>
      <w:r w:rsidR="00202BEF">
        <w:rPr>
          <w:sz w:val="24"/>
          <w:szCs w:val="24"/>
        </w:rPr>
        <w:t xml:space="preserve"> 8 spelers vertrokken, die naar schatting ongeveer 9 miljoen euro aan transfersommen hebben opgeleverd </w:t>
      </w:r>
      <w:sdt>
        <w:sdtPr>
          <w:rPr>
            <w:sz w:val="24"/>
            <w:szCs w:val="24"/>
          </w:rPr>
          <w:id w:val="1907799734"/>
          <w:citation/>
        </w:sdtPr>
        <w:sdtContent>
          <w:r w:rsidR="000C5AB6">
            <w:rPr>
              <w:sz w:val="24"/>
              <w:szCs w:val="24"/>
            </w:rPr>
            <w:fldChar w:fldCharType="begin"/>
          </w:r>
          <w:r w:rsidR="00202BEF">
            <w:rPr>
              <w:sz w:val="24"/>
              <w:szCs w:val="24"/>
            </w:rPr>
            <w:instrText xml:space="preserve"> CITATION NOS15 \l 1043 </w:instrText>
          </w:r>
          <w:r w:rsidR="000C5AB6">
            <w:rPr>
              <w:sz w:val="24"/>
              <w:szCs w:val="24"/>
            </w:rPr>
            <w:fldChar w:fldCharType="separate"/>
          </w:r>
          <w:r w:rsidR="00062BB9" w:rsidRPr="00062BB9">
            <w:rPr>
              <w:noProof/>
              <w:sz w:val="24"/>
              <w:szCs w:val="24"/>
            </w:rPr>
            <w:t>(NOS, 2015)</w:t>
          </w:r>
          <w:r w:rsidR="000C5AB6">
            <w:rPr>
              <w:sz w:val="24"/>
              <w:szCs w:val="24"/>
            </w:rPr>
            <w:fldChar w:fldCharType="end"/>
          </w:r>
        </w:sdtContent>
      </w:sdt>
      <w:r w:rsidR="00202BEF">
        <w:rPr>
          <w:sz w:val="24"/>
          <w:szCs w:val="24"/>
        </w:rPr>
        <w:t>. Als gevolg hiervan zullen de personeelslasten voor komend boekjaar afnemen.</w:t>
      </w:r>
    </w:p>
    <w:p w:rsidR="006D0C12" w:rsidRDefault="00011ABA" w:rsidP="000F19D4">
      <w:pPr>
        <w:spacing w:line="360" w:lineRule="auto"/>
        <w:jc w:val="both"/>
        <w:rPr>
          <w:sz w:val="24"/>
          <w:szCs w:val="24"/>
        </w:rPr>
      </w:pPr>
      <w:r>
        <w:rPr>
          <w:sz w:val="24"/>
          <w:szCs w:val="24"/>
        </w:rPr>
        <w:t>Alle assumpties in overweging genomen, is besloten de liquiditeitspositie voor kernvariabele 2 in dezelfde bandbreedte te plaatsen als de liquiditeitspositie voor kernvariabele 1. Door de nauwe band tussen deze variabelen dient deze schatting als reëel aangenomen te worden. Gegeven het feit dat de liquiditeitspositi</w:t>
      </w:r>
      <w:r w:rsidR="003C243C">
        <w:rPr>
          <w:sz w:val="24"/>
          <w:szCs w:val="24"/>
        </w:rPr>
        <w:t>e van de eerste kernvariabele 0,</w:t>
      </w:r>
      <w:r>
        <w:rPr>
          <w:sz w:val="24"/>
          <w:szCs w:val="24"/>
        </w:rPr>
        <w:t>062 bedraagt, zal de liquiditeitspositie voor komend boekjaar fors toenemen. Echter, de verwachting is dat de liquiditeitspo</w:t>
      </w:r>
      <w:r w:rsidR="003C243C">
        <w:rPr>
          <w:sz w:val="24"/>
          <w:szCs w:val="24"/>
        </w:rPr>
        <w:t>sitie niet hoger zal zijn dan 0,</w:t>
      </w:r>
      <w:r>
        <w:rPr>
          <w:sz w:val="24"/>
          <w:szCs w:val="24"/>
        </w:rPr>
        <w:t>5</w:t>
      </w:r>
      <w:r w:rsidR="003C243C">
        <w:rPr>
          <w:sz w:val="24"/>
          <w:szCs w:val="24"/>
        </w:rPr>
        <w:t>. G</w:t>
      </w:r>
      <w:r w:rsidR="006D0C12">
        <w:rPr>
          <w:sz w:val="24"/>
          <w:szCs w:val="24"/>
        </w:rPr>
        <w:t>egeven het feit de multiplier voor</w:t>
      </w:r>
      <w:r w:rsidR="003C243C">
        <w:rPr>
          <w:sz w:val="24"/>
          <w:szCs w:val="24"/>
        </w:rPr>
        <w:t xml:space="preserve"> deze kernvariabele wederom 6 bedraagt</w:t>
      </w:r>
      <w:r w:rsidR="006D0C12">
        <w:rPr>
          <w:sz w:val="24"/>
          <w:szCs w:val="24"/>
        </w:rPr>
        <w:t xml:space="preserve"> </w:t>
      </w:r>
      <w:sdt>
        <w:sdtPr>
          <w:rPr>
            <w:sz w:val="24"/>
            <w:szCs w:val="24"/>
          </w:rPr>
          <w:id w:val="-1555154032"/>
          <w:citation/>
        </w:sdtPr>
        <w:sdtContent>
          <w:r w:rsidR="000C5AB6">
            <w:rPr>
              <w:sz w:val="24"/>
              <w:szCs w:val="24"/>
            </w:rPr>
            <w:fldChar w:fldCharType="begin"/>
          </w:r>
          <w:r w:rsidR="006D0C12">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3C243C">
        <w:rPr>
          <w:sz w:val="24"/>
          <w:szCs w:val="24"/>
        </w:rPr>
        <w:t xml:space="preserve">, zal de totale score 6 x </w:t>
      </w:r>
      <w:proofErr w:type="gramStart"/>
      <w:r w:rsidR="003C243C">
        <w:rPr>
          <w:sz w:val="24"/>
          <w:szCs w:val="24"/>
        </w:rPr>
        <w:t>1</w:t>
      </w:r>
      <w:proofErr w:type="gramEnd"/>
      <w:r w:rsidR="003C243C">
        <w:rPr>
          <w:sz w:val="24"/>
          <w:szCs w:val="24"/>
        </w:rPr>
        <w:t xml:space="preserve"> = 6 punten bedragen.</w:t>
      </w:r>
    </w:p>
    <w:p w:rsidR="00011ABA" w:rsidRPr="00D91D4E" w:rsidRDefault="00776867" w:rsidP="00D91D4E">
      <w:pPr>
        <w:pStyle w:val="Heading3"/>
        <w:rPr>
          <w:sz w:val="28"/>
        </w:rPr>
      </w:pPr>
      <w:bookmarkStart w:id="36" w:name="_Toc425516502"/>
      <w:r>
        <w:rPr>
          <w:sz w:val="28"/>
        </w:rPr>
        <w:lastRenderedPageBreak/>
        <w:t>4</w:t>
      </w:r>
      <w:r w:rsidR="00D91D4E" w:rsidRPr="00D91D4E">
        <w:rPr>
          <w:sz w:val="28"/>
        </w:rPr>
        <w:t xml:space="preserve">.3.3. </w:t>
      </w:r>
      <w:r w:rsidR="003C243C" w:rsidRPr="00D91D4E">
        <w:rPr>
          <w:sz w:val="28"/>
        </w:rPr>
        <w:t>Kernv</w:t>
      </w:r>
      <w:r w:rsidR="006D0C12" w:rsidRPr="00D91D4E">
        <w:rPr>
          <w:sz w:val="28"/>
        </w:rPr>
        <w:t>ariabele 3: Werkkapitaalpositie</w:t>
      </w:r>
      <w:bookmarkEnd w:id="36"/>
    </w:p>
    <w:p w:rsidR="006D0C12" w:rsidRDefault="006D0C12" w:rsidP="000F19D4">
      <w:pPr>
        <w:spacing w:line="360" w:lineRule="auto"/>
        <w:jc w:val="both"/>
        <w:rPr>
          <w:sz w:val="24"/>
          <w:szCs w:val="24"/>
        </w:rPr>
      </w:pPr>
      <w:r>
        <w:rPr>
          <w:sz w:val="24"/>
          <w:szCs w:val="24"/>
        </w:rPr>
        <w:t xml:space="preserve">De werkkapitaalpositie, ook wel bekend als </w:t>
      </w:r>
      <w:r w:rsidR="00711F54">
        <w:rPr>
          <w:i/>
          <w:sz w:val="24"/>
          <w:szCs w:val="24"/>
        </w:rPr>
        <w:t>Quick</w:t>
      </w:r>
      <w:r>
        <w:rPr>
          <w:i/>
          <w:sz w:val="24"/>
          <w:szCs w:val="24"/>
        </w:rPr>
        <w:t xml:space="preserve"> ratio</w:t>
      </w:r>
      <w:r>
        <w:rPr>
          <w:sz w:val="24"/>
          <w:szCs w:val="24"/>
        </w:rPr>
        <w:t>, is de vlo</w:t>
      </w:r>
      <w:r w:rsidR="00A73FF6">
        <w:rPr>
          <w:sz w:val="24"/>
          <w:szCs w:val="24"/>
        </w:rPr>
        <w:t>ttende activa uitgedrukt in de v</w:t>
      </w:r>
      <w:r>
        <w:rPr>
          <w:sz w:val="24"/>
          <w:szCs w:val="24"/>
        </w:rPr>
        <w:t>lottende passiva</w:t>
      </w:r>
      <w:r w:rsidR="00A73FF6">
        <w:rPr>
          <w:sz w:val="24"/>
          <w:szCs w:val="24"/>
        </w:rPr>
        <w:t xml:space="preserve"> </w:t>
      </w:r>
      <w:sdt>
        <w:sdtPr>
          <w:rPr>
            <w:sz w:val="24"/>
            <w:szCs w:val="24"/>
          </w:rPr>
          <w:id w:val="299351563"/>
          <w:citation/>
        </w:sdtPr>
        <w:sdtContent>
          <w:r w:rsidR="000C5AB6">
            <w:rPr>
              <w:sz w:val="24"/>
              <w:szCs w:val="24"/>
            </w:rPr>
            <w:fldChar w:fldCharType="begin"/>
          </w:r>
          <w:r w:rsidR="00A73FF6">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A73FF6">
        <w:rPr>
          <w:sz w:val="24"/>
          <w:szCs w:val="24"/>
        </w:rPr>
        <w:t>. De gewenste input is:</w:t>
      </w:r>
    </w:p>
    <w:p w:rsidR="00A73FF6" w:rsidRDefault="00A73FF6" w:rsidP="00A73FF6">
      <w:pPr>
        <w:pStyle w:val="ListParagraph"/>
        <w:numPr>
          <w:ilvl w:val="0"/>
          <w:numId w:val="5"/>
        </w:numPr>
        <w:spacing w:line="360" w:lineRule="auto"/>
        <w:jc w:val="both"/>
        <w:rPr>
          <w:sz w:val="24"/>
          <w:szCs w:val="24"/>
        </w:rPr>
      </w:pPr>
      <w:r>
        <w:rPr>
          <w:sz w:val="24"/>
          <w:szCs w:val="24"/>
        </w:rPr>
        <w:t>Vlottende activa per 30 juni 2014.</w:t>
      </w:r>
    </w:p>
    <w:p w:rsidR="00A73FF6" w:rsidRDefault="00A73FF6" w:rsidP="00A73FF6">
      <w:pPr>
        <w:pStyle w:val="ListParagraph"/>
        <w:numPr>
          <w:ilvl w:val="0"/>
          <w:numId w:val="5"/>
        </w:numPr>
        <w:spacing w:line="360" w:lineRule="auto"/>
        <w:jc w:val="both"/>
        <w:rPr>
          <w:sz w:val="24"/>
          <w:szCs w:val="24"/>
        </w:rPr>
      </w:pPr>
      <w:r>
        <w:rPr>
          <w:sz w:val="24"/>
          <w:szCs w:val="24"/>
        </w:rPr>
        <w:t>Vlottende passiva per 30 juni 2014.</w:t>
      </w:r>
    </w:p>
    <w:p w:rsidR="00A73FF6" w:rsidRDefault="00A73FF6" w:rsidP="00A73FF6">
      <w:pPr>
        <w:spacing w:line="360" w:lineRule="auto"/>
        <w:jc w:val="both"/>
        <w:rPr>
          <w:sz w:val="24"/>
          <w:szCs w:val="24"/>
        </w:rPr>
      </w:pPr>
      <w:r>
        <w:rPr>
          <w:sz w:val="24"/>
          <w:szCs w:val="24"/>
        </w:rPr>
        <w:t xml:space="preserve">Voor de vlottende activa </w:t>
      </w:r>
      <w:r w:rsidR="00AF1C1E">
        <w:rPr>
          <w:sz w:val="24"/>
          <w:szCs w:val="24"/>
        </w:rPr>
        <w:t xml:space="preserve">en vlottende passiva </w:t>
      </w:r>
      <w:r>
        <w:rPr>
          <w:sz w:val="24"/>
          <w:szCs w:val="24"/>
        </w:rPr>
        <w:t>worden de volgende gegevens uit de jaarrekening van het boekjaar 2013/2014 gebruikt</w:t>
      </w:r>
      <w:r w:rsidR="00575EA0">
        <w:rPr>
          <w:sz w:val="24"/>
          <w:szCs w:val="24"/>
        </w:rPr>
        <w:t xml:space="preserve"> </w:t>
      </w:r>
      <w:sdt>
        <w:sdtPr>
          <w:rPr>
            <w:rFonts w:eastAsia="Times New Roman" w:cs="Times New Roman"/>
            <w:color w:val="222222"/>
            <w:sz w:val="24"/>
            <w:szCs w:val="24"/>
            <w:lang w:eastAsia="en-GB"/>
          </w:rPr>
          <w:id w:val="-1021306605"/>
          <w:citation/>
        </w:sdtPr>
        <w:sdtContent>
          <w:r w:rsidR="000C5AB6">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Pr>
          <w:sz w:val="24"/>
          <w:szCs w:val="24"/>
        </w:rPr>
        <w:t>:</w:t>
      </w:r>
    </w:p>
    <w:p w:rsidR="00AF1C1E" w:rsidRDefault="000C5AB6" w:rsidP="00A73FF6">
      <w:pPr>
        <w:spacing w:line="360" w:lineRule="auto"/>
        <w:jc w:val="both"/>
        <w:rPr>
          <w:sz w:val="24"/>
          <w:szCs w:val="24"/>
        </w:rPr>
      </w:pPr>
      <w:r w:rsidRPr="000C5AB6">
        <w:rPr>
          <w:noProof/>
          <w:sz w:val="24"/>
          <w:szCs w:val="24"/>
          <w:lang w:val="en-GB" w:eastAsia="en-GB"/>
        </w:rPr>
        <w:pict>
          <v:rect id="Rechthoek 33" o:spid="_x0000_s1049" style="position:absolute;left:0;text-align:left;margin-left:5.35pt;margin-top:.5pt;width:60.3pt;height:21.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" fillcolor="white [3201]" strokecolor="black [3213]" strokeweight="1pt">
            <v:textbox>
              <w:txbxContent>
                <w:p w:rsidR="00776867" w:rsidRDefault="00776867" w:rsidP="00AF1C1E">
                  <w:pPr>
                    <w:jc w:val="center"/>
                  </w:pPr>
                  <w:r>
                    <w:t>Figuur 15</w:t>
                  </w:r>
                </w:p>
              </w:txbxContent>
            </v:textbox>
          </v:rect>
        </w:pict>
      </w:r>
    </w:p>
    <w:p w:rsidR="00A73FF6" w:rsidRDefault="00A73FF6" w:rsidP="00A73FF6">
      <w:pPr>
        <w:spacing w:line="360" w:lineRule="auto"/>
        <w:jc w:val="both"/>
        <w:rPr>
          <w:sz w:val="24"/>
          <w:szCs w:val="24"/>
        </w:rPr>
      </w:pPr>
      <w:r>
        <w:rPr>
          <w:noProof/>
          <w:sz w:val="24"/>
          <w:szCs w:val="24"/>
          <w:lang w:val="en-US"/>
        </w:rPr>
        <w:drawing>
          <wp:inline distT="0" distB="0" distL="0" distR="0">
            <wp:extent cx="4657090" cy="1967230"/>
            <wp:effectExtent l="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57090" cy="1967230"/>
                    </a:xfrm>
                    <a:prstGeom prst="rect">
                      <a:avLst/>
                    </a:prstGeom>
                    <a:noFill/>
                    <a:ln>
                      <a:noFill/>
                    </a:ln>
                  </pic:spPr>
                </pic:pic>
              </a:graphicData>
            </a:graphic>
          </wp:inline>
        </w:drawing>
      </w:r>
    </w:p>
    <w:p w:rsidR="00AF1C1E" w:rsidRPr="00A73FF6" w:rsidRDefault="000C5AB6" w:rsidP="00A73FF6">
      <w:pPr>
        <w:spacing w:line="360" w:lineRule="auto"/>
        <w:jc w:val="both"/>
        <w:rPr>
          <w:sz w:val="24"/>
          <w:szCs w:val="24"/>
        </w:rPr>
      </w:pPr>
      <w:r w:rsidRPr="000C5AB6">
        <w:rPr>
          <w:noProof/>
          <w:sz w:val="24"/>
          <w:szCs w:val="24"/>
          <w:lang w:val="en-GB" w:eastAsia="en-GB"/>
        </w:rPr>
        <w:pict>
          <v:rect id="Rechthoek 35" o:spid="_x0000_s1050" style="position:absolute;left:0;text-align:left;margin-left:1.15pt;margin-top:2.9pt;width:59.45pt;height:21.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" fillcolor="white [3201]" strokecolor="black [3213]" strokeweight="1pt">
            <v:textbox>
              <w:txbxContent>
                <w:p w:rsidR="00776867" w:rsidRDefault="00776867" w:rsidP="00AF1C1E">
                  <w:pPr>
                    <w:jc w:val="center"/>
                  </w:pPr>
                  <w:r>
                    <w:t>Figuur 16</w:t>
                  </w:r>
                </w:p>
              </w:txbxContent>
            </v:textbox>
          </v:rect>
        </w:pict>
      </w:r>
    </w:p>
    <w:p w:rsidR="000F19D4" w:rsidRDefault="00AF1C1E" w:rsidP="000F19D4">
      <w:pPr>
        <w:spacing w:line="360" w:lineRule="auto"/>
        <w:jc w:val="both"/>
        <w:rPr>
          <w:sz w:val="24"/>
          <w:szCs w:val="24"/>
        </w:rPr>
      </w:pPr>
      <w:r>
        <w:rPr>
          <w:noProof/>
          <w:sz w:val="24"/>
          <w:szCs w:val="24"/>
          <w:lang w:val="en-US"/>
        </w:rPr>
        <w:drawing>
          <wp:inline distT="0" distB="0" distL="0" distR="0">
            <wp:extent cx="4688840" cy="1732915"/>
            <wp:effectExtent l="0" t="0" r="0" b="635"/>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88840" cy="1732915"/>
                    </a:xfrm>
                    <a:prstGeom prst="rect">
                      <a:avLst/>
                    </a:prstGeom>
                    <a:noFill/>
                    <a:ln>
                      <a:noFill/>
                    </a:ln>
                  </pic:spPr>
                </pic:pic>
              </a:graphicData>
            </a:graphic>
          </wp:inline>
        </w:drawing>
      </w:r>
    </w:p>
    <w:p w:rsidR="00AF1C1E" w:rsidRDefault="00950AC0" w:rsidP="000F19D4">
      <w:pPr>
        <w:spacing w:line="360" w:lineRule="auto"/>
        <w:jc w:val="both"/>
        <w:rPr>
          <w:sz w:val="24"/>
          <w:szCs w:val="24"/>
        </w:rPr>
      </w:pPr>
      <w:r>
        <w:rPr>
          <w:sz w:val="24"/>
          <w:szCs w:val="24"/>
        </w:rPr>
        <w:t>Aan de hand van figuur 15 en 16</w:t>
      </w:r>
      <w:r w:rsidR="000D6A19">
        <w:rPr>
          <w:sz w:val="24"/>
          <w:szCs w:val="24"/>
        </w:rPr>
        <w:t xml:space="preserve"> kan de werkkapitaalpositie op 30 juni 2014 berekend worden:</w:t>
      </w:r>
    </w:p>
    <w:p w:rsidR="000D6A19" w:rsidRPr="000D6A19" w:rsidRDefault="000D6A19" w:rsidP="000F19D4">
      <w:pPr>
        <w:spacing w:line="360" w:lineRule="auto"/>
        <w:jc w:val="both"/>
        <w:rPr>
          <w:sz w:val="24"/>
          <w:szCs w:val="24"/>
        </w:rPr>
      </w:pPr>
      <m:oMathPara>
        <m:oMath>
          <m:r>
            <w:rPr>
              <w:rFonts w:ascii="Cambria Math" w:hAnsi="Cambria Math"/>
              <w:sz w:val="24"/>
              <w:szCs w:val="24"/>
            </w:rPr>
            <m:t xml:space="preserve">Werkkapitaalpositie= </m:t>
          </m:r>
          <m:f>
            <m:fPr>
              <m:ctrlPr>
                <w:rPr>
                  <w:rFonts w:ascii="Cambria Math" w:hAnsi="Cambria Math"/>
                  <w:i/>
                  <w:sz w:val="24"/>
                  <w:szCs w:val="24"/>
                </w:rPr>
              </m:ctrlPr>
            </m:fPr>
            <m:num>
              <m:r>
                <w:rPr>
                  <w:rFonts w:ascii="Cambria Math" w:hAnsi="Cambria Math"/>
                  <w:sz w:val="24"/>
                  <w:szCs w:val="24"/>
                </w:rPr>
                <m:t>11.303</m:t>
              </m:r>
            </m:num>
            <m:den>
              <m:r>
                <w:rPr>
                  <w:rFonts w:ascii="Cambria Math" w:hAnsi="Cambria Math"/>
                  <w:sz w:val="24"/>
                  <w:szCs w:val="24"/>
                </w:rPr>
                <m:t>37.679</m:t>
              </m:r>
            </m:den>
          </m:f>
          <m:r>
            <w:rPr>
              <w:rFonts w:ascii="Cambria Math" w:hAnsi="Cambria Math"/>
              <w:sz w:val="24"/>
              <w:szCs w:val="24"/>
            </w:rPr>
            <m:t>=0,29998</m:t>
          </m:r>
        </m:oMath>
      </m:oMathPara>
    </w:p>
    <w:p w:rsidR="000D6A19" w:rsidRDefault="000D6A19" w:rsidP="000F19D4">
      <w:pPr>
        <w:spacing w:line="360" w:lineRule="auto"/>
        <w:jc w:val="both"/>
        <w:rPr>
          <w:sz w:val="24"/>
          <w:szCs w:val="24"/>
        </w:rPr>
      </w:pPr>
      <w:r>
        <w:rPr>
          <w:sz w:val="24"/>
          <w:szCs w:val="24"/>
        </w:rPr>
        <w:t>Een werkkapitaalpositie beneden de 30% levert een bandbreedte score van 0 op. Gegeven de multiplier van deze kernvariabele 8 bedraagt, zal de totale score 8 x 0 = 0 punten opleveren.</w:t>
      </w:r>
    </w:p>
    <w:p w:rsidR="000D6A19" w:rsidRPr="00D91D4E" w:rsidRDefault="00776867" w:rsidP="00D91D4E">
      <w:pPr>
        <w:pStyle w:val="Heading3"/>
        <w:rPr>
          <w:sz w:val="28"/>
        </w:rPr>
      </w:pPr>
      <w:bookmarkStart w:id="37" w:name="_Toc425516503"/>
      <w:r>
        <w:rPr>
          <w:sz w:val="28"/>
        </w:rPr>
        <w:lastRenderedPageBreak/>
        <w:t>4</w:t>
      </w:r>
      <w:r w:rsidR="00D91D4E" w:rsidRPr="00D91D4E">
        <w:rPr>
          <w:sz w:val="28"/>
        </w:rPr>
        <w:t xml:space="preserve">.3.4. </w:t>
      </w:r>
      <w:r w:rsidR="000D6A19" w:rsidRPr="00D91D4E">
        <w:rPr>
          <w:sz w:val="28"/>
        </w:rPr>
        <w:t>Kernvariabele 4: Solvabiliteit</w:t>
      </w:r>
      <w:bookmarkEnd w:id="37"/>
    </w:p>
    <w:p w:rsidR="00851180" w:rsidRDefault="00843F1F" w:rsidP="000F19D4">
      <w:pPr>
        <w:spacing w:line="360" w:lineRule="auto"/>
        <w:jc w:val="both"/>
        <w:rPr>
          <w:sz w:val="24"/>
          <w:szCs w:val="24"/>
        </w:rPr>
      </w:pPr>
      <w:r>
        <w:rPr>
          <w:sz w:val="24"/>
          <w:szCs w:val="24"/>
        </w:rPr>
        <w:t xml:space="preserve">Onder </w:t>
      </w:r>
      <w:proofErr w:type="gramStart"/>
      <w:r>
        <w:rPr>
          <w:sz w:val="24"/>
          <w:szCs w:val="24"/>
        </w:rPr>
        <w:t>solvabiliteit</w:t>
      </w:r>
      <w:proofErr w:type="gramEnd"/>
      <w:r>
        <w:rPr>
          <w:sz w:val="24"/>
          <w:szCs w:val="24"/>
        </w:rPr>
        <w:t xml:space="preserve"> wordt verstaand het vermogen dat kan worden aangewend voor de voldoening van de verplichtingen aan de schuldeisers, u</w:t>
      </w:r>
      <w:r w:rsidR="00851180">
        <w:rPr>
          <w:sz w:val="24"/>
          <w:szCs w:val="24"/>
        </w:rPr>
        <w:t>itgedrukt in het weerstandsvermogen</w:t>
      </w:r>
      <w:r w:rsidR="00516A0E">
        <w:rPr>
          <w:sz w:val="24"/>
          <w:szCs w:val="24"/>
        </w:rPr>
        <w:t xml:space="preserve"> </w:t>
      </w:r>
      <w:sdt>
        <w:sdtPr>
          <w:rPr>
            <w:sz w:val="24"/>
            <w:szCs w:val="24"/>
          </w:rPr>
          <w:id w:val="244378761"/>
          <w:citation/>
        </w:sdtPr>
        <w:sdtContent>
          <w:r w:rsidR="000C5AB6">
            <w:rPr>
              <w:sz w:val="24"/>
              <w:szCs w:val="24"/>
            </w:rPr>
            <w:fldChar w:fldCharType="begin"/>
          </w:r>
          <w:r w:rsidR="00516A0E">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711F54">
        <w:rPr>
          <w:sz w:val="24"/>
          <w:szCs w:val="24"/>
        </w:rPr>
        <w:t xml:space="preserve">. </w:t>
      </w:r>
      <w:r w:rsidR="00851180">
        <w:rPr>
          <w:sz w:val="24"/>
          <w:szCs w:val="24"/>
        </w:rPr>
        <w:t>Het weerstandsvermogen wordt omschreven als het vermogen dat garant staat voor de voldoening van de verplichtingen aan de reguliere schuldeisers. Zodoende is het weerstandsvermogen opgebouwd uit het eigen vermogen en onder voorwaarden achtergestelde leningen</w:t>
      </w:r>
      <w:r w:rsidR="00516A0E">
        <w:rPr>
          <w:sz w:val="24"/>
          <w:szCs w:val="24"/>
        </w:rPr>
        <w:t xml:space="preserve"> </w:t>
      </w:r>
      <w:sdt>
        <w:sdtPr>
          <w:rPr>
            <w:sz w:val="24"/>
            <w:szCs w:val="24"/>
          </w:rPr>
          <w:id w:val="-518774113"/>
          <w:citation/>
        </w:sdtPr>
        <w:sdtContent>
          <w:r w:rsidR="000C5AB6">
            <w:rPr>
              <w:sz w:val="24"/>
              <w:szCs w:val="24"/>
            </w:rPr>
            <w:fldChar w:fldCharType="begin"/>
          </w:r>
          <w:r w:rsidR="00516A0E">
            <w:rPr>
              <w:sz w:val="24"/>
              <w:szCs w:val="24"/>
            </w:rPr>
            <w:instrText xml:space="preserve"> CITATION Ric14 \l 1043 </w:instrText>
          </w:r>
          <w:r w:rsidR="000C5AB6">
            <w:rPr>
              <w:sz w:val="24"/>
              <w:szCs w:val="24"/>
            </w:rPr>
            <w:fldChar w:fldCharType="separate"/>
          </w:r>
          <w:r w:rsidR="00062BB9" w:rsidRPr="00062BB9">
            <w:rPr>
              <w:noProof/>
              <w:sz w:val="24"/>
              <w:szCs w:val="24"/>
            </w:rPr>
            <w:t>(Richtlijn verslaggeving KNVB modelstaten, 2014)</w:t>
          </w:r>
          <w:r w:rsidR="000C5AB6">
            <w:rPr>
              <w:sz w:val="24"/>
              <w:szCs w:val="24"/>
            </w:rPr>
            <w:fldChar w:fldCharType="end"/>
          </w:r>
        </w:sdtContent>
      </w:sdt>
      <w:r w:rsidR="00851180">
        <w:rPr>
          <w:sz w:val="24"/>
          <w:szCs w:val="24"/>
        </w:rPr>
        <w:t>. De achtergestelde leningen worden bij deze variabele enkel meegenomen in de berekening indien</w:t>
      </w:r>
      <w:r w:rsidR="00516A0E">
        <w:rPr>
          <w:sz w:val="24"/>
          <w:szCs w:val="24"/>
        </w:rPr>
        <w:t xml:space="preserve"> </w:t>
      </w:r>
      <w:sdt>
        <w:sdtPr>
          <w:rPr>
            <w:sz w:val="24"/>
            <w:szCs w:val="24"/>
          </w:rPr>
          <w:id w:val="-1352954182"/>
          <w:citation/>
        </w:sdtPr>
        <w:sdtContent>
          <w:r w:rsidR="000C5AB6">
            <w:rPr>
              <w:sz w:val="24"/>
              <w:szCs w:val="24"/>
            </w:rPr>
            <w:fldChar w:fldCharType="begin"/>
          </w:r>
          <w:r w:rsidR="00516A0E">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851180">
        <w:rPr>
          <w:sz w:val="24"/>
          <w:szCs w:val="24"/>
        </w:rPr>
        <w:t>:</w:t>
      </w:r>
    </w:p>
    <w:p w:rsidR="00851180" w:rsidRDefault="00851180" w:rsidP="00851180">
      <w:pPr>
        <w:pStyle w:val="ListParagraph"/>
        <w:numPr>
          <w:ilvl w:val="0"/>
          <w:numId w:val="19"/>
        </w:numPr>
        <w:spacing w:line="360" w:lineRule="auto"/>
        <w:jc w:val="both"/>
        <w:rPr>
          <w:sz w:val="24"/>
          <w:szCs w:val="24"/>
        </w:rPr>
      </w:pPr>
      <w:r>
        <w:rPr>
          <w:sz w:val="24"/>
          <w:szCs w:val="24"/>
        </w:rPr>
        <w:t>De lening is alleen aflosbaar als de overige reserves positief zijn; en</w:t>
      </w:r>
    </w:p>
    <w:p w:rsidR="00851180" w:rsidRDefault="00851180" w:rsidP="00851180">
      <w:pPr>
        <w:pStyle w:val="ListParagraph"/>
        <w:numPr>
          <w:ilvl w:val="0"/>
          <w:numId w:val="19"/>
        </w:numPr>
        <w:spacing w:line="360" w:lineRule="auto"/>
        <w:jc w:val="both"/>
        <w:rPr>
          <w:sz w:val="24"/>
          <w:szCs w:val="24"/>
        </w:rPr>
      </w:pPr>
      <w:r>
        <w:rPr>
          <w:sz w:val="24"/>
          <w:szCs w:val="24"/>
        </w:rPr>
        <w:t>De lening is niet opeisbaar en/of opzegbaar door de geldverstrekker; en</w:t>
      </w:r>
    </w:p>
    <w:p w:rsidR="00851180" w:rsidRDefault="00851180" w:rsidP="00851180">
      <w:pPr>
        <w:pStyle w:val="ListParagraph"/>
        <w:numPr>
          <w:ilvl w:val="0"/>
          <w:numId w:val="19"/>
        </w:numPr>
        <w:spacing w:line="360" w:lineRule="auto"/>
        <w:jc w:val="both"/>
        <w:rPr>
          <w:sz w:val="24"/>
          <w:szCs w:val="24"/>
        </w:rPr>
      </w:pPr>
      <w:r>
        <w:rPr>
          <w:sz w:val="24"/>
          <w:szCs w:val="24"/>
        </w:rPr>
        <w:t>De lening is niet rentedragend indien en voor zover de licentiehouder hierdoor een netto verlies lijdt.</w:t>
      </w:r>
    </w:p>
    <w:p w:rsidR="00843F1F" w:rsidRPr="00851180" w:rsidRDefault="00851180" w:rsidP="00851180">
      <w:pPr>
        <w:spacing w:line="360" w:lineRule="auto"/>
        <w:jc w:val="both"/>
        <w:rPr>
          <w:sz w:val="24"/>
          <w:szCs w:val="24"/>
        </w:rPr>
      </w:pPr>
      <w:proofErr w:type="gramStart"/>
      <w:r>
        <w:rPr>
          <w:sz w:val="24"/>
          <w:szCs w:val="24"/>
        </w:rPr>
        <w:t xml:space="preserve">Gezien het feit dat </w:t>
      </w:r>
      <w:r w:rsidR="00516A0E">
        <w:rPr>
          <w:sz w:val="24"/>
          <w:szCs w:val="24"/>
        </w:rPr>
        <w:t xml:space="preserve">de reserves onderdeel zijn van het eigen vermogen, en </w:t>
      </w:r>
      <w:r>
        <w:rPr>
          <w:sz w:val="24"/>
          <w:szCs w:val="24"/>
        </w:rPr>
        <w:t>het eigen vermogen per 30 juni 2014 (zie figuur 16) negatief is</w:t>
      </w:r>
      <w:r w:rsidR="00575EA0">
        <w:rPr>
          <w:sz w:val="24"/>
          <w:szCs w:val="24"/>
        </w:rPr>
        <w:t xml:space="preserve"> </w:t>
      </w:r>
      <w:sdt>
        <w:sdtPr>
          <w:rPr>
            <w:rFonts w:eastAsia="Times New Roman" w:cs="Times New Roman"/>
            <w:color w:val="222222"/>
            <w:sz w:val="24"/>
            <w:szCs w:val="24"/>
            <w:lang w:eastAsia="en-GB"/>
          </w:rPr>
          <w:id w:val="-1607263231"/>
          <w:citation/>
        </w:sdtPr>
        <w:sdtContent>
          <w:r w:rsidR="000C5AB6">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 xml:space="preserve">(Stichting FC Twente '65 B.V., </w:t>
          </w:r>
          <w:proofErr w:type="gramEnd"/>
          <w:r w:rsidR="00062BB9" w:rsidRPr="00062BB9">
            <w:rPr>
              <w:rFonts w:eastAsia="Times New Roman" w:cs="Times New Roman"/>
              <w:noProof/>
              <w:color w:val="222222"/>
              <w:sz w:val="24"/>
              <w:szCs w:val="24"/>
              <w:lang w:eastAsia="en-GB"/>
            </w:rPr>
            <w:t>2015)</w:t>
          </w:r>
          <w:r w:rsidR="000C5AB6">
            <w:rPr>
              <w:rFonts w:eastAsia="Times New Roman" w:cs="Times New Roman"/>
              <w:color w:val="222222"/>
              <w:sz w:val="24"/>
              <w:szCs w:val="24"/>
              <w:lang w:eastAsia="en-GB"/>
            </w:rPr>
            <w:fldChar w:fldCharType="end"/>
          </w:r>
        </w:sdtContent>
      </w:sdt>
      <w:r>
        <w:rPr>
          <w:sz w:val="24"/>
          <w:szCs w:val="24"/>
        </w:rPr>
        <w:t xml:space="preserve">, kan aan voorwaarde 1 niet voldaan </w:t>
      </w:r>
      <w:r w:rsidR="00516A0E">
        <w:rPr>
          <w:sz w:val="24"/>
          <w:szCs w:val="24"/>
        </w:rPr>
        <w:t xml:space="preserve">worden. Zodoende is de volgende input gewenst voor de berekening van </w:t>
      </w:r>
      <w:proofErr w:type="gramStart"/>
      <w:r w:rsidR="00516A0E">
        <w:rPr>
          <w:sz w:val="24"/>
          <w:szCs w:val="24"/>
        </w:rPr>
        <w:t>het</w:t>
      </w:r>
      <w:proofErr w:type="gramEnd"/>
      <w:r w:rsidR="00516A0E">
        <w:rPr>
          <w:sz w:val="24"/>
          <w:szCs w:val="24"/>
        </w:rPr>
        <w:t xml:space="preserve"> solvabiliteitsratio:</w:t>
      </w:r>
    </w:p>
    <w:p w:rsidR="00851180" w:rsidRDefault="00843F1F" w:rsidP="00851180">
      <w:pPr>
        <w:pStyle w:val="ListParagraph"/>
        <w:numPr>
          <w:ilvl w:val="0"/>
          <w:numId w:val="5"/>
        </w:numPr>
        <w:spacing w:line="360" w:lineRule="auto"/>
        <w:jc w:val="both"/>
        <w:rPr>
          <w:sz w:val="24"/>
          <w:szCs w:val="24"/>
        </w:rPr>
      </w:pPr>
      <w:r>
        <w:rPr>
          <w:sz w:val="24"/>
          <w:szCs w:val="24"/>
        </w:rPr>
        <w:t>Eigen vermogen per 30 juni 2014</w:t>
      </w:r>
      <w:r w:rsidR="00516A0E">
        <w:rPr>
          <w:sz w:val="24"/>
          <w:szCs w:val="24"/>
        </w:rPr>
        <w:t>.</w:t>
      </w:r>
    </w:p>
    <w:p w:rsidR="00D91D4E" w:rsidRDefault="00843F1F" w:rsidP="00D91D4E">
      <w:pPr>
        <w:pStyle w:val="ListParagraph"/>
        <w:numPr>
          <w:ilvl w:val="0"/>
          <w:numId w:val="5"/>
        </w:numPr>
        <w:spacing w:line="360" w:lineRule="auto"/>
        <w:jc w:val="both"/>
        <w:rPr>
          <w:sz w:val="24"/>
          <w:szCs w:val="24"/>
        </w:rPr>
      </w:pPr>
      <w:r w:rsidRPr="00851180">
        <w:rPr>
          <w:sz w:val="24"/>
          <w:szCs w:val="24"/>
        </w:rPr>
        <w:t>Totaal vermogen per 30 juni 2014.</w:t>
      </w:r>
    </w:p>
    <w:p w:rsidR="00D91D4E" w:rsidRPr="00D91D4E" w:rsidRDefault="00D91D4E" w:rsidP="00D91D4E">
      <w:pPr>
        <w:spacing w:line="360" w:lineRule="auto"/>
        <w:jc w:val="both"/>
        <w:rPr>
          <w:sz w:val="24"/>
          <w:szCs w:val="24"/>
        </w:rPr>
      </w:pPr>
    </w:p>
    <w:p w:rsidR="00D91D4E" w:rsidRDefault="00950AC0" w:rsidP="00D91D4E">
      <w:pPr>
        <w:spacing w:line="360" w:lineRule="auto"/>
        <w:jc w:val="both"/>
        <w:rPr>
          <w:sz w:val="24"/>
          <w:szCs w:val="24"/>
        </w:rPr>
      </w:pPr>
      <w:r>
        <w:rPr>
          <w:sz w:val="24"/>
          <w:szCs w:val="24"/>
        </w:rPr>
        <w:t>Aan de hand van figuur 17</w:t>
      </w:r>
      <w:r w:rsidR="00D91D4E">
        <w:rPr>
          <w:rStyle w:val="FootnoteReference"/>
          <w:sz w:val="24"/>
          <w:szCs w:val="24"/>
        </w:rPr>
        <w:footnoteReference w:id="58"/>
      </w:r>
      <w:r w:rsidR="00D91D4E">
        <w:rPr>
          <w:sz w:val="24"/>
          <w:szCs w:val="24"/>
        </w:rPr>
        <w:t xml:space="preserve"> kan de solvabiliteitsratio per 30 juni 2014 berekend worden:</w:t>
      </w:r>
    </w:p>
    <w:p w:rsidR="00D91D4E" w:rsidRPr="00516A0E" w:rsidRDefault="00D91D4E" w:rsidP="00D91D4E">
      <w:pPr>
        <w:spacing w:line="360" w:lineRule="auto"/>
        <w:jc w:val="both"/>
        <w:rPr>
          <w:sz w:val="24"/>
          <w:szCs w:val="24"/>
        </w:rPr>
      </w:pPr>
      <m:oMathPara>
        <m:oMath>
          <m:r>
            <w:rPr>
              <w:rFonts w:ascii="Cambria Math" w:hAnsi="Cambria Math"/>
              <w:sz w:val="24"/>
              <w:szCs w:val="24"/>
            </w:rPr>
            <m:t>Solvabiliteitsratio=</m:t>
          </m:r>
          <m:f>
            <m:fPr>
              <m:ctrlPr>
                <w:rPr>
                  <w:rFonts w:ascii="Cambria Math" w:hAnsi="Cambria Math"/>
                  <w:i/>
                  <w:sz w:val="24"/>
                  <w:szCs w:val="24"/>
                </w:rPr>
              </m:ctrlPr>
            </m:fPr>
            <m:num>
              <m:r>
                <w:rPr>
                  <w:rFonts w:ascii="Cambria Math" w:hAnsi="Cambria Math"/>
                  <w:sz w:val="24"/>
                  <w:szCs w:val="24"/>
                </w:rPr>
                <m:t>Weerstandsvermogen</m:t>
              </m:r>
            </m:num>
            <m:den>
              <m:r>
                <w:rPr>
                  <w:rFonts w:ascii="Cambria Math" w:hAnsi="Cambria Math"/>
                  <w:sz w:val="24"/>
                  <w:szCs w:val="24"/>
                </w:rPr>
                <m:t>Totaal vermogen</m:t>
              </m:r>
            </m:den>
          </m:f>
          <m:r>
            <w:rPr>
              <w:rFonts w:ascii="Cambria Math" w:hAnsi="Cambria Math"/>
              <w:sz w:val="24"/>
              <w:szCs w:val="24"/>
            </w:rPr>
            <m:t xml:space="preserve">= </m:t>
          </m:r>
          <m:f>
            <m:fPr>
              <m:ctrlPr>
                <w:rPr>
                  <w:rFonts w:ascii="Cambria Math" w:hAnsi="Cambria Math"/>
                  <w:i/>
                  <w:sz w:val="24"/>
                  <w:szCs w:val="24"/>
                </w:rPr>
              </m:ctrlPr>
            </m:fPr>
            <m:num>
              <m:r>
                <w:rPr>
                  <w:rFonts w:ascii="Cambria Math" w:hAnsi="Cambria Math"/>
                  <w:sz w:val="24"/>
                  <w:szCs w:val="24"/>
                </w:rPr>
                <m:t>-6.182</m:t>
              </m:r>
            </m:num>
            <m:den>
              <m:r>
                <w:rPr>
                  <w:rFonts w:ascii="Cambria Math" w:hAnsi="Cambria Math"/>
                  <w:sz w:val="24"/>
                  <w:szCs w:val="24"/>
                </w:rPr>
                <m:t>-6.182+53.689+37.679</m:t>
              </m:r>
            </m:den>
          </m:f>
          <m:r>
            <w:rPr>
              <w:rFonts w:ascii="Cambria Math" w:hAnsi="Cambria Math"/>
              <w:sz w:val="24"/>
              <w:szCs w:val="24"/>
            </w:rPr>
            <m:t>= -0.07</m:t>
          </m:r>
        </m:oMath>
      </m:oMathPara>
    </w:p>
    <w:p w:rsidR="00D91D4E" w:rsidRDefault="00D91D4E" w:rsidP="00D91D4E">
      <w:pPr>
        <w:spacing w:line="360" w:lineRule="auto"/>
        <w:jc w:val="both"/>
        <w:rPr>
          <w:sz w:val="24"/>
          <w:szCs w:val="24"/>
        </w:rPr>
      </w:pPr>
      <w:r>
        <w:rPr>
          <w:sz w:val="24"/>
          <w:szCs w:val="24"/>
        </w:rPr>
        <w:t xml:space="preserve">Een solvabiliteitsratio van </w:t>
      </w:r>
      <m:oMath>
        <m:r>
          <w:rPr>
            <w:rFonts w:ascii="Cambria Math" w:hAnsi="Cambria Math"/>
            <w:sz w:val="24"/>
            <w:szCs w:val="24"/>
          </w:rPr>
          <m:t>-</m:t>
        </m:r>
      </m:oMath>
      <w:r>
        <w:rPr>
          <w:sz w:val="24"/>
          <w:szCs w:val="24"/>
        </w:rPr>
        <w:t xml:space="preserve">7% levert een bandbreedte op van 0 punten (zie appendix figuur Financieel Rating Systeem). Gegeven dat de multiplier van deze kernvariabele 8 bedraagt, levert de kernvariabele </w:t>
      </w:r>
      <w:proofErr w:type="gramStart"/>
      <w:r>
        <w:rPr>
          <w:sz w:val="24"/>
          <w:szCs w:val="24"/>
        </w:rPr>
        <w:t>solvabiliteit</w:t>
      </w:r>
      <w:proofErr w:type="gramEnd"/>
      <w:r>
        <w:rPr>
          <w:sz w:val="24"/>
          <w:szCs w:val="24"/>
        </w:rPr>
        <w:t xml:space="preserve"> 8 x 0 = 0 punten op.</w:t>
      </w:r>
    </w:p>
    <w:p w:rsidR="00D91D4E" w:rsidRDefault="00D91D4E" w:rsidP="00D91D4E">
      <w:pPr>
        <w:spacing w:line="360" w:lineRule="auto"/>
        <w:jc w:val="both"/>
        <w:rPr>
          <w:sz w:val="24"/>
          <w:szCs w:val="24"/>
        </w:rPr>
      </w:pPr>
    </w:p>
    <w:p w:rsidR="00D91D4E" w:rsidRDefault="00D91D4E" w:rsidP="00575EA0">
      <w:pPr>
        <w:spacing w:line="360" w:lineRule="auto"/>
        <w:jc w:val="both"/>
        <w:rPr>
          <w:sz w:val="24"/>
          <w:szCs w:val="24"/>
        </w:rPr>
      </w:pPr>
    </w:p>
    <w:p w:rsidR="00516A0E" w:rsidRPr="00575EA0" w:rsidRDefault="000C5AB6" w:rsidP="00575EA0">
      <w:pPr>
        <w:spacing w:line="360" w:lineRule="auto"/>
        <w:jc w:val="both"/>
        <w:rPr>
          <w:sz w:val="24"/>
          <w:szCs w:val="24"/>
        </w:rPr>
      </w:pPr>
      <w:r w:rsidRPr="000C5AB6">
        <w:rPr>
          <w:noProof/>
          <w:lang w:val="en-GB" w:eastAsia="en-GB"/>
        </w:rPr>
        <w:lastRenderedPageBreak/>
        <w:pict>
          <v:rect id="Rechthoek 37" o:spid="_x0000_s1051" style="position:absolute;left:0;text-align:left;margin-left:0;margin-top:27.95pt;width:59.45pt;height:20.95pt;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" fillcolor="white [3201]" strokecolor="black [3213]" strokeweight="1pt">
            <v:textbox>
              <w:txbxContent>
                <w:p w:rsidR="00776867" w:rsidRDefault="00776867" w:rsidP="00516A0E">
                  <w:pPr>
                    <w:jc w:val="center"/>
                  </w:pPr>
                  <w:r>
                    <w:t>Figuur 17</w:t>
                  </w:r>
                </w:p>
              </w:txbxContent>
            </v:textbox>
            <w10:wrap anchorx="margin"/>
          </v:rect>
        </w:pict>
      </w:r>
    </w:p>
    <w:p w:rsidR="00516A0E" w:rsidRPr="00516A0E" w:rsidRDefault="00516A0E" w:rsidP="00516A0E">
      <w:pPr>
        <w:spacing w:line="360" w:lineRule="auto"/>
        <w:jc w:val="both"/>
        <w:rPr>
          <w:sz w:val="24"/>
          <w:szCs w:val="24"/>
        </w:rPr>
      </w:pPr>
    </w:p>
    <w:p w:rsidR="00516A0E" w:rsidRDefault="00516A0E" w:rsidP="00516A0E">
      <w:pPr>
        <w:spacing w:line="360" w:lineRule="auto"/>
        <w:jc w:val="both"/>
        <w:rPr>
          <w:sz w:val="24"/>
          <w:szCs w:val="24"/>
        </w:rPr>
      </w:pPr>
      <w:r>
        <w:rPr>
          <w:noProof/>
          <w:sz w:val="24"/>
          <w:szCs w:val="24"/>
          <w:lang w:val="en-US"/>
        </w:rPr>
        <w:drawing>
          <wp:inline distT="0" distB="0" distL="0" distR="0">
            <wp:extent cx="4625340" cy="4614545"/>
            <wp:effectExtent l="0" t="0" r="3810" b="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25340" cy="4614545"/>
                    </a:xfrm>
                    <a:prstGeom prst="rect">
                      <a:avLst/>
                    </a:prstGeom>
                    <a:noFill/>
                    <a:ln>
                      <a:noFill/>
                    </a:ln>
                  </pic:spPr>
                </pic:pic>
              </a:graphicData>
            </a:graphic>
          </wp:inline>
        </w:drawing>
      </w:r>
    </w:p>
    <w:p w:rsidR="00260183" w:rsidRPr="00D91D4E" w:rsidRDefault="00776867" w:rsidP="00D91D4E">
      <w:pPr>
        <w:pStyle w:val="Heading3"/>
      </w:pPr>
      <w:bookmarkStart w:id="38" w:name="_Toc425516504"/>
      <w:r>
        <w:rPr>
          <w:sz w:val="28"/>
        </w:rPr>
        <w:t>4</w:t>
      </w:r>
      <w:r w:rsidR="00D91D4E" w:rsidRPr="00D91D4E">
        <w:rPr>
          <w:sz w:val="28"/>
        </w:rPr>
        <w:t xml:space="preserve">.3.5. </w:t>
      </w:r>
      <w:r w:rsidR="00103AE8">
        <w:rPr>
          <w:sz w:val="28"/>
        </w:rPr>
        <w:t>Kernvariabele 5: Historisch</w:t>
      </w:r>
      <w:r w:rsidR="00013F71" w:rsidRPr="00D91D4E">
        <w:rPr>
          <w:sz w:val="28"/>
        </w:rPr>
        <w:t xml:space="preserve"> netto marge</w:t>
      </w:r>
      <w:bookmarkEnd w:id="38"/>
    </w:p>
    <w:p w:rsidR="00013F71" w:rsidRDefault="00F22E52" w:rsidP="00516A0E">
      <w:pPr>
        <w:spacing w:line="360" w:lineRule="auto"/>
        <w:jc w:val="both"/>
        <w:rPr>
          <w:sz w:val="24"/>
          <w:szCs w:val="24"/>
        </w:rPr>
      </w:pPr>
      <w:proofErr w:type="gramStart"/>
      <w:r>
        <w:rPr>
          <w:sz w:val="24"/>
          <w:szCs w:val="24"/>
        </w:rPr>
        <w:t>De</w:t>
      </w:r>
      <w:r w:rsidR="00013F71">
        <w:rPr>
          <w:sz w:val="24"/>
          <w:szCs w:val="24"/>
        </w:rPr>
        <w:t xml:space="preserve"> historisch</w:t>
      </w:r>
      <w:r>
        <w:rPr>
          <w:sz w:val="24"/>
          <w:szCs w:val="24"/>
        </w:rPr>
        <w:t>e</w:t>
      </w:r>
      <w:r w:rsidR="00013F71">
        <w:rPr>
          <w:sz w:val="24"/>
          <w:szCs w:val="24"/>
        </w:rPr>
        <w:t xml:space="preserve"> netto marge is te berekenen door het gemiddelde netto resultaat over de afgelopen twee boekjaren uit te drukken in de gemiddelde totale omzet over de afgelopen twee boekjaren</w:t>
      </w:r>
      <w:r w:rsidR="00F9102A">
        <w:rPr>
          <w:sz w:val="24"/>
          <w:szCs w:val="24"/>
        </w:rPr>
        <w:t xml:space="preserve"> </w:t>
      </w:r>
      <w:sdt>
        <w:sdtPr>
          <w:rPr>
            <w:sz w:val="24"/>
            <w:szCs w:val="24"/>
          </w:rPr>
          <w:id w:val="-324200680"/>
          <w:citation/>
        </w:sdtPr>
        <w:sdtContent>
          <w:r w:rsidR="000C5AB6">
            <w:rPr>
              <w:sz w:val="24"/>
              <w:szCs w:val="24"/>
            </w:rPr>
            <w:fldChar w:fldCharType="begin"/>
          </w:r>
          <w:r w:rsidR="00F9102A">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F9102A">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2072175036"/>
          <w:citation/>
        </w:sdtPr>
        <w:sdtContent>
          <w:r w:rsidR="000C5AB6">
            <w:rPr>
              <w:rFonts w:eastAsia="Times New Roman" w:cs="Times New Roman"/>
              <w:color w:val="222222"/>
              <w:sz w:val="24"/>
              <w:szCs w:val="24"/>
              <w:lang w:eastAsia="en-GB"/>
            </w:rPr>
            <w:fldChar w:fldCharType="begin"/>
          </w:r>
          <w:r w:rsidR="00F9102A">
            <w:rPr>
              <w:rFonts w:eastAsia="Times New Roman" w:cs="Times New Roman"/>
              <w:color w:val="222222"/>
              <w:sz w:val="24"/>
              <w:szCs w:val="24"/>
              <w:lang w:eastAsia="en-GB"/>
            </w:rPr>
            <w:instrText xml:space="preserve"> CITATION Sti14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 xml:space="preserve">(Stichting FC Twente '65 B.V., </w:t>
          </w:r>
          <w:proofErr w:type="gramEnd"/>
          <w:r w:rsidR="00062BB9" w:rsidRPr="00062BB9">
            <w:rPr>
              <w:rFonts w:eastAsia="Times New Roman" w:cs="Times New Roman"/>
              <w:noProof/>
              <w:color w:val="222222"/>
              <w:sz w:val="24"/>
              <w:szCs w:val="24"/>
              <w:lang w:eastAsia="en-GB"/>
            </w:rPr>
            <w:t>2014)</w:t>
          </w:r>
          <w:r w:rsidR="000C5AB6">
            <w:rPr>
              <w:rFonts w:eastAsia="Times New Roman" w:cs="Times New Roman"/>
              <w:color w:val="222222"/>
              <w:sz w:val="24"/>
              <w:szCs w:val="24"/>
              <w:lang w:eastAsia="en-GB"/>
            </w:rPr>
            <w:fldChar w:fldCharType="end"/>
          </w:r>
        </w:sdtContent>
      </w:sdt>
      <w:r w:rsidR="00F9102A">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311358676"/>
          <w:citation/>
        </w:sdtPr>
        <w:sdtContent>
          <w:r w:rsidR="000C5AB6">
            <w:rPr>
              <w:rFonts w:eastAsia="Times New Roman" w:cs="Times New Roman"/>
              <w:color w:val="222222"/>
              <w:sz w:val="24"/>
              <w:szCs w:val="24"/>
              <w:lang w:eastAsia="en-GB"/>
            </w:rPr>
            <w:fldChar w:fldCharType="begin"/>
          </w:r>
          <w:r w:rsidR="00F9102A">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sidR="00013F71">
        <w:rPr>
          <w:sz w:val="24"/>
          <w:szCs w:val="24"/>
        </w:rPr>
        <w:t xml:space="preserve">. De gewenste input voor de berekening van </w:t>
      </w:r>
      <w:r>
        <w:rPr>
          <w:sz w:val="24"/>
          <w:szCs w:val="24"/>
        </w:rPr>
        <w:t>de</w:t>
      </w:r>
      <w:r w:rsidR="00013F71">
        <w:rPr>
          <w:sz w:val="24"/>
          <w:szCs w:val="24"/>
        </w:rPr>
        <w:t xml:space="preserve"> historisch</w:t>
      </w:r>
      <w:r>
        <w:rPr>
          <w:sz w:val="24"/>
          <w:szCs w:val="24"/>
        </w:rPr>
        <w:t>e</w:t>
      </w:r>
      <w:r w:rsidR="00013F71">
        <w:rPr>
          <w:sz w:val="24"/>
          <w:szCs w:val="24"/>
        </w:rPr>
        <w:t xml:space="preserve"> netto marge per 30 juni 2014 is als volgt:</w:t>
      </w:r>
    </w:p>
    <w:p w:rsidR="00013F71" w:rsidRDefault="00013F71" w:rsidP="00013F71">
      <w:pPr>
        <w:pStyle w:val="ListParagraph"/>
        <w:numPr>
          <w:ilvl w:val="0"/>
          <w:numId w:val="5"/>
        </w:numPr>
        <w:spacing w:line="360" w:lineRule="auto"/>
        <w:jc w:val="both"/>
        <w:rPr>
          <w:sz w:val="24"/>
          <w:szCs w:val="24"/>
        </w:rPr>
      </w:pPr>
      <w:r>
        <w:rPr>
          <w:sz w:val="24"/>
          <w:szCs w:val="24"/>
        </w:rPr>
        <w:t>Het netto resultaat per 30 juni 2013 en per 30 juni 2014.</w:t>
      </w:r>
    </w:p>
    <w:p w:rsidR="00013F71" w:rsidRDefault="00013F71" w:rsidP="00013F71">
      <w:pPr>
        <w:pStyle w:val="ListParagraph"/>
        <w:numPr>
          <w:ilvl w:val="0"/>
          <w:numId w:val="5"/>
        </w:numPr>
        <w:spacing w:line="360" w:lineRule="auto"/>
        <w:jc w:val="both"/>
        <w:rPr>
          <w:sz w:val="24"/>
          <w:szCs w:val="24"/>
        </w:rPr>
      </w:pPr>
      <w:r>
        <w:rPr>
          <w:sz w:val="24"/>
          <w:szCs w:val="24"/>
        </w:rPr>
        <w:t>De totale omzet per 30 juni 2013 en per 30 juni 2014, bestaande uit:</w:t>
      </w:r>
    </w:p>
    <w:p w:rsidR="00013F71" w:rsidRDefault="00013F71" w:rsidP="00013F71">
      <w:pPr>
        <w:pStyle w:val="ListParagraph"/>
        <w:numPr>
          <w:ilvl w:val="0"/>
          <w:numId w:val="20"/>
        </w:numPr>
        <w:spacing w:line="360" w:lineRule="auto"/>
        <w:jc w:val="both"/>
        <w:rPr>
          <w:sz w:val="24"/>
          <w:szCs w:val="24"/>
        </w:rPr>
      </w:pPr>
      <w:r>
        <w:rPr>
          <w:sz w:val="24"/>
          <w:szCs w:val="24"/>
        </w:rPr>
        <w:t>Netto omzet;</w:t>
      </w:r>
    </w:p>
    <w:p w:rsidR="00013F71" w:rsidRDefault="00013F71" w:rsidP="00013F71">
      <w:pPr>
        <w:pStyle w:val="ListParagraph"/>
        <w:numPr>
          <w:ilvl w:val="0"/>
          <w:numId w:val="20"/>
        </w:numPr>
        <w:spacing w:line="360" w:lineRule="auto"/>
        <w:jc w:val="both"/>
        <w:rPr>
          <w:sz w:val="24"/>
          <w:szCs w:val="24"/>
        </w:rPr>
      </w:pPr>
      <w:r>
        <w:rPr>
          <w:sz w:val="24"/>
          <w:szCs w:val="24"/>
        </w:rPr>
        <w:t>Rentebaten;</w:t>
      </w:r>
    </w:p>
    <w:p w:rsidR="00013F71" w:rsidRDefault="00013F71" w:rsidP="00013F71">
      <w:pPr>
        <w:pStyle w:val="ListParagraph"/>
        <w:numPr>
          <w:ilvl w:val="0"/>
          <w:numId w:val="20"/>
        </w:numPr>
        <w:spacing w:line="360" w:lineRule="auto"/>
        <w:jc w:val="both"/>
        <w:rPr>
          <w:sz w:val="24"/>
          <w:szCs w:val="24"/>
        </w:rPr>
      </w:pPr>
      <w:r>
        <w:rPr>
          <w:sz w:val="24"/>
          <w:szCs w:val="24"/>
        </w:rPr>
        <w:t>Opbrengst vergoedingssommen;</w:t>
      </w:r>
    </w:p>
    <w:p w:rsidR="00D91D4E" w:rsidRDefault="00013F71" w:rsidP="00D91D4E">
      <w:pPr>
        <w:pStyle w:val="ListParagraph"/>
        <w:numPr>
          <w:ilvl w:val="0"/>
          <w:numId w:val="20"/>
        </w:numPr>
        <w:spacing w:line="360" w:lineRule="auto"/>
        <w:jc w:val="both"/>
        <w:rPr>
          <w:sz w:val="24"/>
          <w:szCs w:val="24"/>
        </w:rPr>
      </w:pPr>
      <w:r w:rsidRPr="00D91D4E">
        <w:rPr>
          <w:sz w:val="24"/>
          <w:szCs w:val="24"/>
        </w:rPr>
        <w:t>Bijzondere/buitengewone baten.</w:t>
      </w:r>
    </w:p>
    <w:p w:rsidR="00013F71" w:rsidRPr="00D91D4E" w:rsidRDefault="000C5AB6" w:rsidP="00D91D4E">
      <w:pPr>
        <w:pStyle w:val="ListParagraph"/>
        <w:spacing w:line="360" w:lineRule="auto"/>
        <w:ind w:left="1080"/>
        <w:jc w:val="both"/>
        <w:rPr>
          <w:sz w:val="24"/>
          <w:szCs w:val="24"/>
        </w:rPr>
      </w:pPr>
      <w:r w:rsidRPr="000C5AB6">
        <w:rPr>
          <w:noProof/>
          <w:lang w:val="en-GB" w:eastAsia="en-GB"/>
        </w:rPr>
        <w:lastRenderedPageBreak/>
        <w:pict>
          <v:rect id="Rechthoek 40" o:spid="_x0000_s1052" style="position:absolute;left:0;text-align:left;margin-left:1.95pt;margin-top:27.9pt;width:59.45pt;height:21.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" fillcolor="white [3201]" strokecolor="black [3213]" strokeweight="1pt">
            <v:textbox>
              <w:txbxContent>
                <w:p w:rsidR="00776867" w:rsidRDefault="00776867" w:rsidP="00812C1D">
                  <w:pPr>
                    <w:jc w:val="center"/>
                  </w:pPr>
                  <w:r>
                    <w:t>Figuur 18</w:t>
                  </w:r>
                </w:p>
              </w:txbxContent>
            </v:textbox>
          </v:rect>
        </w:pict>
      </w:r>
    </w:p>
    <w:p w:rsidR="00013F71" w:rsidRDefault="00013F71" w:rsidP="00013F71">
      <w:pPr>
        <w:spacing w:line="360" w:lineRule="auto"/>
        <w:jc w:val="both"/>
        <w:rPr>
          <w:sz w:val="24"/>
          <w:szCs w:val="24"/>
        </w:rPr>
      </w:pPr>
      <w:r>
        <w:rPr>
          <w:noProof/>
          <w:sz w:val="24"/>
          <w:szCs w:val="24"/>
          <w:lang w:val="en-US"/>
        </w:rPr>
        <w:drawing>
          <wp:inline distT="0" distB="0" distL="0" distR="0">
            <wp:extent cx="5669280" cy="4846320"/>
            <wp:effectExtent l="0" t="0" r="7620" b="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9280" cy="4846320"/>
                    </a:xfrm>
                    <a:prstGeom prst="rect">
                      <a:avLst/>
                    </a:prstGeom>
                    <a:noFill/>
                    <a:ln>
                      <a:noFill/>
                    </a:ln>
                  </pic:spPr>
                </pic:pic>
              </a:graphicData>
            </a:graphic>
          </wp:inline>
        </w:drawing>
      </w:r>
    </w:p>
    <w:p w:rsidR="00812C1D" w:rsidRDefault="00950AC0" w:rsidP="00013F71">
      <w:pPr>
        <w:spacing w:line="360" w:lineRule="auto"/>
        <w:jc w:val="both"/>
        <w:rPr>
          <w:sz w:val="24"/>
          <w:szCs w:val="24"/>
        </w:rPr>
      </w:pPr>
      <w:r>
        <w:rPr>
          <w:sz w:val="24"/>
          <w:szCs w:val="24"/>
        </w:rPr>
        <w:t>Aan de hand van figuur 18</w:t>
      </w:r>
      <w:r w:rsidR="00812C1D">
        <w:rPr>
          <w:sz w:val="24"/>
          <w:szCs w:val="24"/>
        </w:rPr>
        <w:t xml:space="preserve"> kan </w:t>
      </w:r>
      <w:r w:rsidR="00F22E52">
        <w:rPr>
          <w:sz w:val="24"/>
          <w:szCs w:val="24"/>
        </w:rPr>
        <w:t>de</w:t>
      </w:r>
      <w:r w:rsidR="00812C1D">
        <w:rPr>
          <w:sz w:val="24"/>
          <w:szCs w:val="24"/>
        </w:rPr>
        <w:t xml:space="preserve"> historische netto marge per 30 juni 2014 berekend worden:</w:t>
      </w:r>
    </w:p>
    <w:p w:rsidR="00812C1D" w:rsidRPr="00812C1D" w:rsidRDefault="00812C1D" w:rsidP="00013F71">
      <w:pPr>
        <w:spacing w:line="360" w:lineRule="auto"/>
        <w:jc w:val="both"/>
        <w:rPr>
          <w:sz w:val="24"/>
          <w:szCs w:val="24"/>
        </w:rPr>
      </w:pPr>
      <m:oMathPara>
        <m:oMath>
          <m:r>
            <w:rPr>
              <w:rFonts w:ascii="Cambria Math" w:hAnsi="Cambria Math"/>
              <w:sz w:val="24"/>
              <w:szCs w:val="24"/>
            </w:rPr>
            <m:t xml:space="preserve">Netto marge= </m:t>
          </m:r>
          <m:f>
            <m:fPr>
              <m:ctrlPr>
                <w:rPr>
                  <w:rFonts w:ascii="Cambria Math" w:hAnsi="Cambria Math"/>
                  <w:i/>
                  <w:sz w:val="24"/>
                  <w:szCs w:val="24"/>
                </w:rPr>
              </m:ctrlPr>
            </m:fPr>
            <m:num>
              <m:r>
                <w:rPr>
                  <w:rFonts w:ascii="Cambria Math" w:hAnsi="Cambria Math"/>
                  <w:sz w:val="24"/>
                  <w:szCs w:val="24"/>
                </w:rPr>
                <m:t xml:space="preserve">Gemiddeld netto resultaat </m:t>
              </m:r>
            </m:num>
            <m:den>
              <m:r>
                <w:rPr>
                  <w:rFonts w:ascii="Cambria Math" w:hAnsi="Cambria Math"/>
                  <w:sz w:val="24"/>
                  <w:szCs w:val="24"/>
                </w:rPr>
                <m:t>Gemiddeld totale omzet</m:t>
              </m:r>
            </m:den>
          </m:f>
          <m:r>
            <w:rPr>
              <w:rFonts w:ascii="Cambria Math" w:hAnsi="Cambria Math"/>
              <w:sz w:val="24"/>
              <w:szCs w:val="24"/>
            </w:rPr>
            <m:t xml:space="preserve">= </m:t>
          </m:r>
          <m:f>
            <m:fPr>
              <m:ctrlPr>
                <w:rPr>
                  <w:rFonts w:ascii="Cambria Math" w:hAnsi="Cambria Math"/>
                  <w:i/>
                  <w:sz w:val="24"/>
                  <w:szCs w:val="24"/>
                </w:rPr>
              </m:ctrlPr>
            </m:fPr>
            <m:num>
              <m:r>
                <w:rPr>
                  <w:rFonts w:ascii="Cambria Math" w:hAnsi="Cambria Math"/>
                  <w:sz w:val="24"/>
                  <w:szCs w:val="24"/>
                </w:rPr>
                <m:t>-7.236+ -8.565</m:t>
              </m:r>
            </m:num>
            <m:den>
              <m:r>
                <w:rPr>
                  <w:rFonts w:ascii="Cambria Math" w:hAnsi="Cambria Math"/>
                  <w:sz w:val="24"/>
                  <w:szCs w:val="24"/>
                </w:rPr>
                <m:t>41.756+45.244+1+7.399+12.370</m:t>
              </m:r>
            </m:den>
          </m:f>
        </m:oMath>
      </m:oMathPara>
    </w:p>
    <w:p w:rsidR="00812C1D" w:rsidRDefault="00812C1D" w:rsidP="00013F71">
      <w:pPr>
        <w:spacing w:line="360" w:lineRule="auto"/>
        <w:jc w:val="both"/>
        <w:rPr>
          <w:sz w:val="24"/>
          <w:szCs w:val="24"/>
        </w:rPr>
      </w:pPr>
      <w:r>
        <w:rPr>
          <w:sz w:val="24"/>
          <w:szCs w:val="24"/>
        </w:rPr>
        <w:t xml:space="preserve">Bovenstaande levert een netto marge van </w:t>
      </w:r>
      <m:oMath>
        <m:r>
          <w:rPr>
            <w:rFonts w:ascii="Cambria Math" w:hAnsi="Cambria Math"/>
            <w:sz w:val="24"/>
            <w:szCs w:val="24"/>
          </w:rPr>
          <m:t>-</m:t>
        </m:r>
      </m:oMath>
      <w:r>
        <w:rPr>
          <w:sz w:val="24"/>
          <w:szCs w:val="24"/>
        </w:rPr>
        <w:t xml:space="preserve">14,8% op, wat resulteert in een bandbreedte score van 0 punten. Gegeven het </w:t>
      </w:r>
      <w:r w:rsidR="007A743F">
        <w:rPr>
          <w:sz w:val="24"/>
          <w:szCs w:val="24"/>
        </w:rPr>
        <w:t>gewicht van deze kernvariabele 4 punten</w:t>
      </w:r>
      <w:r>
        <w:rPr>
          <w:sz w:val="24"/>
          <w:szCs w:val="24"/>
        </w:rPr>
        <w:t xml:space="preserve"> bedraagt, levert de kernvariabele een ein</w:t>
      </w:r>
      <w:r w:rsidR="00AC45FF">
        <w:rPr>
          <w:sz w:val="24"/>
          <w:szCs w:val="24"/>
        </w:rPr>
        <w:t>dscore van 4 x 0 = 0 punten op.</w:t>
      </w:r>
    </w:p>
    <w:p w:rsidR="00812C1D" w:rsidRPr="006F0CD0" w:rsidRDefault="00776867" w:rsidP="006F0CD0">
      <w:pPr>
        <w:pStyle w:val="Heading3"/>
        <w:rPr>
          <w:sz w:val="28"/>
        </w:rPr>
      </w:pPr>
      <w:bookmarkStart w:id="39" w:name="_Toc425516505"/>
      <w:r>
        <w:rPr>
          <w:sz w:val="28"/>
        </w:rPr>
        <w:t>4</w:t>
      </w:r>
      <w:r w:rsidR="006F0CD0" w:rsidRPr="006F0CD0">
        <w:rPr>
          <w:sz w:val="28"/>
        </w:rPr>
        <w:t xml:space="preserve">.3.6. </w:t>
      </w:r>
      <w:r w:rsidR="006F0CD0">
        <w:rPr>
          <w:sz w:val="28"/>
        </w:rPr>
        <w:t>Kernvariabele 6: Historisch</w:t>
      </w:r>
      <w:r w:rsidR="00812C1D" w:rsidRPr="006F0CD0">
        <w:rPr>
          <w:sz w:val="28"/>
        </w:rPr>
        <w:t xml:space="preserve"> bruto</w:t>
      </w:r>
      <w:r w:rsidR="00103AE8">
        <w:rPr>
          <w:sz w:val="28"/>
        </w:rPr>
        <w:t xml:space="preserve"> </w:t>
      </w:r>
      <w:r w:rsidR="00812C1D" w:rsidRPr="006F0CD0">
        <w:rPr>
          <w:sz w:val="28"/>
        </w:rPr>
        <w:t>marge</w:t>
      </w:r>
      <w:bookmarkEnd w:id="39"/>
    </w:p>
    <w:p w:rsidR="00812C1D" w:rsidRDefault="00F22E52" w:rsidP="00013F71">
      <w:pPr>
        <w:spacing w:line="360" w:lineRule="auto"/>
        <w:jc w:val="both"/>
        <w:rPr>
          <w:sz w:val="24"/>
          <w:szCs w:val="24"/>
        </w:rPr>
      </w:pPr>
      <w:r>
        <w:rPr>
          <w:sz w:val="24"/>
          <w:szCs w:val="24"/>
        </w:rPr>
        <w:t>Onder historische bruto</w:t>
      </w:r>
      <w:r w:rsidR="00103AE8">
        <w:rPr>
          <w:sz w:val="24"/>
          <w:szCs w:val="24"/>
        </w:rPr>
        <w:t xml:space="preserve"> </w:t>
      </w:r>
      <w:r>
        <w:rPr>
          <w:sz w:val="24"/>
          <w:szCs w:val="24"/>
        </w:rPr>
        <w:t xml:space="preserve">marge wordt het gemiddelde resultaat uit gewone bedrijfsuitoefening na rentelasten over de afgelopen twee boekjaren verstaan, uitgedrukt in </w:t>
      </w:r>
      <w:proofErr w:type="gramStart"/>
      <w:r>
        <w:rPr>
          <w:sz w:val="24"/>
          <w:szCs w:val="24"/>
        </w:rPr>
        <w:t>de</w:t>
      </w:r>
      <w:proofErr w:type="gramEnd"/>
      <w:r>
        <w:rPr>
          <w:sz w:val="24"/>
          <w:szCs w:val="24"/>
        </w:rPr>
        <w:t xml:space="preserve"> gemiddelde netto omzet over de afgelopen twee boekjaren</w:t>
      </w:r>
      <w:r w:rsidR="006A7B71">
        <w:rPr>
          <w:sz w:val="24"/>
          <w:szCs w:val="24"/>
        </w:rPr>
        <w:t xml:space="preserve"> </w:t>
      </w:r>
      <w:sdt>
        <w:sdtPr>
          <w:rPr>
            <w:sz w:val="24"/>
            <w:szCs w:val="24"/>
          </w:rPr>
          <w:id w:val="-165474395"/>
          <w:citation/>
        </w:sdtPr>
        <w:sdtContent>
          <w:r w:rsidR="000C5AB6">
            <w:rPr>
              <w:sz w:val="24"/>
              <w:szCs w:val="24"/>
            </w:rPr>
            <w:fldChar w:fldCharType="begin"/>
          </w:r>
          <w:r w:rsidR="00AF2585">
            <w:rPr>
              <w:sz w:val="24"/>
              <w:szCs w:val="24"/>
            </w:rPr>
            <w:instrText xml:space="preserve"> CITATION Ric141 \l 1043 </w:instrText>
          </w:r>
          <w:r w:rsidR="000C5AB6">
            <w:rPr>
              <w:sz w:val="24"/>
              <w:szCs w:val="24"/>
            </w:rPr>
            <w:fldChar w:fldCharType="separate"/>
          </w:r>
          <w:r w:rsidR="00062BB9" w:rsidRPr="00062BB9">
            <w:rPr>
              <w:noProof/>
              <w:sz w:val="24"/>
              <w:szCs w:val="24"/>
            </w:rPr>
            <w:t xml:space="preserve">(Richtlijn Financieel Rating </w:t>
          </w:r>
          <w:r w:rsidR="00062BB9" w:rsidRPr="00062BB9">
            <w:rPr>
              <w:noProof/>
              <w:sz w:val="24"/>
              <w:szCs w:val="24"/>
            </w:rPr>
            <w:lastRenderedPageBreak/>
            <w:t>Systeem, 2014)</w:t>
          </w:r>
          <w:r w:rsidR="000C5AB6">
            <w:rPr>
              <w:sz w:val="24"/>
              <w:szCs w:val="24"/>
            </w:rPr>
            <w:fldChar w:fldCharType="end"/>
          </w:r>
        </w:sdtContent>
      </w:sdt>
      <w:r w:rsidR="00AF2585">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728486963"/>
          <w:citation/>
        </w:sdtPr>
        <w:sdtContent>
          <w:r w:rsidR="000C5AB6">
            <w:rPr>
              <w:rFonts w:eastAsia="Times New Roman" w:cs="Times New Roman"/>
              <w:color w:val="222222"/>
              <w:sz w:val="24"/>
              <w:szCs w:val="24"/>
              <w:lang w:eastAsia="en-GB"/>
            </w:rPr>
            <w:fldChar w:fldCharType="begin"/>
          </w:r>
          <w:r w:rsidR="00AF2585">
            <w:rPr>
              <w:rFonts w:eastAsia="Times New Roman" w:cs="Times New Roman"/>
              <w:color w:val="222222"/>
              <w:sz w:val="24"/>
              <w:szCs w:val="24"/>
              <w:lang w:eastAsia="en-GB"/>
            </w:rPr>
            <w:instrText xml:space="preserve"> CITATION Sti14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2014)</w:t>
          </w:r>
          <w:r w:rsidR="000C5AB6">
            <w:rPr>
              <w:rFonts w:eastAsia="Times New Roman" w:cs="Times New Roman"/>
              <w:color w:val="222222"/>
              <w:sz w:val="24"/>
              <w:szCs w:val="24"/>
              <w:lang w:eastAsia="en-GB"/>
            </w:rPr>
            <w:fldChar w:fldCharType="end"/>
          </w:r>
        </w:sdtContent>
      </w:sdt>
      <w:r w:rsidR="00AF2585">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988736067"/>
          <w:citation/>
        </w:sdtPr>
        <w:sdtContent>
          <w:r w:rsidR="000C5AB6">
            <w:rPr>
              <w:rFonts w:eastAsia="Times New Roman" w:cs="Times New Roman"/>
              <w:color w:val="222222"/>
              <w:sz w:val="24"/>
              <w:szCs w:val="24"/>
              <w:lang w:eastAsia="en-GB"/>
            </w:rPr>
            <w:fldChar w:fldCharType="begin"/>
          </w:r>
          <w:r w:rsidR="00AF2585">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sidR="00AF2585">
        <w:rPr>
          <w:rFonts w:eastAsia="Times New Roman" w:cs="Times New Roman"/>
          <w:color w:val="222222"/>
          <w:sz w:val="24"/>
          <w:szCs w:val="24"/>
          <w:lang w:eastAsia="en-GB"/>
        </w:rPr>
        <w:t xml:space="preserve">. </w:t>
      </w:r>
      <w:r>
        <w:rPr>
          <w:sz w:val="24"/>
          <w:szCs w:val="24"/>
        </w:rPr>
        <w:t>De volgende input is gewenst voor de berekening van de historische bruto</w:t>
      </w:r>
      <w:r w:rsidR="00103AE8">
        <w:rPr>
          <w:sz w:val="24"/>
          <w:szCs w:val="24"/>
        </w:rPr>
        <w:t xml:space="preserve"> </w:t>
      </w:r>
      <w:r>
        <w:rPr>
          <w:sz w:val="24"/>
          <w:szCs w:val="24"/>
        </w:rPr>
        <w:t>marge:</w:t>
      </w:r>
    </w:p>
    <w:p w:rsidR="00F22E52" w:rsidRDefault="00F22E52" w:rsidP="00F22E52">
      <w:pPr>
        <w:pStyle w:val="ListParagraph"/>
        <w:numPr>
          <w:ilvl w:val="0"/>
          <w:numId w:val="5"/>
        </w:numPr>
        <w:spacing w:line="360" w:lineRule="auto"/>
        <w:jc w:val="both"/>
        <w:rPr>
          <w:sz w:val="24"/>
          <w:szCs w:val="24"/>
        </w:rPr>
      </w:pPr>
      <w:r>
        <w:rPr>
          <w:sz w:val="24"/>
          <w:szCs w:val="24"/>
        </w:rPr>
        <w:t>Het resultaat uit gewone bedrijfsuitoefeningen na rentelasten per 30 juni van de afgelopen twee boekjaren.</w:t>
      </w:r>
    </w:p>
    <w:p w:rsidR="00F22E52" w:rsidRDefault="00F22E52" w:rsidP="00F22E52">
      <w:pPr>
        <w:pStyle w:val="ListParagraph"/>
        <w:numPr>
          <w:ilvl w:val="0"/>
          <w:numId w:val="5"/>
        </w:numPr>
        <w:spacing w:line="360" w:lineRule="auto"/>
        <w:jc w:val="both"/>
        <w:rPr>
          <w:sz w:val="24"/>
          <w:szCs w:val="24"/>
        </w:rPr>
      </w:pPr>
      <w:r>
        <w:rPr>
          <w:sz w:val="24"/>
          <w:szCs w:val="24"/>
        </w:rPr>
        <w:t>Netto omzet per 30 juni van de afgelopen twee boekjaren.</w:t>
      </w:r>
    </w:p>
    <w:p w:rsidR="00F22E52" w:rsidRDefault="00950AC0" w:rsidP="00F22E52">
      <w:pPr>
        <w:spacing w:line="360" w:lineRule="auto"/>
        <w:jc w:val="both"/>
        <w:rPr>
          <w:sz w:val="24"/>
          <w:szCs w:val="24"/>
        </w:rPr>
      </w:pPr>
      <w:r>
        <w:rPr>
          <w:sz w:val="24"/>
          <w:szCs w:val="24"/>
        </w:rPr>
        <w:t>Aan de hand van figuur 18</w:t>
      </w:r>
      <w:r w:rsidR="00A66C23">
        <w:rPr>
          <w:sz w:val="24"/>
          <w:szCs w:val="24"/>
        </w:rPr>
        <w:t xml:space="preserve"> (zie pagina 57</w:t>
      </w:r>
      <w:r w:rsidR="00F22E52">
        <w:rPr>
          <w:sz w:val="24"/>
          <w:szCs w:val="24"/>
        </w:rPr>
        <w:t>) kan de historische bruto</w:t>
      </w:r>
      <w:r w:rsidR="00103AE8">
        <w:rPr>
          <w:sz w:val="24"/>
          <w:szCs w:val="24"/>
        </w:rPr>
        <w:t xml:space="preserve"> </w:t>
      </w:r>
      <w:r w:rsidR="00F22E52">
        <w:rPr>
          <w:sz w:val="24"/>
          <w:szCs w:val="24"/>
        </w:rPr>
        <w:t>marge berekend worden:</w:t>
      </w:r>
    </w:p>
    <w:p w:rsidR="00F22E52" w:rsidRPr="00F22E52" w:rsidRDefault="00F22E52" w:rsidP="00F22E52">
      <w:pPr>
        <w:spacing w:line="360" w:lineRule="auto"/>
        <w:jc w:val="both"/>
        <w:rPr>
          <w:sz w:val="24"/>
          <w:szCs w:val="24"/>
        </w:rPr>
      </w:pPr>
      <m:oMathPara>
        <m:oMath>
          <m:r>
            <w:rPr>
              <w:rFonts w:ascii="Cambria Math" w:hAnsi="Cambria Math"/>
              <w:sz w:val="24"/>
              <w:szCs w:val="24"/>
            </w:rPr>
            <m:t>Brutomarge=</m:t>
          </m:r>
          <m:f>
            <m:fPr>
              <m:ctrlPr>
                <w:rPr>
                  <w:rFonts w:ascii="Cambria Math" w:hAnsi="Cambria Math"/>
                  <w:i/>
                  <w:sz w:val="24"/>
                  <w:szCs w:val="24"/>
                </w:rPr>
              </m:ctrlPr>
            </m:fPr>
            <m:num>
              <m:r>
                <w:rPr>
                  <w:rFonts w:ascii="Cambria Math" w:hAnsi="Cambria Math"/>
                  <w:sz w:val="24"/>
                  <w:szCs w:val="24"/>
                </w:rPr>
                <m:t>Gemiddeld resultaat uit gewone bedrijfsuitoefening na rentelasten</m:t>
              </m:r>
            </m:num>
            <m:den>
              <m:r>
                <w:rPr>
                  <w:rFonts w:ascii="Cambria Math" w:hAnsi="Cambria Math"/>
                  <w:sz w:val="24"/>
                  <w:szCs w:val="24"/>
                </w:rPr>
                <m:t>Gemiddeld totale omzet</m:t>
              </m:r>
            </m:den>
          </m:f>
        </m:oMath>
      </m:oMathPara>
    </w:p>
    <w:p w:rsidR="007A743F" w:rsidRDefault="0024076F" w:rsidP="00851180">
      <w:pPr>
        <w:spacing w:line="360" w:lineRule="auto"/>
        <w:jc w:val="both"/>
        <w:rPr>
          <w:sz w:val="24"/>
          <w:szCs w:val="24"/>
        </w:rPr>
      </w:pPr>
      <w:r>
        <w:rPr>
          <w:sz w:val="24"/>
          <w:szCs w:val="24"/>
        </w:rPr>
        <w:t xml:space="preserve">Vervolg: </w:t>
      </w:r>
    </w:p>
    <w:p w:rsidR="00851180" w:rsidRPr="007A743F" w:rsidRDefault="00F22E52" w:rsidP="00851180">
      <w:pPr>
        <w:spacing w:line="360" w:lineRule="auto"/>
        <w:jc w:val="both"/>
        <w:rPr>
          <w:sz w:val="24"/>
          <w:szCs w:val="24"/>
        </w:rPr>
      </w:pPr>
      <m:oMathPara>
        <m:oMath>
          <m:r>
            <w:rPr>
              <w:rFonts w:ascii="Cambria Math" w:hAnsi="Cambria Math"/>
              <w:sz w:val="24"/>
              <w:szCs w:val="24"/>
            </w:rPr>
            <m:t xml:space="preserve">Historisch brutomarge= </m:t>
          </m:r>
          <m:f>
            <m:fPr>
              <m:ctrlPr>
                <w:rPr>
                  <w:rFonts w:ascii="Cambria Math" w:hAnsi="Cambria Math"/>
                  <w:i/>
                  <w:sz w:val="24"/>
                  <w:szCs w:val="24"/>
                </w:rPr>
              </m:ctrlPr>
            </m:fPr>
            <m:num>
              <m:r>
                <w:rPr>
                  <w:rFonts w:ascii="Cambria Math" w:hAnsi="Cambria Math"/>
                  <w:sz w:val="24"/>
                  <w:szCs w:val="24"/>
                </w:rPr>
                <m:t>-9.013+-10.707</m:t>
              </m:r>
            </m:num>
            <m:den>
              <m:r>
                <w:rPr>
                  <w:rFonts w:ascii="Cambria Math" w:hAnsi="Cambria Math"/>
                  <w:sz w:val="24"/>
                  <w:szCs w:val="24"/>
                </w:rPr>
                <m:t>41.756+45.244+1+7.399+12.370</m:t>
              </m:r>
            </m:den>
          </m:f>
        </m:oMath>
      </m:oMathPara>
    </w:p>
    <w:p w:rsidR="007A743F" w:rsidRDefault="007A743F" w:rsidP="00851180">
      <w:pPr>
        <w:spacing w:line="360" w:lineRule="auto"/>
        <w:jc w:val="both"/>
        <w:rPr>
          <w:sz w:val="24"/>
          <w:szCs w:val="24"/>
        </w:rPr>
      </w:pPr>
      <w:r>
        <w:rPr>
          <w:sz w:val="24"/>
          <w:szCs w:val="24"/>
        </w:rPr>
        <w:t>Bovenstaand levert een historisch bruto</w:t>
      </w:r>
      <w:r w:rsidR="00103AE8">
        <w:rPr>
          <w:sz w:val="24"/>
          <w:szCs w:val="24"/>
        </w:rPr>
        <w:t xml:space="preserve"> </w:t>
      </w:r>
      <w:r>
        <w:rPr>
          <w:sz w:val="24"/>
          <w:szCs w:val="24"/>
        </w:rPr>
        <w:t xml:space="preserve">marge van </w:t>
      </w:r>
      <m:oMath>
        <m:r>
          <w:rPr>
            <w:rFonts w:ascii="Cambria Math" w:hAnsi="Cambria Math"/>
            <w:sz w:val="24"/>
            <w:szCs w:val="24"/>
          </w:rPr>
          <m:t>-</m:t>
        </m:r>
      </m:oMath>
      <w:r>
        <w:rPr>
          <w:sz w:val="24"/>
          <w:szCs w:val="24"/>
        </w:rPr>
        <w:t>18,5% op, wat resulteert in een bandbreedte score van 0. Gegeven het gewicht van deze kernvariabele 6 punten bedraagt, levert de kernvariabele een eindscore van 6 x 0 = 0 punten op.</w:t>
      </w:r>
    </w:p>
    <w:p w:rsidR="007A743F" w:rsidRPr="006F0CD0" w:rsidRDefault="00776867" w:rsidP="006F0CD0">
      <w:pPr>
        <w:pStyle w:val="Heading3"/>
        <w:rPr>
          <w:sz w:val="28"/>
        </w:rPr>
      </w:pPr>
      <w:bookmarkStart w:id="40" w:name="_Toc425516506"/>
      <w:r>
        <w:rPr>
          <w:sz w:val="28"/>
        </w:rPr>
        <w:t>4</w:t>
      </w:r>
      <w:r w:rsidR="006F0CD0" w:rsidRPr="006F0CD0">
        <w:rPr>
          <w:sz w:val="28"/>
        </w:rPr>
        <w:t xml:space="preserve">.3.7. </w:t>
      </w:r>
      <w:r w:rsidR="006F0CD0">
        <w:rPr>
          <w:sz w:val="28"/>
        </w:rPr>
        <w:t>Kernvariabele 7: Toekomstig</w:t>
      </w:r>
      <w:r w:rsidR="007A743F" w:rsidRPr="006F0CD0">
        <w:rPr>
          <w:sz w:val="28"/>
        </w:rPr>
        <w:t xml:space="preserve"> netto marge</w:t>
      </w:r>
      <w:bookmarkEnd w:id="40"/>
    </w:p>
    <w:p w:rsidR="007A743F" w:rsidRDefault="007A743F" w:rsidP="00851180">
      <w:pPr>
        <w:spacing w:line="360" w:lineRule="auto"/>
        <w:jc w:val="both"/>
        <w:rPr>
          <w:sz w:val="24"/>
          <w:szCs w:val="24"/>
        </w:rPr>
      </w:pPr>
      <w:r>
        <w:rPr>
          <w:sz w:val="24"/>
          <w:szCs w:val="24"/>
        </w:rPr>
        <w:t xml:space="preserve">Deze kernvariabele sluit grotendeels aan op kernvariabele 5, echter wordt in dit geval de netto </w:t>
      </w:r>
      <w:r w:rsidR="00221895">
        <w:rPr>
          <w:sz w:val="24"/>
          <w:szCs w:val="24"/>
        </w:rPr>
        <w:t>marge</w:t>
      </w:r>
      <w:r>
        <w:rPr>
          <w:sz w:val="24"/>
          <w:szCs w:val="24"/>
        </w:rPr>
        <w:t xml:space="preserve"> voor de toekomst gevraagd. De multiplier voor </w:t>
      </w:r>
      <w:r w:rsidR="00733FE0">
        <w:rPr>
          <w:sz w:val="24"/>
          <w:szCs w:val="24"/>
        </w:rPr>
        <w:t xml:space="preserve">deze kernvariabele bedraagt </w:t>
      </w:r>
      <w:r w:rsidR="00C44179">
        <w:rPr>
          <w:sz w:val="24"/>
          <w:szCs w:val="24"/>
        </w:rPr>
        <w:t>2</w:t>
      </w:r>
      <w:r w:rsidR="00733FE0">
        <w:rPr>
          <w:sz w:val="24"/>
          <w:szCs w:val="24"/>
        </w:rPr>
        <w:t xml:space="preserve"> punten.</w:t>
      </w:r>
      <w:r w:rsidR="00F501CE">
        <w:rPr>
          <w:sz w:val="24"/>
          <w:szCs w:val="24"/>
        </w:rPr>
        <w:t xml:space="preserve"> De berekening van </w:t>
      </w:r>
      <w:proofErr w:type="gramStart"/>
      <w:r w:rsidR="00F501CE">
        <w:rPr>
          <w:sz w:val="24"/>
          <w:szCs w:val="24"/>
        </w:rPr>
        <w:t>kernvariabele</w:t>
      </w:r>
      <w:proofErr w:type="gramEnd"/>
      <w:r w:rsidR="00F501CE">
        <w:rPr>
          <w:sz w:val="24"/>
          <w:szCs w:val="24"/>
        </w:rPr>
        <w:t xml:space="preserve"> geschiet zodoende op identieke wijze als de berekening van kernvariabele 5, echter nu met behulp van de netto marges voor aankomende (begrote) of lopende (prognose) boekjaar</w:t>
      </w:r>
      <w:r w:rsidR="006A7B71">
        <w:rPr>
          <w:sz w:val="24"/>
          <w:szCs w:val="24"/>
        </w:rPr>
        <w:t xml:space="preserve"> </w:t>
      </w:r>
      <w:sdt>
        <w:sdtPr>
          <w:rPr>
            <w:sz w:val="24"/>
            <w:szCs w:val="24"/>
          </w:rPr>
          <w:id w:val="-882556476"/>
          <w:citation/>
        </w:sdtPr>
        <w:sdtContent>
          <w:r w:rsidR="000C5AB6">
            <w:rPr>
              <w:sz w:val="24"/>
              <w:szCs w:val="24"/>
            </w:rPr>
            <w:fldChar w:fldCharType="begin"/>
          </w:r>
          <w:r w:rsidR="006A7B71">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F501CE">
        <w:rPr>
          <w:sz w:val="24"/>
          <w:szCs w:val="24"/>
        </w:rPr>
        <w:t>.</w:t>
      </w:r>
      <w:r w:rsidR="005B7EF6">
        <w:rPr>
          <w:sz w:val="24"/>
          <w:szCs w:val="24"/>
        </w:rPr>
        <w:t xml:space="preserve"> Zoals </w:t>
      </w:r>
      <w:proofErr w:type="gramStart"/>
      <w:r w:rsidR="005B7EF6">
        <w:rPr>
          <w:sz w:val="24"/>
          <w:szCs w:val="24"/>
        </w:rPr>
        <w:t>reeds</w:t>
      </w:r>
      <w:proofErr w:type="gramEnd"/>
      <w:r w:rsidR="005B7EF6">
        <w:rPr>
          <w:sz w:val="24"/>
          <w:szCs w:val="24"/>
        </w:rPr>
        <w:t xml:space="preserve"> aangegeven in de introductie van dit hoofdstuk, heeft de KNVB Licentiecommissie een geheimhoudingsovereenkomst met de betaald voetbal organisaties over deze gegevens </w:t>
      </w:r>
      <w:sdt>
        <w:sdtPr>
          <w:rPr>
            <w:sz w:val="24"/>
            <w:szCs w:val="24"/>
          </w:rPr>
          <w:id w:val="-382253969"/>
          <w:citation/>
        </w:sdtPr>
        <w:sdtContent>
          <w:r w:rsidR="000C5AB6">
            <w:rPr>
              <w:sz w:val="24"/>
              <w:szCs w:val="24"/>
            </w:rPr>
            <w:fldChar w:fldCharType="begin"/>
          </w:r>
          <w:r w:rsidR="005B7EF6">
            <w:rPr>
              <w:sz w:val="24"/>
              <w:szCs w:val="24"/>
            </w:rPr>
            <w:instrText xml:space="preserve"> CITATION Rav15 \l 1043 </w:instrText>
          </w:r>
          <w:r w:rsidR="000C5AB6">
            <w:rPr>
              <w:sz w:val="24"/>
              <w:szCs w:val="24"/>
            </w:rPr>
            <w:fldChar w:fldCharType="separate"/>
          </w:r>
          <w:r w:rsidR="00062BB9" w:rsidRPr="00062BB9">
            <w:rPr>
              <w:noProof/>
              <w:sz w:val="24"/>
              <w:szCs w:val="24"/>
            </w:rPr>
            <w:t>(Ravensbergen, 2015)</w:t>
          </w:r>
          <w:r w:rsidR="000C5AB6">
            <w:rPr>
              <w:sz w:val="24"/>
              <w:szCs w:val="24"/>
            </w:rPr>
            <w:fldChar w:fldCharType="end"/>
          </w:r>
        </w:sdtContent>
      </w:sdt>
      <w:r w:rsidR="005B7EF6">
        <w:rPr>
          <w:sz w:val="24"/>
          <w:szCs w:val="24"/>
        </w:rPr>
        <w:t>. Als gevolg hiervan worden de volgende assumpties gemaakt om een realistisch toekomstig netto marge berekenen, wat leidt tot een realistische schatting van de uitkomst van kernvariabele 7:</w:t>
      </w:r>
    </w:p>
    <w:p w:rsidR="00A747AC" w:rsidRPr="00A747AC" w:rsidRDefault="00A747AC" w:rsidP="00A747AC">
      <w:pPr>
        <w:pStyle w:val="ListParagraph"/>
        <w:numPr>
          <w:ilvl w:val="0"/>
          <w:numId w:val="5"/>
        </w:numPr>
        <w:spacing w:line="360" w:lineRule="auto"/>
        <w:jc w:val="both"/>
        <w:rPr>
          <w:sz w:val="24"/>
          <w:szCs w:val="24"/>
        </w:rPr>
      </w:pPr>
      <w:r>
        <w:rPr>
          <w:sz w:val="24"/>
          <w:szCs w:val="24"/>
        </w:rPr>
        <w:t xml:space="preserve">Zoals </w:t>
      </w:r>
      <w:proofErr w:type="gramStart"/>
      <w:r>
        <w:rPr>
          <w:sz w:val="24"/>
          <w:szCs w:val="24"/>
        </w:rPr>
        <w:t>reeds</w:t>
      </w:r>
      <w:proofErr w:type="gramEnd"/>
      <w:r>
        <w:rPr>
          <w:sz w:val="24"/>
          <w:szCs w:val="24"/>
        </w:rPr>
        <w:t xml:space="preserve"> gesteld bij kernvariabele 2, is de verwachting dat de personeelskosten zullen afnemen door ontslagen van het personeel, aflopende contracten en door het schrappen van salarissen van reeds verkochte spelers. Hiertegenover staan de mogelijke ontslagvergoedingen voor ontslagen werknemers. Desondanks zou de personeelskosten met enkele miljoenen kunnen afnemen. Dit resulteert in een licht </w:t>
      </w:r>
      <w:r w:rsidR="00F11222">
        <w:rPr>
          <w:sz w:val="24"/>
          <w:szCs w:val="24"/>
        </w:rPr>
        <w:t xml:space="preserve">verbeterd bedrijfsresultaat </w:t>
      </w:r>
      <w:r>
        <w:rPr>
          <w:sz w:val="24"/>
          <w:szCs w:val="24"/>
        </w:rPr>
        <w:t>van enkele miljoenen.</w:t>
      </w:r>
    </w:p>
    <w:p w:rsidR="005B7EF6" w:rsidRDefault="00A747AC" w:rsidP="005B7EF6">
      <w:pPr>
        <w:pStyle w:val="ListParagraph"/>
        <w:numPr>
          <w:ilvl w:val="0"/>
          <w:numId w:val="5"/>
        </w:numPr>
        <w:spacing w:line="360" w:lineRule="auto"/>
        <w:jc w:val="both"/>
        <w:rPr>
          <w:sz w:val="24"/>
          <w:szCs w:val="24"/>
        </w:rPr>
      </w:pPr>
      <w:r>
        <w:rPr>
          <w:sz w:val="24"/>
          <w:szCs w:val="24"/>
        </w:rPr>
        <w:lastRenderedPageBreak/>
        <w:t>Het resultaat uit vergoedingssommen staat momenteel op ongeveer 8 miljoen euro, wat nu al een verbetering betekent van ongeveer 600.000 euro ten opzichte van het boekjaar 2013/2014</w:t>
      </w:r>
      <w:r w:rsidR="00575EA0">
        <w:rPr>
          <w:sz w:val="24"/>
          <w:szCs w:val="24"/>
        </w:rPr>
        <w:t xml:space="preserve"> </w:t>
      </w:r>
      <w:sdt>
        <w:sdtPr>
          <w:rPr>
            <w:rFonts w:eastAsia="Times New Roman" w:cs="Times New Roman"/>
            <w:color w:val="222222"/>
            <w:sz w:val="24"/>
            <w:szCs w:val="24"/>
            <w:lang w:eastAsia="en-GB"/>
          </w:rPr>
          <w:id w:val="-1582832003"/>
          <w:citation/>
        </w:sdtPr>
        <w:sdtContent>
          <w:r w:rsidR="000C5AB6">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Pr>
          <w:sz w:val="24"/>
          <w:szCs w:val="24"/>
        </w:rPr>
        <w:t>. Het resulterend gevolg is dat de totale omzet lichtelijk zal gaan stijgen.</w:t>
      </w:r>
    </w:p>
    <w:p w:rsidR="00A747AC" w:rsidRDefault="00A747AC" w:rsidP="005B7EF6">
      <w:pPr>
        <w:pStyle w:val="ListParagraph"/>
        <w:numPr>
          <w:ilvl w:val="0"/>
          <w:numId w:val="5"/>
        </w:numPr>
        <w:spacing w:line="360" w:lineRule="auto"/>
        <w:jc w:val="both"/>
        <w:rPr>
          <w:sz w:val="24"/>
          <w:szCs w:val="24"/>
        </w:rPr>
      </w:pPr>
      <w:r>
        <w:rPr>
          <w:sz w:val="24"/>
          <w:szCs w:val="24"/>
        </w:rPr>
        <w:t xml:space="preserve">Voor alle andere variabelen in deze berekening geldt </w:t>
      </w:r>
      <w:r w:rsidRPr="00A747AC">
        <w:rPr>
          <w:i/>
          <w:sz w:val="24"/>
          <w:szCs w:val="24"/>
        </w:rPr>
        <w:t>ceteris paribus</w:t>
      </w:r>
      <w:r>
        <w:rPr>
          <w:sz w:val="24"/>
          <w:szCs w:val="24"/>
        </w:rPr>
        <w:t xml:space="preserve">, omdat er geen reële aanleidingen bestaan voor </w:t>
      </w:r>
      <w:r w:rsidR="00E01DA4">
        <w:rPr>
          <w:sz w:val="24"/>
          <w:szCs w:val="24"/>
        </w:rPr>
        <w:t>materiële</w:t>
      </w:r>
      <w:r>
        <w:rPr>
          <w:sz w:val="24"/>
          <w:szCs w:val="24"/>
        </w:rPr>
        <w:t xml:space="preserve"> veranderingen in deze </w:t>
      </w:r>
      <w:r w:rsidR="008117E9">
        <w:rPr>
          <w:sz w:val="24"/>
          <w:szCs w:val="24"/>
        </w:rPr>
        <w:t>bedragen</w:t>
      </w:r>
      <w:r>
        <w:rPr>
          <w:sz w:val="24"/>
          <w:szCs w:val="24"/>
        </w:rPr>
        <w:t>.</w:t>
      </w:r>
    </w:p>
    <w:p w:rsidR="00A747AC" w:rsidRDefault="00A747AC" w:rsidP="00A747AC">
      <w:pPr>
        <w:spacing w:line="360" w:lineRule="auto"/>
        <w:jc w:val="both"/>
        <w:rPr>
          <w:sz w:val="24"/>
          <w:szCs w:val="24"/>
        </w:rPr>
      </w:pPr>
      <w:r>
        <w:rPr>
          <w:sz w:val="24"/>
          <w:szCs w:val="24"/>
        </w:rPr>
        <w:t>Gegeven het bovenstaande in combinatie met het feit dat de historische netto marge</w:t>
      </w:r>
      <w:r w:rsidR="00C923C6">
        <w:rPr>
          <w:sz w:val="24"/>
          <w:szCs w:val="24"/>
        </w:rPr>
        <w:t xml:space="preserve"> van het boekjaar 2013/2014</w:t>
      </w:r>
      <w:r>
        <w:rPr>
          <w:sz w:val="24"/>
          <w:szCs w:val="24"/>
        </w:rPr>
        <w:t xml:space="preserve"> (kernvariabele 5) </w:t>
      </w:r>
      <m:oMath>
        <m:r>
          <w:rPr>
            <w:rFonts w:ascii="Cambria Math" w:hAnsi="Cambria Math"/>
            <w:sz w:val="24"/>
            <w:szCs w:val="24"/>
          </w:rPr>
          <m:t>-</m:t>
        </m:r>
      </m:oMath>
      <w:r>
        <w:rPr>
          <w:sz w:val="24"/>
          <w:szCs w:val="24"/>
        </w:rPr>
        <w:t xml:space="preserve">14,8% bedraagt, zal </w:t>
      </w:r>
      <w:r w:rsidR="00C923C6">
        <w:rPr>
          <w:sz w:val="24"/>
          <w:szCs w:val="24"/>
        </w:rPr>
        <w:t xml:space="preserve">de toekomstige netto marge slechts leiden tot een lichte verbetering ten opzichte van het de huidige marge. Dit heeft tot gevolg dat de bandbreedte score voor deze variabele ook </w:t>
      </w:r>
      <w:r>
        <w:rPr>
          <w:sz w:val="24"/>
          <w:szCs w:val="24"/>
        </w:rPr>
        <w:t xml:space="preserve">0 punten </w:t>
      </w:r>
      <w:r w:rsidR="00C923C6">
        <w:rPr>
          <w:sz w:val="24"/>
          <w:szCs w:val="24"/>
        </w:rPr>
        <w:t>bedraagt</w:t>
      </w:r>
      <w:r>
        <w:rPr>
          <w:sz w:val="24"/>
          <w:szCs w:val="24"/>
        </w:rPr>
        <w:t xml:space="preserve">. In figuur Financieel Rating Systeem in </w:t>
      </w:r>
      <w:proofErr w:type="gramStart"/>
      <w:r>
        <w:rPr>
          <w:sz w:val="24"/>
          <w:szCs w:val="24"/>
        </w:rPr>
        <w:t>de</w:t>
      </w:r>
      <w:proofErr w:type="gramEnd"/>
      <w:r>
        <w:rPr>
          <w:sz w:val="24"/>
          <w:szCs w:val="24"/>
        </w:rPr>
        <w:t xml:space="preserve"> appendix blijkt dat zolang de toekomstige netto marge </w:t>
      </w:r>
      <w:r>
        <w:rPr>
          <w:sz w:val="24"/>
          <w:szCs w:val="24"/>
          <w:u w:val="single"/>
        </w:rPr>
        <w:t>niet</w:t>
      </w:r>
      <w:r>
        <w:rPr>
          <w:sz w:val="24"/>
          <w:szCs w:val="24"/>
        </w:rPr>
        <w:t xml:space="preserve"> hoger dan nihil is, de bandbreedte score 0 bedraagt. Gegeven dat de multiplier van deze kernvariabele 2 punten bedraagt</w:t>
      </w:r>
      <w:r w:rsidR="00CB5CA9">
        <w:rPr>
          <w:sz w:val="24"/>
          <w:szCs w:val="24"/>
        </w:rPr>
        <w:t>, levert de kernvariabele 0 x 2 = 0 punten op.</w:t>
      </w:r>
    </w:p>
    <w:p w:rsidR="00CB5CA9" w:rsidRPr="00103AE8" w:rsidRDefault="00776867" w:rsidP="00103AE8">
      <w:pPr>
        <w:pStyle w:val="Heading3"/>
        <w:rPr>
          <w:sz w:val="28"/>
        </w:rPr>
      </w:pPr>
      <w:bookmarkStart w:id="41" w:name="_Toc425516507"/>
      <w:r>
        <w:rPr>
          <w:sz w:val="28"/>
        </w:rPr>
        <w:t>4</w:t>
      </w:r>
      <w:r w:rsidR="00103AE8" w:rsidRPr="00103AE8">
        <w:rPr>
          <w:sz w:val="28"/>
        </w:rPr>
        <w:t xml:space="preserve">.3.8. </w:t>
      </w:r>
      <w:r w:rsidR="00CB5CA9" w:rsidRPr="00103AE8">
        <w:rPr>
          <w:sz w:val="28"/>
        </w:rPr>
        <w:t>Kernvariabele 8: Toekomstig bruto</w:t>
      </w:r>
      <w:r w:rsidR="00103AE8" w:rsidRPr="00103AE8">
        <w:rPr>
          <w:sz w:val="28"/>
        </w:rPr>
        <w:t xml:space="preserve"> </w:t>
      </w:r>
      <w:r w:rsidR="00CB5CA9" w:rsidRPr="00103AE8">
        <w:rPr>
          <w:sz w:val="28"/>
        </w:rPr>
        <w:t>marge</w:t>
      </w:r>
      <w:bookmarkEnd w:id="41"/>
    </w:p>
    <w:p w:rsidR="00CB5CA9" w:rsidRDefault="00221895" w:rsidP="00A747AC">
      <w:pPr>
        <w:spacing w:line="360" w:lineRule="auto"/>
        <w:jc w:val="both"/>
        <w:rPr>
          <w:sz w:val="24"/>
          <w:szCs w:val="24"/>
        </w:rPr>
      </w:pPr>
      <w:r>
        <w:rPr>
          <w:sz w:val="24"/>
          <w:szCs w:val="24"/>
        </w:rPr>
        <w:t xml:space="preserve">Deze kernvariabele sluit grotendeels aan op kernvariabele 6, echter wordt in dit geval de bruto marge voor de toekomst gevraagd. De multiplier voor deze </w:t>
      </w:r>
      <w:r w:rsidR="00C44179">
        <w:rPr>
          <w:sz w:val="24"/>
          <w:szCs w:val="24"/>
        </w:rPr>
        <w:t>kernvariabele bedraagt 4</w:t>
      </w:r>
      <w:r>
        <w:rPr>
          <w:sz w:val="24"/>
          <w:szCs w:val="24"/>
        </w:rPr>
        <w:t xml:space="preserve"> punten. De berekening van</w:t>
      </w:r>
      <w:r w:rsidR="00103AE8">
        <w:rPr>
          <w:sz w:val="24"/>
          <w:szCs w:val="24"/>
        </w:rPr>
        <w:t xml:space="preserve"> deze</w:t>
      </w:r>
      <w:r>
        <w:rPr>
          <w:sz w:val="24"/>
          <w:szCs w:val="24"/>
        </w:rPr>
        <w:t xml:space="preserve"> kernvariabele geschiet zodoende op identieke wijze als de </w:t>
      </w:r>
      <w:r w:rsidR="00C44179">
        <w:rPr>
          <w:sz w:val="24"/>
          <w:szCs w:val="24"/>
        </w:rPr>
        <w:t>berekening van kernvariabele 6</w:t>
      </w:r>
      <w:r>
        <w:rPr>
          <w:sz w:val="24"/>
          <w:szCs w:val="24"/>
        </w:rPr>
        <w:t>, echter nu met behulp van de netto marges voor aankomende (begrote) of lopende (prognose) boekjaar</w:t>
      </w:r>
      <w:r w:rsidR="006A7B71">
        <w:rPr>
          <w:sz w:val="24"/>
          <w:szCs w:val="24"/>
        </w:rPr>
        <w:t xml:space="preserve"> </w:t>
      </w:r>
      <w:sdt>
        <w:sdtPr>
          <w:rPr>
            <w:sz w:val="24"/>
            <w:szCs w:val="24"/>
          </w:rPr>
          <w:id w:val="1731032656"/>
          <w:citation/>
        </w:sdtPr>
        <w:sdtContent>
          <w:r w:rsidR="000C5AB6">
            <w:rPr>
              <w:sz w:val="24"/>
              <w:szCs w:val="24"/>
            </w:rPr>
            <w:fldChar w:fldCharType="begin"/>
          </w:r>
          <w:r w:rsidR="006A7B71">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Pr>
          <w:sz w:val="24"/>
          <w:szCs w:val="24"/>
        </w:rPr>
        <w:t xml:space="preserve">. Ook met de gegevens die relevant zijn voor deze variabele, heeft de KNVB Licentiecommissie een geheimhoudingsovereenkomst met de betaald voetbal organisaties </w:t>
      </w:r>
      <w:sdt>
        <w:sdtPr>
          <w:rPr>
            <w:sz w:val="24"/>
            <w:szCs w:val="24"/>
          </w:rPr>
          <w:id w:val="-250513331"/>
          <w:citation/>
        </w:sdtPr>
        <w:sdtContent>
          <w:r w:rsidR="000C5AB6">
            <w:rPr>
              <w:sz w:val="24"/>
              <w:szCs w:val="24"/>
            </w:rPr>
            <w:fldChar w:fldCharType="begin"/>
          </w:r>
          <w:r>
            <w:rPr>
              <w:sz w:val="24"/>
              <w:szCs w:val="24"/>
            </w:rPr>
            <w:instrText xml:space="preserve"> CITATION Rav15 \l 1043 </w:instrText>
          </w:r>
          <w:r w:rsidR="000C5AB6">
            <w:rPr>
              <w:sz w:val="24"/>
              <w:szCs w:val="24"/>
            </w:rPr>
            <w:fldChar w:fldCharType="separate"/>
          </w:r>
          <w:r w:rsidR="00062BB9" w:rsidRPr="00062BB9">
            <w:rPr>
              <w:noProof/>
              <w:sz w:val="24"/>
              <w:szCs w:val="24"/>
            </w:rPr>
            <w:t>(Ravensbergen, 2015)</w:t>
          </w:r>
          <w:r w:rsidR="000C5AB6">
            <w:rPr>
              <w:sz w:val="24"/>
              <w:szCs w:val="24"/>
            </w:rPr>
            <w:fldChar w:fldCharType="end"/>
          </w:r>
        </w:sdtContent>
      </w:sdt>
      <w:r>
        <w:rPr>
          <w:sz w:val="24"/>
          <w:szCs w:val="24"/>
        </w:rPr>
        <w:t>.</w:t>
      </w:r>
      <w:r w:rsidR="00C44179">
        <w:rPr>
          <w:sz w:val="24"/>
          <w:szCs w:val="24"/>
        </w:rPr>
        <w:t xml:space="preserve"> </w:t>
      </w:r>
      <w:r w:rsidR="00C923C6">
        <w:rPr>
          <w:sz w:val="24"/>
          <w:szCs w:val="24"/>
        </w:rPr>
        <w:t>De assumpties die gemaakt zijn om een realistisch toekomstig bruto marge te berekenen, komen overeen met de eerder genoemde assumpties bij kernvariabele 7 (Toekomstig</w:t>
      </w:r>
      <w:r w:rsidR="00DD3F62">
        <w:rPr>
          <w:sz w:val="24"/>
          <w:szCs w:val="24"/>
        </w:rPr>
        <w:t>e</w:t>
      </w:r>
      <w:r w:rsidR="00C923C6">
        <w:rPr>
          <w:sz w:val="24"/>
          <w:szCs w:val="24"/>
        </w:rPr>
        <w:t xml:space="preserve"> netto marge). Gegeven deze assumpties in combinatie met het feit dat de huidige bruto marge </w:t>
      </w:r>
      <m:oMath>
        <m:r>
          <w:rPr>
            <w:rFonts w:ascii="Cambria Math" w:hAnsi="Cambria Math"/>
            <w:sz w:val="24"/>
            <w:szCs w:val="24"/>
          </w:rPr>
          <m:t>-</m:t>
        </m:r>
      </m:oMath>
      <w:r w:rsidR="00C923C6">
        <w:rPr>
          <w:sz w:val="24"/>
          <w:szCs w:val="24"/>
        </w:rPr>
        <w:t xml:space="preserve">18,5% bedraagt, wordt er slechts een lichte verbetering van deze marge verwacht. Dit heeft tot gevolg dat de bandbreedte score voor deze variabele 0 punten oplevert. In figuur Financieel Rating Systeem in </w:t>
      </w:r>
      <w:proofErr w:type="gramStart"/>
      <w:r w:rsidR="00C923C6">
        <w:rPr>
          <w:sz w:val="24"/>
          <w:szCs w:val="24"/>
        </w:rPr>
        <w:t>de</w:t>
      </w:r>
      <w:proofErr w:type="gramEnd"/>
      <w:r w:rsidR="00C923C6">
        <w:rPr>
          <w:sz w:val="24"/>
          <w:szCs w:val="24"/>
        </w:rPr>
        <w:t xml:space="preserve"> appendix blijkt dat zolang de toekomstige </w:t>
      </w:r>
      <w:r w:rsidR="00EE66C3">
        <w:rPr>
          <w:sz w:val="24"/>
          <w:szCs w:val="24"/>
        </w:rPr>
        <w:t>bruto</w:t>
      </w:r>
      <w:r w:rsidR="00C923C6">
        <w:rPr>
          <w:sz w:val="24"/>
          <w:szCs w:val="24"/>
        </w:rPr>
        <w:t xml:space="preserve"> marge </w:t>
      </w:r>
      <w:r w:rsidR="00C923C6">
        <w:rPr>
          <w:sz w:val="24"/>
          <w:szCs w:val="24"/>
          <w:u w:val="single"/>
        </w:rPr>
        <w:t>niet</w:t>
      </w:r>
      <w:r w:rsidR="00C923C6">
        <w:rPr>
          <w:sz w:val="24"/>
          <w:szCs w:val="24"/>
        </w:rPr>
        <w:t xml:space="preserve"> hoger dan nihil is, de bandbreedte score 0 bedraagt. Gegeven dat de multiplier van deze kernvariabele </w:t>
      </w:r>
      <w:r w:rsidR="00C72AA9">
        <w:rPr>
          <w:sz w:val="24"/>
          <w:szCs w:val="24"/>
        </w:rPr>
        <w:t>4</w:t>
      </w:r>
      <w:r w:rsidR="00C923C6">
        <w:rPr>
          <w:sz w:val="24"/>
          <w:szCs w:val="24"/>
        </w:rPr>
        <w:t xml:space="preserve"> punten bedraagt, levert de kernvariabele 0 x 2 = 0 punten op.</w:t>
      </w:r>
    </w:p>
    <w:p w:rsidR="00C60143" w:rsidRDefault="00C60143" w:rsidP="00A747AC">
      <w:pPr>
        <w:spacing w:line="360" w:lineRule="auto"/>
        <w:jc w:val="both"/>
        <w:rPr>
          <w:sz w:val="24"/>
          <w:szCs w:val="24"/>
        </w:rPr>
      </w:pPr>
    </w:p>
    <w:p w:rsidR="00C60143" w:rsidRDefault="00C60143" w:rsidP="00A747AC">
      <w:pPr>
        <w:spacing w:line="360" w:lineRule="auto"/>
        <w:jc w:val="both"/>
        <w:rPr>
          <w:sz w:val="24"/>
          <w:szCs w:val="24"/>
        </w:rPr>
      </w:pPr>
    </w:p>
    <w:p w:rsidR="00EE66C3" w:rsidRPr="00103AE8" w:rsidRDefault="00776867" w:rsidP="00103AE8">
      <w:pPr>
        <w:pStyle w:val="Heading3"/>
        <w:rPr>
          <w:sz w:val="28"/>
        </w:rPr>
      </w:pPr>
      <w:bookmarkStart w:id="42" w:name="_Toc425516508"/>
      <w:r>
        <w:rPr>
          <w:sz w:val="28"/>
        </w:rPr>
        <w:t>4</w:t>
      </w:r>
      <w:r w:rsidR="00103AE8" w:rsidRPr="00103AE8">
        <w:rPr>
          <w:sz w:val="28"/>
        </w:rPr>
        <w:t xml:space="preserve">.3.9. </w:t>
      </w:r>
      <w:r w:rsidR="00EE66C3" w:rsidRPr="00103AE8">
        <w:rPr>
          <w:sz w:val="28"/>
        </w:rPr>
        <w:t>Kernvariabele 9: Personeelskostenratio</w:t>
      </w:r>
      <w:bookmarkEnd w:id="42"/>
    </w:p>
    <w:p w:rsidR="00EE66C3" w:rsidRDefault="00EE66C3" w:rsidP="00A747AC">
      <w:pPr>
        <w:spacing w:line="360" w:lineRule="auto"/>
        <w:jc w:val="both"/>
        <w:rPr>
          <w:sz w:val="24"/>
          <w:szCs w:val="24"/>
        </w:rPr>
      </w:pPr>
      <w:r>
        <w:rPr>
          <w:sz w:val="24"/>
          <w:szCs w:val="24"/>
        </w:rPr>
        <w:t xml:space="preserve">Voor de berekeningen van </w:t>
      </w:r>
      <w:proofErr w:type="gramStart"/>
      <w:r>
        <w:rPr>
          <w:sz w:val="24"/>
          <w:szCs w:val="24"/>
        </w:rPr>
        <w:t>het</w:t>
      </w:r>
      <w:proofErr w:type="gramEnd"/>
      <w:r>
        <w:rPr>
          <w:sz w:val="24"/>
          <w:szCs w:val="24"/>
        </w:rPr>
        <w:t xml:space="preserve"> personeelskostenratio worden de gerealiseerde en verwachte personeelskosten uitgedrukt in de gerealiseerde/verwachte omzet in diezelfde periode</w:t>
      </w:r>
      <w:r w:rsidR="006A7B71">
        <w:rPr>
          <w:sz w:val="24"/>
          <w:szCs w:val="24"/>
        </w:rPr>
        <w:t xml:space="preserve"> </w:t>
      </w:r>
      <w:sdt>
        <w:sdtPr>
          <w:rPr>
            <w:sz w:val="24"/>
            <w:szCs w:val="24"/>
          </w:rPr>
          <w:id w:val="1005243205"/>
          <w:citation/>
        </w:sdtPr>
        <w:sdtContent>
          <w:r w:rsidR="000C5AB6">
            <w:rPr>
              <w:sz w:val="24"/>
              <w:szCs w:val="24"/>
            </w:rPr>
            <w:fldChar w:fldCharType="begin"/>
          </w:r>
          <w:r w:rsidR="006A7B71">
            <w:rPr>
              <w:sz w:val="24"/>
              <w:szCs w:val="24"/>
            </w:rPr>
            <w:instrText xml:space="preserve"> CITATION Ric141 \l 1043 </w:instrText>
          </w:r>
          <w:r w:rsidR="000C5AB6">
            <w:rPr>
              <w:sz w:val="24"/>
              <w:szCs w:val="24"/>
            </w:rPr>
            <w:fldChar w:fldCharType="separate"/>
          </w:r>
          <w:r w:rsidR="00062BB9" w:rsidRPr="00062BB9">
            <w:rPr>
              <w:noProof/>
              <w:sz w:val="24"/>
              <w:szCs w:val="24"/>
            </w:rPr>
            <w:t>(Richtlijn Financieel Rating Systeem, 2014)</w:t>
          </w:r>
          <w:r w:rsidR="000C5AB6">
            <w:rPr>
              <w:sz w:val="24"/>
              <w:szCs w:val="24"/>
            </w:rPr>
            <w:fldChar w:fldCharType="end"/>
          </w:r>
        </w:sdtContent>
      </w:sdt>
      <w:r w:rsidR="006A7B71">
        <w:rPr>
          <w:sz w:val="24"/>
          <w:szCs w:val="24"/>
        </w:rPr>
        <w:t xml:space="preserve">. De multiplier voor deze variabele bedraagt 8 punten. De volgende input is benodigd voor de berekening van </w:t>
      </w:r>
      <w:proofErr w:type="gramStart"/>
      <w:r w:rsidR="006A7B71">
        <w:rPr>
          <w:sz w:val="24"/>
          <w:szCs w:val="24"/>
        </w:rPr>
        <w:t>het</w:t>
      </w:r>
      <w:proofErr w:type="gramEnd"/>
      <w:r w:rsidR="006A7B71">
        <w:rPr>
          <w:sz w:val="24"/>
          <w:szCs w:val="24"/>
        </w:rPr>
        <w:t xml:space="preserve"> personeelskostenratio over het boekjaar 2013/2014:</w:t>
      </w:r>
    </w:p>
    <w:p w:rsidR="006A7B71" w:rsidRDefault="006A7B71" w:rsidP="006A7B71">
      <w:pPr>
        <w:pStyle w:val="ListParagraph"/>
        <w:numPr>
          <w:ilvl w:val="0"/>
          <w:numId w:val="5"/>
        </w:numPr>
        <w:spacing w:line="360" w:lineRule="auto"/>
        <w:jc w:val="both"/>
        <w:rPr>
          <w:sz w:val="24"/>
          <w:szCs w:val="24"/>
        </w:rPr>
      </w:pPr>
      <w:r>
        <w:rPr>
          <w:sz w:val="24"/>
          <w:szCs w:val="24"/>
        </w:rPr>
        <w:t>De gerealiseerde personeelskosten en netto omzet per 30 juni 2014.</w:t>
      </w:r>
    </w:p>
    <w:p w:rsidR="006A7B71" w:rsidRDefault="006A7B71" w:rsidP="006A7B71">
      <w:pPr>
        <w:pStyle w:val="ListParagraph"/>
        <w:numPr>
          <w:ilvl w:val="0"/>
          <w:numId w:val="5"/>
        </w:numPr>
        <w:spacing w:line="360" w:lineRule="auto"/>
        <w:jc w:val="both"/>
        <w:rPr>
          <w:sz w:val="24"/>
          <w:szCs w:val="24"/>
        </w:rPr>
      </w:pPr>
      <w:r>
        <w:rPr>
          <w:sz w:val="24"/>
          <w:szCs w:val="24"/>
        </w:rPr>
        <w:t>De gerealiseerde personeelskosten en netto omzet per 31 december 2013.</w:t>
      </w:r>
    </w:p>
    <w:p w:rsidR="006A7B71" w:rsidRDefault="006A7B71" w:rsidP="006A7B71">
      <w:pPr>
        <w:pStyle w:val="ListParagraph"/>
        <w:numPr>
          <w:ilvl w:val="0"/>
          <w:numId w:val="5"/>
        </w:numPr>
        <w:spacing w:line="360" w:lineRule="auto"/>
        <w:jc w:val="both"/>
        <w:rPr>
          <w:sz w:val="24"/>
          <w:szCs w:val="24"/>
        </w:rPr>
      </w:pPr>
      <w:r>
        <w:rPr>
          <w:sz w:val="24"/>
          <w:szCs w:val="24"/>
        </w:rPr>
        <w:t>De verwachte personeelskosten en netto omzet per 30 juni voor het boekjaar 2014/2015.</w:t>
      </w:r>
    </w:p>
    <w:p w:rsidR="002B5DCB" w:rsidRDefault="002B5DCB" w:rsidP="002B5DCB">
      <w:pPr>
        <w:spacing w:line="360" w:lineRule="auto"/>
        <w:jc w:val="both"/>
        <w:rPr>
          <w:sz w:val="24"/>
          <w:szCs w:val="24"/>
        </w:rPr>
      </w:pPr>
      <w:r w:rsidRPr="002B5DCB">
        <w:rPr>
          <w:sz w:val="24"/>
          <w:szCs w:val="24"/>
        </w:rPr>
        <w:t xml:space="preserve">Zoals </w:t>
      </w:r>
      <w:proofErr w:type="gramStart"/>
      <w:r w:rsidRPr="002B5DCB">
        <w:rPr>
          <w:sz w:val="24"/>
          <w:szCs w:val="24"/>
        </w:rPr>
        <w:t>reeds</w:t>
      </w:r>
      <w:proofErr w:type="gramEnd"/>
      <w:r w:rsidRPr="002B5DCB">
        <w:rPr>
          <w:sz w:val="24"/>
          <w:szCs w:val="24"/>
        </w:rPr>
        <w:t xml:space="preserve"> aangegeven in de introductie van dit hoofdstuk, heeft de KNVB Licentiecommissie een geheimhoudingsovereenkomst met de betaald voetbal organisaties over </w:t>
      </w:r>
      <w:r>
        <w:rPr>
          <w:sz w:val="24"/>
          <w:szCs w:val="24"/>
        </w:rPr>
        <w:t xml:space="preserve">de halfjaarcijfers (Relevant voor inputpunt 2 in bovenstaande opsomming) </w:t>
      </w:r>
      <w:sdt>
        <w:sdtPr>
          <w:id w:val="1860154307"/>
          <w:citation/>
        </w:sdtPr>
        <w:sdtContent>
          <w:r w:rsidR="000C5AB6" w:rsidRPr="002B5DCB">
            <w:rPr>
              <w:sz w:val="24"/>
              <w:szCs w:val="24"/>
            </w:rPr>
            <w:fldChar w:fldCharType="begin"/>
          </w:r>
          <w:r w:rsidRPr="002B5DCB">
            <w:rPr>
              <w:sz w:val="24"/>
              <w:szCs w:val="24"/>
            </w:rPr>
            <w:instrText xml:space="preserve"> CITATION Rav15 \l 1043 </w:instrText>
          </w:r>
          <w:r w:rsidR="000C5AB6" w:rsidRPr="002B5DCB">
            <w:rPr>
              <w:sz w:val="24"/>
              <w:szCs w:val="24"/>
            </w:rPr>
            <w:fldChar w:fldCharType="separate"/>
          </w:r>
          <w:r w:rsidR="00062BB9" w:rsidRPr="00062BB9">
            <w:rPr>
              <w:noProof/>
              <w:sz w:val="24"/>
              <w:szCs w:val="24"/>
            </w:rPr>
            <w:t>(Ravensbergen, 2015)</w:t>
          </w:r>
          <w:r w:rsidR="000C5AB6" w:rsidRPr="002B5DCB">
            <w:rPr>
              <w:sz w:val="24"/>
              <w:szCs w:val="24"/>
            </w:rPr>
            <w:fldChar w:fldCharType="end"/>
          </w:r>
        </w:sdtContent>
      </w:sdt>
      <w:r w:rsidRPr="002B5DCB">
        <w:rPr>
          <w:sz w:val="24"/>
          <w:szCs w:val="24"/>
        </w:rPr>
        <w:t xml:space="preserve">. </w:t>
      </w:r>
      <w:r>
        <w:rPr>
          <w:sz w:val="24"/>
          <w:szCs w:val="24"/>
        </w:rPr>
        <w:t xml:space="preserve">Tevens zijn de toekomstige cijfers onbekend (Inputpunt 3). </w:t>
      </w:r>
      <w:r w:rsidRPr="002B5DCB">
        <w:rPr>
          <w:sz w:val="24"/>
          <w:szCs w:val="24"/>
        </w:rPr>
        <w:t xml:space="preserve">Als gevolg hiervan worden de volgende assumpties gemaakt om een realistische </w:t>
      </w:r>
      <w:r>
        <w:rPr>
          <w:sz w:val="24"/>
          <w:szCs w:val="24"/>
        </w:rPr>
        <w:t>personeelskostenratio te</w:t>
      </w:r>
      <w:r w:rsidRPr="002B5DCB">
        <w:rPr>
          <w:sz w:val="24"/>
          <w:szCs w:val="24"/>
        </w:rPr>
        <w:t xml:space="preserve"> berekenen, wat leidt tot een realistische schatting van</w:t>
      </w:r>
      <w:r>
        <w:rPr>
          <w:sz w:val="24"/>
          <w:szCs w:val="24"/>
        </w:rPr>
        <w:t xml:space="preserve"> de uitkomst van kernvariabele 9</w:t>
      </w:r>
      <w:r w:rsidRPr="002B5DCB">
        <w:rPr>
          <w:sz w:val="24"/>
          <w:szCs w:val="24"/>
        </w:rPr>
        <w:t>:</w:t>
      </w:r>
    </w:p>
    <w:p w:rsidR="002B5DCB" w:rsidRDefault="002B5DCB" w:rsidP="002B5DCB">
      <w:pPr>
        <w:pStyle w:val="ListParagraph"/>
        <w:numPr>
          <w:ilvl w:val="0"/>
          <w:numId w:val="5"/>
        </w:numPr>
        <w:spacing w:line="360" w:lineRule="auto"/>
        <w:jc w:val="both"/>
        <w:rPr>
          <w:sz w:val="24"/>
          <w:szCs w:val="24"/>
        </w:rPr>
      </w:pPr>
      <w:r>
        <w:rPr>
          <w:sz w:val="24"/>
          <w:szCs w:val="24"/>
        </w:rPr>
        <w:t>Vanwege het ontbreken van de informatie over de gerealiseerde personeelskosten en netto omzet per 31 december 2013, worden de gegevens over het volledige boekjaar 2013/2014 gebruikt</w:t>
      </w:r>
      <w:r>
        <w:rPr>
          <w:rStyle w:val="FootnoteReference"/>
          <w:sz w:val="24"/>
          <w:szCs w:val="24"/>
        </w:rPr>
        <w:footnoteReference w:id="59"/>
      </w:r>
      <w:r w:rsidR="00575EA0">
        <w:rPr>
          <w:sz w:val="24"/>
          <w:szCs w:val="24"/>
        </w:rPr>
        <w:t xml:space="preserve"> </w:t>
      </w:r>
      <w:sdt>
        <w:sdtPr>
          <w:rPr>
            <w:rFonts w:eastAsia="Times New Roman" w:cs="Times New Roman"/>
            <w:color w:val="222222"/>
            <w:sz w:val="24"/>
            <w:szCs w:val="24"/>
            <w:lang w:eastAsia="en-GB"/>
          </w:rPr>
          <w:id w:val="397015929"/>
          <w:citation/>
        </w:sdtPr>
        <w:sdtContent>
          <w:r w:rsidR="000C5AB6">
            <w:rPr>
              <w:rFonts w:eastAsia="Times New Roman" w:cs="Times New Roman"/>
              <w:color w:val="222222"/>
              <w:sz w:val="24"/>
              <w:szCs w:val="24"/>
              <w:lang w:eastAsia="en-GB"/>
            </w:rPr>
            <w:fldChar w:fldCharType="begin"/>
          </w:r>
          <w:r w:rsidR="00575EA0">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Pr>
          <w:sz w:val="24"/>
          <w:szCs w:val="24"/>
        </w:rPr>
        <w:t xml:space="preserve">. </w:t>
      </w:r>
    </w:p>
    <w:p w:rsidR="002B5DCB" w:rsidRDefault="001A1CE7" w:rsidP="002B5DCB">
      <w:pPr>
        <w:pStyle w:val="ListParagraph"/>
        <w:numPr>
          <w:ilvl w:val="0"/>
          <w:numId w:val="5"/>
        </w:numPr>
        <w:spacing w:line="360" w:lineRule="auto"/>
        <w:jc w:val="both"/>
        <w:rPr>
          <w:sz w:val="24"/>
          <w:szCs w:val="24"/>
        </w:rPr>
      </w:pPr>
      <w:r>
        <w:rPr>
          <w:sz w:val="24"/>
          <w:szCs w:val="24"/>
        </w:rPr>
        <w:t xml:space="preserve">Met betrekking tot de verwachte personeelskosten en netto omzet voor het aankomende boekjaar, worden dezelfde assumpties aangenomen die vermeld staan bij de assumpties voor kernvariabele 7 (Toekomstige netto marge). </w:t>
      </w:r>
      <w:r w:rsidR="002E4A96">
        <w:rPr>
          <w:sz w:val="24"/>
          <w:szCs w:val="24"/>
        </w:rPr>
        <w:t xml:space="preserve">Kort gezegd wordt verwacht dat de personeelskosten voor het komende boekjaar mogelijkerwijs met enkele miljoenen zal afnamen, wat zal leiden tot een lichte verbetering in </w:t>
      </w:r>
      <w:r w:rsidR="00F11222">
        <w:rPr>
          <w:sz w:val="24"/>
          <w:szCs w:val="24"/>
        </w:rPr>
        <w:t>het bedrijfsresultaat</w:t>
      </w:r>
      <w:r w:rsidR="002E4A96">
        <w:rPr>
          <w:rStyle w:val="FootnoteReference"/>
          <w:sz w:val="24"/>
          <w:szCs w:val="24"/>
        </w:rPr>
        <w:footnoteReference w:id="60"/>
      </w:r>
      <w:r w:rsidR="002E4A96">
        <w:rPr>
          <w:sz w:val="24"/>
          <w:szCs w:val="24"/>
        </w:rPr>
        <w:t>.</w:t>
      </w:r>
      <w:r w:rsidR="00F11222">
        <w:rPr>
          <w:sz w:val="24"/>
          <w:szCs w:val="24"/>
        </w:rPr>
        <w:t xml:space="preserve"> Omdat er geen reële aanleiding bestaat voor een aanpassing van de netto omzet</w:t>
      </w:r>
      <w:r w:rsidR="00454516">
        <w:rPr>
          <w:sz w:val="24"/>
          <w:szCs w:val="24"/>
        </w:rPr>
        <w:t>, wordt verwacht dat deze variabele op ongeveer gelijk hoogte wordt gesteld.</w:t>
      </w:r>
    </w:p>
    <w:p w:rsidR="002E4A96" w:rsidRDefault="00950AC0" w:rsidP="002E4A96">
      <w:pPr>
        <w:spacing w:line="360" w:lineRule="auto"/>
        <w:jc w:val="both"/>
        <w:rPr>
          <w:sz w:val="24"/>
          <w:szCs w:val="24"/>
        </w:rPr>
      </w:pPr>
      <w:r>
        <w:rPr>
          <w:sz w:val="24"/>
          <w:szCs w:val="24"/>
        </w:rPr>
        <w:lastRenderedPageBreak/>
        <w:t>Aan de hand van figuur 19</w:t>
      </w:r>
      <w:r w:rsidR="002E4A96">
        <w:rPr>
          <w:sz w:val="24"/>
          <w:szCs w:val="24"/>
        </w:rPr>
        <w:t xml:space="preserve"> kan </w:t>
      </w:r>
      <w:proofErr w:type="gramStart"/>
      <w:r w:rsidR="002E4A96">
        <w:rPr>
          <w:sz w:val="24"/>
          <w:szCs w:val="24"/>
        </w:rPr>
        <w:t>het</w:t>
      </w:r>
      <w:proofErr w:type="gramEnd"/>
      <w:r w:rsidR="002E4A96">
        <w:rPr>
          <w:sz w:val="24"/>
          <w:szCs w:val="24"/>
        </w:rPr>
        <w:t xml:space="preserve"> </w:t>
      </w:r>
      <w:r w:rsidR="00F11222">
        <w:rPr>
          <w:b/>
          <w:i/>
          <w:sz w:val="24"/>
          <w:szCs w:val="24"/>
        </w:rPr>
        <w:t xml:space="preserve">gerealiseerde </w:t>
      </w:r>
      <w:r w:rsidR="002E4A96">
        <w:rPr>
          <w:sz w:val="24"/>
          <w:szCs w:val="24"/>
        </w:rPr>
        <w:t>personeelskostenratio berekend worden</w:t>
      </w:r>
      <w:r w:rsidR="00F11222">
        <w:rPr>
          <w:sz w:val="24"/>
          <w:szCs w:val="24"/>
        </w:rPr>
        <w:t xml:space="preserve">. </w:t>
      </w:r>
      <w:proofErr w:type="gramStart"/>
      <w:r w:rsidR="00F11222">
        <w:rPr>
          <w:sz w:val="24"/>
          <w:szCs w:val="24"/>
        </w:rPr>
        <w:t>Dit</w:t>
      </w:r>
      <w:proofErr w:type="gramEnd"/>
      <w:r w:rsidR="00F11222">
        <w:rPr>
          <w:sz w:val="24"/>
          <w:szCs w:val="24"/>
        </w:rPr>
        <w:t xml:space="preserve"> ratio wordt gemaakt ter ondersteuning van de personeelskostenratio inclusief de verwachte cijfers voor komend boekjaar, zodat de schatting zo accuraat als mogelijk is.</w:t>
      </w:r>
    </w:p>
    <w:p w:rsidR="002E4A96" w:rsidRPr="002F5D7C" w:rsidRDefault="002F5D7C" w:rsidP="002E4A96">
      <w:pPr>
        <w:spacing w:line="360" w:lineRule="auto"/>
        <w:jc w:val="both"/>
        <w:rPr>
          <w:sz w:val="24"/>
          <w:szCs w:val="24"/>
        </w:rPr>
      </w:pPr>
      <m:oMathPara>
        <m:oMath>
          <m:r>
            <w:rPr>
              <w:rFonts w:ascii="Cambria Math" w:hAnsi="Cambria Math"/>
              <w:sz w:val="24"/>
              <w:szCs w:val="24"/>
            </w:rPr>
            <m:t xml:space="preserve">Personeelkostenratio= </m:t>
          </m:r>
          <m:f>
            <m:fPr>
              <m:ctrlPr>
                <w:rPr>
                  <w:rFonts w:ascii="Cambria Math" w:hAnsi="Cambria Math"/>
                  <w:i/>
                  <w:sz w:val="24"/>
                  <w:szCs w:val="24"/>
                </w:rPr>
              </m:ctrlPr>
            </m:fPr>
            <m:num>
              <m:r>
                <w:rPr>
                  <w:rFonts w:ascii="Cambria Math" w:hAnsi="Cambria Math"/>
                  <w:sz w:val="24"/>
                  <w:szCs w:val="24"/>
                </w:rPr>
                <m:t>Gerealiseerde personeelskosten</m:t>
              </m:r>
            </m:num>
            <m:den>
              <m:r>
                <w:rPr>
                  <w:rFonts w:ascii="Cambria Math" w:hAnsi="Cambria Math"/>
                  <w:sz w:val="24"/>
                  <w:szCs w:val="24"/>
                </w:rPr>
                <m:t>Gerealiseerde netto omzet</m:t>
              </m:r>
            </m:den>
          </m:f>
        </m:oMath>
      </m:oMathPara>
    </w:p>
    <w:p w:rsidR="002F5D7C" w:rsidRPr="002F5D7C" w:rsidRDefault="000C5AB6" w:rsidP="002E4A96">
      <w:pPr>
        <w:spacing w:line="360" w:lineRule="auto"/>
        <w:jc w:val="both"/>
        <w:rPr>
          <w:sz w:val="24"/>
          <w:szCs w:val="24"/>
        </w:rPr>
      </w:pPr>
      <w:r w:rsidRPr="000C5AB6">
        <w:rPr>
          <w:noProof/>
          <w:sz w:val="24"/>
          <w:szCs w:val="24"/>
          <w:lang w:val="en-GB" w:eastAsia="en-GB"/>
        </w:rPr>
        <w:pict>
          <v:rect id="Rechthoek 41" o:spid="_x0000_s1053" style="position:absolute;left:0;text-align:left;margin-left:.4pt;margin-top:.4pt;width:57.75pt;height:2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" fillcolor="white [3201]" strokecolor="black [3213]" strokeweight="1pt">
            <v:textbox>
              <w:txbxContent>
                <w:p w:rsidR="00776867" w:rsidRDefault="00776867" w:rsidP="002F5D7C">
                  <w:pPr>
                    <w:jc w:val="center"/>
                  </w:pPr>
                  <w:r>
                    <w:t>Figuur 19</w:t>
                  </w:r>
                </w:p>
              </w:txbxContent>
            </v:textbox>
          </v:rect>
        </w:pict>
      </w:r>
    </w:p>
    <w:p w:rsidR="002F5D7C" w:rsidRDefault="002F5D7C" w:rsidP="002E4A96">
      <w:pPr>
        <w:spacing w:line="360" w:lineRule="auto"/>
        <w:jc w:val="both"/>
        <w:rPr>
          <w:sz w:val="24"/>
          <w:szCs w:val="24"/>
        </w:rPr>
      </w:pPr>
      <w:r>
        <w:rPr>
          <w:noProof/>
          <w:sz w:val="24"/>
          <w:szCs w:val="24"/>
          <w:lang w:val="en-US"/>
        </w:rPr>
        <w:drawing>
          <wp:inline distT="0" distB="0" distL="0" distR="0">
            <wp:extent cx="4400550" cy="1257300"/>
            <wp:effectExtent l="0" t="0" r="0" b="0"/>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00550" cy="1257300"/>
                    </a:xfrm>
                    <a:prstGeom prst="rect">
                      <a:avLst/>
                    </a:prstGeom>
                    <a:noFill/>
                    <a:ln>
                      <a:noFill/>
                    </a:ln>
                  </pic:spPr>
                </pic:pic>
              </a:graphicData>
            </a:graphic>
          </wp:inline>
        </w:drawing>
      </w:r>
    </w:p>
    <w:p w:rsidR="002F5D7C" w:rsidRDefault="00F11222" w:rsidP="002E4A96">
      <w:pPr>
        <w:spacing w:line="360" w:lineRule="auto"/>
        <w:jc w:val="both"/>
        <w:rPr>
          <w:sz w:val="24"/>
          <w:szCs w:val="24"/>
        </w:rPr>
      </w:pPr>
      <w:r>
        <w:rPr>
          <w:sz w:val="24"/>
          <w:szCs w:val="24"/>
        </w:rPr>
        <w:t>Bovenstaande cijfers resulteert in de volgende personeelskostenratio:</w:t>
      </w:r>
    </w:p>
    <w:p w:rsidR="002F5D7C" w:rsidRPr="002E4A96" w:rsidRDefault="002F5D7C" w:rsidP="002E4A96">
      <w:pPr>
        <w:spacing w:line="360" w:lineRule="auto"/>
        <w:jc w:val="both"/>
        <w:rPr>
          <w:sz w:val="24"/>
          <w:szCs w:val="24"/>
        </w:rPr>
      </w:pPr>
      <m:oMathPara>
        <m:oMath>
          <m:r>
            <w:rPr>
              <w:rFonts w:ascii="Cambria Math" w:hAnsi="Cambria Math"/>
              <w:sz w:val="24"/>
              <w:szCs w:val="24"/>
            </w:rPr>
            <m:t xml:space="preserve">Personeelskostenratio per 31 juni 2014= </m:t>
          </m:r>
          <m:f>
            <m:fPr>
              <m:ctrlPr>
                <w:rPr>
                  <w:rFonts w:ascii="Cambria Math" w:hAnsi="Cambria Math"/>
                  <w:i/>
                  <w:sz w:val="24"/>
                  <w:szCs w:val="24"/>
                </w:rPr>
              </m:ctrlPr>
            </m:fPr>
            <m:num>
              <m:r>
                <w:rPr>
                  <w:rFonts w:ascii="Cambria Math" w:hAnsi="Cambria Math"/>
                  <w:sz w:val="24"/>
                  <w:szCs w:val="24"/>
                </w:rPr>
                <m:t>28.314</m:t>
              </m:r>
            </m:num>
            <m:den>
              <m:r>
                <w:rPr>
                  <w:rFonts w:ascii="Cambria Math" w:hAnsi="Cambria Math"/>
                  <w:sz w:val="24"/>
                  <w:szCs w:val="24"/>
                </w:rPr>
                <m:t>41.756</m:t>
              </m:r>
            </m:den>
          </m:f>
          <m:r>
            <w:rPr>
              <w:rFonts w:ascii="Cambria Math" w:hAnsi="Cambria Math"/>
              <w:sz w:val="24"/>
              <w:szCs w:val="24"/>
            </w:rPr>
            <m:t>=0.6781</m:t>
          </m:r>
        </m:oMath>
      </m:oMathPara>
    </w:p>
    <w:p w:rsidR="00454516" w:rsidRDefault="00F11222" w:rsidP="002B5DCB">
      <w:pPr>
        <w:spacing w:line="360" w:lineRule="auto"/>
        <w:jc w:val="both"/>
        <w:rPr>
          <w:sz w:val="24"/>
          <w:szCs w:val="24"/>
        </w:rPr>
      </w:pPr>
      <w:proofErr w:type="gramStart"/>
      <w:r>
        <w:rPr>
          <w:sz w:val="24"/>
          <w:szCs w:val="24"/>
        </w:rPr>
        <w:t>Het</w:t>
      </w:r>
      <w:proofErr w:type="gramEnd"/>
      <w:r>
        <w:rPr>
          <w:sz w:val="24"/>
          <w:szCs w:val="24"/>
        </w:rPr>
        <w:t xml:space="preserve"> huidige personeelskostenratio</w:t>
      </w:r>
      <w:r w:rsidR="00454516">
        <w:rPr>
          <w:sz w:val="24"/>
          <w:szCs w:val="24"/>
        </w:rPr>
        <w:t xml:space="preserve"> van 67,81% leidt tot bandbreedte score van 3 punten. Zoals eerder gesteld, wordt verwacht dat de personeelskosten met </w:t>
      </w:r>
      <w:proofErr w:type="gramStart"/>
      <w:r w:rsidR="00454516">
        <w:rPr>
          <w:sz w:val="24"/>
          <w:szCs w:val="24"/>
        </w:rPr>
        <w:t>enkele</w:t>
      </w:r>
      <w:proofErr w:type="gramEnd"/>
      <w:r w:rsidR="00454516">
        <w:rPr>
          <w:sz w:val="24"/>
          <w:szCs w:val="24"/>
        </w:rPr>
        <w:t xml:space="preserve"> miljoen zullen afnemen, terwijl aangenomen wordt dat de netto omzet voor aankomend boekjaar op gelijke hoogte zullen blijven met het boekjaar 2013/2014. Voor </w:t>
      </w:r>
      <w:proofErr w:type="gramStart"/>
      <w:r w:rsidR="00454516">
        <w:rPr>
          <w:sz w:val="24"/>
          <w:szCs w:val="24"/>
        </w:rPr>
        <w:t>het</w:t>
      </w:r>
      <w:proofErr w:type="gramEnd"/>
      <w:r w:rsidR="00454516">
        <w:rPr>
          <w:sz w:val="24"/>
          <w:szCs w:val="24"/>
        </w:rPr>
        <w:t xml:space="preserve"> gevraagde personeelskostenratio is de volgende berekening van toepassing:</w:t>
      </w:r>
    </w:p>
    <w:p w:rsidR="00454516" w:rsidRDefault="00454516" w:rsidP="002B5DCB">
      <w:pPr>
        <w:spacing w:line="360" w:lineRule="auto"/>
        <w:jc w:val="both"/>
        <w:rPr>
          <w:sz w:val="24"/>
          <w:szCs w:val="24"/>
        </w:rPr>
      </w:pPr>
      <m:oMathPara>
        <m:oMath>
          <m:r>
            <w:rPr>
              <w:rFonts w:ascii="Cambria Math" w:hAnsi="Cambria Math"/>
              <w:sz w:val="24"/>
              <w:szCs w:val="24"/>
            </w:rPr>
            <m:t xml:space="preserve">Personeelskostenratio= </m:t>
          </m:r>
          <m:f>
            <m:fPr>
              <m:ctrlPr>
                <w:rPr>
                  <w:rFonts w:ascii="Cambria Math" w:hAnsi="Cambria Math"/>
                  <w:i/>
                  <w:sz w:val="24"/>
                  <w:szCs w:val="24"/>
                </w:rPr>
              </m:ctrlPr>
            </m:fPr>
            <m:num>
              <m:r>
                <w:rPr>
                  <w:rFonts w:ascii="Cambria Math" w:hAnsi="Cambria Math"/>
                  <w:sz w:val="24"/>
                  <w:szCs w:val="24"/>
                </w:rPr>
                <m:t>28.314+x</m:t>
              </m:r>
            </m:num>
            <m:den>
              <m:r>
                <w:rPr>
                  <w:rFonts w:ascii="Cambria Math" w:hAnsi="Cambria Math"/>
                  <w:sz w:val="24"/>
                  <w:szCs w:val="24"/>
                </w:rPr>
                <m:t>41.756+41.756</m:t>
              </m:r>
            </m:den>
          </m:f>
        </m:oMath>
      </m:oMathPara>
    </w:p>
    <w:p w:rsidR="002B5DCB" w:rsidRDefault="00454516" w:rsidP="002B5DCB">
      <w:pPr>
        <w:spacing w:line="360" w:lineRule="auto"/>
        <w:jc w:val="both"/>
        <w:rPr>
          <w:sz w:val="24"/>
          <w:szCs w:val="24"/>
        </w:rPr>
      </w:pPr>
      <w:r>
        <w:rPr>
          <w:sz w:val="24"/>
          <w:szCs w:val="24"/>
        </w:rPr>
        <w:t xml:space="preserve">Bij een personeelskostenratio lager dan 60% zal de bandbreedte score </w:t>
      </w:r>
      <w:r w:rsidR="00012F96">
        <w:rPr>
          <w:sz w:val="24"/>
          <w:szCs w:val="24"/>
        </w:rPr>
        <w:t>4 punten bedragen. Uitgaande van bovenstaande formule, zou de te verwachte personeelskosten gedurende het komende boekjaar met ruim 6,5 miljoen euro</w:t>
      </w:r>
      <w:r w:rsidR="00575EA0">
        <w:rPr>
          <w:rStyle w:val="FootnoteReference"/>
          <w:sz w:val="24"/>
          <w:szCs w:val="24"/>
        </w:rPr>
        <w:footnoteReference w:id="61"/>
      </w:r>
      <w:r w:rsidR="00012F96">
        <w:rPr>
          <w:sz w:val="24"/>
          <w:szCs w:val="24"/>
        </w:rPr>
        <w:t xml:space="preserve"> moeten afnemen om een personeelskostenratio van lager dan 60% te bereiken. Echter, de aangenomen assumpties verwachten geen </w:t>
      </w:r>
      <w:proofErr w:type="gramStart"/>
      <w:r w:rsidR="00012F96">
        <w:rPr>
          <w:sz w:val="24"/>
          <w:szCs w:val="24"/>
        </w:rPr>
        <w:t>dermate</w:t>
      </w:r>
      <w:proofErr w:type="gramEnd"/>
      <w:r w:rsidR="00012F96">
        <w:rPr>
          <w:sz w:val="24"/>
          <w:szCs w:val="24"/>
        </w:rPr>
        <w:t xml:space="preserve"> grote afname in de personeelskosten. Zodoende is de personeelskostenratio van 67,81% afgenomen met maximaal 7%, wat resulteert in een bandbreedte score van 3 punten. Gegeven dat de multiplier van deze variabele 8 punten bedraagt, levert deze kernvariabele 3 x 8 = 24 punten op.</w:t>
      </w:r>
    </w:p>
    <w:p w:rsidR="00012F96" w:rsidRPr="00103AE8" w:rsidRDefault="00776867" w:rsidP="00103AE8">
      <w:pPr>
        <w:pStyle w:val="Heading3"/>
        <w:rPr>
          <w:sz w:val="28"/>
        </w:rPr>
      </w:pPr>
      <w:bookmarkStart w:id="43" w:name="_Toc425516509"/>
      <w:r>
        <w:rPr>
          <w:sz w:val="28"/>
        </w:rPr>
        <w:lastRenderedPageBreak/>
        <w:t>4</w:t>
      </w:r>
      <w:r w:rsidR="00103AE8">
        <w:rPr>
          <w:sz w:val="28"/>
        </w:rPr>
        <w:t xml:space="preserve">.3.10. </w:t>
      </w:r>
      <w:r w:rsidR="00012F96" w:rsidRPr="00103AE8">
        <w:rPr>
          <w:sz w:val="28"/>
        </w:rPr>
        <w:t>Kernvariabele 10: Begrotingsdiscipline</w:t>
      </w:r>
      <w:bookmarkEnd w:id="43"/>
    </w:p>
    <w:p w:rsidR="00012F96" w:rsidRDefault="007951A3" w:rsidP="002B5DCB">
      <w:pPr>
        <w:spacing w:line="360" w:lineRule="auto"/>
        <w:jc w:val="both"/>
        <w:rPr>
          <w:sz w:val="24"/>
          <w:szCs w:val="24"/>
        </w:rPr>
      </w:pPr>
      <w:r>
        <w:rPr>
          <w:sz w:val="24"/>
          <w:szCs w:val="24"/>
        </w:rPr>
        <w:t xml:space="preserve">Met begrotingsdiscipline wordt bedoeld de mate waarin de licentiehouder het in de begroting gepresenteerde verwachte resultaat uit de gewone bedrijfsuitoefening na rentelasten realiseert. Met andere woorden wordt met deze variabele uitgedrukt hoeveel keer de licentiehouder in staat is geweest het begrote resultaat te behalen. Kernvariabele 6 en 8 zijn belangrijke indicatoren voor de bepaling van de mate van discipline. De multiplier voor deze variabele bedraagt 8 punten. </w:t>
      </w:r>
      <w:r w:rsidR="003849C3">
        <w:rPr>
          <w:sz w:val="24"/>
          <w:szCs w:val="24"/>
        </w:rPr>
        <w:t>Voor de berekening van deze variabele is de volgende input benodigd:</w:t>
      </w:r>
    </w:p>
    <w:p w:rsidR="003849C3" w:rsidRDefault="003849C3" w:rsidP="003849C3">
      <w:pPr>
        <w:pStyle w:val="ListParagraph"/>
        <w:numPr>
          <w:ilvl w:val="0"/>
          <w:numId w:val="5"/>
        </w:numPr>
        <w:spacing w:line="360" w:lineRule="auto"/>
        <w:jc w:val="both"/>
        <w:rPr>
          <w:sz w:val="24"/>
          <w:szCs w:val="24"/>
        </w:rPr>
      </w:pPr>
      <w:r>
        <w:rPr>
          <w:sz w:val="24"/>
          <w:szCs w:val="24"/>
        </w:rPr>
        <w:t xml:space="preserve">Het </w:t>
      </w:r>
      <w:r w:rsidRPr="003849C3">
        <w:rPr>
          <w:b/>
          <w:i/>
          <w:sz w:val="24"/>
          <w:szCs w:val="24"/>
        </w:rPr>
        <w:t>verwachte</w:t>
      </w:r>
      <w:r>
        <w:rPr>
          <w:sz w:val="24"/>
          <w:szCs w:val="24"/>
        </w:rPr>
        <w:t xml:space="preserve"> resultaat uit gewone bedrijfsuitoefening na rentebaten en –lasten per 30 juni 2014.</w:t>
      </w:r>
    </w:p>
    <w:p w:rsidR="003849C3" w:rsidRDefault="003849C3" w:rsidP="003849C3">
      <w:pPr>
        <w:pStyle w:val="ListParagraph"/>
        <w:numPr>
          <w:ilvl w:val="0"/>
          <w:numId w:val="5"/>
        </w:numPr>
        <w:spacing w:line="360" w:lineRule="auto"/>
        <w:jc w:val="both"/>
        <w:rPr>
          <w:sz w:val="24"/>
          <w:szCs w:val="24"/>
        </w:rPr>
      </w:pPr>
      <w:r>
        <w:rPr>
          <w:sz w:val="24"/>
          <w:szCs w:val="24"/>
        </w:rPr>
        <w:t xml:space="preserve">Het </w:t>
      </w:r>
      <w:r w:rsidRPr="003849C3">
        <w:rPr>
          <w:b/>
          <w:i/>
          <w:sz w:val="24"/>
          <w:szCs w:val="24"/>
        </w:rPr>
        <w:t>gerealiseerde</w:t>
      </w:r>
      <w:r>
        <w:rPr>
          <w:sz w:val="24"/>
          <w:szCs w:val="24"/>
        </w:rPr>
        <w:t xml:space="preserve"> resultaat uit gewone bedrijfsuitoefening na rentebaten en –lasten per 30 juni 2014.</w:t>
      </w:r>
    </w:p>
    <w:p w:rsidR="003849C3" w:rsidRDefault="003849C3" w:rsidP="003849C3">
      <w:pPr>
        <w:pStyle w:val="ListParagraph"/>
        <w:numPr>
          <w:ilvl w:val="0"/>
          <w:numId w:val="5"/>
        </w:numPr>
        <w:spacing w:line="360" w:lineRule="auto"/>
        <w:jc w:val="both"/>
        <w:rPr>
          <w:sz w:val="24"/>
          <w:szCs w:val="24"/>
        </w:rPr>
      </w:pPr>
      <w:proofErr w:type="gramStart"/>
      <w:r>
        <w:rPr>
          <w:sz w:val="24"/>
          <w:szCs w:val="24"/>
        </w:rPr>
        <w:t>Bij de ber</w:t>
      </w:r>
      <w:r w:rsidR="0024076F">
        <w:rPr>
          <w:sz w:val="24"/>
          <w:szCs w:val="24"/>
        </w:rPr>
        <w:t>ekening van deze variabele wordt</w:t>
      </w:r>
      <w:r>
        <w:rPr>
          <w:sz w:val="24"/>
          <w:szCs w:val="24"/>
        </w:rPr>
        <w:t xml:space="preserve"> rekening gehouden met een foutmarge van 0,5% van de in de jaarrekening gerealiseerde netto omzet. </w:t>
      </w:r>
      <w:proofErr w:type="gramEnd"/>
      <w:r>
        <w:rPr>
          <w:sz w:val="24"/>
          <w:szCs w:val="24"/>
        </w:rPr>
        <w:t>Deze foutmarge heeft een minimumbedrag van 10.000 euro en een maximumbedrag van 100.000 euro.</w:t>
      </w:r>
    </w:p>
    <w:p w:rsidR="00F83FA9" w:rsidRDefault="00950AC0" w:rsidP="003849C3">
      <w:pPr>
        <w:spacing w:line="360" w:lineRule="auto"/>
        <w:jc w:val="both"/>
        <w:rPr>
          <w:sz w:val="24"/>
          <w:szCs w:val="24"/>
        </w:rPr>
      </w:pPr>
      <w:r>
        <w:rPr>
          <w:sz w:val="24"/>
          <w:szCs w:val="24"/>
        </w:rPr>
        <w:t>Aan de hand van figuur 18</w:t>
      </w:r>
      <w:r w:rsidR="003849C3">
        <w:rPr>
          <w:sz w:val="24"/>
          <w:szCs w:val="24"/>
        </w:rPr>
        <w:t xml:space="preserve"> en naar aanleiding van het gesprek met Wouter Ravensbergen van de KNVB licentiezaken kan worden gesteld dat FC Twente niet heeft voldaan aan het begrote resultaat over het boekjaar 2013/2014.</w:t>
      </w:r>
      <w:r>
        <w:rPr>
          <w:sz w:val="24"/>
          <w:szCs w:val="24"/>
        </w:rPr>
        <w:t xml:space="preserve"> Allereerst blijkt uit figuur 18</w:t>
      </w:r>
      <w:r w:rsidR="003849C3">
        <w:rPr>
          <w:sz w:val="24"/>
          <w:szCs w:val="24"/>
        </w:rPr>
        <w:t xml:space="preserve"> dat het resultaat uit de gewone bedrijfsuitoefening negatief is. Dit verlies komt niet overeen met het begrote resultaat over desbetreffend boekjaar </w:t>
      </w:r>
      <w:sdt>
        <w:sdtPr>
          <w:rPr>
            <w:sz w:val="24"/>
            <w:szCs w:val="24"/>
          </w:rPr>
          <w:id w:val="790104530"/>
          <w:citation/>
        </w:sdtPr>
        <w:sdtContent>
          <w:r w:rsidR="000C5AB6">
            <w:rPr>
              <w:sz w:val="24"/>
              <w:szCs w:val="24"/>
            </w:rPr>
            <w:fldChar w:fldCharType="begin"/>
          </w:r>
          <w:r w:rsidR="003849C3">
            <w:rPr>
              <w:sz w:val="24"/>
              <w:szCs w:val="24"/>
            </w:rPr>
            <w:instrText xml:space="preserve"> CITATION Rav15 \l 1043 </w:instrText>
          </w:r>
          <w:r w:rsidR="000C5AB6">
            <w:rPr>
              <w:sz w:val="24"/>
              <w:szCs w:val="24"/>
            </w:rPr>
            <w:fldChar w:fldCharType="separate"/>
          </w:r>
          <w:r w:rsidR="00062BB9" w:rsidRPr="00062BB9">
            <w:rPr>
              <w:noProof/>
              <w:sz w:val="24"/>
              <w:szCs w:val="24"/>
            </w:rPr>
            <w:t>(Ravensbergen, 2015)</w:t>
          </w:r>
          <w:r w:rsidR="000C5AB6">
            <w:rPr>
              <w:sz w:val="24"/>
              <w:szCs w:val="24"/>
            </w:rPr>
            <w:fldChar w:fldCharType="end"/>
          </w:r>
        </w:sdtContent>
      </w:sdt>
      <w:r w:rsidR="003849C3">
        <w:rPr>
          <w:sz w:val="24"/>
          <w:szCs w:val="24"/>
        </w:rPr>
        <w:t>. Omdat FC Twente de targets uit de begroting niet heeft bereikt, bedraagt de bandbreedte score voor deze variabele 0 punten. Gegeven dat de multiplier 8 punten bedraagt, levert deze kernvariabele 8 x 0 = 0 punten op.</w:t>
      </w:r>
    </w:p>
    <w:p w:rsidR="00C60143" w:rsidRDefault="00C60143" w:rsidP="00103AE8">
      <w:pPr>
        <w:pStyle w:val="Heading2"/>
        <w:rPr>
          <w:sz w:val="32"/>
        </w:rPr>
      </w:pPr>
    </w:p>
    <w:p w:rsidR="00C60143" w:rsidRDefault="00C60143" w:rsidP="00103AE8">
      <w:pPr>
        <w:pStyle w:val="Heading2"/>
        <w:rPr>
          <w:sz w:val="32"/>
        </w:rPr>
      </w:pPr>
    </w:p>
    <w:p w:rsidR="00C60143" w:rsidRDefault="00C60143" w:rsidP="00103AE8">
      <w:pPr>
        <w:pStyle w:val="Heading2"/>
        <w:rPr>
          <w:sz w:val="32"/>
        </w:rPr>
      </w:pPr>
    </w:p>
    <w:p w:rsidR="00C60143" w:rsidRDefault="00C60143" w:rsidP="00103AE8">
      <w:pPr>
        <w:pStyle w:val="Heading2"/>
        <w:rPr>
          <w:sz w:val="32"/>
        </w:rPr>
      </w:pPr>
    </w:p>
    <w:p w:rsidR="00C60143" w:rsidRDefault="00C60143" w:rsidP="00103AE8">
      <w:pPr>
        <w:pStyle w:val="Heading2"/>
        <w:rPr>
          <w:sz w:val="32"/>
        </w:rPr>
      </w:pPr>
    </w:p>
    <w:p w:rsidR="00C60143" w:rsidRPr="00C60143" w:rsidRDefault="00C60143" w:rsidP="00C60143"/>
    <w:p w:rsidR="00C60143" w:rsidRDefault="00C60143" w:rsidP="00103AE8">
      <w:pPr>
        <w:pStyle w:val="Heading2"/>
        <w:rPr>
          <w:sz w:val="32"/>
        </w:rPr>
      </w:pPr>
    </w:p>
    <w:p w:rsidR="00F83FA9" w:rsidRPr="00103AE8" w:rsidRDefault="00776867" w:rsidP="00103AE8">
      <w:pPr>
        <w:pStyle w:val="Heading2"/>
        <w:rPr>
          <w:sz w:val="32"/>
        </w:rPr>
      </w:pPr>
      <w:bookmarkStart w:id="44" w:name="_Toc425516510"/>
      <w:r>
        <w:rPr>
          <w:sz w:val="32"/>
        </w:rPr>
        <w:t>4</w:t>
      </w:r>
      <w:r w:rsidR="00103AE8">
        <w:rPr>
          <w:sz w:val="32"/>
        </w:rPr>
        <w:t xml:space="preserve">.4. </w:t>
      </w:r>
      <w:r w:rsidR="00F83FA9" w:rsidRPr="00103AE8">
        <w:rPr>
          <w:sz w:val="32"/>
        </w:rPr>
        <w:t xml:space="preserve">Conclusie hoofdstuk </w:t>
      </w:r>
      <w:r>
        <w:rPr>
          <w:sz w:val="32"/>
        </w:rPr>
        <w:t>4</w:t>
      </w:r>
      <w:bookmarkEnd w:id="44"/>
    </w:p>
    <w:p w:rsidR="00C60143" w:rsidRDefault="00F83FA9" w:rsidP="003849C3">
      <w:pPr>
        <w:spacing w:line="360" w:lineRule="auto"/>
        <w:jc w:val="both"/>
        <w:rPr>
          <w:sz w:val="24"/>
          <w:szCs w:val="24"/>
        </w:rPr>
      </w:pPr>
      <w:r>
        <w:rPr>
          <w:sz w:val="24"/>
          <w:szCs w:val="24"/>
        </w:rPr>
        <w:t xml:space="preserve">Gedurende dit hoofdstuk is de financiële positie van FC Twente getoetst aan de hand van het Financieel Rating Systeem van de KNVB Licentiezaken. Dit raamwerk bestaande uit tien kernvariabelen met bijbehorende multipliers, bepaalt </w:t>
      </w:r>
      <w:proofErr w:type="gramStart"/>
      <w:r>
        <w:rPr>
          <w:sz w:val="24"/>
          <w:szCs w:val="24"/>
        </w:rPr>
        <w:t>middels</w:t>
      </w:r>
      <w:proofErr w:type="gramEnd"/>
      <w:r>
        <w:rPr>
          <w:sz w:val="24"/>
          <w:szCs w:val="24"/>
        </w:rPr>
        <w:t xml:space="preserve"> de gepresenteerde jaarcijfers van de licentiehouders de indeling in categorie 1 (goed), 2 (voldoende) of 3 (onvoldoende). </w:t>
      </w:r>
      <w:r w:rsidR="00776867">
        <w:rPr>
          <w:sz w:val="24"/>
          <w:szCs w:val="24"/>
        </w:rPr>
        <w:t>Uit</w:t>
      </w:r>
      <w:r>
        <w:rPr>
          <w:sz w:val="24"/>
          <w:szCs w:val="24"/>
        </w:rPr>
        <w:t xml:space="preserve"> de jaarcijfers van FC Twente </w:t>
      </w:r>
      <w:r w:rsidR="00776867">
        <w:rPr>
          <w:sz w:val="24"/>
          <w:szCs w:val="24"/>
        </w:rPr>
        <w:t xml:space="preserve">blijk dat </w:t>
      </w:r>
      <w:r>
        <w:rPr>
          <w:sz w:val="24"/>
          <w:szCs w:val="24"/>
        </w:rPr>
        <w:t>over het boekjaar 2013/2014 is de volgende</w:t>
      </w:r>
      <w:r w:rsidR="00C60143">
        <w:rPr>
          <w:sz w:val="24"/>
          <w:szCs w:val="24"/>
        </w:rPr>
        <w:t xml:space="preserve"> totaalscore tot stand gekomen:</w:t>
      </w:r>
    </w:p>
    <w:p w:rsidR="001E3452" w:rsidRDefault="000C5AB6" w:rsidP="003849C3">
      <w:pPr>
        <w:spacing w:line="360" w:lineRule="auto"/>
        <w:jc w:val="both"/>
        <w:rPr>
          <w:sz w:val="24"/>
          <w:szCs w:val="24"/>
        </w:rPr>
      </w:pPr>
      <w:r w:rsidRPr="000C5AB6">
        <w:rPr>
          <w:noProof/>
          <w:sz w:val="24"/>
          <w:szCs w:val="24"/>
          <w:lang w:val="en-GB" w:eastAsia="en-GB"/>
        </w:rPr>
        <w:pict>
          <v:rect id="Rechthoek 43" o:spid="_x0000_s1054" style="position:absolute;left:0;text-align:left;margin-left:0;margin-top:7.9pt;width:50.25pt;height:21pt;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" fillcolor="white [3201]" strokecolor="black [3213]" strokeweight="1pt">
            <v:textbox>
              <w:txbxContent>
                <w:p w:rsidR="00776867" w:rsidRDefault="00776867" w:rsidP="007E34D9">
                  <w:pPr>
                    <w:jc w:val="center"/>
                  </w:pPr>
                  <w:r>
                    <w:t>Tabel 2</w:t>
                  </w:r>
                </w:p>
              </w:txbxContent>
            </v:textbox>
            <w10:wrap anchorx="margin"/>
          </v:rect>
        </w:pict>
      </w:r>
    </w:p>
    <w:tbl>
      <w:tblPr>
        <w:tblStyle w:val="TableGrid"/>
        <w:tblW w:w="0" w:type="auto"/>
        <w:tblLook w:val="04A0"/>
      </w:tblPr>
      <w:tblGrid>
        <w:gridCol w:w="1180"/>
        <w:gridCol w:w="2584"/>
        <w:gridCol w:w="1766"/>
        <w:gridCol w:w="1766"/>
        <w:gridCol w:w="1766"/>
      </w:tblGrid>
      <w:tr w:rsidR="00A33354" w:rsidTr="00A33354">
        <w:tc>
          <w:tcPr>
            <w:tcW w:w="1180" w:type="dxa"/>
          </w:tcPr>
          <w:p w:rsidR="00A33354" w:rsidRPr="00A33354" w:rsidRDefault="00A33354" w:rsidP="00A33354">
            <w:pPr>
              <w:spacing w:line="360" w:lineRule="auto"/>
              <w:jc w:val="center"/>
              <w:rPr>
                <w:b/>
                <w:sz w:val="24"/>
                <w:szCs w:val="24"/>
              </w:rPr>
            </w:pPr>
            <w:r>
              <w:rPr>
                <w:b/>
                <w:sz w:val="24"/>
                <w:szCs w:val="24"/>
              </w:rPr>
              <w:t>Variabele</w:t>
            </w:r>
          </w:p>
        </w:tc>
        <w:tc>
          <w:tcPr>
            <w:tcW w:w="2584" w:type="dxa"/>
          </w:tcPr>
          <w:p w:rsidR="00A33354" w:rsidRPr="00A33354" w:rsidRDefault="00A33354" w:rsidP="00A33354">
            <w:pPr>
              <w:spacing w:line="360" w:lineRule="auto"/>
              <w:jc w:val="center"/>
              <w:rPr>
                <w:b/>
                <w:sz w:val="24"/>
                <w:szCs w:val="24"/>
              </w:rPr>
            </w:pPr>
            <w:r>
              <w:rPr>
                <w:b/>
                <w:sz w:val="24"/>
                <w:szCs w:val="24"/>
              </w:rPr>
              <w:t>Omschrijving</w:t>
            </w:r>
          </w:p>
        </w:tc>
        <w:tc>
          <w:tcPr>
            <w:tcW w:w="1766" w:type="dxa"/>
          </w:tcPr>
          <w:p w:rsidR="00A33354" w:rsidRPr="00A33354" w:rsidRDefault="00A33354" w:rsidP="00A33354">
            <w:pPr>
              <w:spacing w:line="360" w:lineRule="auto"/>
              <w:jc w:val="center"/>
              <w:rPr>
                <w:b/>
                <w:sz w:val="24"/>
                <w:szCs w:val="24"/>
              </w:rPr>
            </w:pPr>
            <w:r>
              <w:rPr>
                <w:b/>
                <w:sz w:val="24"/>
                <w:szCs w:val="24"/>
              </w:rPr>
              <w:t>Multiplier</w:t>
            </w:r>
          </w:p>
        </w:tc>
        <w:tc>
          <w:tcPr>
            <w:tcW w:w="1766" w:type="dxa"/>
          </w:tcPr>
          <w:p w:rsidR="00A33354" w:rsidRPr="00A33354" w:rsidRDefault="00A33354" w:rsidP="00A33354">
            <w:pPr>
              <w:spacing w:line="360" w:lineRule="auto"/>
              <w:jc w:val="center"/>
              <w:rPr>
                <w:b/>
                <w:sz w:val="24"/>
                <w:szCs w:val="24"/>
              </w:rPr>
            </w:pPr>
            <w:r>
              <w:rPr>
                <w:b/>
                <w:sz w:val="24"/>
                <w:szCs w:val="24"/>
              </w:rPr>
              <w:t>Bandbreedte</w:t>
            </w:r>
          </w:p>
        </w:tc>
        <w:tc>
          <w:tcPr>
            <w:tcW w:w="1766" w:type="dxa"/>
          </w:tcPr>
          <w:p w:rsidR="00A33354" w:rsidRPr="00A33354" w:rsidRDefault="00A33354" w:rsidP="00A33354">
            <w:pPr>
              <w:spacing w:line="360" w:lineRule="auto"/>
              <w:jc w:val="center"/>
              <w:rPr>
                <w:b/>
                <w:sz w:val="24"/>
                <w:szCs w:val="24"/>
              </w:rPr>
            </w:pPr>
            <w:r>
              <w:rPr>
                <w:b/>
                <w:sz w:val="24"/>
                <w:szCs w:val="24"/>
              </w:rPr>
              <w:t>Totaalscore</w:t>
            </w:r>
          </w:p>
        </w:tc>
      </w:tr>
      <w:tr w:rsidR="00A33354" w:rsidTr="00A33354">
        <w:tc>
          <w:tcPr>
            <w:tcW w:w="1180" w:type="dxa"/>
          </w:tcPr>
          <w:p w:rsidR="00A33354" w:rsidRDefault="00A33354" w:rsidP="00A33354">
            <w:pPr>
              <w:spacing w:line="360" w:lineRule="auto"/>
              <w:jc w:val="right"/>
              <w:rPr>
                <w:sz w:val="24"/>
                <w:szCs w:val="24"/>
              </w:rPr>
            </w:pPr>
            <w:r>
              <w:rPr>
                <w:sz w:val="24"/>
                <w:szCs w:val="24"/>
              </w:rPr>
              <w:t>1.</w:t>
            </w:r>
          </w:p>
        </w:tc>
        <w:tc>
          <w:tcPr>
            <w:tcW w:w="2584" w:type="dxa"/>
          </w:tcPr>
          <w:p w:rsidR="00A33354" w:rsidRDefault="00A33354" w:rsidP="00A33354">
            <w:pPr>
              <w:spacing w:line="360" w:lineRule="auto"/>
              <w:jc w:val="center"/>
              <w:rPr>
                <w:sz w:val="24"/>
                <w:szCs w:val="24"/>
              </w:rPr>
            </w:pPr>
            <w:r>
              <w:rPr>
                <w:sz w:val="24"/>
                <w:szCs w:val="24"/>
              </w:rPr>
              <w:t xml:space="preserve">Buffer liquide middelen </w:t>
            </w:r>
            <w:r w:rsidR="0024076F">
              <w:rPr>
                <w:sz w:val="24"/>
                <w:szCs w:val="24"/>
              </w:rPr>
              <w:t>o.b.v.</w:t>
            </w:r>
            <w:r>
              <w:rPr>
                <w:sz w:val="24"/>
                <w:szCs w:val="24"/>
              </w:rPr>
              <w:t xml:space="preserve"> historie</w:t>
            </w:r>
          </w:p>
        </w:tc>
        <w:tc>
          <w:tcPr>
            <w:tcW w:w="1766" w:type="dxa"/>
          </w:tcPr>
          <w:p w:rsidR="00A33354" w:rsidRDefault="00A33354" w:rsidP="00A33354">
            <w:pPr>
              <w:spacing w:line="360" w:lineRule="auto"/>
              <w:jc w:val="center"/>
              <w:rPr>
                <w:sz w:val="24"/>
                <w:szCs w:val="24"/>
              </w:rPr>
            </w:pPr>
            <w:r>
              <w:rPr>
                <w:sz w:val="24"/>
                <w:szCs w:val="24"/>
              </w:rPr>
              <w:t>6</w:t>
            </w:r>
          </w:p>
        </w:tc>
        <w:tc>
          <w:tcPr>
            <w:tcW w:w="1766" w:type="dxa"/>
          </w:tcPr>
          <w:p w:rsidR="00A33354" w:rsidRDefault="00A33354" w:rsidP="00A33354">
            <w:pPr>
              <w:spacing w:line="360" w:lineRule="auto"/>
              <w:jc w:val="center"/>
              <w:rPr>
                <w:sz w:val="24"/>
                <w:szCs w:val="24"/>
              </w:rPr>
            </w:pPr>
            <w:r>
              <w:rPr>
                <w:sz w:val="24"/>
                <w:szCs w:val="24"/>
              </w:rPr>
              <w:t>1</w:t>
            </w:r>
          </w:p>
        </w:tc>
        <w:tc>
          <w:tcPr>
            <w:tcW w:w="1766" w:type="dxa"/>
          </w:tcPr>
          <w:p w:rsidR="00A33354" w:rsidRDefault="00A33354" w:rsidP="00A33354">
            <w:pPr>
              <w:spacing w:line="360" w:lineRule="auto"/>
              <w:jc w:val="center"/>
              <w:rPr>
                <w:sz w:val="24"/>
                <w:szCs w:val="24"/>
              </w:rPr>
            </w:pPr>
            <w:r>
              <w:rPr>
                <w:sz w:val="24"/>
                <w:szCs w:val="24"/>
              </w:rPr>
              <w:t>6</w:t>
            </w:r>
          </w:p>
        </w:tc>
      </w:tr>
      <w:tr w:rsidR="00A33354" w:rsidTr="00A33354">
        <w:tc>
          <w:tcPr>
            <w:tcW w:w="1180" w:type="dxa"/>
          </w:tcPr>
          <w:p w:rsidR="00A33354" w:rsidRDefault="00A33354" w:rsidP="00A33354">
            <w:pPr>
              <w:spacing w:line="360" w:lineRule="auto"/>
              <w:jc w:val="right"/>
              <w:rPr>
                <w:sz w:val="24"/>
                <w:szCs w:val="24"/>
              </w:rPr>
            </w:pPr>
            <w:r>
              <w:rPr>
                <w:sz w:val="24"/>
                <w:szCs w:val="24"/>
              </w:rPr>
              <w:t>2.</w:t>
            </w:r>
          </w:p>
        </w:tc>
        <w:tc>
          <w:tcPr>
            <w:tcW w:w="2584" w:type="dxa"/>
          </w:tcPr>
          <w:p w:rsidR="00A33354" w:rsidRDefault="00A33354" w:rsidP="00A33354">
            <w:pPr>
              <w:spacing w:line="360" w:lineRule="auto"/>
              <w:jc w:val="center"/>
              <w:rPr>
                <w:sz w:val="24"/>
                <w:szCs w:val="24"/>
              </w:rPr>
            </w:pPr>
            <w:r>
              <w:rPr>
                <w:sz w:val="24"/>
                <w:szCs w:val="24"/>
              </w:rPr>
              <w:t xml:space="preserve">Buffer liquide middelen </w:t>
            </w:r>
            <w:r w:rsidR="0024076F">
              <w:rPr>
                <w:sz w:val="24"/>
                <w:szCs w:val="24"/>
              </w:rPr>
              <w:t>o.b.v.</w:t>
            </w:r>
            <w:r>
              <w:rPr>
                <w:sz w:val="24"/>
                <w:szCs w:val="24"/>
              </w:rPr>
              <w:t xml:space="preserve"> toekomst</w:t>
            </w:r>
          </w:p>
        </w:tc>
        <w:tc>
          <w:tcPr>
            <w:tcW w:w="1766" w:type="dxa"/>
          </w:tcPr>
          <w:p w:rsidR="00A33354" w:rsidRDefault="00A33354" w:rsidP="00A33354">
            <w:pPr>
              <w:spacing w:line="360" w:lineRule="auto"/>
              <w:jc w:val="center"/>
              <w:rPr>
                <w:sz w:val="24"/>
                <w:szCs w:val="24"/>
              </w:rPr>
            </w:pPr>
            <w:r>
              <w:rPr>
                <w:sz w:val="24"/>
                <w:szCs w:val="24"/>
              </w:rPr>
              <w:t>6</w:t>
            </w:r>
          </w:p>
        </w:tc>
        <w:tc>
          <w:tcPr>
            <w:tcW w:w="1766" w:type="dxa"/>
          </w:tcPr>
          <w:p w:rsidR="00A33354" w:rsidRDefault="00A33354" w:rsidP="00A33354">
            <w:pPr>
              <w:spacing w:line="360" w:lineRule="auto"/>
              <w:jc w:val="center"/>
              <w:rPr>
                <w:sz w:val="24"/>
                <w:szCs w:val="24"/>
              </w:rPr>
            </w:pPr>
            <w:r>
              <w:rPr>
                <w:sz w:val="24"/>
                <w:szCs w:val="24"/>
              </w:rPr>
              <w:t>1</w:t>
            </w:r>
          </w:p>
        </w:tc>
        <w:tc>
          <w:tcPr>
            <w:tcW w:w="1766" w:type="dxa"/>
          </w:tcPr>
          <w:p w:rsidR="00A33354" w:rsidRDefault="00A33354" w:rsidP="00A33354">
            <w:pPr>
              <w:spacing w:line="360" w:lineRule="auto"/>
              <w:jc w:val="center"/>
              <w:rPr>
                <w:sz w:val="24"/>
                <w:szCs w:val="24"/>
              </w:rPr>
            </w:pPr>
            <w:r>
              <w:rPr>
                <w:sz w:val="24"/>
                <w:szCs w:val="24"/>
              </w:rPr>
              <w:t>6</w:t>
            </w:r>
          </w:p>
        </w:tc>
      </w:tr>
      <w:tr w:rsidR="00A33354" w:rsidTr="00A33354">
        <w:tc>
          <w:tcPr>
            <w:tcW w:w="1180" w:type="dxa"/>
          </w:tcPr>
          <w:p w:rsidR="00A33354" w:rsidRDefault="00A33354" w:rsidP="00A33354">
            <w:pPr>
              <w:spacing w:line="360" w:lineRule="auto"/>
              <w:jc w:val="right"/>
              <w:rPr>
                <w:sz w:val="24"/>
                <w:szCs w:val="24"/>
              </w:rPr>
            </w:pPr>
            <w:r>
              <w:rPr>
                <w:sz w:val="24"/>
                <w:szCs w:val="24"/>
              </w:rPr>
              <w:t>3.</w:t>
            </w:r>
          </w:p>
        </w:tc>
        <w:tc>
          <w:tcPr>
            <w:tcW w:w="2584" w:type="dxa"/>
          </w:tcPr>
          <w:p w:rsidR="00A33354" w:rsidRDefault="00A33354" w:rsidP="00A33354">
            <w:pPr>
              <w:spacing w:line="360" w:lineRule="auto"/>
              <w:jc w:val="center"/>
              <w:rPr>
                <w:sz w:val="24"/>
                <w:szCs w:val="24"/>
              </w:rPr>
            </w:pPr>
            <w:r>
              <w:rPr>
                <w:sz w:val="24"/>
                <w:szCs w:val="24"/>
              </w:rPr>
              <w:t>Werkkapitaalpositie</w:t>
            </w:r>
          </w:p>
        </w:tc>
        <w:tc>
          <w:tcPr>
            <w:tcW w:w="1766" w:type="dxa"/>
          </w:tcPr>
          <w:p w:rsidR="00A33354" w:rsidRDefault="00A33354" w:rsidP="00A33354">
            <w:pPr>
              <w:spacing w:line="360" w:lineRule="auto"/>
              <w:jc w:val="center"/>
              <w:rPr>
                <w:sz w:val="24"/>
                <w:szCs w:val="24"/>
              </w:rPr>
            </w:pPr>
            <w:r>
              <w:rPr>
                <w:sz w:val="24"/>
                <w:szCs w:val="24"/>
              </w:rPr>
              <w:t>8</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jc w:val="right"/>
              <w:rPr>
                <w:sz w:val="24"/>
                <w:szCs w:val="24"/>
              </w:rPr>
            </w:pPr>
            <w:r>
              <w:rPr>
                <w:sz w:val="24"/>
                <w:szCs w:val="24"/>
              </w:rPr>
              <w:t>4.</w:t>
            </w:r>
          </w:p>
        </w:tc>
        <w:tc>
          <w:tcPr>
            <w:tcW w:w="2584" w:type="dxa"/>
          </w:tcPr>
          <w:p w:rsidR="00A33354" w:rsidRDefault="00A33354" w:rsidP="00A33354">
            <w:pPr>
              <w:spacing w:line="360" w:lineRule="auto"/>
              <w:jc w:val="center"/>
              <w:rPr>
                <w:sz w:val="24"/>
                <w:szCs w:val="24"/>
              </w:rPr>
            </w:pPr>
            <w:proofErr w:type="gramStart"/>
            <w:r>
              <w:rPr>
                <w:sz w:val="24"/>
                <w:szCs w:val="24"/>
              </w:rPr>
              <w:t>Solvabiliteit</w:t>
            </w:r>
            <w:proofErr w:type="gramEnd"/>
          </w:p>
        </w:tc>
        <w:tc>
          <w:tcPr>
            <w:tcW w:w="1766" w:type="dxa"/>
          </w:tcPr>
          <w:p w:rsidR="00A33354" w:rsidRDefault="00A33354" w:rsidP="00A33354">
            <w:pPr>
              <w:spacing w:line="360" w:lineRule="auto"/>
              <w:jc w:val="center"/>
              <w:rPr>
                <w:sz w:val="24"/>
                <w:szCs w:val="24"/>
              </w:rPr>
            </w:pPr>
            <w:r>
              <w:rPr>
                <w:sz w:val="24"/>
                <w:szCs w:val="24"/>
              </w:rPr>
              <w:t>8</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jc w:val="right"/>
              <w:rPr>
                <w:sz w:val="24"/>
                <w:szCs w:val="24"/>
              </w:rPr>
            </w:pPr>
            <w:r>
              <w:rPr>
                <w:sz w:val="24"/>
                <w:szCs w:val="24"/>
              </w:rPr>
              <w:t>5.</w:t>
            </w:r>
          </w:p>
        </w:tc>
        <w:tc>
          <w:tcPr>
            <w:tcW w:w="2584" w:type="dxa"/>
          </w:tcPr>
          <w:p w:rsidR="00A33354" w:rsidRDefault="00A33354" w:rsidP="00A33354">
            <w:pPr>
              <w:spacing w:line="360" w:lineRule="auto"/>
              <w:jc w:val="center"/>
              <w:rPr>
                <w:sz w:val="24"/>
                <w:szCs w:val="24"/>
              </w:rPr>
            </w:pPr>
            <w:r>
              <w:rPr>
                <w:sz w:val="24"/>
                <w:szCs w:val="24"/>
              </w:rPr>
              <w:t>Historische netto marge</w:t>
            </w:r>
          </w:p>
        </w:tc>
        <w:tc>
          <w:tcPr>
            <w:tcW w:w="1766" w:type="dxa"/>
          </w:tcPr>
          <w:p w:rsidR="00A33354" w:rsidRDefault="00A33354" w:rsidP="00A33354">
            <w:pPr>
              <w:spacing w:line="360" w:lineRule="auto"/>
              <w:jc w:val="center"/>
              <w:rPr>
                <w:sz w:val="24"/>
                <w:szCs w:val="24"/>
              </w:rPr>
            </w:pPr>
            <w:r>
              <w:rPr>
                <w:sz w:val="24"/>
                <w:szCs w:val="24"/>
              </w:rPr>
              <w:t>4</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jc w:val="right"/>
              <w:rPr>
                <w:sz w:val="24"/>
                <w:szCs w:val="24"/>
              </w:rPr>
            </w:pPr>
            <w:r>
              <w:rPr>
                <w:sz w:val="24"/>
                <w:szCs w:val="24"/>
              </w:rPr>
              <w:t>6.</w:t>
            </w:r>
          </w:p>
        </w:tc>
        <w:tc>
          <w:tcPr>
            <w:tcW w:w="2584" w:type="dxa"/>
          </w:tcPr>
          <w:p w:rsidR="00A33354" w:rsidRDefault="00A33354" w:rsidP="00A33354">
            <w:pPr>
              <w:spacing w:line="360" w:lineRule="auto"/>
              <w:jc w:val="center"/>
              <w:rPr>
                <w:sz w:val="24"/>
                <w:szCs w:val="24"/>
              </w:rPr>
            </w:pPr>
            <w:r>
              <w:rPr>
                <w:sz w:val="24"/>
                <w:szCs w:val="24"/>
              </w:rPr>
              <w:t>Historische bruto marge</w:t>
            </w:r>
          </w:p>
        </w:tc>
        <w:tc>
          <w:tcPr>
            <w:tcW w:w="1766" w:type="dxa"/>
          </w:tcPr>
          <w:p w:rsidR="00A33354" w:rsidRDefault="00A33354" w:rsidP="00A33354">
            <w:pPr>
              <w:spacing w:line="360" w:lineRule="auto"/>
              <w:jc w:val="center"/>
              <w:rPr>
                <w:sz w:val="24"/>
                <w:szCs w:val="24"/>
              </w:rPr>
            </w:pPr>
            <w:r>
              <w:rPr>
                <w:sz w:val="24"/>
                <w:szCs w:val="24"/>
              </w:rPr>
              <w:t>6</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ind w:firstLine="720"/>
              <w:jc w:val="right"/>
              <w:rPr>
                <w:sz w:val="24"/>
                <w:szCs w:val="24"/>
              </w:rPr>
            </w:pPr>
            <w:r>
              <w:rPr>
                <w:sz w:val="24"/>
                <w:szCs w:val="24"/>
              </w:rPr>
              <w:t>7.</w:t>
            </w:r>
          </w:p>
        </w:tc>
        <w:tc>
          <w:tcPr>
            <w:tcW w:w="2584" w:type="dxa"/>
          </w:tcPr>
          <w:p w:rsidR="00A33354" w:rsidRDefault="00A33354" w:rsidP="00A33354">
            <w:pPr>
              <w:spacing w:line="360" w:lineRule="auto"/>
              <w:jc w:val="center"/>
              <w:rPr>
                <w:sz w:val="24"/>
                <w:szCs w:val="24"/>
              </w:rPr>
            </w:pPr>
            <w:r>
              <w:rPr>
                <w:sz w:val="24"/>
                <w:szCs w:val="24"/>
              </w:rPr>
              <w:t>Toekomstige netto marge</w:t>
            </w:r>
          </w:p>
        </w:tc>
        <w:tc>
          <w:tcPr>
            <w:tcW w:w="1766" w:type="dxa"/>
          </w:tcPr>
          <w:p w:rsidR="00A33354" w:rsidRDefault="00A33354" w:rsidP="00A33354">
            <w:pPr>
              <w:spacing w:line="360" w:lineRule="auto"/>
              <w:jc w:val="center"/>
              <w:rPr>
                <w:sz w:val="24"/>
                <w:szCs w:val="24"/>
              </w:rPr>
            </w:pPr>
            <w:r>
              <w:rPr>
                <w:sz w:val="24"/>
                <w:szCs w:val="24"/>
              </w:rPr>
              <w:t>2</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ind w:firstLine="720"/>
              <w:jc w:val="right"/>
              <w:rPr>
                <w:sz w:val="24"/>
                <w:szCs w:val="24"/>
              </w:rPr>
            </w:pPr>
            <w:r>
              <w:rPr>
                <w:sz w:val="24"/>
                <w:szCs w:val="24"/>
              </w:rPr>
              <w:t>8.</w:t>
            </w:r>
          </w:p>
        </w:tc>
        <w:tc>
          <w:tcPr>
            <w:tcW w:w="2584" w:type="dxa"/>
          </w:tcPr>
          <w:p w:rsidR="00A33354" w:rsidRDefault="00A33354" w:rsidP="00A33354">
            <w:pPr>
              <w:spacing w:line="360" w:lineRule="auto"/>
              <w:jc w:val="center"/>
              <w:rPr>
                <w:sz w:val="24"/>
                <w:szCs w:val="24"/>
              </w:rPr>
            </w:pPr>
            <w:r>
              <w:rPr>
                <w:sz w:val="24"/>
                <w:szCs w:val="24"/>
              </w:rPr>
              <w:t>Toekomstige bruto marge</w:t>
            </w:r>
          </w:p>
        </w:tc>
        <w:tc>
          <w:tcPr>
            <w:tcW w:w="1766" w:type="dxa"/>
          </w:tcPr>
          <w:p w:rsidR="00A33354" w:rsidRDefault="00A33354" w:rsidP="00A33354">
            <w:pPr>
              <w:spacing w:line="360" w:lineRule="auto"/>
              <w:jc w:val="center"/>
              <w:rPr>
                <w:sz w:val="24"/>
                <w:szCs w:val="24"/>
              </w:rPr>
            </w:pPr>
            <w:r>
              <w:rPr>
                <w:sz w:val="24"/>
                <w:szCs w:val="24"/>
              </w:rPr>
              <w:t>4</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ind w:firstLine="720"/>
              <w:jc w:val="right"/>
              <w:rPr>
                <w:sz w:val="24"/>
                <w:szCs w:val="24"/>
              </w:rPr>
            </w:pPr>
            <w:r>
              <w:rPr>
                <w:sz w:val="24"/>
                <w:szCs w:val="24"/>
              </w:rPr>
              <w:t>9.</w:t>
            </w:r>
          </w:p>
        </w:tc>
        <w:tc>
          <w:tcPr>
            <w:tcW w:w="2584" w:type="dxa"/>
          </w:tcPr>
          <w:p w:rsidR="00A33354" w:rsidRDefault="00A33354" w:rsidP="00A33354">
            <w:pPr>
              <w:spacing w:line="360" w:lineRule="auto"/>
              <w:jc w:val="center"/>
              <w:rPr>
                <w:sz w:val="24"/>
                <w:szCs w:val="24"/>
              </w:rPr>
            </w:pPr>
            <w:r>
              <w:rPr>
                <w:sz w:val="24"/>
                <w:szCs w:val="24"/>
              </w:rPr>
              <w:t>Personeelskostenratio</w:t>
            </w:r>
          </w:p>
        </w:tc>
        <w:tc>
          <w:tcPr>
            <w:tcW w:w="1766" w:type="dxa"/>
          </w:tcPr>
          <w:p w:rsidR="00A33354" w:rsidRDefault="00A33354" w:rsidP="00A33354">
            <w:pPr>
              <w:spacing w:line="360" w:lineRule="auto"/>
              <w:jc w:val="center"/>
              <w:rPr>
                <w:sz w:val="24"/>
                <w:szCs w:val="24"/>
              </w:rPr>
            </w:pPr>
            <w:r>
              <w:rPr>
                <w:sz w:val="24"/>
                <w:szCs w:val="24"/>
              </w:rPr>
              <w:t>8</w:t>
            </w:r>
          </w:p>
        </w:tc>
        <w:tc>
          <w:tcPr>
            <w:tcW w:w="1766" w:type="dxa"/>
          </w:tcPr>
          <w:p w:rsidR="00A33354" w:rsidRDefault="00A33354" w:rsidP="00A33354">
            <w:pPr>
              <w:spacing w:line="360" w:lineRule="auto"/>
              <w:jc w:val="center"/>
              <w:rPr>
                <w:sz w:val="24"/>
                <w:szCs w:val="24"/>
              </w:rPr>
            </w:pPr>
            <w:r>
              <w:rPr>
                <w:sz w:val="24"/>
                <w:szCs w:val="24"/>
              </w:rPr>
              <w:t>3</w:t>
            </w:r>
          </w:p>
        </w:tc>
        <w:tc>
          <w:tcPr>
            <w:tcW w:w="1766" w:type="dxa"/>
          </w:tcPr>
          <w:p w:rsidR="00A33354" w:rsidRDefault="00A33354" w:rsidP="00A33354">
            <w:pPr>
              <w:spacing w:line="360" w:lineRule="auto"/>
              <w:jc w:val="center"/>
              <w:rPr>
                <w:sz w:val="24"/>
                <w:szCs w:val="24"/>
              </w:rPr>
            </w:pPr>
            <w:r>
              <w:rPr>
                <w:sz w:val="24"/>
                <w:szCs w:val="24"/>
              </w:rPr>
              <w:t>24</w:t>
            </w:r>
          </w:p>
        </w:tc>
      </w:tr>
      <w:tr w:rsidR="00A33354" w:rsidTr="00A33354">
        <w:tc>
          <w:tcPr>
            <w:tcW w:w="1180" w:type="dxa"/>
          </w:tcPr>
          <w:p w:rsidR="00A33354" w:rsidRDefault="00A33354" w:rsidP="00A33354">
            <w:pPr>
              <w:spacing w:line="360" w:lineRule="auto"/>
              <w:ind w:firstLine="720"/>
              <w:jc w:val="right"/>
              <w:rPr>
                <w:sz w:val="24"/>
                <w:szCs w:val="24"/>
              </w:rPr>
            </w:pPr>
            <w:r>
              <w:rPr>
                <w:sz w:val="24"/>
                <w:szCs w:val="24"/>
              </w:rPr>
              <w:t>10.</w:t>
            </w:r>
          </w:p>
        </w:tc>
        <w:tc>
          <w:tcPr>
            <w:tcW w:w="2584" w:type="dxa"/>
          </w:tcPr>
          <w:p w:rsidR="00A33354" w:rsidRDefault="00A33354" w:rsidP="00A33354">
            <w:pPr>
              <w:spacing w:line="360" w:lineRule="auto"/>
              <w:jc w:val="center"/>
              <w:rPr>
                <w:sz w:val="24"/>
                <w:szCs w:val="24"/>
              </w:rPr>
            </w:pPr>
            <w:r>
              <w:rPr>
                <w:sz w:val="24"/>
                <w:szCs w:val="24"/>
              </w:rPr>
              <w:t>Begrotingsdiscipline</w:t>
            </w:r>
          </w:p>
        </w:tc>
        <w:tc>
          <w:tcPr>
            <w:tcW w:w="1766" w:type="dxa"/>
          </w:tcPr>
          <w:p w:rsidR="00A33354" w:rsidRDefault="00A33354" w:rsidP="00A33354">
            <w:pPr>
              <w:spacing w:line="360" w:lineRule="auto"/>
              <w:jc w:val="center"/>
              <w:rPr>
                <w:sz w:val="24"/>
                <w:szCs w:val="24"/>
              </w:rPr>
            </w:pPr>
            <w:r>
              <w:rPr>
                <w:sz w:val="24"/>
                <w:szCs w:val="24"/>
              </w:rPr>
              <w:t>8</w:t>
            </w:r>
          </w:p>
        </w:tc>
        <w:tc>
          <w:tcPr>
            <w:tcW w:w="1766" w:type="dxa"/>
          </w:tcPr>
          <w:p w:rsidR="00A33354" w:rsidRDefault="00A33354" w:rsidP="00A33354">
            <w:pPr>
              <w:spacing w:line="360" w:lineRule="auto"/>
              <w:jc w:val="center"/>
              <w:rPr>
                <w:sz w:val="24"/>
                <w:szCs w:val="24"/>
              </w:rPr>
            </w:pPr>
            <w:r>
              <w:rPr>
                <w:sz w:val="24"/>
                <w:szCs w:val="24"/>
              </w:rPr>
              <w:t>0</w:t>
            </w:r>
          </w:p>
        </w:tc>
        <w:tc>
          <w:tcPr>
            <w:tcW w:w="1766" w:type="dxa"/>
          </w:tcPr>
          <w:p w:rsidR="00A33354" w:rsidRDefault="00A33354" w:rsidP="00A33354">
            <w:pPr>
              <w:spacing w:line="360" w:lineRule="auto"/>
              <w:jc w:val="center"/>
              <w:rPr>
                <w:sz w:val="24"/>
                <w:szCs w:val="24"/>
              </w:rPr>
            </w:pPr>
            <w:r>
              <w:rPr>
                <w:sz w:val="24"/>
                <w:szCs w:val="24"/>
              </w:rPr>
              <w:t>0</w:t>
            </w:r>
          </w:p>
        </w:tc>
      </w:tr>
      <w:tr w:rsidR="00A33354" w:rsidTr="00A33354">
        <w:tc>
          <w:tcPr>
            <w:tcW w:w="1180" w:type="dxa"/>
          </w:tcPr>
          <w:p w:rsidR="00A33354" w:rsidRDefault="00A33354" w:rsidP="00A33354">
            <w:pPr>
              <w:spacing w:line="360" w:lineRule="auto"/>
              <w:ind w:firstLine="720"/>
              <w:jc w:val="right"/>
              <w:rPr>
                <w:sz w:val="24"/>
                <w:szCs w:val="24"/>
              </w:rPr>
            </w:pPr>
          </w:p>
        </w:tc>
        <w:tc>
          <w:tcPr>
            <w:tcW w:w="2584" w:type="dxa"/>
          </w:tcPr>
          <w:p w:rsidR="00A33354" w:rsidRDefault="00A33354" w:rsidP="00A33354">
            <w:pPr>
              <w:spacing w:line="360" w:lineRule="auto"/>
              <w:jc w:val="center"/>
              <w:rPr>
                <w:sz w:val="24"/>
                <w:szCs w:val="24"/>
              </w:rPr>
            </w:pPr>
          </w:p>
        </w:tc>
        <w:tc>
          <w:tcPr>
            <w:tcW w:w="1766" w:type="dxa"/>
          </w:tcPr>
          <w:p w:rsidR="00A33354" w:rsidRDefault="00A33354" w:rsidP="00A33354">
            <w:pPr>
              <w:spacing w:line="360" w:lineRule="auto"/>
              <w:jc w:val="center"/>
              <w:rPr>
                <w:sz w:val="24"/>
                <w:szCs w:val="24"/>
              </w:rPr>
            </w:pPr>
          </w:p>
        </w:tc>
        <w:tc>
          <w:tcPr>
            <w:tcW w:w="1766" w:type="dxa"/>
          </w:tcPr>
          <w:p w:rsidR="00A33354" w:rsidRPr="00A33354" w:rsidRDefault="00A33354" w:rsidP="00A33354">
            <w:pPr>
              <w:spacing w:line="360" w:lineRule="auto"/>
              <w:jc w:val="center"/>
              <w:rPr>
                <w:b/>
                <w:sz w:val="24"/>
                <w:szCs w:val="24"/>
              </w:rPr>
            </w:pPr>
            <w:r>
              <w:rPr>
                <w:b/>
                <w:sz w:val="24"/>
                <w:szCs w:val="24"/>
              </w:rPr>
              <w:t>Eindtotaal</w:t>
            </w:r>
          </w:p>
        </w:tc>
        <w:tc>
          <w:tcPr>
            <w:tcW w:w="1766" w:type="dxa"/>
          </w:tcPr>
          <w:p w:rsidR="00A33354" w:rsidRPr="00A33354" w:rsidRDefault="00A33354" w:rsidP="00A33354">
            <w:pPr>
              <w:spacing w:line="360" w:lineRule="auto"/>
              <w:jc w:val="center"/>
              <w:rPr>
                <w:b/>
                <w:sz w:val="24"/>
                <w:szCs w:val="24"/>
              </w:rPr>
            </w:pPr>
            <w:r>
              <w:rPr>
                <w:b/>
                <w:sz w:val="24"/>
                <w:szCs w:val="24"/>
              </w:rPr>
              <w:t>36</w:t>
            </w:r>
          </w:p>
        </w:tc>
      </w:tr>
    </w:tbl>
    <w:p w:rsidR="00F83FA9" w:rsidRDefault="00F83FA9" w:rsidP="003849C3">
      <w:pPr>
        <w:spacing w:line="360" w:lineRule="auto"/>
        <w:jc w:val="both"/>
        <w:rPr>
          <w:sz w:val="24"/>
          <w:szCs w:val="24"/>
        </w:rPr>
      </w:pPr>
    </w:p>
    <w:p w:rsidR="00103AE8" w:rsidRDefault="007E34D9" w:rsidP="003849C3">
      <w:pPr>
        <w:spacing w:line="360" w:lineRule="auto"/>
        <w:jc w:val="both"/>
        <w:rPr>
          <w:sz w:val="24"/>
          <w:szCs w:val="24"/>
        </w:rPr>
      </w:pPr>
      <w:r>
        <w:rPr>
          <w:sz w:val="24"/>
          <w:szCs w:val="24"/>
        </w:rPr>
        <w:t xml:space="preserve">FC Twente behaalde in het Financieel Rating Systeem 36 punten op basis van de jaarcijfers over het boekjaar 2013/2014. Omdat de score beneden de 64 punten is, wordt FC Twente ingedeeld in categorie 1. Als gevolg hiervan is de club </w:t>
      </w:r>
      <w:proofErr w:type="gramStart"/>
      <w:r>
        <w:rPr>
          <w:sz w:val="24"/>
          <w:szCs w:val="24"/>
        </w:rPr>
        <w:t>genoodzaakt</w:t>
      </w:r>
      <w:proofErr w:type="gramEnd"/>
      <w:r>
        <w:rPr>
          <w:sz w:val="24"/>
          <w:szCs w:val="24"/>
        </w:rPr>
        <w:t xml:space="preserve"> een financieel plan van </w:t>
      </w:r>
      <w:r>
        <w:rPr>
          <w:sz w:val="24"/>
          <w:szCs w:val="24"/>
        </w:rPr>
        <w:lastRenderedPageBreak/>
        <w:t>aanpak op te stellen om de licentie niet in gevaar te brengen en om de financiële positie structureel te verbeteren die moet leiden tot indeling in categorie 1 of 2.</w:t>
      </w:r>
    </w:p>
    <w:p w:rsidR="00103AE8" w:rsidRDefault="00776867" w:rsidP="00103AE8">
      <w:pPr>
        <w:pStyle w:val="Heading1"/>
        <w:rPr>
          <w:sz w:val="40"/>
        </w:rPr>
      </w:pPr>
      <w:bookmarkStart w:id="45" w:name="_Toc425516511"/>
      <w:r>
        <w:rPr>
          <w:sz w:val="40"/>
        </w:rPr>
        <w:t>Hoofdstuk 5</w:t>
      </w:r>
      <w:r w:rsidR="00A86755" w:rsidRPr="00103AE8">
        <w:rPr>
          <w:sz w:val="40"/>
        </w:rPr>
        <w:t xml:space="preserve">: Analyse </w:t>
      </w:r>
      <w:r w:rsidR="00E01DA4">
        <w:rPr>
          <w:sz w:val="40"/>
        </w:rPr>
        <w:t>materiële</w:t>
      </w:r>
      <w:r w:rsidR="00A86755" w:rsidRPr="00103AE8">
        <w:rPr>
          <w:sz w:val="40"/>
        </w:rPr>
        <w:t xml:space="preserve"> vaste activa FC Twente</w:t>
      </w:r>
      <w:bookmarkEnd w:id="45"/>
    </w:p>
    <w:p w:rsidR="00103AE8" w:rsidRDefault="00103AE8" w:rsidP="00103AE8">
      <w:pPr>
        <w:pStyle w:val="Heading2"/>
        <w:rPr>
          <w:sz w:val="32"/>
        </w:rPr>
      </w:pPr>
    </w:p>
    <w:p w:rsidR="00103AE8" w:rsidRPr="00103AE8" w:rsidRDefault="00776867" w:rsidP="00103AE8">
      <w:pPr>
        <w:pStyle w:val="Heading2"/>
        <w:rPr>
          <w:sz w:val="32"/>
        </w:rPr>
      </w:pPr>
      <w:bookmarkStart w:id="46" w:name="_Toc425516512"/>
      <w:r>
        <w:rPr>
          <w:sz w:val="32"/>
        </w:rPr>
        <w:t>5</w:t>
      </w:r>
      <w:r w:rsidR="00103AE8" w:rsidRPr="00103AE8">
        <w:rPr>
          <w:sz w:val="32"/>
        </w:rPr>
        <w:t xml:space="preserve">.1. Inleiding hoofdstuk </w:t>
      </w:r>
      <w:r>
        <w:rPr>
          <w:sz w:val="32"/>
        </w:rPr>
        <w:t>5</w:t>
      </w:r>
      <w:bookmarkEnd w:id="46"/>
    </w:p>
    <w:p w:rsidR="00DC31E3" w:rsidRDefault="005368CF" w:rsidP="005368CF">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Zoals uit het vorige hoofdstuk is gebleken</w:t>
      </w:r>
      <w:r w:rsidR="00303331">
        <w:rPr>
          <w:rFonts w:eastAsia="Times New Roman" w:cs="Times New Roman"/>
          <w:color w:val="222222"/>
          <w:sz w:val="24"/>
          <w:szCs w:val="24"/>
          <w:lang w:eastAsia="en-GB"/>
        </w:rPr>
        <w:t>, is de financiële positie van FC Twente in de laatste twee jaar in een stroomversnelling achteruitgegaan. Onverantwoord grote investeringen met dito risico’s hebben ertoe geleid dat bezuinigingen en verkopen van spelers noodzakelijk is om te overleven. Boekhoudkundig gezien heeft de financiële malaise ook gevolgen gehad. Daarnaast is FC Twente door de recentelijke indeling in categorie 1 genoodzaakt een plan van aanpak op te stellen om financieel structurele verbetering te verwezenlijken. Naar aanleiding van dit plan van aanpak kreeg FC Twente begin 2015 drie winstpunten in mindering, omdat de normstelling niet werd behaald. De licentiecommissie van de KNVB kon zich niet vinden in de</w:t>
      </w:r>
      <w:r w:rsidR="000C087F">
        <w:rPr>
          <w:rFonts w:eastAsia="Times New Roman" w:cs="Times New Roman"/>
          <w:color w:val="222222"/>
          <w:sz w:val="24"/>
          <w:szCs w:val="24"/>
          <w:lang w:eastAsia="en-GB"/>
        </w:rPr>
        <w:t xml:space="preserve"> toegepaste</w:t>
      </w:r>
      <w:r w:rsidR="00303331">
        <w:rPr>
          <w:rFonts w:eastAsia="Times New Roman" w:cs="Times New Roman"/>
          <w:color w:val="222222"/>
          <w:sz w:val="24"/>
          <w:szCs w:val="24"/>
          <w:lang w:eastAsia="en-GB"/>
        </w:rPr>
        <w:t xml:space="preserve"> afschrijvingsmethodiek op het stadion De Grolsch Veste</w:t>
      </w:r>
      <w:r w:rsidR="000C087F">
        <w:rPr>
          <w:rFonts w:eastAsia="Times New Roman" w:cs="Times New Roman"/>
          <w:color w:val="222222"/>
          <w:sz w:val="24"/>
          <w:szCs w:val="24"/>
          <w:lang w:eastAsia="en-GB"/>
        </w:rPr>
        <w:t>, gebruikt in het jaarverslag over het boekjaar 2013/2014. Als gevolg van het terugdraaien van de door de accountant goedgekeurde afschrijvingsmethodiek valt het nettoverlies negatiever uit en zodoende werd de normstelling hiervan niet behaald</w:t>
      </w:r>
      <w:r w:rsidR="000C087F">
        <w:rPr>
          <w:rStyle w:val="FootnoteReference"/>
          <w:rFonts w:eastAsia="Times New Roman" w:cs="Times New Roman"/>
          <w:color w:val="222222"/>
          <w:sz w:val="24"/>
          <w:szCs w:val="24"/>
          <w:lang w:eastAsia="en-GB"/>
        </w:rPr>
        <w:footnoteReference w:id="62"/>
      </w:r>
      <w:r w:rsidR="000C087F">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813569190"/>
          <w:citation/>
        </w:sdtPr>
        <w:sdtContent>
          <w:r w:rsidR="000C5AB6" w:rsidRPr="00247AA1">
            <w:rPr>
              <w:rFonts w:eastAsia="Times New Roman" w:cs="Times New Roman"/>
              <w:color w:val="222222"/>
              <w:sz w:val="24"/>
              <w:szCs w:val="24"/>
              <w:lang w:eastAsia="en-GB"/>
            </w:rPr>
            <w:fldChar w:fldCharType="begin"/>
          </w:r>
          <w:r w:rsidR="00303331" w:rsidRPr="00247AA1">
            <w:rPr>
              <w:rFonts w:eastAsia="Times New Roman" w:cs="Times New Roman"/>
              <w:color w:val="222222"/>
              <w:sz w:val="24"/>
              <w:szCs w:val="24"/>
              <w:lang w:eastAsia="en-GB"/>
            </w:rPr>
            <w:instrText xml:space="preserve"> CITATION Acc15 \l 1043 </w:instrText>
          </w:r>
          <w:r w:rsidR="000C5AB6" w:rsidRPr="00247AA1">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(Accountancy vanmorgen, 2015)</w:t>
          </w:r>
          <w:r w:rsidR="000C5AB6" w:rsidRPr="00247AA1">
            <w:rPr>
              <w:rFonts w:eastAsia="Times New Roman" w:cs="Times New Roman"/>
              <w:color w:val="222222"/>
              <w:sz w:val="24"/>
              <w:szCs w:val="24"/>
              <w:lang w:eastAsia="en-GB"/>
            </w:rPr>
            <w:fldChar w:fldCharType="end"/>
          </w:r>
        </w:sdtContent>
      </w:sdt>
      <w:r w:rsidR="00303331" w:rsidRPr="00247AA1">
        <w:rPr>
          <w:rFonts w:eastAsia="Times New Roman" w:cs="Times New Roman"/>
          <w:color w:val="222222"/>
          <w:sz w:val="24"/>
          <w:szCs w:val="24"/>
          <w:lang w:eastAsia="en-GB"/>
        </w:rPr>
        <w:t>.</w:t>
      </w:r>
      <w:r w:rsidR="000C087F">
        <w:rPr>
          <w:rFonts w:eastAsia="Times New Roman" w:cs="Times New Roman"/>
          <w:color w:val="222222"/>
          <w:sz w:val="24"/>
          <w:szCs w:val="24"/>
          <w:lang w:eastAsia="en-GB"/>
        </w:rPr>
        <w:t xml:space="preserve"> Door de geheimhoudingsplicht van de KNVB aan de betaald voetbal organisaties is het niet mogelijk om de specifieke overtreding uit het financieel plan van aanpak te </w:t>
      </w:r>
      <w:r w:rsidR="00435F22">
        <w:rPr>
          <w:rFonts w:eastAsia="Times New Roman" w:cs="Times New Roman"/>
          <w:color w:val="222222"/>
          <w:sz w:val="24"/>
          <w:szCs w:val="24"/>
          <w:lang w:eastAsia="en-GB"/>
        </w:rPr>
        <w:t>herleiden</w:t>
      </w:r>
      <w:r w:rsidR="000C087F">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331487855"/>
          <w:citation/>
        </w:sdtPr>
        <w:sdtContent>
          <w:r w:rsidR="000C5AB6">
            <w:rPr>
              <w:rFonts w:eastAsia="Times New Roman" w:cs="Times New Roman"/>
              <w:color w:val="222222"/>
              <w:sz w:val="24"/>
              <w:szCs w:val="24"/>
              <w:lang w:eastAsia="en-GB"/>
            </w:rPr>
            <w:fldChar w:fldCharType="begin"/>
          </w:r>
          <w:r w:rsidR="000C087F">
            <w:rPr>
              <w:rFonts w:eastAsia="Times New Roman" w:cs="Times New Roman"/>
              <w:color w:val="222222"/>
              <w:sz w:val="24"/>
              <w:szCs w:val="24"/>
              <w:lang w:eastAsia="en-GB"/>
            </w:rPr>
            <w:instrText xml:space="preserve"> CITATION Rav15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(Ravensbergen, 2015)</w:t>
          </w:r>
          <w:r w:rsidR="000C5AB6">
            <w:rPr>
              <w:rFonts w:eastAsia="Times New Roman" w:cs="Times New Roman"/>
              <w:color w:val="222222"/>
              <w:sz w:val="24"/>
              <w:szCs w:val="24"/>
              <w:lang w:eastAsia="en-GB"/>
            </w:rPr>
            <w:fldChar w:fldCharType="end"/>
          </w:r>
        </w:sdtContent>
      </w:sdt>
      <w:r w:rsidR="000C087F">
        <w:rPr>
          <w:rFonts w:eastAsia="Times New Roman" w:cs="Times New Roman"/>
          <w:color w:val="222222"/>
          <w:sz w:val="24"/>
          <w:szCs w:val="24"/>
          <w:lang w:eastAsia="en-GB"/>
        </w:rPr>
        <w:t xml:space="preserve">. </w:t>
      </w:r>
      <w:r w:rsidR="00435F22">
        <w:rPr>
          <w:rFonts w:eastAsia="Times New Roman" w:cs="Times New Roman"/>
          <w:color w:val="222222"/>
          <w:sz w:val="24"/>
          <w:szCs w:val="24"/>
          <w:lang w:eastAsia="en-GB"/>
        </w:rPr>
        <w:t xml:space="preserve">Desondanks is het wel mogelijk om de ontwikkelingen van de </w:t>
      </w:r>
      <w:r w:rsidR="00E01DA4">
        <w:rPr>
          <w:rFonts w:eastAsia="Times New Roman" w:cs="Times New Roman"/>
          <w:color w:val="222222"/>
          <w:sz w:val="24"/>
          <w:szCs w:val="24"/>
          <w:lang w:eastAsia="en-GB"/>
        </w:rPr>
        <w:t>materiële</w:t>
      </w:r>
      <w:r w:rsidR="00435F22">
        <w:rPr>
          <w:rFonts w:eastAsia="Times New Roman" w:cs="Times New Roman"/>
          <w:color w:val="222222"/>
          <w:sz w:val="24"/>
          <w:szCs w:val="24"/>
          <w:lang w:eastAsia="en-GB"/>
        </w:rPr>
        <w:t xml:space="preserve"> vaste activa uit de jaarrekeningen van FC Twente te volgen. Uit de toelichtingen zal blijken welke waarderingsgrondslagen van toepassing zijn, welke afschrijvingsmethode gebruikt is en of er </w:t>
      </w:r>
      <w:r w:rsidR="00E01DA4">
        <w:rPr>
          <w:rFonts w:eastAsia="Times New Roman" w:cs="Times New Roman"/>
          <w:color w:val="222222"/>
          <w:sz w:val="24"/>
          <w:szCs w:val="24"/>
          <w:lang w:eastAsia="en-GB"/>
        </w:rPr>
        <w:t>materiële</w:t>
      </w:r>
      <w:r w:rsidR="00435F22">
        <w:rPr>
          <w:rFonts w:eastAsia="Times New Roman" w:cs="Times New Roman"/>
          <w:color w:val="222222"/>
          <w:sz w:val="24"/>
          <w:szCs w:val="24"/>
          <w:lang w:eastAsia="en-GB"/>
        </w:rPr>
        <w:t xml:space="preserve"> schattingswijzigingen zijn doorgevoerd op deze activa. Om een volledig beeld te verkrijgen over</w:t>
      </w:r>
      <w:r w:rsidR="00B12261">
        <w:rPr>
          <w:rFonts w:eastAsia="Times New Roman" w:cs="Times New Roman"/>
          <w:color w:val="222222"/>
          <w:sz w:val="24"/>
          <w:szCs w:val="24"/>
          <w:lang w:eastAsia="en-GB"/>
        </w:rPr>
        <w:t xml:space="preserve"> de boekhoudkundige status van</w:t>
      </w:r>
      <w:r w:rsidR="00435F22">
        <w:rPr>
          <w:rFonts w:eastAsia="Times New Roman" w:cs="Times New Roman"/>
          <w:color w:val="222222"/>
          <w:sz w:val="24"/>
          <w:szCs w:val="24"/>
          <w:lang w:eastAsia="en-GB"/>
        </w:rPr>
        <w:t xml:space="preserve"> het stadion van FC Twente, De Grolsch Veste, </w:t>
      </w:r>
      <w:r w:rsidR="00B12261">
        <w:rPr>
          <w:rFonts w:eastAsia="Times New Roman" w:cs="Times New Roman"/>
          <w:color w:val="222222"/>
          <w:sz w:val="24"/>
          <w:szCs w:val="24"/>
          <w:lang w:eastAsia="en-GB"/>
        </w:rPr>
        <w:t xml:space="preserve">worden de jaarverslagen van de boekjaren 2012/2013 en 2013/2014 onderzocht. Echter, over het boekjaar 2013/2014 is FC Twente </w:t>
      </w:r>
      <w:proofErr w:type="gramStart"/>
      <w:r w:rsidR="00B12261">
        <w:rPr>
          <w:rFonts w:eastAsia="Times New Roman" w:cs="Times New Roman"/>
          <w:color w:val="222222"/>
          <w:sz w:val="24"/>
          <w:szCs w:val="24"/>
          <w:lang w:eastAsia="en-GB"/>
        </w:rPr>
        <w:t>genoodzaakt</w:t>
      </w:r>
      <w:proofErr w:type="gramEnd"/>
      <w:r w:rsidR="00B12261">
        <w:rPr>
          <w:rFonts w:eastAsia="Times New Roman" w:cs="Times New Roman"/>
          <w:color w:val="222222"/>
          <w:sz w:val="24"/>
          <w:szCs w:val="24"/>
          <w:lang w:eastAsia="en-GB"/>
        </w:rPr>
        <w:t xml:space="preserve"> om twee jaarrekeningen in te leveren over desbetreffend boekjaar. Door </w:t>
      </w:r>
      <w:r w:rsidR="00510601">
        <w:rPr>
          <w:rFonts w:eastAsia="Times New Roman" w:cs="Times New Roman"/>
          <w:color w:val="222222"/>
          <w:sz w:val="24"/>
          <w:szCs w:val="24"/>
          <w:lang w:eastAsia="en-GB"/>
        </w:rPr>
        <w:t>verschillende</w:t>
      </w:r>
      <w:r w:rsidR="00B12261">
        <w:rPr>
          <w:rFonts w:eastAsia="Times New Roman" w:cs="Times New Roman"/>
          <w:color w:val="222222"/>
          <w:sz w:val="24"/>
          <w:szCs w:val="24"/>
          <w:lang w:eastAsia="en-GB"/>
        </w:rPr>
        <w:t xml:space="preserve"> wijzigingen in dit boekjaar is het resultaat van 7,2 miljoen euro negatief </w:t>
      </w:r>
      <w:sdt>
        <w:sdtPr>
          <w:rPr>
            <w:rFonts w:eastAsia="Times New Roman" w:cs="Times New Roman"/>
            <w:color w:val="222222"/>
            <w:sz w:val="24"/>
            <w:szCs w:val="24"/>
            <w:lang w:eastAsia="en-GB"/>
          </w:rPr>
          <w:id w:val="-1352792365"/>
          <w:citation/>
        </w:sdtPr>
        <w:sdtContent>
          <w:r w:rsidR="000C5AB6">
            <w:rPr>
              <w:rFonts w:eastAsia="Times New Roman" w:cs="Times New Roman"/>
              <w:color w:val="222222"/>
              <w:sz w:val="24"/>
              <w:szCs w:val="24"/>
              <w:lang w:eastAsia="en-GB"/>
            </w:rPr>
            <w:fldChar w:fldCharType="begin"/>
          </w:r>
          <w:r w:rsidR="00B12261">
            <w:rPr>
              <w:rFonts w:eastAsia="Times New Roman" w:cs="Times New Roman"/>
              <w:color w:val="222222"/>
              <w:sz w:val="24"/>
              <w:szCs w:val="24"/>
              <w:lang w:eastAsia="en-GB"/>
            </w:rPr>
            <w:instrText xml:space="preserve"> CITATION Sti14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2014)</w:t>
          </w:r>
          <w:r w:rsidR="000C5AB6">
            <w:rPr>
              <w:rFonts w:eastAsia="Times New Roman" w:cs="Times New Roman"/>
              <w:color w:val="222222"/>
              <w:sz w:val="24"/>
              <w:szCs w:val="24"/>
              <w:lang w:eastAsia="en-GB"/>
            </w:rPr>
            <w:fldChar w:fldCharType="end"/>
          </w:r>
        </w:sdtContent>
      </w:sdt>
      <w:r w:rsidR="00B12261">
        <w:rPr>
          <w:rFonts w:eastAsia="Times New Roman" w:cs="Times New Roman"/>
          <w:color w:val="222222"/>
          <w:sz w:val="24"/>
          <w:szCs w:val="24"/>
          <w:lang w:eastAsia="en-GB"/>
        </w:rPr>
        <w:t xml:space="preserve"> </w:t>
      </w:r>
      <w:proofErr w:type="gramStart"/>
      <w:r w:rsidR="0024076F">
        <w:rPr>
          <w:rFonts w:eastAsia="Times New Roman" w:cs="Times New Roman"/>
          <w:color w:val="222222"/>
          <w:sz w:val="24"/>
          <w:szCs w:val="24"/>
          <w:lang w:eastAsia="en-GB"/>
        </w:rPr>
        <w:t>gedaald</w:t>
      </w:r>
      <w:proofErr w:type="gramEnd"/>
      <w:r w:rsidR="0024076F">
        <w:rPr>
          <w:rFonts w:eastAsia="Times New Roman" w:cs="Times New Roman"/>
          <w:color w:val="222222"/>
          <w:sz w:val="24"/>
          <w:szCs w:val="24"/>
          <w:lang w:eastAsia="en-GB"/>
        </w:rPr>
        <w:t xml:space="preserve"> </w:t>
      </w:r>
      <w:r w:rsidR="00B12261">
        <w:rPr>
          <w:rFonts w:eastAsia="Times New Roman" w:cs="Times New Roman"/>
          <w:color w:val="222222"/>
          <w:sz w:val="24"/>
          <w:szCs w:val="24"/>
          <w:lang w:eastAsia="en-GB"/>
        </w:rPr>
        <w:t xml:space="preserve">naar een verlies van 8,1 miljoen euro </w:t>
      </w:r>
      <w:sdt>
        <w:sdtPr>
          <w:rPr>
            <w:rFonts w:eastAsia="Times New Roman" w:cs="Times New Roman"/>
            <w:color w:val="222222"/>
            <w:sz w:val="24"/>
            <w:szCs w:val="24"/>
            <w:lang w:eastAsia="en-GB"/>
          </w:rPr>
          <w:id w:val="454144887"/>
          <w:citation/>
        </w:sdtPr>
        <w:sdtContent>
          <w:r w:rsidR="000C5AB6">
            <w:rPr>
              <w:rFonts w:eastAsia="Times New Roman" w:cs="Times New Roman"/>
              <w:color w:val="222222"/>
              <w:sz w:val="24"/>
              <w:szCs w:val="24"/>
              <w:lang w:eastAsia="en-GB"/>
            </w:rPr>
            <w:fldChar w:fldCharType="begin"/>
          </w:r>
          <w:r w:rsidR="00B12261">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sidR="00B12261">
        <w:rPr>
          <w:rFonts w:eastAsia="Times New Roman" w:cs="Times New Roman"/>
          <w:color w:val="222222"/>
          <w:sz w:val="24"/>
          <w:szCs w:val="24"/>
          <w:lang w:eastAsia="en-GB"/>
        </w:rPr>
        <w:t>.</w:t>
      </w:r>
      <w:r w:rsidR="00EF7488">
        <w:rPr>
          <w:rFonts w:eastAsia="Times New Roman" w:cs="Times New Roman"/>
          <w:color w:val="222222"/>
          <w:sz w:val="24"/>
          <w:szCs w:val="24"/>
          <w:lang w:eastAsia="en-GB"/>
        </w:rPr>
        <w:t xml:space="preserve"> </w:t>
      </w:r>
    </w:p>
    <w:p w:rsidR="00DC31E3" w:rsidRDefault="00DC31E3" w:rsidP="005368CF">
      <w:pPr>
        <w:shd w:val="clear" w:color="auto" w:fill="FFFFFF"/>
        <w:spacing w:after="0" w:line="360" w:lineRule="auto"/>
        <w:jc w:val="both"/>
        <w:rPr>
          <w:rFonts w:eastAsia="Times New Roman" w:cs="Times New Roman"/>
          <w:color w:val="222222"/>
          <w:sz w:val="24"/>
          <w:szCs w:val="24"/>
          <w:lang w:eastAsia="en-GB"/>
        </w:rPr>
      </w:pPr>
    </w:p>
    <w:p w:rsidR="005368CF" w:rsidRDefault="00DC31E3" w:rsidP="00DC31E3">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Om de ontwikkelingen </w:t>
      </w:r>
      <w:proofErr w:type="gramStart"/>
      <w:r>
        <w:rPr>
          <w:rFonts w:eastAsia="Times New Roman" w:cs="Times New Roman"/>
          <w:color w:val="222222"/>
          <w:sz w:val="24"/>
          <w:szCs w:val="24"/>
          <w:lang w:eastAsia="en-GB"/>
        </w:rPr>
        <w:t>omtrent</w:t>
      </w:r>
      <w:proofErr w:type="gramEnd"/>
      <w:r>
        <w:rPr>
          <w:rFonts w:eastAsia="Times New Roman" w:cs="Times New Roman"/>
          <w:color w:val="222222"/>
          <w:sz w:val="24"/>
          <w:szCs w:val="24"/>
          <w:lang w:eastAsia="en-GB"/>
        </w:rPr>
        <w:t xml:space="preserve"> het stadion De Grolsch Veste nauwgezet te volgen wordt allereerst de status van dit materieel vast actief in het boekjaar 2012/2013 besproken. Vervolgens worden overeenkomsten en verschillen in de waardering van dit materieel vast actief besproken tussen </w:t>
      </w:r>
      <w:proofErr w:type="gramStart"/>
      <w:r>
        <w:rPr>
          <w:rFonts w:eastAsia="Times New Roman" w:cs="Times New Roman"/>
          <w:color w:val="222222"/>
          <w:sz w:val="24"/>
          <w:szCs w:val="24"/>
          <w:lang w:eastAsia="en-GB"/>
        </w:rPr>
        <w:t>eerstgenoemde</w:t>
      </w:r>
      <w:proofErr w:type="gramEnd"/>
      <w:r>
        <w:rPr>
          <w:rFonts w:eastAsia="Times New Roman" w:cs="Times New Roman"/>
          <w:color w:val="222222"/>
          <w:sz w:val="24"/>
          <w:szCs w:val="24"/>
          <w:lang w:eastAsia="en-GB"/>
        </w:rPr>
        <w:t xml:space="preserve"> boekjaar en de </w:t>
      </w:r>
      <w:r w:rsidR="007845C4">
        <w:rPr>
          <w:rFonts w:eastAsia="Times New Roman" w:cs="Times New Roman"/>
          <w:color w:val="222222"/>
          <w:sz w:val="24"/>
          <w:szCs w:val="24"/>
          <w:lang w:eastAsia="en-GB"/>
        </w:rPr>
        <w:t>oorspronkelijke</w:t>
      </w:r>
      <w:r>
        <w:rPr>
          <w:rFonts w:eastAsia="Times New Roman" w:cs="Times New Roman"/>
          <w:color w:val="222222"/>
          <w:sz w:val="24"/>
          <w:szCs w:val="24"/>
          <w:lang w:eastAsia="en-GB"/>
        </w:rPr>
        <w:t xml:space="preserve"> jaarrekening over het boekjaar 2013/201</w:t>
      </w:r>
      <w:r w:rsidR="007845C4">
        <w:rPr>
          <w:rFonts w:eastAsia="Times New Roman" w:cs="Times New Roman"/>
          <w:color w:val="222222"/>
          <w:sz w:val="24"/>
          <w:szCs w:val="24"/>
          <w:lang w:eastAsia="en-GB"/>
        </w:rPr>
        <w:t>4</w:t>
      </w:r>
      <w:r>
        <w:rPr>
          <w:rFonts w:eastAsia="Times New Roman" w:cs="Times New Roman"/>
          <w:color w:val="222222"/>
          <w:sz w:val="24"/>
          <w:szCs w:val="24"/>
          <w:lang w:eastAsia="en-GB"/>
        </w:rPr>
        <w:t xml:space="preserve">. De vaststellingsdatum </w:t>
      </w:r>
      <w:r w:rsidR="00986FE2">
        <w:rPr>
          <w:rFonts w:eastAsia="Times New Roman" w:cs="Times New Roman"/>
          <w:color w:val="222222"/>
          <w:sz w:val="24"/>
          <w:szCs w:val="24"/>
          <w:lang w:eastAsia="en-GB"/>
        </w:rPr>
        <w:t>van deze jaarrekening betreft 23</w:t>
      </w:r>
      <w:r>
        <w:rPr>
          <w:rFonts w:eastAsia="Times New Roman" w:cs="Times New Roman"/>
          <w:color w:val="222222"/>
          <w:sz w:val="24"/>
          <w:szCs w:val="24"/>
          <w:lang w:eastAsia="en-GB"/>
        </w:rPr>
        <w:t xml:space="preserve"> januari 2015. </w:t>
      </w:r>
      <w:proofErr w:type="gramStart"/>
      <w:r>
        <w:rPr>
          <w:rFonts w:eastAsia="Times New Roman" w:cs="Times New Roman"/>
          <w:color w:val="222222"/>
          <w:sz w:val="24"/>
          <w:szCs w:val="24"/>
          <w:lang w:eastAsia="en-GB"/>
        </w:rPr>
        <w:t xml:space="preserve">Naar aanleiding van deze jaarrekening werd FC Twente </w:t>
      </w:r>
      <w:r w:rsidR="0024076F">
        <w:rPr>
          <w:rFonts w:eastAsia="Times New Roman" w:cs="Times New Roman"/>
          <w:color w:val="222222"/>
          <w:sz w:val="24"/>
          <w:szCs w:val="24"/>
          <w:lang w:eastAsia="en-GB"/>
        </w:rPr>
        <w:t>ingedeeld in categorie 1, met als gevolg dat het</w:t>
      </w:r>
      <w:r>
        <w:rPr>
          <w:rFonts w:eastAsia="Times New Roman" w:cs="Times New Roman"/>
          <w:color w:val="222222"/>
          <w:sz w:val="24"/>
          <w:szCs w:val="24"/>
          <w:lang w:eastAsia="en-GB"/>
        </w:rPr>
        <w:t xml:space="preserve"> plan van aanpak opgemaakt </w:t>
      </w:r>
      <w:r w:rsidR="0024076F">
        <w:rPr>
          <w:rFonts w:eastAsia="Times New Roman" w:cs="Times New Roman"/>
          <w:color w:val="222222"/>
          <w:sz w:val="24"/>
          <w:szCs w:val="24"/>
          <w:lang w:eastAsia="en-GB"/>
        </w:rPr>
        <w:t xml:space="preserve">werd, dat </w:t>
      </w:r>
      <w:r>
        <w:rPr>
          <w:rFonts w:eastAsia="Times New Roman" w:cs="Times New Roman"/>
          <w:color w:val="222222"/>
          <w:sz w:val="24"/>
          <w:szCs w:val="24"/>
          <w:lang w:eastAsia="en-GB"/>
        </w:rPr>
        <w:t>vervolgens</w:t>
      </w:r>
      <w:r w:rsidR="0024076F">
        <w:rPr>
          <w:rFonts w:eastAsia="Times New Roman" w:cs="Times New Roman"/>
          <w:color w:val="222222"/>
          <w:sz w:val="24"/>
          <w:szCs w:val="24"/>
          <w:lang w:eastAsia="en-GB"/>
        </w:rPr>
        <w:t xml:space="preserve"> werd</w:t>
      </w:r>
      <w:r>
        <w:rPr>
          <w:rFonts w:eastAsia="Times New Roman" w:cs="Times New Roman"/>
          <w:color w:val="222222"/>
          <w:sz w:val="24"/>
          <w:szCs w:val="24"/>
          <w:lang w:eastAsia="en-GB"/>
        </w:rPr>
        <w:t xml:space="preserve"> afgekeurd door de KNVB. </w:t>
      </w:r>
      <w:proofErr w:type="gramEnd"/>
      <w:r>
        <w:rPr>
          <w:rFonts w:eastAsia="Times New Roman" w:cs="Times New Roman"/>
          <w:color w:val="222222"/>
          <w:sz w:val="24"/>
          <w:szCs w:val="24"/>
          <w:lang w:eastAsia="en-GB"/>
        </w:rPr>
        <w:t xml:space="preserve">Zodoende werd op </w:t>
      </w:r>
      <w:r w:rsidR="00986FE2">
        <w:rPr>
          <w:rFonts w:eastAsia="Times New Roman" w:cs="Times New Roman"/>
          <w:color w:val="222222"/>
          <w:sz w:val="24"/>
          <w:szCs w:val="24"/>
          <w:lang w:eastAsia="en-GB"/>
        </w:rPr>
        <w:t>8 april</w:t>
      </w:r>
      <w:r>
        <w:rPr>
          <w:rFonts w:eastAsia="Times New Roman" w:cs="Times New Roman"/>
          <w:color w:val="222222"/>
          <w:sz w:val="24"/>
          <w:szCs w:val="24"/>
          <w:lang w:eastAsia="en-GB"/>
        </w:rPr>
        <w:t xml:space="preserve"> 2015 een herziende jaarrekening gemaakt over dit boekjaar. Ook op basis van deze jaarrekening worden de veranderingen ten opzichte van de eerste jaarrekening besproken. </w:t>
      </w:r>
      <w:proofErr w:type="gramStart"/>
      <w:r>
        <w:rPr>
          <w:rFonts w:eastAsia="Times New Roman" w:cs="Times New Roman"/>
          <w:color w:val="222222"/>
          <w:sz w:val="24"/>
          <w:szCs w:val="24"/>
          <w:lang w:eastAsia="en-GB"/>
        </w:rPr>
        <w:t>Middels</w:t>
      </w:r>
      <w:proofErr w:type="gramEnd"/>
      <w:r>
        <w:rPr>
          <w:rFonts w:eastAsia="Times New Roman" w:cs="Times New Roman"/>
          <w:color w:val="222222"/>
          <w:sz w:val="24"/>
          <w:szCs w:val="24"/>
          <w:lang w:eastAsia="en-GB"/>
        </w:rPr>
        <w:t xml:space="preserve"> deze aanpak wordt antwoord gegeven op de volgende deelvraag:</w:t>
      </w:r>
    </w:p>
    <w:p w:rsidR="00DC31E3" w:rsidRPr="00DC31E3" w:rsidRDefault="00DC31E3" w:rsidP="00DC31E3">
      <w:pPr>
        <w:shd w:val="clear" w:color="auto" w:fill="FFFFFF"/>
        <w:spacing w:after="0" w:line="360" w:lineRule="auto"/>
        <w:jc w:val="both"/>
        <w:rPr>
          <w:rFonts w:eastAsia="Times New Roman" w:cs="Times New Roman"/>
          <w:color w:val="222222"/>
          <w:sz w:val="24"/>
          <w:szCs w:val="24"/>
          <w:lang w:eastAsia="en-GB"/>
        </w:rPr>
      </w:pPr>
    </w:p>
    <w:p w:rsidR="00DC31E3" w:rsidRDefault="00A86755" w:rsidP="00A86755">
      <w:pPr>
        <w:shd w:val="clear" w:color="auto" w:fill="FFFFFF"/>
        <w:spacing w:after="0" w:line="360" w:lineRule="auto"/>
        <w:jc w:val="both"/>
        <w:rPr>
          <w:rFonts w:eastAsia="Times New Roman" w:cs="Times New Roman"/>
          <w:i/>
          <w:color w:val="222222"/>
          <w:sz w:val="24"/>
          <w:szCs w:val="24"/>
          <w:lang w:eastAsia="en-GB"/>
        </w:rPr>
      </w:pPr>
      <w:r>
        <w:rPr>
          <w:rFonts w:eastAsia="Times New Roman" w:cs="Times New Roman"/>
          <w:color w:val="222222"/>
          <w:sz w:val="24"/>
          <w:szCs w:val="24"/>
          <w:lang w:eastAsia="en-GB"/>
        </w:rPr>
        <w:t>‘</w:t>
      </w:r>
      <w:r>
        <w:rPr>
          <w:rFonts w:eastAsia="Times New Roman" w:cs="Times New Roman"/>
          <w:i/>
          <w:color w:val="222222"/>
          <w:sz w:val="24"/>
          <w:szCs w:val="24"/>
          <w:lang w:eastAsia="en-GB"/>
        </w:rPr>
        <w:t xml:space="preserve">Wat is de ontwikkeling van </w:t>
      </w:r>
      <w:r w:rsidR="000D4B95">
        <w:rPr>
          <w:rFonts w:eastAsia="Times New Roman" w:cs="Times New Roman"/>
          <w:i/>
          <w:color w:val="222222"/>
          <w:sz w:val="24"/>
          <w:szCs w:val="24"/>
          <w:lang w:eastAsia="en-GB"/>
        </w:rPr>
        <w:t>de</w:t>
      </w:r>
      <w:r>
        <w:rPr>
          <w:rFonts w:eastAsia="Times New Roman" w:cs="Times New Roman"/>
          <w:i/>
          <w:color w:val="222222"/>
          <w:sz w:val="24"/>
          <w:szCs w:val="24"/>
          <w:lang w:eastAsia="en-GB"/>
        </w:rPr>
        <w:t xml:space="preserve"> materieel vast actiefpost stadion De Grolsch Veste gedurende de boekjaren 2012/2013, 2013/2014 en de aanpaste jaarrekening van het boekjaar 2013/2014?’</w:t>
      </w:r>
    </w:p>
    <w:p w:rsidR="006B5D8F" w:rsidRDefault="006B5D8F" w:rsidP="00A86755">
      <w:pPr>
        <w:shd w:val="clear" w:color="auto" w:fill="FFFFFF"/>
        <w:spacing w:after="0" w:line="360" w:lineRule="auto"/>
        <w:jc w:val="both"/>
        <w:rPr>
          <w:rFonts w:eastAsia="Times New Roman" w:cs="Times New Roman"/>
          <w:color w:val="222222"/>
          <w:sz w:val="24"/>
          <w:szCs w:val="24"/>
          <w:lang w:eastAsia="en-GB"/>
        </w:rPr>
      </w:pPr>
    </w:p>
    <w:p w:rsidR="00A01562" w:rsidRDefault="006B5D8F" w:rsidP="00A8675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In de relevante jaarrekeningen gedurende dit onderzoek staan de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aan de activazijde van de geconsolideerde balans van FC Twente. Deze post kent drie onderdelen te weten, </w:t>
      </w:r>
      <w:r w:rsidRPr="006B5D8F">
        <w:rPr>
          <w:rFonts w:eastAsia="Times New Roman" w:cs="Times New Roman"/>
          <w:i/>
          <w:color w:val="222222"/>
          <w:sz w:val="24"/>
          <w:szCs w:val="24"/>
          <w:lang w:eastAsia="en-GB"/>
        </w:rPr>
        <w:t>bedrijfsgebouwen en –terreinen</w:t>
      </w:r>
      <w:r>
        <w:rPr>
          <w:rFonts w:eastAsia="Times New Roman" w:cs="Times New Roman"/>
          <w:color w:val="222222"/>
          <w:sz w:val="24"/>
          <w:szCs w:val="24"/>
          <w:lang w:eastAsia="en-GB"/>
        </w:rPr>
        <w:t xml:space="preserve">, </w:t>
      </w:r>
      <w:r w:rsidRPr="006B5D8F">
        <w:rPr>
          <w:rFonts w:eastAsia="Times New Roman" w:cs="Times New Roman"/>
          <w:i/>
          <w:color w:val="222222"/>
          <w:sz w:val="24"/>
          <w:szCs w:val="24"/>
          <w:lang w:eastAsia="en-GB"/>
        </w:rPr>
        <w:t>andere vaste bedrijfsmiddelen</w:t>
      </w:r>
      <w:r>
        <w:rPr>
          <w:rFonts w:eastAsia="Times New Roman" w:cs="Times New Roman"/>
          <w:color w:val="222222"/>
          <w:sz w:val="24"/>
          <w:szCs w:val="24"/>
          <w:lang w:eastAsia="en-GB"/>
        </w:rPr>
        <w:t xml:space="preserve"> en </w:t>
      </w:r>
      <w:r w:rsidRPr="006B5D8F">
        <w:rPr>
          <w:rFonts w:eastAsia="Times New Roman" w:cs="Times New Roman"/>
          <w:i/>
          <w:color w:val="222222"/>
          <w:sz w:val="24"/>
          <w:szCs w:val="24"/>
          <w:lang w:eastAsia="en-GB"/>
        </w:rPr>
        <w:t>vaste bedrijfsmiddelen in uitvoering</w:t>
      </w:r>
      <w:r>
        <w:rPr>
          <w:rFonts w:eastAsia="Times New Roman" w:cs="Times New Roman"/>
          <w:color w:val="222222"/>
          <w:sz w:val="24"/>
          <w:szCs w:val="24"/>
          <w:lang w:eastAsia="en-GB"/>
        </w:rPr>
        <w:t xml:space="preserve">. Het stadion De Grolsch Veste wordt ondergebracht onder de post </w:t>
      </w:r>
      <w:r>
        <w:rPr>
          <w:rFonts w:eastAsia="Times New Roman" w:cs="Times New Roman"/>
          <w:i/>
          <w:color w:val="222222"/>
          <w:sz w:val="24"/>
          <w:szCs w:val="24"/>
          <w:lang w:eastAsia="en-GB"/>
        </w:rPr>
        <w:t>bedrijfsgebouwen en –terreinen</w:t>
      </w:r>
      <w:r>
        <w:rPr>
          <w:rFonts w:eastAsia="Times New Roman" w:cs="Times New Roman"/>
          <w:color w:val="222222"/>
          <w:sz w:val="24"/>
          <w:szCs w:val="24"/>
          <w:lang w:eastAsia="en-GB"/>
        </w:rPr>
        <w:t>.</w:t>
      </w:r>
      <w:r w:rsidR="00AE15FC">
        <w:rPr>
          <w:rFonts w:eastAsia="Times New Roman" w:cs="Times New Roman"/>
          <w:color w:val="222222"/>
          <w:sz w:val="24"/>
          <w:szCs w:val="24"/>
          <w:lang w:eastAsia="en-GB"/>
        </w:rPr>
        <w:t xml:space="preserve"> De bouw van het stadion vond plaats in twee fases, waarvan de eerste fase plaatsvond tijdens het seizoen 2007/2008 met een </w:t>
      </w:r>
      <w:r w:rsidR="0024076F">
        <w:rPr>
          <w:rFonts w:eastAsia="Times New Roman" w:cs="Times New Roman"/>
          <w:color w:val="222222"/>
          <w:sz w:val="24"/>
          <w:szCs w:val="24"/>
          <w:lang w:eastAsia="en-GB"/>
        </w:rPr>
        <w:t>kostenpost</w:t>
      </w:r>
      <w:r w:rsidR="00AE15FC">
        <w:rPr>
          <w:rFonts w:eastAsia="Times New Roman" w:cs="Times New Roman"/>
          <w:color w:val="222222"/>
          <w:sz w:val="24"/>
          <w:szCs w:val="24"/>
          <w:lang w:eastAsia="en-GB"/>
        </w:rPr>
        <w:t xml:space="preserve"> van 50,8 miljoen euro </w:t>
      </w:r>
      <w:sdt>
        <w:sdtPr>
          <w:rPr>
            <w:rFonts w:eastAsia="Times New Roman" w:cs="Times New Roman"/>
            <w:color w:val="222222"/>
            <w:sz w:val="24"/>
            <w:szCs w:val="24"/>
            <w:lang w:eastAsia="en-GB"/>
          </w:rPr>
          <w:id w:val="-1469664857"/>
          <w:citation/>
        </w:sdtPr>
        <w:sdtContent>
          <w:r w:rsidR="000C5AB6">
            <w:rPr>
              <w:rFonts w:eastAsia="Times New Roman" w:cs="Times New Roman"/>
              <w:color w:val="222222"/>
              <w:sz w:val="24"/>
              <w:szCs w:val="24"/>
              <w:lang w:eastAsia="en-GB"/>
            </w:rPr>
            <w:fldChar w:fldCharType="begin"/>
          </w:r>
          <w:r w:rsidR="00AE15FC">
            <w:rPr>
              <w:rFonts w:eastAsia="Times New Roman" w:cs="Times New Roman"/>
              <w:color w:val="222222"/>
              <w:sz w:val="24"/>
              <w:szCs w:val="24"/>
              <w:lang w:eastAsia="en-GB"/>
            </w:rPr>
            <w:instrText xml:space="preserve"> CITATION Vee09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(Veenbrink, 2009)</w:t>
          </w:r>
          <w:r w:rsidR="000C5AB6">
            <w:rPr>
              <w:rFonts w:eastAsia="Times New Roman" w:cs="Times New Roman"/>
              <w:color w:val="222222"/>
              <w:sz w:val="24"/>
              <w:szCs w:val="24"/>
              <w:lang w:eastAsia="en-GB"/>
            </w:rPr>
            <w:fldChar w:fldCharType="end"/>
          </w:r>
        </w:sdtContent>
      </w:sdt>
      <w:r w:rsidR="00AE15FC">
        <w:rPr>
          <w:rFonts w:eastAsia="Times New Roman" w:cs="Times New Roman"/>
          <w:color w:val="222222"/>
          <w:sz w:val="24"/>
          <w:szCs w:val="24"/>
          <w:lang w:eastAsia="en-GB"/>
        </w:rPr>
        <w:t xml:space="preserve">. De tweede bouwfase in 2011 kostte FC Twente ongeveer 15 miljoen euro. In dit hoofdstuk ligt zodoende de focus op de post </w:t>
      </w:r>
      <w:r w:rsidR="00AE15FC">
        <w:rPr>
          <w:rFonts w:eastAsia="Times New Roman" w:cs="Times New Roman"/>
          <w:i/>
          <w:color w:val="222222"/>
          <w:sz w:val="24"/>
          <w:szCs w:val="24"/>
          <w:lang w:eastAsia="en-GB"/>
        </w:rPr>
        <w:t xml:space="preserve">bedrijfsgebouwen </w:t>
      </w:r>
      <w:r w:rsidR="0024076F">
        <w:rPr>
          <w:rFonts w:eastAsia="Times New Roman" w:cs="Times New Roman"/>
          <w:i/>
          <w:color w:val="222222"/>
          <w:sz w:val="24"/>
          <w:szCs w:val="24"/>
          <w:lang w:eastAsia="en-GB"/>
        </w:rPr>
        <w:t xml:space="preserve">en </w:t>
      </w:r>
      <w:r w:rsidR="00AE15FC">
        <w:rPr>
          <w:rFonts w:eastAsia="Times New Roman" w:cs="Times New Roman"/>
          <w:i/>
          <w:color w:val="222222"/>
          <w:sz w:val="24"/>
          <w:szCs w:val="24"/>
          <w:lang w:eastAsia="en-GB"/>
        </w:rPr>
        <w:t>–terreinen</w:t>
      </w:r>
      <w:r w:rsidR="00AE15FC">
        <w:rPr>
          <w:rFonts w:eastAsia="Times New Roman" w:cs="Times New Roman"/>
          <w:color w:val="222222"/>
          <w:sz w:val="24"/>
          <w:szCs w:val="24"/>
          <w:lang w:eastAsia="en-GB"/>
        </w:rPr>
        <w:t>.</w:t>
      </w:r>
    </w:p>
    <w:p w:rsidR="009E5B8D" w:rsidRDefault="009E5B8D" w:rsidP="00A8675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Ter aanvulling vermelden alle toegepaste jaarrekeningen dat de opstelling van de jaarrekening geschiedt tegen schattingen, waardoor de daadwerkelijke uitkomsten mogelijk zouden kunnen afwijken van de werkelijke uitkomsten.</w:t>
      </w:r>
    </w:p>
    <w:p w:rsidR="009E5B8D" w:rsidRDefault="009E5B8D" w:rsidP="00A86755">
      <w:pPr>
        <w:shd w:val="clear" w:color="auto" w:fill="FFFFFF"/>
        <w:spacing w:after="0" w:line="360" w:lineRule="auto"/>
        <w:jc w:val="both"/>
        <w:rPr>
          <w:rFonts w:eastAsia="Times New Roman" w:cs="Times New Roman"/>
          <w:color w:val="222222"/>
          <w:sz w:val="24"/>
          <w:szCs w:val="24"/>
          <w:lang w:eastAsia="en-GB"/>
        </w:rPr>
      </w:pPr>
    </w:p>
    <w:p w:rsidR="009E5B8D" w:rsidRDefault="009E5B8D" w:rsidP="00A86755">
      <w:pPr>
        <w:shd w:val="clear" w:color="auto" w:fill="FFFFFF"/>
        <w:spacing w:after="0" w:line="360" w:lineRule="auto"/>
        <w:jc w:val="both"/>
        <w:rPr>
          <w:rFonts w:eastAsia="Times New Roman" w:cs="Times New Roman"/>
          <w:color w:val="222222"/>
          <w:sz w:val="24"/>
          <w:szCs w:val="24"/>
          <w:lang w:eastAsia="en-GB"/>
        </w:rPr>
      </w:pPr>
    </w:p>
    <w:p w:rsidR="009E5B8D" w:rsidRDefault="009E5B8D" w:rsidP="00A86755">
      <w:pPr>
        <w:shd w:val="clear" w:color="auto" w:fill="FFFFFF"/>
        <w:spacing w:after="0" w:line="360" w:lineRule="auto"/>
        <w:jc w:val="both"/>
        <w:rPr>
          <w:rFonts w:eastAsia="Times New Roman" w:cs="Times New Roman"/>
          <w:color w:val="222222"/>
          <w:sz w:val="24"/>
          <w:szCs w:val="24"/>
          <w:lang w:eastAsia="en-GB"/>
        </w:rPr>
      </w:pPr>
    </w:p>
    <w:p w:rsidR="009E5B8D" w:rsidRDefault="009E5B8D" w:rsidP="00A86755">
      <w:pPr>
        <w:shd w:val="clear" w:color="auto" w:fill="FFFFFF"/>
        <w:spacing w:after="0" w:line="360" w:lineRule="auto"/>
        <w:jc w:val="both"/>
        <w:rPr>
          <w:rFonts w:eastAsia="Times New Roman" w:cs="Times New Roman"/>
          <w:color w:val="222222"/>
          <w:sz w:val="24"/>
          <w:szCs w:val="24"/>
          <w:lang w:eastAsia="en-GB"/>
        </w:rPr>
      </w:pPr>
    </w:p>
    <w:p w:rsidR="00103AE8" w:rsidRDefault="00103AE8" w:rsidP="00A86755">
      <w:pPr>
        <w:shd w:val="clear" w:color="auto" w:fill="FFFFFF"/>
        <w:spacing w:after="0" w:line="360" w:lineRule="auto"/>
        <w:jc w:val="both"/>
        <w:rPr>
          <w:rFonts w:eastAsia="Times New Roman" w:cs="Times New Roman"/>
          <w:color w:val="222222"/>
          <w:sz w:val="24"/>
          <w:szCs w:val="24"/>
          <w:lang w:eastAsia="en-GB"/>
        </w:rPr>
      </w:pPr>
    </w:p>
    <w:p w:rsidR="009E5B8D" w:rsidRDefault="000C5AB6" w:rsidP="00A86755">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44" o:spid="_x0000_s1055" style="position:absolute;left:0;text-align:left;margin-left:1.15pt;margin-top:.7pt;width:57.7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" fillcolor="white [3201]" strokecolor="black [3213]" strokeweight="1pt">
            <v:textbox>
              <w:txbxContent>
                <w:p w:rsidR="00776867" w:rsidRDefault="00776867" w:rsidP="00A92291">
                  <w:pPr>
                    <w:jc w:val="center"/>
                  </w:pPr>
                  <w:r>
                    <w:t>Figuur 20</w:t>
                  </w:r>
                </w:p>
              </w:txbxContent>
            </v:textbox>
          </v:rect>
        </w:pict>
      </w:r>
    </w:p>
    <w:p w:rsidR="00A01562" w:rsidRDefault="009E5B8D" w:rsidP="00A8675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noProof/>
          <w:color w:val="222222"/>
          <w:sz w:val="24"/>
          <w:szCs w:val="24"/>
          <w:lang w:val="en-US"/>
        </w:rPr>
        <w:drawing>
          <wp:inline distT="0" distB="0" distL="0" distR="0">
            <wp:extent cx="4592955" cy="1562735"/>
            <wp:effectExtent l="0" t="0" r="0" b="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2955" cy="1562735"/>
                    </a:xfrm>
                    <a:prstGeom prst="rect">
                      <a:avLst/>
                    </a:prstGeom>
                    <a:noFill/>
                    <a:ln>
                      <a:noFill/>
                    </a:ln>
                  </pic:spPr>
                </pic:pic>
              </a:graphicData>
            </a:graphic>
          </wp:inline>
        </w:drawing>
      </w:r>
    </w:p>
    <w:p w:rsidR="00A92291" w:rsidRDefault="00A92291" w:rsidP="00A86755">
      <w:pPr>
        <w:shd w:val="clear" w:color="auto" w:fill="FFFFFF"/>
        <w:spacing w:after="0" w:line="360" w:lineRule="auto"/>
        <w:jc w:val="both"/>
        <w:rPr>
          <w:rFonts w:eastAsia="Times New Roman" w:cs="Times New Roman"/>
          <w:color w:val="222222"/>
          <w:sz w:val="24"/>
          <w:szCs w:val="24"/>
          <w:lang w:eastAsia="en-GB"/>
        </w:rPr>
      </w:pPr>
    </w:p>
    <w:p w:rsidR="00A01562" w:rsidRPr="00103AE8" w:rsidRDefault="00776867" w:rsidP="00103AE8">
      <w:pPr>
        <w:pStyle w:val="Heading2"/>
        <w:rPr>
          <w:rFonts w:eastAsia="Times New Roman"/>
          <w:sz w:val="32"/>
          <w:lang w:eastAsia="en-GB"/>
        </w:rPr>
      </w:pPr>
      <w:bookmarkStart w:id="47" w:name="_Toc425516513"/>
      <w:r>
        <w:rPr>
          <w:rFonts w:eastAsia="Times New Roman"/>
          <w:sz w:val="32"/>
          <w:lang w:eastAsia="en-GB"/>
        </w:rPr>
        <w:t>5</w:t>
      </w:r>
      <w:r w:rsidR="00103AE8" w:rsidRPr="00103AE8">
        <w:rPr>
          <w:rFonts w:eastAsia="Times New Roman"/>
          <w:sz w:val="32"/>
          <w:lang w:eastAsia="en-GB"/>
        </w:rPr>
        <w:t xml:space="preserve">.2. </w:t>
      </w:r>
      <w:r w:rsidR="00A01562" w:rsidRPr="00103AE8">
        <w:rPr>
          <w:rFonts w:eastAsia="Times New Roman"/>
          <w:sz w:val="32"/>
          <w:lang w:eastAsia="en-GB"/>
        </w:rPr>
        <w:t>Jaarrekening FC Twente 2012/2013</w:t>
      </w:r>
      <w:bookmarkEnd w:id="47"/>
    </w:p>
    <w:p w:rsidR="00D36550" w:rsidRDefault="00063C3A" w:rsidP="00A8675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Ten eerste wordt er gekeken welke informatie de geconsolideerde balans van FC Twente verstrekt met betrekking tot de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w:t>
      </w:r>
      <w:r w:rsidR="00E17ACF">
        <w:rPr>
          <w:rFonts w:eastAsia="Times New Roman" w:cs="Times New Roman"/>
          <w:color w:val="222222"/>
          <w:sz w:val="24"/>
          <w:szCs w:val="24"/>
          <w:lang w:eastAsia="en-GB"/>
        </w:rPr>
        <w:t xml:space="preserve">Uit de geconsolideerde balans na resultaatverdeling </w:t>
      </w:r>
      <w:r>
        <w:rPr>
          <w:rFonts w:eastAsia="Times New Roman" w:cs="Times New Roman"/>
          <w:color w:val="222222"/>
          <w:sz w:val="24"/>
          <w:szCs w:val="24"/>
          <w:lang w:eastAsia="en-GB"/>
        </w:rPr>
        <w:t>blijkt</w:t>
      </w:r>
      <w:r w:rsidR="00E17ACF">
        <w:rPr>
          <w:rFonts w:eastAsia="Times New Roman" w:cs="Times New Roman"/>
          <w:color w:val="222222"/>
          <w:sz w:val="24"/>
          <w:szCs w:val="24"/>
          <w:lang w:eastAsia="en-GB"/>
        </w:rPr>
        <w:t xml:space="preserve"> de volgende onderverdeling </w:t>
      </w:r>
      <w:r>
        <w:rPr>
          <w:rFonts w:eastAsia="Times New Roman" w:cs="Times New Roman"/>
          <w:color w:val="222222"/>
          <w:sz w:val="24"/>
          <w:szCs w:val="24"/>
          <w:lang w:eastAsia="en-GB"/>
        </w:rPr>
        <w:t>te zijn gemaakt:</w:t>
      </w:r>
    </w:p>
    <w:p w:rsidR="00E17ACF" w:rsidRDefault="000C5AB6" w:rsidP="00A86755">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46" o:spid="_x0000_s1056" style="position:absolute;left:0;text-align:left;margin-left:0;margin-top:12.25pt;width:57.75pt;height:21.75pt;z-index:2516940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" fillcolor="white [3201]" strokecolor="black [3213]" strokeweight="1pt">
            <v:textbox>
              <w:txbxContent>
                <w:p w:rsidR="00776867" w:rsidRDefault="00776867" w:rsidP="00E17ACF">
                  <w:pPr>
                    <w:jc w:val="center"/>
                  </w:pPr>
                  <w:r>
                    <w:t>Figuur 21</w:t>
                  </w:r>
                </w:p>
              </w:txbxContent>
            </v:textbox>
            <w10:wrap anchorx="margin"/>
          </v:rect>
        </w:pict>
      </w:r>
    </w:p>
    <w:p w:rsidR="00063C3A" w:rsidRDefault="00063C3A" w:rsidP="00A86755">
      <w:pPr>
        <w:shd w:val="clear" w:color="auto" w:fill="FFFFFF"/>
        <w:spacing w:after="0" w:line="360" w:lineRule="auto"/>
        <w:jc w:val="both"/>
        <w:rPr>
          <w:rFonts w:eastAsia="Times New Roman" w:cs="Times New Roman"/>
          <w:color w:val="222222"/>
          <w:sz w:val="24"/>
          <w:szCs w:val="24"/>
          <w:lang w:eastAsia="en-GB"/>
        </w:rPr>
      </w:pPr>
    </w:p>
    <w:p w:rsidR="00E17ACF" w:rsidRPr="00D36550" w:rsidRDefault="00E17ACF" w:rsidP="00A86755">
      <w:pPr>
        <w:shd w:val="clear" w:color="auto" w:fill="FFFFFF"/>
        <w:spacing w:after="0" w:line="360" w:lineRule="auto"/>
        <w:jc w:val="both"/>
        <w:rPr>
          <w:rFonts w:eastAsia="Times New Roman" w:cs="Times New Roman"/>
          <w:color w:val="222222"/>
          <w:sz w:val="24"/>
          <w:szCs w:val="24"/>
          <w:lang w:eastAsia="en-GB"/>
        </w:rPr>
      </w:pPr>
      <w:r>
        <w:rPr>
          <w:noProof/>
          <w:lang w:val="en-US"/>
        </w:rPr>
        <w:drawing>
          <wp:inline distT="0" distB="0" distL="0" distR="0">
            <wp:extent cx="5167630" cy="1148080"/>
            <wp:effectExtent l="0" t="0" r="0" b="0"/>
            <wp:docPr id="45"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67630" cy="1148080"/>
                    </a:xfrm>
                    <a:prstGeom prst="rect">
                      <a:avLst/>
                    </a:prstGeom>
                    <a:noFill/>
                    <a:ln>
                      <a:noFill/>
                    </a:ln>
                  </pic:spPr>
                </pic:pic>
              </a:graphicData>
            </a:graphic>
          </wp:inline>
        </w:drawing>
      </w:r>
    </w:p>
    <w:p w:rsidR="00A86755" w:rsidRPr="0066604E" w:rsidRDefault="00063C3A" w:rsidP="0066604E">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Uit bovenstaande figuur blijkt dat de boekwaarde van het stadion bij aanvang van het boekjaar gewaardeerd werd tegen ruim 56 miljoen euro. Door mutaties in de investeringen en afschrijvingen is de boekwaarde van het stadion aan het eind van het boekjaar 2012/2013 ruim 54 miljoen euro</w:t>
      </w:r>
      <w:r w:rsidR="0066604E">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32993615"/>
          <w:citation/>
        </w:sdtPr>
        <w:sdtContent>
          <w:r w:rsidR="000C5AB6">
            <w:rPr>
              <w:rFonts w:eastAsia="Times New Roman" w:cs="Times New Roman"/>
              <w:color w:val="222222"/>
              <w:sz w:val="24"/>
              <w:szCs w:val="24"/>
              <w:lang w:eastAsia="en-GB"/>
            </w:rPr>
            <w:fldChar w:fldCharType="begin"/>
          </w:r>
          <w:r w:rsidR="0066604E">
            <w:rPr>
              <w:rFonts w:eastAsia="Times New Roman" w:cs="Times New Roman"/>
              <w:color w:val="222222"/>
              <w:sz w:val="24"/>
              <w:szCs w:val="24"/>
              <w:lang w:eastAsia="en-GB"/>
            </w:rPr>
            <w:instrText xml:space="preserve"> CITATION Sti14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2014)</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 xml:space="preserve">. In de algemene toelichting wordt uitgelegd welke grondslagen zijn gebruikt voor de waardering van activa en passiva. Specifieker, voor de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geschiet waardering tegen aanschafwaarde, na aftrek van jaarlijks lineaire afschrijvingen op basis van de geschatte economische levensduur. De economische levensduur van het stadion wordt geschat op 25 jaar en afschrijving geschiedt van het moment van ingebruikname van het stadion. F</w:t>
      </w:r>
      <w:r w:rsidR="0066604E">
        <w:rPr>
          <w:rFonts w:eastAsia="Times New Roman" w:cs="Times New Roman"/>
          <w:color w:val="222222"/>
          <w:sz w:val="24"/>
          <w:szCs w:val="24"/>
          <w:lang w:eastAsia="en-GB"/>
        </w:rPr>
        <w:t>C Twente heeft D</w:t>
      </w:r>
      <w:r>
        <w:rPr>
          <w:rFonts w:eastAsia="Times New Roman" w:cs="Times New Roman"/>
          <w:color w:val="222222"/>
          <w:sz w:val="24"/>
          <w:szCs w:val="24"/>
          <w:lang w:eastAsia="en-GB"/>
        </w:rPr>
        <w:t xml:space="preserve">e Grolsch </w:t>
      </w:r>
      <w:r>
        <w:rPr>
          <w:rFonts w:eastAsia="Times New Roman" w:cs="Times New Roman"/>
          <w:color w:val="222222"/>
          <w:sz w:val="24"/>
          <w:szCs w:val="24"/>
          <w:lang w:eastAsia="en-GB"/>
        </w:rPr>
        <w:lastRenderedPageBreak/>
        <w:t xml:space="preserve">Veste </w:t>
      </w:r>
      <w:r w:rsidR="0066604E">
        <w:rPr>
          <w:rFonts w:eastAsia="Times New Roman" w:cs="Times New Roman"/>
          <w:color w:val="222222"/>
          <w:sz w:val="24"/>
          <w:szCs w:val="24"/>
          <w:lang w:eastAsia="en-GB"/>
        </w:rPr>
        <w:t>sinds het boekjaar 2008/2009 in gebruik genomen, wat betekent dat het boekjaar 2012/2013 het vijfde van de geschatte 25 gebruiksjaren van het stadion betreft.</w:t>
      </w:r>
    </w:p>
    <w:p w:rsidR="00103AE8" w:rsidRDefault="00103AE8" w:rsidP="003849C3">
      <w:pPr>
        <w:spacing w:line="360" w:lineRule="auto"/>
        <w:jc w:val="both"/>
        <w:rPr>
          <w:sz w:val="24"/>
          <w:szCs w:val="24"/>
        </w:rPr>
      </w:pPr>
    </w:p>
    <w:p w:rsidR="00103AE8" w:rsidRDefault="00103AE8" w:rsidP="003849C3">
      <w:pPr>
        <w:spacing w:line="360" w:lineRule="auto"/>
        <w:jc w:val="both"/>
        <w:rPr>
          <w:sz w:val="24"/>
          <w:szCs w:val="24"/>
        </w:rPr>
      </w:pPr>
    </w:p>
    <w:p w:rsidR="0066604E" w:rsidRDefault="000C5AB6" w:rsidP="003849C3">
      <w:pPr>
        <w:spacing w:line="360" w:lineRule="auto"/>
        <w:jc w:val="both"/>
        <w:rPr>
          <w:sz w:val="24"/>
          <w:szCs w:val="24"/>
        </w:rPr>
      </w:pPr>
      <w:r w:rsidRPr="000C5AB6">
        <w:rPr>
          <w:noProof/>
          <w:sz w:val="24"/>
          <w:szCs w:val="24"/>
          <w:lang w:val="en-GB" w:eastAsia="en-GB"/>
        </w:rPr>
        <w:pict>
          <v:rect id="Rechthoek 48" o:spid="_x0000_s1057" style="position:absolute;left:0;text-align:left;margin-left:1.15pt;margin-top:1.2pt;width:57.75pt;height:20.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" fillcolor="white [3201]" strokecolor="black [3213]" strokeweight="1pt">
            <v:textbox>
              <w:txbxContent>
                <w:p w:rsidR="00776867" w:rsidRDefault="00776867" w:rsidP="0066604E">
                  <w:pPr>
                    <w:jc w:val="center"/>
                  </w:pPr>
                  <w:r>
                    <w:t>Figuur 22</w:t>
                  </w:r>
                </w:p>
              </w:txbxContent>
            </v:textbox>
          </v:rect>
        </w:pict>
      </w:r>
    </w:p>
    <w:p w:rsidR="0066604E" w:rsidRPr="00A86755" w:rsidRDefault="0066604E" w:rsidP="003849C3">
      <w:pPr>
        <w:spacing w:line="360" w:lineRule="auto"/>
        <w:jc w:val="both"/>
        <w:rPr>
          <w:sz w:val="24"/>
          <w:szCs w:val="24"/>
        </w:rPr>
      </w:pPr>
      <w:r>
        <w:rPr>
          <w:noProof/>
          <w:lang w:val="en-US"/>
        </w:rPr>
        <w:drawing>
          <wp:inline distT="0" distB="0" distL="0" distR="0">
            <wp:extent cx="4582795" cy="1127125"/>
            <wp:effectExtent l="0" t="0" r="8255" b="0"/>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2795" cy="1127125"/>
                    </a:xfrm>
                    <a:prstGeom prst="rect">
                      <a:avLst/>
                    </a:prstGeom>
                    <a:noFill/>
                    <a:ln>
                      <a:noFill/>
                    </a:ln>
                  </pic:spPr>
                </pic:pic>
              </a:graphicData>
            </a:graphic>
          </wp:inline>
        </w:drawing>
      </w:r>
    </w:p>
    <w:p w:rsidR="006A7B71" w:rsidRPr="002253B3" w:rsidRDefault="000C5AB6" w:rsidP="006A7B71">
      <w:pPr>
        <w:spacing w:line="360" w:lineRule="auto"/>
        <w:jc w:val="both"/>
        <w:rPr>
          <w:sz w:val="24"/>
          <w:szCs w:val="24"/>
        </w:rPr>
      </w:pPr>
      <w:r w:rsidRPr="000C5AB6">
        <w:rPr>
          <w:noProof/>
          <w:sz w:val="24"/>
          <w:szCs w:val="24"/>
          <w:lang w:val="en-GB" w:eastAsia="en-GB"/>
        </w:rPr>
        <w:pict>
          <v:rect id="Rechthoek 50" o:spid="_x0000_s1058" style="position:absolute;left:0;text-align:left;margin-left:1.15pt;margin-top:93.45pt;width:58.5pt;height:2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" fillcolor="white [3201]" strokecolor="black [3213]" strokeweight="1pt">
            <v:textbox>
              <w:txbxContent>
                <w:p w:rsidR="00776867" w:rsidRDefault="00776867" w:rsidP="002253B3">
                  <w:pPr>
                    <w:jc w:val="center"/>
                  </w:pPr>
                  <w:r>
                    <w:t>Figuur 23</w:t>
                  </w:r>
                </w:p>
              </w:txbxContent>
            </v:textbox>
          </v:rect>
        </w:pict>
      </w:r>
      <w:r w:rsidR="002253B3">
        <w:rPr>
          <w:sz w:val="24"/>
          <w:szCs w:val="24"/>
        </w:rPr>
        <w:t xml:space="preserve">In diezelfde algemene toelichting beschrijft FC Twente tevens het beleid met betrekking tot bijzondere waardeverminderingen van vaste activa. Echter, gedurende het boekjaar 2012/2013 zijn er geen aanwijzingen die aanleiding geven voor het aanpassen van de post </w:t>
      </w:r>
      <w:r w:rsidR="002253B3">
        <w:rPr>
          <w:i/>
          <w:sz w:val="24"/>
          <w:szCs w:val="24"/>
        </w:rPr>
        <w:t>bedrijfsgebouwen en –terreinen</w:t>
      </w:r>
      <w:r w:rsidR="002253B3">
        <w:rPr>
          <w:sz w:val="24"/>
          <w:szCs w:val="24"/>
        </w:rPr>
        <w:t>.</w:t>
      </w:r>
    </w:p>
    <w:p w:rsidR="003144B0" w:rsidRDefault="003144B0" w:rsidP="006A7B71">
      <w:pPr>
        <w:spacing w:line="360" w:lineRule="auto"/>
        <w:jc w:val="both"/>
        <w:rPr>
          <w:sz w:val="24"/>
          <w:szCs w:val="24"/>
        </w:rPr>
      </w:pPr>
    </w:p>
    <w:p w:rsidR="003144B0" w:rsidRPr="006A7B71" w:rsidRDefault="003144B0" w:rsidP="006A7B71">
      <w:pPr>
        <w:spacing w:line="360" w:lineRule="auto"/>
        <w:jc w:val="both"/>
        <w:rPr>
          <w:sz w:val="24"/>
          <w:szCs w:val="24"/>
        </w:rPr>
      </w:pPr>
      <w:r>
        <w:rPr>
          <w:noProof/>
          <w:lang w:val="en-US"/>
        </w:rPr>
        <w:drawing>
          <wp:inline distT="0" distB="0" distL="0" distR="0">
            <wp:extent cx="4572000" cy="1148080"/>
            <wp:effectExtent l="0" t="0" r="0" b="0"/>
            <wp:docPr id="49" name="Afbeeld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1148080"/>
                    </a:xfrm>
                    <a:prstGeom prst="rect">
                      <a:avLst/>
                    </a:prstGeom>
                    <a:noFill/>
                    <a:ln>
                      <a:noFill/>
                    </a:ln>
                  </pic:spPr>
                </pic:pic>
              </a:graphicData>
            </a:graphic>
          </wp:inline>
        </w:drawing>
      </w:r>
    </w:p>
    <w:p w:rsidR="00176DEB" w:rsidRDefault="00176DEB" w:rsidP="00A747AC">
      <w:pPr>
        <w:spacing w:line="360" w:lineRule="auto"/>
        <w:jc w:val="both"/>
        <w:rPr>
          <w:sz w:val="24"/>
          <w:szCs w:val="24"/>
        </w:rPr>
      </w:pPr>
      <w:r>
        <w:rPr>
          <w:sz w:val="24"/>
          <w:szCs w:val="24"/>
        </w:rPr>
        <w:t xml:space="preserve">Volgens de geconsolideerde winst-en-verliesrekening over het boekjaar 2012/2013 heeft FC Twente een negatief resultaat van ruim 8.5 miljoen euro gerealiseerd </w:t>
      </w:r>
      <w:sdt>
        <w:sdtPr>
          <w:rPr>
            <w:sz w:val="24"/>
            <w:szCs w:val="24"/>
          </w:rPr>
          <w:id w:val="1226871483"/>
          <w:citation/>
        </w:sdtPr>
        <w:sdtContent>
          <w:r w:rsidR="000C5AB6">
            <w:rPr>
              <w:sz w:val="24"/>
              <w:szCs w:val="24"/>
            </w:rPr>
            <w:fldChar w:fldCharType="begin"/>
          </w:r>
          <w:r>
            <w:rPr>
              <w:sz w:val="24"/>
              <w:szCs w:val="24"/>
            </w:rPr>
            <w:instrText xml:space="preserve"> CITATION Sti14 \l 1043 </w:instrText>
          </w:r>
          <w:r w:rsidR="000C5AB6">
            <w:rPr>
              <w:sz w:val="24"/>
              <w:szCs w:val="24"/>
            </w:rPr>
            <w:fldChar w:fldCharType="separate"/>
          </w:r>
          <w:r w:rsidR="00062BB9" w:rsidRPr="00062BB9">
            <w:rPr>
              <w:noProof/>
              <w:sz w:val="24"/>
              <w:szCs w:val="24"/>
            </w:rPr>
            <w:t>(Stichting FC Twente '65 B.V., 2014)</w:t>
          </w:r>
          <w:r w:rsidR="000C5AB6">
            <w:rPr>
              <w:sz w:val="24"/>
              <w:szCs w:val="24"/>
            </w:rPr>
            <w:fldChar w:fldCharType="end"/>
          </w:r>
        </w:sdtContent>
      </w:sdt>
      <w:r>
        <w:rPr>
          <w:sz w:val="24"/>
          <w:szCs w:val="24"/>
        </w:rPr>
        <w:t xml:space="preserve">. </w:t>
      </w:r>
      <w:r w:rsidR="00B03DAA">
        <w:rPr>
          <w:sz w:val="24"/>
          <w:szCs w:val="24"/>
        </w:rPr>
        <w:t xml:space="preserve">Uit de toelichting op deze wins-en-verliesrekening blijkt welke rol de </w:t>
      </w:r>
      <w:r w:rsidR="00E01DA4">
        <w:rPr>
          <w:sz w:val="24"/>
          <w:szCs w:val="24"/>
        </w:rPr>
        <w:t>materiële</w:t>
      </w:r>
      <w:r w:rsidR="00B03DAA">
        <w:rPr>
          <w:sz w:val="24"/>
          <w:szCs w:val="24"/>
        </w:rPr>
        <w:t xml:space="preserve"> vaste activa op dit resultaat heeft gespeeld. Daarnaast is uit deze toelichting te herleiden waar de afschrijvingskosten op het stadion uit bestaan en hoeveel de relatieve omvang van de afschrijving betreft.</w:t>
      </w:r>
    </w:p>
    <w:p w:rsidR="00B03DAA" w:rsidRDefault="000C5AB6" w:rsidP="00A747AC">
      <w:pPr>
        <w:spacing w:line="360" w:lineRule="auto"/>
        <w:jc w:val="both"/>
        <w:rPr>
          <w:sz w:val="24"/>
          <w:szCs w:val="24"/>
        </w:rPr>
      </w:pPr>
      <w:r w:rsidRPr="000C5AB6">
        <w:rPr>
          <w:noProof/>
          <w:sz w:val="24"/>
          <w:szCs w:val="24"/>
          <w:lang w:val="en-GB" w:eastAsia="en-GB"/>
        </w:rPr>
        <w:pict>
          <v:rect id="Rechthoek 53" o:spid="_x0000_s1059" style="position:absolute;left:0;text-align:left;margin-left:1.9pt;margin-top:3.9pt;width:57.75pt;height: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" fillcolor="white [3201]" strokecolor="black [3213]" strokeweight="1pt">
            <v:textbox>
              <w:txbxContent>
                <w:p w:rsidR="00776867" w:rsidRDefault="00776867" w:rsidP="00B03DAA">
                  <w:pPr>
                    <w:jc w:val="center"/>
                  </w:pPr>
                  <w:r>
                    <w:t>Figuur 24</w:t>
                  </w:r>
                </w:p>
              </w:txbxContent>
            </v:textbox>
          </v:rect>
        </w:pict>
      </w:r>
    </w:p>
    <w:p w:rsidR="00B03DAA" w:rsidRDefault="00B03DAA" w:rsidP="00A747AC">
      <w:pPr>
        <w:spacing w:line="360" w:lineRule="auto"/>
        <w:jc w:val="both"/>
        <w:rPr>
          <w:sz w:val="24"/>
          <w:szCs w:val="24"/>
        </w:rPr>
      </w:pPr>
      <w:r>
        <w:rPr>
          <w:noProof/>
          <w:sz w:val="24"/>
          <w:szCs w:val="24"/>
          <w:lang w:val="en-US"/>
        </w:rPr>
        <w:lastRenderedPageBreak/>
        <w:drawing>
          <wp:inline distT="0" distB="0" distL="0" distR="0">
            <wp:extent cx="3625850" cy="1275715"/>
            <wp:effectExtent l="0" t="0" r="0" b="635"/>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25850" cy="1275715"/>
                    </a:xfrm>
                    <a:prstGeom prst="rect">
                      <a:avLst/>
                    </a:prstGeom>
                    <a:noFill/>
                    <a:ln>
                      <a:noFill/>
                    </a:ln>
                  </pic:spPr>
                </pic:pic>
              </a:graphicData>
            </a:graphic>
          </wp:inline>
        </w:drawing>
      </w:r>
    </w:p>
    <w:p w:rsidR="005A5E5B" w:rsidRDefault="005A5E5B" w:rsidP="005A5E5B">
      <w:pPr>
        <w:spacing w:line="360" w:lineRule="auto"/>
        <w:jc w:val="both"/>
        <w:rPr>
          <w:sz w:val="24"/>
          <w:szCs w:val="24"/>
        </w:rPr>
      </w:pPr>
      <w:r>
        <w:rPr>
          <w:sz w:val="24"/>
          <w:szCs w:val="24"/>
        </w:rPr>
        <w:t xml:space="preserve">Uit de winst-en-verliesrekening blijkt dat de afschrijvingskosten op </w:t>
      </w:r>
      <w:r>
        <w:rPr>
          <w:i/>
          <w:sz w:val="24"/>
          <w:szCs w:val="24"/>
        </w:rPr>
        <w:t xml:space="preserve">bedrijfsgebouwen </w:t>
      </w:r>
      <w:r w:rsidR="0024076F">
        <w:rPr>
          <w:i/>
          <w:sz w:val="24"/>
          <w:szCs w:val="24"/>
        </w:rPr>
        <w:t xml:space="preserve">en </w:t>
      </w:r>
      <w:r>
        <w:rPr>
          <w:i/>
          <w:sz w:val="24"/>
          <w:szCs w:val="24"/>
        </w:rPr>
        <w:t>–terreinen</w:t>
      </w:r>
      <w:r>
        <w:rPr>
          <w:sz w:val="24"/>
          <w:szCs w:val="24"/>
        </w:rPr>
        <w:t xml:space="preserve"> 5,5% van de bedrijfslasten vormt </w:t>
      </w:r>
      <w:sdt>
        <w:sdtPr>
          <w:rPr>
            <w:sz w:val="24"/>
            <w:szCs w:val="24"/>
          </w:rPr>
          <w:id w:val="-1408769292"/>
          <w:citation/>
        </w:sdtPr>
        <w:sdtContent>
          <w:r w:rsidR="000C5AB6">
            <w:rPr>
              <w:sz w:val="24"/>
              <w:szCs w:val="24"/>
            </w:rPr>
            <w:fldChar w:fldCharType="begin"/>
          </w:r>
          <w:r>
            <w:rPr>
              <w:sz w:val="24"/>
              <w:szCs w:val="24"/>
            </w:rPr>
            <w:instrText xml:space="preserve"> CITATION Sti14 \l 1043 </w:instrText>
          </w:r>
          <w:r w:rsidR="000C5AB6">
            <w:rPr>
              <w:sz w:val="24"/>
              <w:szCs w:val="24"/>
            </w:rPr>
            <w:fldChar w:fldCharType="separate"/>
          </w:r>
          <w:r w:rsidR="00062BB9" w:rsidRPr="00062BB9">
            <w:rPr>
              <w:noProof/>
              <w:sz w:val="24"/>
              <w:szCs w:val="24"/>
            </w:rPr>
            <w:t>(Stichting FC Twente '65 B.V., 2014)</w:t>
          </w:r>
          <w:r w:rsidR="000C5AB6">
            <w:rPr>
              <w:sz w:val="24"/>
              <w:szCs w:val="24"/>
            </w:rPr>
            <w:fldChar w:fldCharType="end"/>
          </w:r>
        </w:sdtContent>
      </w:sdt>
      <w:r>
        <w:rPr>
          <w:sz w:val="24"/>
          <w:szCs w:val="24"/>
        </w:rPr>
        <w:t xml:space="preserve">. Zoals </w:t>
      </w:r>
      <w:proofErr w:type="gramStart"/>
      <w:r>
        <w:rPr>
          <w:sz w:val="24"/>
          <w:szCs w:val="24"/>
        </w:rPr>
        <w:t>reeds</w:t>
      </w:r>
      <w:proofErr w:type="gramEnd"/>
      <w:r>
        <w:rPr>
          <w:sz w:val="24"/>
          <w:szCs w:val="24"/>
        </w:rPr>
        <w:t xml:space="preserve"> gesteld geschied afschrijving op het stadion op basis van de aanschafwaarde tegen een lineaire jaarlijkse afschrijving over de economische gebruiksduur van 25 jaar. Zodoende is de afschrijving op het stadion over het boekjaar 2012/2013 geschat op 2.789.000 euro</w:t>
      </w:r>
      <w:r w:rsidR="00EA5CD3">
        <w:rPr>
          <w:sz w:val="24"/>
          <w:szCs w:val="24"/>
        </w:rPr>
        <w:t xml:space="preserve">, na aftrek van de vrijval voor de investeringspremie groot 52.000 </w:t>
      </w:r>
      <w:proofErr w:type="gramStart"/>
      <w:r w:rsidR="00EA5CD3">
        <w:rPr>
          <w:sz w:val="24"/>
          <w:szCs w:val="24"/>
        </w:rPr>
        <w:t>euro</w:t>
      </w:r>
      <w:r>
        <w:rPr>
          <w:sz w:val="24"/>
          <w:szCs w:val="24"/>
        </w:rPr>
        <w:t xml:space="preserve">.  </w:t>
      </w:r>
      <w:proofErr w:type="gramEnd"/>
      <w:r>
        <w:rPr>
          <w:sz w:val="24"/>
          <w:szCs w:val="24"/>
        </w:rPr>
        <w:t xml:space="preserve">Dit bedrag is tevens terug te vinden op de toelichting op de geconsolideerde balans met betrekking tot de </w:t>
      </w:r>
      <w:r w:rsidR="00E01DA4">
        <w:rPr>
          <w:sz w:val="24"/>
          <w:szCs w:val="24"/>
        </w:rPr>
        <w:t>materiële</w:t>
      </w:r>
      <w:r>
        <w:rPr>
          <w:sz w:val="24"/>
          <w:szCs w:val="24"/>
        </w:rPr>
        <w:t xml:space="preserve"> vaste activa:</w:t>
      </w:r>
    </w:p>
    <w:p w:rsidR="005A5E5B" w:rsidRDefault="000C5AB6" w:rsidP="005A5E5B">
      <w:pPr>
        <w:spacing w:line="360" w:lineRule="auto"/>
        <w:jc w:val="both"/>
        <w:rPr>
          <w:sz w:val="24"/>
          <w:szCs w:val="24"/>
        </w:rPr>
      </w:pPr>
      <w:r w:rsidRPr="000C5AB6">
        <w:rPr>
          <w:noProof/>
          <w:sz w:val="24"/>
          <w:szCs w:val="24"/>
          <w:lang w:val="en-GB" w:eastAsia="en-GB"/>
        </w:rPr>
        <w:pict>
          <v:rect id="Rechthoek 54" o:spid="_x0000_s1060" style="position:absolute;left:0;text-align:left;margin-left:0;margin-top:2.4pt;width:54pt;height:21.75pt;z-index:2516981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" fillcolor="white [3201]" strokecolor="black [3213]" strokeweight="1pt">
            <v:textbox>
              <w:txbxContent>
                <w:p w:rsidR="00776867" w:rsidRDefault="00776867" w:rsidP="005A5E5B">
                  <w:pPr>
                    <w:jc w:val="center"/>
                  </w:pPr>
                  <w:r>
                    <w:t>Figuur 25</w:t>
                  </w:r>
                </w:p>
              </w:txbxContent>
            </v:textbox>
            <w10:wrap anchorx="margin"/>
          </v:rect>
        </w:pict>
      </w:r>
    </w:p>
    <w:p w:rsidR="005A5E5B" w:rsidRPr="005A5E5B" w:rsidRDefault="005A5E5B" w:rsidP="00A747AC">
      <w:pPr>
        <w:spacing w:line="360" w:lineRule="auto"/>
        <w:jc w:val="both"/>
        <w:rPr>
          <w:b/>
          <w:sz w:val="24"/>
          <w:szCs w:val="24"/>
        </w:rPr>
      </w:pPr>
      <w:r>
        <w:rPr>
          <w:noProof/>
          <w:lang w:val="en-US"/>
        </w:rPr>
        <w:drawing>
          <wp:inline distT="0" distB="0" distL="0" distR="0">
            <wp:extent cx="2243455" cy="3232150"/>
            <wp:effectExtent l="0" t="0" r="4445" b="6350"/>
            <wp:docPr id="51" name="Afbeelding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3455" cy="3232150"/>
                    </a:xfrm>
                    <a:prstGeom prst="rect">
                      <a:avLst/>
                    </a:prstGeom>
                    <a:noFill/>
                    <a:ln>
                      <a:noFill/>
                    </a:ln>
                  </pic:spPr>
                </pic:pic>
              </a:graphicData>
            </a:graphic>
          </wp:inline>
        </w:drawing>
      </w:r>
    </w:p>
    <w:p w:rsidR="00C923C6" w:rsidRDefault="002253B3" w:rsidP="00A747AC">
      <w:pPr>
        <w:spacing w:line="360" w:lineRule="auto"/>
        <w:jc w:val="both"/>
        <w:rPr>
          <w:sz w:val="24"/>
          <w:szCs w:val="24"/>
        </w:rPr>
      </w:pPr>
      <w:r>
        <w:rPr>
          <w:sz w:val="24"/>
          <w:szCs w:val="24"/>
        </w:rPr>
        <w:t>In de toelichting op</w:t>
      </w:r>
      <w:r w:rsidR="009F6BAF">
        <w:rPr>
          <w:sz w:val="24"/>
          <w:szCs w:val="24"/>
        </w:rPr>
        <w:t xml:space="preserve"> de geconsolideerde balans worden</w:t>
      </w:r>
      <w:r>
        <w:rPr>
          <w:sz w:val="24"/>
          <w:szCs w:val="24"/>
        </w:rPr>
        <w:t xml:space="preserve"> met betrekking tot het stadion De Grolsch Veste </w:t>
      </w:r>
      <w:r w:rsidR="009F6BAF">
        <w:rPr>
          <w:sz w:val="24"/>
          <w:szCs w:val="24"/>
        </w:rPr>
        <w:t xml:space="preserve">de mutaties gedurende het boekjaar uitgelegd. Hieruit blijkt dat de aanschafwaarde van het stadion gewaardeerd is tegen 66.493.000 euro aan het begin van het boekjaar. Dit bedrag kan in de voorgaande boekjaren verhoogd dan wel verlaagd zijn als gevolg van investeringen of desinvesteringen bestemd voor het stadion. Zoals eerder </w:t>
      </w:r>
      <w:r w:rsidR="009F6BAF">
        <w:rPr>
          <w:sz w:val="24"/>
          <w:szCs w:val="24"/>
        </w:rPr>
        <w:lastRenderedPageBreak/>
        <w:t xml:space="preserve">gesteld, betreft het boekjaar 2012/2013 het vijfde gebruiksjaar van het stadion. In de voorgaande vier boekjaren is </w:t>
      </w:r>
      <w:proofErr w:type="gramStart"/>
      <w:r w:rsidR="009F6BAF">
        <w:rPr>
          <w:sz w:val="24"/>
          <w:szCs w:val="24"/>
        </w:rPr>
        <w:t>reeds</w:t>
      </w:r>
      <w:proofErr w:type="gramEnd"/>
      <w:r w:rsidR="009F6BAF">
        <w:rPr>
          <w:sz w:val="24"/>
          <w:szCs w:val="24"/>
        </w:rPr>
        <w:t xml:space="preserve"> een bedrag van ongeveer 10,4 miljoen euro afgeschreven op de post </w:t>
      </w:r>
      <w:r w:rsidR="009F6BAF">
        <w:rPr>
          <w:i/>
          <w:sz w:val="24"/>
          <w:szCs w:val="24"/>
        </w:rPr>
        <w:t>bedrijfsgebouwen en –terreinen</w:t>
      </w:r>
      <w:r w:rsidR="009F6BAF">
        <w:rPr>
          <w:sz w:val="24"/>
          <w:szCs w:val="24"/>
        </w:rPr>
        <w:t xml:space="preserve">. </w:t>
      </w:r>
      <w:r w:rsidR="00C72470">
        <w:rPr>
          <w:sz w:val="24"/>
          <w:szCs w:val="24"/>
        </w:rPr>
        <w:t>Door investeringen gedurende het boekjaar aan het stadion is de aanschafwaarde met 866.000 euro gestegen naar ruim 67,3 miljoen euro. De totale afschrijvingen ultimo seizoen 2013 bedragen bijna 13,2 miljoen euro, waardoor de beginwaarde van het stadion voor het aankomende boekjaar tegen 54.160.000 euro wordt gewaardeerd.</w:t>
      </w:r>
    </w:p>
    <w:p w:rsidR="00103AE8" w:rsidRDefault="00103AE8" w:rsidP="00A747AC">
      <w:pPr>
        <w:spacing w:line="360" w:lineRule="auto"/>
        <w:jc w:val="both"/>
        <w:rPr>
          <w:sz w:val="24"/>
          <w:szCs w:val="24"/>
        </w:rPr>
      </w:pPr>
    </w:p>
    <w:p w:rsidR="00103AE8" w:rsidRPr="007657B6" w:rsidRDefault="00776867" w:rsidP="00103AE8">
      <w:pPr>
        <w:pStyle w:val="Heading3"/>
        <w:rPr>
          <w:sz w:val="32"/>
        </w:rPr>
      </w:pPr>
      <w:bookmarkStart w:id="48" w:name="_Toc425516514"/>
      <w:r>
        <w:rPr>
          <w:sz w:val="32"/>
        </w:rPr>
        <w:t>5</w:t>
      </w:r>
      <w:r w:rsidR="00103AE8" w:rsidRPr="007657B6">
        <w:rPr>
          <w:sz w:val="32"/>
        </w:rPr>
        <w:t xml:space="preserve">.3. </w:t>
      </w:r>
      <w:r w:rsidR="00C926F6">
        <w:rPr>
          <w:sz w:val="32"/>
        </w:rPr>
        <w:t>Oorspronkelijke</w:t>
      </w:r>
      <w:r w:rsidR="002558BF" w:rsidRPr="007657B6">
        <w:rPr>
          <w:sz w:val="32"/>
        </w:rPr>
        <w:t xml:space="preserve"> jaarrekening FC Twente </w:t>
      </w:r>
      <w:r w:rsidR="00ED6C27" w:rsidRPr="007657B6">
        <w:rPr>
          <w:sz w:val="32"/>
        </w:rPr>
        <w:t>2013/2014</w:t>
      </w:r>
      <w:bookmarkEnd w:id="48"/>
      <w:r w:rsidR="002558BF" w:rsidRPr="007657B6">
        <w:rPr>
          <w:sz w:val="32"/>
        </w:rPr>
        <w:t xml:space="preserve"> </w:t>
      </w:r>
    </w:p>
    <w:p w:rsidR="002558BF" w:rsidRPr="007657B6" w:rsidRDefault="002558BF" w:rsidP="00103AE8">
      <w:pPr>
        <w:pStyle w:val="Heading3"/>
        <w:rPr>
          <w:sz w:val="32"/>
        </w:rPr>
      </w:pPr>
      <w:bookmarkStart w:id="49" w:name="_Toc425516515"/>
      <w:r w:rsidRPr="007657B6">
        <w:rPr>
          <w:sz w:val="32"/>
        </w:rPr>
        <w:t>(Datum vaststelling:</w:t>
      </w:r>
      <w:r w:rsidR="00A75218" w:rsidRPr="007657B6">
        <w:rPr>
          <w:sz w:val="32"/>
        </w:rPr>
        <w:t xml:space="preserve"> 23</w:t>
      </w:r>
      <w:r w:rsidRPr="007657B6">
        <w:rPr>
          <w:sz w:val="32"/>
        </w:rPr>
        <w:t xml:space="preserve"> januari 2015)</w:t>
      </w:r>
      <w:bookmarkEnd w:id="49"/>
    </w:p>
    <w:p w:rsidR="009D334B" w:rsidRDefault="00E04845" w:rsidP="00A747AC">
      <w:pPr>
        <w:spacing w:line="360" w:lineRule="auto"/>
        <w:jc w:val="both"/>
        <w:rPr>
          <w:sz w:val="24"/>
          <w:szCs w:val="24"/>
        </w:rPr>
      </w:pPr>
      <w:r>
        <w:rPr>
          <w:sz w:val="24"/>
          <w:szCs w:val="24"/>
        </w:rPr>
        <w:t>Deze jaarrekening speelt een belangrijke rol in het onderzoek naar FC Twente. Op basis van deze gegevens is de financiële positie van de club getoetst aan de het van het Financieel Rating Systeem, met als gevolg de indeling naar categorie 1. Vervolgens moest FC Twente na beoordeling van de jaarrekening door de licentiecommissie aanpassingen gedaan worden als gevolg van het afgekeurde plan van aanpak. Zodoende geeft dit boekjaar belangrijke informatie over het stadion De Grolsch Veste.</w:t>
      </w:r>
    </w:p>
    <w:p w:rsidR="00ED6C27" w:rsidRDefault="00ED6C27" w:rsidP="00ED6C27">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Ten eerste wordt er gekeken welke informatie de geconsolideerde balans van FC Twente verstrekt met betrekking tot de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Uit de geconsolideerde balans na resultaatverdeling blijkt de volgende onderverdeling te zijn gemaakt:</w:t>
      </w:r>
    </w:p>
    <w:p w:rsidR="00ED6C27" w:rsidRDefault="000C5AB6" w:rsidP="00ED6C27">
      <w:pPr>
        <w:shd w:val="clear" w:color="auto" w:fill="FFFFFF"/>
        <w:spacing w:after="0"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56" o:spid="_x0000_s1061" style="position:absolute;left:0;text-align:left;margin-left:0;margin-top:18.55pt;width:54.75pt;height:22.2pt;z-index:2516992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" fillcolor="white [3201]" strokecolor="black [3213]" strokeweight="1pt">
            <v:textbox>
              <w:txbxContent>
                <w:p w:rsidR="00776867" w:rsidRDefault="00776867" w:rsidP="00ED6C27">
                  <w:pPr>
                    <w:jc w:val="center"/>
                  </w:pPr>
                  <w:r>
                    <w:t>Figuur 26</w:t>
                  </w:r>
                </w:p>
              </w:txbxContent>
            </v:textbox>
            <w10:wrap anchorx="margin"/>
          </v:rect>
        </w:pict>
      </w:r>
    </w:p>
    <w:p w:rsidR="00ED6C27" w:rsidRDefault="00ED6C27" w:rsidP="00A747AC">
      <w:pPr>
        <w:spacing w:line="360" w:lineRule="auto"/>
        <w:jc w:val="both"/>
        <w:rPr>
          <w:sz w:val="24"/>
          <w:szCs w:val="24"/>
        </w:rPr>
      </w:pPr>
    </w:p>
    <w:p w:rsidR="00E04845" w:rsidRDefault="00ED6C27" w:rsidP="00A747AC">
      <w:pPr>
        <w:spacing w:line="360" w:lineRule="auto"/>
        <w:jc w:val="both"/>
        <w:rPr>
          <w:sz w:val="24"/>
          <w:szCs w:val="24"/>
        </w:rPr>
      </w:pPr>
      <w:r>
        <w:rPr>
          <w:noProof/>
          <w:sz w:val="24"/>
          <w:szCs w:val="24"/>
          <w:lang w:val="en-US"/>
        </w:rPr>
        <w:drawing>
          <wp:inline distT="0" distB="0" distL="0" distR="0">
            <wp:extent cx="4816475" cy="956945"/>
            <wp:effectExtent l="0" t="0" r="3175" b="0"/>
            <wp:docPr id="57" name="Afbeeld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6475" cy="956945"/>
                    </a:xfrm>
                    <a:prstGeom prst="rect">
                      <a:avLst/>
                    </a:prstGeom>
                    <a:noFill/>
                    <a:ln>
                      <a:noFill/>
                    </a:ln>
                  </pic:spPr>
                </pic:pic>
              </a:graphicData>
            </a:graphic>
          </wp:inline>
        </w:drawing>
      </w:r>
    </w:p>
    <w:p w:rsidR="005A4A18" w:rsidRDefault="00FC2CAE" w:rsidP="00A747AC">
      <w:pPr>
        <w:spacing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Logischerwijs is de boekwaarde van de post </w:t>
      </w:r>
      <w:r>
        <w:rPr>
          <w:rFonts w:eastAsia="Times New Roman" w:cs="Times New Roman"/>
          <w:i/>
          <w:color w:val="222222"/>
          <w:sz w:val="24"/>
          <w:szCs w:val="24"/>
          <w:lang w:eastAsia="en-GB"/>
        </w:rPr>
        <w:t>bedrijfsgebouwen en –</w:t>
      </w:r>
      <w:r w:rsidRPr="00FC2CAE">
        <w:rPr>
          <w:rFonts w:eastAsia="Times New Roman" w:cs="Times New Roman"/>
          <w:color w:val="222222"/>
          <w:sz w:val="24"/>
          <w:szCs w:val="24"/>
          <w:lang w:eastAsia="en-GB"/>
        </w:rPr>
        <w:t>terreinen</w:t>
      </w:r>
      <w:r>
        <w:rPr>
          <w:rFonts w:eastAsia="Times New Roman" w:cs="Times New Roman"/>
          <w:color w:val="222222"/>
          <w:sz w:val="24"/>
          <w:szCs w:val="24"/>
          <w:lang w:eastAsia="en-GB"/>
        </w:rPr>
        <w:t xml:space="preserve"> (groot 54.160.000 euro) per aanvang van het boekjaar 2013/2014 overgenomen uit het voorgaande boekjaar. Door mutaties in de investeringen en afschrijvingen is de boekwaarde van het stadion aan het eind van het boekjaar 52.671.000 euro</w:t>
      </w:r>
      <w:r w:rsidR="00F54762">
        <w:rPr>
          <w:rFonts w:eastAsia="Times New Roman" w:cs="Times New Roman"/>
          <w:color w:val="222222"/>
          <w:sz w:val="24"/>
          <w:szCs w:val="24"/>
          <w:lang w:eastAsia="en-GB"/>
        </w:rPr>
        <w:t xml:space="preserve"> </w:t>
      </w:r>
      <w:sdt>
        <w:sdtPr>
          <w:rPr>
            <w:rFonts w:eastAsia="Times New Roman" w:cs="Times New Roman"/>
            <w:color w:val="222222"/>
            <w:sz w:val="24"/>
            <w:szCs w:val="24"/>
            <w:lang w:eastAsia="en-GB"/>
          </w:rPr>
          <w:id w:val="-1850170738"/>
          <w:citation/>
        </w:sdtPr>
        <w:sdtContent>
          <w:r w:rsidR="000C5AB6">
            <w:rPr>
              <w:rFonts w:eastAsia="Times New Roman" w:cs="Times New Roman"/>
              <w:color w:val="222222"/>
              <w:sz w:val="24"/>
              <w:szCs w:val="24"/>
              <w:lang w:eastAsia="en-GB"/>
            </w:rPr>
            <w:fldChar w:fldCharType="begin"/>
          </w:r>
          <w:r w:rsidR="00F54762">
            <w:rPr>
              <w:rFonts w:eastAsia="Times New Roman" w:cs="Times New Roman"/>
              <w:color w:val="222222"/>
              <w:sz w:val="24"/>
              <w:szCs w:val="24"/>
              <w:lang w:eastAsia="en-GB"/>
            </w:rPr>
            <w:instrText xml:space="preserve"> CITATION Sti15 \l 1043 </w:instrText>
          </w:r>
          <w:r w:rsidR="000C5AB6">
            <w:rPr>
              <w:rFonts w:eastAsia="Times New Roman" w:cs="Times New Roman"/>
              <w:color w:val="222222"/>
              <w:sz w:val="24"/>
              <w:szCs w:val="24"/>
              <w:lang w:eastAsia="en-GB"/>
            </w:rPr>
            <w:fldChar w:fldCharType="separate"/>
          </w:r>
          <w:r w:rsidR="00062BB9" w:rsidRPr="00062BB9">
            <w:rPr>
              <w:rFonts w:eastAsia="Times New Roman" w:cs="Times New Roman"/>
              <w:noProof/>
              <w:color w:val="222222"/>
              <w:sz w:val="24"/>
              <w:szCs w:val="24"/>
              <w:lang w:eastAsia="en-GB"/>
            </w:rPr>
            <w:t>(Stichting FC Twente '65 B.V., 2015)</w:t>
          </w:r>
          <w:r w:rsidR="000C5AB6">
            <w:rPr>
              <w:rFonts w:eastAsia="Times New Roman" w:cs="Times New Roman"/>
              <w:color w:val="222222"/>
              <w:sz w:val="24"/>
              <w:szCs w:val="24"/>
              <w:lang w:eastAsia="en-GB"/>
            </w:rPr>
            <w:fldChar w:fldCharType="end"/>
          </w:r>
        </w:sdtContent>
      </w:sdt>
      <w:r>
        <w:rPr>
          <w:rFonts w:eastAsia="Times New Roman" w:cs="Times New Roman"/>
          <w:color w:val="222222"/>
          <w:sz w:val="24"/>
          <w:szCs w:val="24"/>
          <w:lang w:eastAsia="en-GB"/>
        </w:rPr>
        <w:t>.</w:t>
      </w:r>
      <w:r w:rsidR="005A4A18">
        <w:rPr>
          <w:rFonts w:eastAsia="Times New Roman" w:cs="Times New Roman"/>
          <w:color w:val="222222"/>
          <w:sz w:val="24"/>
          <w:szCs w:val="24"/>
          <w:lang w:eastAsia="en-GB"/>
        </w:rPr>
        <w:t xml:space="preserve"> De algemene toelichtingen op de waarderingsgrondslagen voor de waardering van de activa </w:t>
      </w:r>
      <w:r w:rsidR="00CE283D">
        <w:rPr>
          <w:rFonts w:eastAsia="Times New Roman" w:cs="Times New Roman"/>
          <w:color w:val="222222"/>
          <w:sz w:val="24"/>
          <w:szCs w:val="24"/>
          <w:lang w:eastAsia="en-GB"/>
        </w:rPr>
        <w:lastRenderedPageBreak/>
        <w:t xml:space="preserve">en passiva is conform het voorgaande boekjaar, echter is er een ingrijpende aanpassing in de waardering van </w:t>
      </w:r>
      <w:r w:rsidR="00E01DA4">
        <w:rPr>
          <w:rFonts w:eastAsia="Times New Roman" w:cs="Times New Roman"/>
          <w:color w:val="222222"/>
          <w:sz w:val="24"/>
          <w:szCs w:val="24"/>
          <w:lang w:eastAsia="en-GB"/>
        </w:rPr>
        <w:t>materiële</w:t>
      </w:r>
      <w:r w:rsidR="00CE283D">
        <w:rPr>
          <w:rFonts w:eastAsia="Times New Roman" w:cs="Times New Roman"/>
          <w:color w:val="222222"/>
          <w:sz w:val="24"/>
          <w:szCs w:val="24"/>
          <w:lang w:eastAsia="en-GB"/>
        </w:rPr>
        <w:t xml:space="preserve"> vaste activa. </w:t>
      </w:r>
    </w:p>
    <w:p w:rsidR="005A4A18" w:rsidRPr="005A4A18" w:rsidRDefault="00CE283D" w:rsidP="00A747AC">
      <w:pPr>
        <w:spacing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D</w:t>
      </w:r>
      <w:r w:rsidR="005A4A18">
        <w:rPr>
          <w:rFonts w:eastAsia="Times New Roman" w:cs="Times New Roman"/>
          <w:color w:val="222222"/>
          <w:sz w:val="24"/>
          <w:szCs w:val="24"/>
          <w:lang w:eastAsia="en-GB"/>
        </w:rPr>
        <w:t xml:space="preserve">oor een schattingswijze in de afschrijvingsmethode op de </w:t>
      </w:r>
      <w:r w:rsidR="00E01DA4">
        <w:rPr>
          <w:rFonts w:eastAsia="Times New Roman" w:cs="Times New Roman"/>
          <w:color w:val="222222"/>
          <w:sz w:val="24"/>
          <w:szCs w:val="24"/>
          <w:lang w:eastAsia="en-GB"/>
        </w:rPr>
        <w:t>materiële</w:t>
      </w:r>
      <w:r w:rsidR="005A4A18">
        <w:rPr>
          <w:rFonts w:eastAsia="Times New Roman" w:cs="Times New Roman"/>
          <w:color w:val="222222"/>
          <w:sz w:val="24"/>
          <w:szCs w:val="24"/>
          <w:lang w:eastAsia="en-GB"/>
        </w:rPr>
        <w:t xml:space="preserve"> vaste activa, met in het specifiek op het stadion De Grolsch Veste, zijn er per 2013/2014 </w:t>
      </w:r>
      <w:r w:rsidR="00E01DA4">
        <w:rPr>
          <w:rFonts w:eastAsia="Times New Roman" w:cs="Times New Roman"/>
          <w:color w:val="222222"/>
          <w:sz w:val="24"/>
          <w:szCs w:val="24"/>
          <w:lang w:eastAsia="en-GB"/>
        </w:rPr>
        <w:t>materiële</w:t>
      </w:r>
      <w:r w:rsidR="005A4A18">
        <w:rPr>
          <w:rFonts w:eastAsia="Times New Roman" w:cs="Times New Roman"/>
          <w:color w:val="222222"/>
          <w:sz w:val="24"/>
          <w:szCs w:val="24"/>
          <w:lang w:eastAsia="en-GB"/>
        </w:rPr>
        <w:t xml:space="preserve"> veranderingen voor de post </w:t>
      </w:r>
      <w:r w:rsidR="005A4A18">
        <w:rPr>
          <w:rFonts w:eastAsia="Times New Roman" w:cs="Times New Roman"/>
          <w:i/>
          <w:color w:val="222222"/>
          <w:sz w:val="24"/>
          <w:szCs w:val="24"/>
          <w:lang w:eastAsia="en-GB"/>
        </w:rPr>
        <w:t>bedrijfsgebouwen en –terreinen</w:t>
      </w:r>
      <w:r w:rsidR="005A4A18">
        <w:rPr>
          <w:rFonts w:eastAsia="Times New Roman" w:cs="Times New Roman"/>
          <w:color w:val="222222"/>
          <w:sz w:val="24"/>
          <w:szCs w:val="24"/>
          <w:lang w:eastAsia="en-GB"/>
        </w:rPr>
        <w:t>.</w:t>
      </w:r>
      <w:r w:rsidR="00D46AC0">
        <w:rPr>
          <w:rFonts w:eastAsia="Times New Roman" w:cs="Times New Roman"/>
          <w:color w:val="222222"/>
          <w:sz w:val="24"/>
          <w:szCs w:val="24"/>
          <w:lang w:eastAsia="en-GB"/>
        </w:rPr>
        <w:t xml:space="preserve"> T</w:t>
      </w:r>
      <w:r>
        <w:rPr>
          <w:rFonts w:eastAsia="Times New Roman" w:cs="Times New Roman"/>
          <w:color w:val="222222"/>
          <w:sz w:val="24"/>
          <w:szCs w:val="24"/>
          <w:lang w:eastAsia="en-GB"/>
        </w:rPr>
        <w:t>ot het boekjaar 2013/2014</w:t>
      </w:r>
      <w:r w:rsidR="00D46AC0">
        <w:rPr>
          <w:rFonts w:eastAsia="Times New Roman" w:cs="Times New Roman"/>
          <w:color w:val="222222"/>
          <w:sz w:val="24"/>
          <w:szCs w:val="24"/>
          <w:lang w:eastAsia="en-GB"/>
        </w:rPr>
        <w:t xml:space="preserve"> werd er namelijk aangenomen dat er geen bedrijfseconomische restwaarde zou zijn op het stadion, waardoor tot vorig boekjaar afgeschreven werd tot nihil. </w:t>
      </w:r>
      <w:r>
        <w:rPr>
          <w:rFonts w:eastAsia="Times New Roman" w:cs="Times New Roman"/>
          <w:color w:val="222222"/>
          <w:sz w:val="24"/>
          <w:szCs w:val="24"/>
          <w:lang w:eastAsia="en-GB"/>
        </w:rPr>
        <w:t xml:space="preserve">Echter, vanaf </w:t>
      </w:r>
      <w:r w:rsidR="005A62E6">
        <w:rPr>
          <w:rFonts w:eastAsia="Times New Roman" w:cs="Times New Roman"/>
          <w:color w:val="222222"/>
          <w:sz w:val="24"/>
          <w:szCs w:val="24"/>
          <w:lang w:eastAsia="en-GB"/>
        </w:rPr>
        <w:t>bovengenoemd boekjaar wordt op het stadion afgeschreven tot op de restwaarde, die geschat wordt op 20 miljoen euro. De gevolgen van deze aanpassing zijn te lezen in onderstaande figuur.</w:t>
      </w:r>
    </w:p>
    <w:p w:rsidR="005A4A18" w:rsidRDefault="000C5AB6" w:rsidP="00A747AC">
      <w:pPr>
        <w:spacing w:line="360" w:lineRule="auto"/>
        <w:jc w:val="both"/>
        <w:rPr>
          <w:rFonts w:eastAsia="Times New Roman" w:cs="Times New Roman"/>
          <w:color w:val="222222"/>
          <w:sz w:val="24"/>
          <w:szCs w:val="24"/>
          <w:lang w:eastAsia="en-GB"/>
        </w:rPr>
      </w:pPr>
      <w:r w:rsidRPr="000C5AB6">
        <w:rPr>
          <w:rFonts w:eastAsia="Times New Roman" w:cs="Times New Roman"/>
          <w:noProof/>
          <w:color w:val="222222"/>
          <w:sz w:val="24"/>
          <w:szCs w:val="24"/>
          <w:lang w:val="en-GB" w:eastAsia="en-GB"/>
        </w:rPr>
        <w:pict>
          <v:rect id="Rechthoek 59" o:spid="_x0000_s1062" style="position:absolute;left:0;text-align:left;margin-left:.4pt;margin-top:1.9pt;width:58.5pt;height:20.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" fillcolor="white [3201]" strokecolor="black [3213]" strokeweight="1pt">
            <v:textbox>
              <w:txbxContent>
                <w:p w:rsidR="00776867" w:rsidRDefault="00776867" w:rsidP="005A62E6">
                  <w:pPr>
                    <w:jc w:val="center"/>
                  </w:pPr>
                  <w:r>
                    <w:t>Figuur 27</w:t>
                  </w:r>
                </w:p>
              </w:txbxContent>
            </v:textbox>
          </v:rect>
        </w:pict>
      </w:r>
    </w:p>
    <w:p w:rsidR="005A4A18" w:rsidRDefault="005A4A18" w:rsidP="00A747AC">
      <w:pPr>
        <w:spacing w:line="360" w:lineRule="auto"/>
        <w:jc w:val="both"/>
        <w:rPr>
          <w:sz w:val="24"/>
          <w:szCs w:val="24"/>
        </w:rPr>
      </w:pPr>
      <w:r>
        <w:rPr>
          <w:noProof/>
          <w:lang w:val="en-US"/>
        </w:rPr>
        <w:drawing>
          <wp:inline distT="0" distB="0" distL="0" distR="0">
            <wp:extent cx="4838700" cy="2009775"/>
            <wp:effectExtent l="0" t="0" r="0" b="9525"/>
            <wp:docPr id="58"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8700" cy="2009775"/>
                    </a:xfrm>
                    <a:prstGeom prst="rect">
                      <a:avLst/>
                    </a:prstGeom>
                    <a:noFill/>
                    <a:ln>
                      <a:noFill/>
                    </a:ln>
                  </pic:spPr>
                </pic:pic>
              </a:graphicData>
            </a:graphic>
          </wp:inline>
        </w:drawing>
      </w:r>
    </w:p>
    <w:p w:rsidR="005A62E6" w:rsidRDefault="00603AA6" w:rsidP="00A747AC">
      <w:pPr>
        <w:spacing w:line="360" w:lineRule="auto"/>
        <w:jc w:val="both"/>
        <w:rPr>
          <w:sz w:val="24"/>
          <w:szCs w:val="24"/>
        </w:rPr>
      </w:pPr>
      <w:r>
        <w:rPr>
          <w:sz w:val="24"/>
          <w:szCs w:val="24"/>
        </w:rPr>
        <w:t xml:space="preserve">Deze schattingswijziging roept twee </w:t>
      </w:r>
      <w:r w:rsidR="005B3C75">
        <w:rPr>
          <w:sz w:val="24"/>
          <w:szCs w:val="24"/>
        </w:rPr>
        <w:t>belangrijke vraagstukken op. Zowel</w:t>
      </w:r>
      <w:r>
        <w:rPr>
          <w:sz w:val="24"/>
          <w:szCs w:val="24"/>
        </w:rPr>
        <w:t xml:space="preserve"> de schatting van </w:t>
      </w:r>
      <w:r w:rsidR="009A54F5">
        <w:rPr>
          <w:sz w:val="24"/>
          <w:szCs w:val="24"/>
        </w:rPr>
        <w:t xml:space="preserve">de economische gebruiksduur </w:t>
      </w:r>
      <w:r w:rsidR="005B3C75">
        <w:rPr>
          <w:sz w:val="24"/>
          <w:szCs w:val="24"/>
        </w:rPr>
        <w:t>als</w:t>
      </w:r>
      <w:r w:rsidR="009A54F5">
        <w:rPr>
          <w:sz w:val="24"/>
          <w:szCs w:val="24"/>
        </w:rPr>
        <w:t xml:space="preserve"> de schatting van </w:t>
      </w:r>
      <w:r>
        <w:rPr>
          <w:sz w:val="24"/>
          <w:szCs w:val="24"/>
        </w:rPr>
        <w:t xml:space="preserve">de restwaarde </w:t>
      </w:r>
      <w:r w:rsidR="009A54F5">
        <w:rPr>
          <w:sz w:val="24"/>
          <w:szCs w:val="24"/>
        </w:rPr>
        <w:t xml:space="preserve">en op het stadion worden </w:t>
      </w:r>
      <w:r w:rsidR="00642E61">
        <w:rPr>
          <w:sz w:val="24"/>
          <w:szCs w:val="24"/>
        </w:rPr>
        <w:t xml:space="preserve">onvoldoende tot </w:t>
      </w:r>
      <w:r>
        <w:rPr>
          <w:sz w:val="24"/>
          <w:szCs w:val="24"/>
        </w:rPr>
        <w:t xml:space="preserve">niet onderbouwd in de jaarrekening. De hoogte van deze restwaarde is van essentieel belang voor de afschrijvingsbedragen van de resterende 20 gebruiksjaren, die zodoende weer van invloed zijn op het resultaat in de winst-en-verliesrekening. </w:t>
      </w:r>
    </w:p>
    <w:p w:rsidR="00603AA6" w:rsidRDefault="000C5AB6" w:rsidP="00A747AC">
      <w:pPr>
        <w:spacing w:line="360" w:lineRule="auto"/>
        <w:jc w:val="both"/>
        <w:rPr>
          <w:sz w:val="24"/>
          <w:szCs w:val="24"/>
        </w:rPr>
      </w:pPr>
      <w:r w:rsidRPr="000C5AB6">
        <w:rPr>
          <w:noProof/>
          <w:sz w:val="24"/>
          <w:szCs w:val="24"/>
          <w:lang w:val="en-GB" w:eastAsia="en-GB"/>
        </w:rPr>
        <w:pict>
          <v:rect id="Rechthoek 61" o:spid="_x0000_s1063" style="position:absolute;left:0;text-align:left;margin-left:0;margin-top:.45pt;width:55.25pt;height:21.45pt;z-index:251701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" fillcolor="white [3201]" strokecolor="black [3213]" strokeweight="1pt">
            <v:textbox>
              <w:txbxContent>
                <w:p w:rsidR="00776867" w:rsidRDefault="00776867" w:rsidP="00603AA6">
                  <w:pPr>
                    <w:jc w:val="center"/>
                  </w:pPr>
                  <w:r>
                    <w:t>Figuur 28</w:t>
                  </w:r>
                </w:p>
              </w:txbxContent>
            </v:textbox>
            <w10:wrap anchorx="margin"/>
          </v:rect>
        </w:pict>
      </w:r>
    </w:p>
    <w:p w:rsidR="00603AA6" w:rsidRPr="009D334B" w:rsidRDefault="00603AA6" w:rsidP="00A747AC">
      <w:pPr>
        <w:spacing w:line="360" w:lineRule="auto"/>
        <w:jc w:val="both"/>
        <w:rPr>
          <w:sz w:val="24"/>
          <w:szCs w:val="24"/>
        </w:rPr>
      </w:pPr>
      <w:r>
        <w:rPr>
          <w:noProof/>
          <w:lang w:val="en-US"/>
        </w:rPr>
        <w:lastRenderedPageBreak/>
        <w:drawing>
          <wp:inline distT="0" distB="0" distL="0" distR="0">
            <wp:extent cx="2392045" cy="3338830"/>
            <wp:effectExtent l="0" t="0" r="8255" b="0"/>
            <wp:docPr id="62" name="Afbeelding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2045" cy="3338830"/>
                    </a:xfrm>
                    <a:prstGeom prst="rect">
                      <a:avLst/>
                    </a:prstGeom>
                    <a:noFill/>
                    <a:ln>
                      <a:noFill/>
                    </a:ln>
                  </pic:spPr>
                </pic:pic>
              </a:graphicData>
            </a:graphic>
          </wp:inline>
        </w:drawing>
      </w:r>
    </w:p>
    <w:p w:rsidR="00823866" w:rsidRDefault="00603AA6" w:rsidP="00A747AC">
      <w:pPr>
        <w:spacing w:line="360" w:lineRule="auto"/>
        <w:jc w:val="both"/>
        <w:rPr>
          <w:sz w:val="24"/>
          <w:szCs w:val="24"/>
        </w:rPr>
      </w:pPr>
      <w:r>
        <w:rPr>
          <w:sz w:val="24"/>
          <w:szCs w:val="24"/>
        </w:rPr>
        <w:t xml:space="preserve">De aanschafwaarde aan het begin van het boekjaar is overgenomen uit het boekjaar </w:t>
      </w:r>
      <w:r w:rsidR="0024076F">
        <w:rPr>
          <w:sz w:val="24"/>
          <w:szCs w:val="24"/>
        </w:rPr>
        <w:t xml:space="preserve">2012/2013. </w:t>
      </w:r>
      <w:r w:rsidR="00823866">
        <w:rPr>
          <w:sz w:val="24"/>
          <w:szCs w:val="24"/>
        </w:rPr>
        <w:t>Het afschrijvingsbedrag over het boekjaar 2013/2014 zou, onder de voorgaand geldende waarderingsgrondslagen</w:t>
      </w:r>
      <w:r w:rsidR="005B3C75">
        <w:rPr>
          <w:rStyle w:val="FootnoteReference"/>
          <w:sz w:val="24"/>
          <w:szCs w:val="24"/>
        </w:rPr>
        <w:footnoteReference w:id="63"/>
      </w:r>
      <w:r w:rsidR="00823866">
        <w:rPr>
          <w:sz w:val="24"/>
          <w:szCs w:val="24"/>
        </w:rPr>
        <w:t>, ongeveer 2.642.000 euro bedragen.</w:t>
      </w:r>
    </w:p>
    <w:p w:rsidR="002558BF" w:rsidRPr="002558BF" w:rsidRDefault="00823866" w:rsidP="00A747AC">
      <w:pPr>
        <w:spacing w:line="360" w:lineRule="auto"/>
        <w:jc w:val="both"/>
        <w:rPr>
          <w:sz w:val="24"/>
          <w:szCs w:val="24"/>
        </w:rPr>
      </w:pPr>
      <m:oMath>
        <m:r>
          <w:rPr>
            <w:rFonts w:ascii="Cambria Math" w:hAnsi="Cambria Math"/>
            <w:sz w:val="24"/>
            <w:szCs w:val="24"/>
          </w:rPr>
          <m:t>Afschrijv</m:t>
        </m:r>
        <m:r>
          <w:rPr>
            <w:rFonts w:ascii="Cambria Math" w:hAnsi="Cambria Math"/>
            <w:sz w:val="24"/>
            <w:szCs w:val="24"/>
          </w:rPr>
          <m:t xml:space="preserve">ing= </m:t>
        </m:r>
        <m:f>
          <m:fPr>
            <m:ctrlPr>
              <w:rPr>
                <w:rFonts w:ascii="Cambria Math" w:hAnsi="Cambria Math"/>
                <w:i/>
                <w:sz w:val="24"/>
                <w:szCs w:val="24"/>
              </w:rPr>
            </m:ctrlPr>
          </m:fPr>
          <m:num>
            <m:r>
              <w:rPr>
                <w:rFonts w:ascii="Cambria Math" w:hAnsi="Cambria Math"/>
                <w:sz w:val="24"/>
                <w:szCs w:val="24"/>
              </w:rPr>
              <m:t>Aanschafwaarde</m:t>
            </m:r>
          </m:num>
          <m:den>
            <m:r>
              <w:rPr>
                <w:rFonts w:ascii="Cambria Math" w:hAnsi="Cambria Math"/>
                <w:sz w:val="24"/>
                <w:szCs w:val="24"/>
              </w:rPr>
              <m:t>Economische levensduur</m:t>
            </m:r>
          </m:den>
        </m:f>
        <m:r>
          <w:rPr>
            <w:rFonts w:ascii="Cambria Math" w:hAnsi="Cambria Math"/>
            <w:sz w:val="24"/>
            <w:szCs w:val="24"/>
          </w:rPr>
          <m:t xml:space="preserve">-vrijval investeringspremie= </m:t>
        </m:r>
        <m:f>
          <m:fPr>
            <m:ctrlPr>
              <w:rPr>
                <w:rFonts w:ascii="Cambria Math" w:hAnsi="Cambria Math"/>
                <w:i/>
                <w:sz w:val="24"/>
                <w:szCs w:val="24"/>
              </w:rPr>
            </m:ctrlPr>
          </m:fPr>
          <m:num>
            <m:r>
              <w:rPr>
                <w:rFonts w:ascii="Cambria Math" w:hAnsi="Cambria Math"/>
                <w:sz w:val="24"/>
                <w:szCs w:val="24"/>
              </w:rPr>
              <m:t>67.359</m:t>
            </m:r>
          </m:num>
          <m:den>
            <m:r>
              <w:rPr>
                <w:rFonts w:ascii="Cambria Math" w:hAnsi="Cambria Math"/>
                <w:sz w:val="24"/>
                <w:szCs w:val="24"/>
              </w:rPr>
              <m:t>25 jaar</m:t>
            </m:r>
          </m:den>
        </m:f>
        <m:r>
          <w:rPr>
            <w:rFonts w:ascii="Cambria Math" w:hAnsi="Cambria Math"/>
            <w:sz w:val="24"/>
            <w:szCs w:val="24"/>
          </w:rPr>
          <m:t>-52≈2.642</m:t>
        </m:r>
      </m:oMath>
      <w:r>
        <w:rPr>
          <w:sz w:val="24"/>
          <w:szCs w:val="24"/>
        </w:rPr>
        <w:t xml:space="preserve"> </w:t>
      </w:r>
    </w:p>
    <w:p w:rsidR="009F6BAF" w:rsidRDefault="00AE6A86" w:rsidP="00A747AC">
      <w:pPr>
        <w:spacing w:line="360" w:lineRule="auto"/>
        <w:jc w:val="both"/>
        <w:rPr>
          <w:sz w:val="24"/>
          <w:szCs w:val="24"/>
        </w:rPr>
      </w:pPr>
      <w:r>
        <w:rPr>
          <w:sz w:val="24"/>
          <w:szCs w:val="24"/>
        </w:rPr>
        <w:t xml:space="preserve">De </w:t>
      </w:r>
      <w:r w:rsidR="00823866">
        <w:rPr>
          <w:sz w:val="24"/>
          <w:szCs w:val="24"/>
        </w:rPr>
        <w:t xml:space="preserve">impact van de schattingswijziging </w:t>
      </w:r>
      <w:r>
        <w:rPr>
          <w:sz w:val="24"/>
          <w:szCs w:val="24"/>
        </w:rPr>
        <w:t xml:space="preserve">leiden tot een lager </w:t>
      </w:r>
      <w:r w:rsidR="00823866">
        <w:rPr>
          <w:sz w:val="24"/>
          <w:szCs w:val="24"/>
        </w:rPr>
        <w:t>afschrijving</w:t>
      </w:r>
      <w:r>
        <w:rPr>
          <w:sz w:val="24"/>
          <w:szCs w:val="24"/>
        </w:rPr>
        <w:t>sbedrag</w:t>
      </w:r>
      <w:r w:rsidR="00823866">
        <w:rPr>
          <w:sz w:val="24"/>
          <w:szCs w:val="24"/>
        </w:rPr>
        <w:t xml:space="preserve"> van </w:t>
      </w:r>
      <w:r w:rsidR="005B3C75">
        <w:rPr>
          <w:sz w:val="24"/>
          <w:szCs w:val="24"/>
        </w:rPr>
        <w:t xml:space="preserve">ongeveer </w:t>
      </w:r>
      <w:r w:rsidR="00823866">
        <w:rPr>
          <w:sz w:val="24"/>
          <w:szCs w:val="24"/>
        </w:rPr>
        <w:t xml:space="preserve">1,1 miljoen euro </w:t>
      </w:r>
      <w:r>
        <w:rPr>
          <w:sz w:val="24"/>
          <w:szCs w:val="24"/>
        </w:rPr>
        <w:t>op de post afschrijvingen in de winst-en-verliesrekening over</w:t>
      </w:r>
      <w:r w:rsidR="00823866">
        <w:rPr>
          <w:sz w:val="24"/>
          <w:szCs w:val="24"/>
        </w:rPr>
        <w:t xml:space="preserve"> het boekjaar 2013/2014</w:t>
      </w:r>
      <w:sdt>
        <w:sdtPr>
          <w:rPr>
            <w:sz w:val="24"/>
            <w:szCs w:val="24"/>
          </w:rPr>
          <w:id w:val="-2056003253"/>
          <w:citation/>
        </w:sdtPr>
        <w:sdtContent>
          <w:r w:rsidR="000C5AB6">
            <w:rPr>
              <w:sz w:val="24"/>
              <w:szCs w:val="24"/>
            </w:rPr>
            <w:fldChar w:fldCharType="begin"/>
          </w:r>
          <w:r w:rsidR="005B1AA4">
            <w:rPr>
              <w:sz w:val="24"/>
              <w:szCs w:val="24"/>
            </w:rPr>
            <w:instrText xml:space="preserve"> CITATION Sti15 \l 1043 </w:instrText>
          </w:r>
          <w:r w:rsidR="000C5AB6">
            <w:rPr>
              <w:sz w:val="24"/>
              <w:szCs w:val="24"/>
            </w:rPr>
            <w:fldChar w:fldCharType="separate"/>
          </w:r>
          <w:r w:rsidR="00062BB9">
            <w:rPr>
              <w:noProof/>
              <w:sz w:val="24"/>
              <w:szCs w:val="24"/>
            </w:rPr>
            <w:t xml:space="preserve"> </w:t>
          </w:r>
          <w:r w:rsidR="00062BB9" w:rsidRPr="00062BB9">
            <w:rPr>
              <w:noProof/>
              <w:sz w:val="24"/>
              <w:szCs w:val="24"/>
            </w:rPr>
            <w:t>(Stichting FC Twente '65 B.V., 2015)</w:t>
          </w:r>
          <w:r w:rsidR="000C5AB6">
            <w:rPr>
              <w:sz w:val="24"/>
              <w:szCs w:val="24"/>
            </w:rPr>
            <w:fldChar w:fldCharType="end"/>
          </w:r>
        </w:sdtContent>
      </w:sdt>
      <w:r w:rsidR="00823866">
        <w:rPr>
          <w:sz w:val="24"/>
          <w:szCs w:val="24"/>
        </w:rPr>
        <w:t>.</w:t>
      </w:r>
      <w:r w:rsidR="00715269">
        <w:rPr>
          <w:sz w:val="24"/>
          <w:szCs w:val="24"/>
        </w:rPr>
        <w:t xml:space="preserve"> </w:t>
      </w:r>
      <w:r>
        <w:rPr>
          <w:sz w:val="24"/>
          <w:szCs w:val="24"/>
        </w:rPr>
        <w:t xml:space="preserve">De </w:t>
      </w:r>
      <w:r w:rsidR="0045260F">
        <w:rPr>
          <w:sz w:val="24"/>
          <w:szCs w:val="24"/>
        </w:rPr>
        <w:t>impact van de nieuwe afschrijvingsmethodiek</w:t>
      </w:r>
      <w:r>
        <w:rPr>
          <w:sz w:val="24"/>
          <w:szCs w:val="24"/>
        </w:rPr>
        <w:t xml:space="preserve"> </w:t>
      </w:r>
      <w:r>
        <w:rPr>
          <w:sz w:val="24"/>
          <w:szCs w:val="24"/>
          <w:u w:val="single"/>
        </w:rPr>
        <w:t>op het stadion</w:t>
      </w:r>
      <w:r>
        <w:rPr>
          <w:sz w:val="24"/>
          <w:szCs w:val="24"/>
        </w:rPr>
        <w:t xml:space="preserve"> betreft een bedrag van ongeveer</w:t>
      </w:r>
      <w:r w:rsidR="0045260F">
        <w:rPr>
          <w:sz w:val="24"/>
          <w:szCs w:val="24"/>
        </w:rPr>
        <w:t xml:space="preserve"> 809.000 euro zijn</w:t>
      </w:r>
      <w:r>
        <w:rPr>
          <w:sz w:val="24"/>
          <w:szCs w:val="24"/>
        </w:rPr>
        <w:t xml:space="preserve"> ten opzichte van de doorgaans gebruikte afschrijvingsmethodiek op </w:t>
      </w:r>
      <w:r w:rsidR="00E01DA4">
        <w:rPr>
          <w:sz w:val="24"/>
          <w:szCs w:val="24"/>
        </w:rPr>
        <w:t>materiële</w:t>
      </w:r>
      <w:r>
        <w:rPr>
          <w:sz w:val="24"/>
          <w:szCs w:val="24"/>
        </w:rPr>
        <w:t xml:space="preserve"> vaste activa</w:t>
      </w:r>
      <w:r w:rsidR="0045260F">
        <w:rPr>
          <w:sz w:val="24"/>
          <w:szCs w:val="24"/>
        </w:rPr>
        <w:t>.</w:t>
      </w:r>
    </w:p>
    <w:p w:rsidR="008B1D28" w:rsidRDefault="00950AC0" w:rsidP="00A747AC">
      <w:pPr>
        <w:spacing w:line="360" w:lineRule="auto"/>
        <w:jc w:val="both"/>
        <w:rPr>
          <w:sz w:val="24"/>
          <w:szCs w:val="24"/>
        </w:rPr>
      </w:pPr>
      <w:r>
        <w:rPr>
          <w:sz w:val="24"/>
          <w:szCs w:val="24"/>
        </w:rPr>
        <w:t>Aan de hand van figuur 28</w:t>
      </w:r>
      <w:r w:rsidR="008B1D28">
        <w:rPr>
          <w:sz w:val="24"/>
          <w:szCs w:val="24"/>
        </w:rPr>
        <w:t xml:space="preserve"> is te herleiden dat de totale afschrijving op het stadion in dit boekjaar is toegenomen met 1.833.000 euro tot ruim 15 miljoen euro.</w:t>
      </w:r>
      <w:r w:rsidR="009C03C2">
        <w:rPr>
          <w:sz w:val="24"/>
          <w:szCs w:val="24"/>
        </w:rPr>
        <w:t xml:space="preserve"> Daarnaast is de aanschafwaarde voor het boekjaar 2014/2015 toegenomen naar 67.703.000 euro als gevolg van een investering groot 344.000 euro in het stadion.</w:t>
      </w:r>
    </w:p>
    <w:p w:rsidR="0045260F" w:rsidRDefault="000C5AB6" w:rsidP="00A747AC">
      <w:pPr>
        <w:spacing w:line="360" w:lineRule="auto"/>
        <w:jc w:val="both"/>
        <w:rPr>
          <w:sz w:val="24"/>
          <w:szCs w:val="24"/>
        </w:rPr>
      </w:pPr>
      <w:r w:rsidRPr="000C5AB6">
        <w:rPr>
          <w:noProof/>
          <w:sz w:val="24"/>
          <w:szCs w:val="24"/>
          <w:lang w:val="en-GB" w:eastAsia="en-GB"/>
        </w:rPr>
        <w:pict>
          <v:rect id="Rechthoek 64" o:spid="_x0000_s1064" style="position:absolute;left:0;text-align:left;margin-left:0;margin-top:.8pt;width:56.1pt;height:20.55pt;z-index:2517022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" fillcolor="white [3201]" strokecolor="black [3213]" strokeweight="1pt">
            <v:textbox>
              <w:txbxContent>
                <w:p w:rsidR="00776867" w:rsidRDefault="00776867" w:rsidP="0045260F">
                  <w:pPr>
                    <w:jc w:val="center"/>
                  </w:pPr>
                  <w:r>
                    <w:t>Figuur 29</w:t>
                  </w:r>
                </w:p>
              </w:txbxContent>
            </v:textbox>
            <w10:wrap anchorx="margin"/>
          </v:rect>
        </w:pict>
      </w:r>
    </w:p>
    <w:p w:rsidR="0045260F" w:rsidRPr="0045260F" w:rsidRDefault="0045260F" w:rsidP="00A747AC">
      <w:pPr>
        <w:spacing w:line="360" w:lineRule="auto"/>
        <w:jc w:val="both"/>
        <w:rPr>
          <w:sz w:val="24"/>
          <w:szCs w:val="24"/>
        </w:rPr>
      </w:pPr>
      <w:r>
        <w:rPr>
          <w:noProof/>
          <w:lang w:val="en-US"/>
        </w:rPr>
        <w:lastRenderedPageBreak/>
        <w:drawing>
          <wp:inline distT="0" distB="0" distL="0" distR="0">
            <wp:extent cx="3838575" cy="1371600"/>
            <wp:effectExtent l="0" t="0" r="9525" b="0"/>
            <wp:docPr id="63" name="Afbeeld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38575" cy="1371600"/>
                    </a:xfrm>
                    <a:prstGeom prst="rect">
                      <a:avLst/>
                    </a:prstGeom>
                    <a:noFill/>
                    <a:ln>
                      <a:noFill/>
                    </a:ln>
                  </pic:spPr>
                </pic:pic>
              </a:graphicData>
            </a:graphic>
          </wp:inline>
        </w:drawing>
      </w:r>
    </w:p>
    <w:p w:rsidR="00A64B5B" w:rsidRDefault="00A64B5B" w:rsidP="00A747AC">
      <w:pPr>
        <w:spacing w:line="360" w:lineRule="auto"/>
        <w:jc w:val="both"/>
        <w:rPr>
          <w:sz w:val="24"/>
          <w:szCs w:val="24"/>
        </w:rPr>
      </w:pPr>
    </w:p>
    <w:p w:rsidR="00A737CC" w:rsidRDefault="00191E86" w:rsidP="00A747AC">
      <w:pPr>
        <w:spacing w:line="360" w:lineRule="auto"/>
        <w:jc w:val="both"/>
        <w:rPr>
          <w:sz w:val="24"/>
          <w:szCs w:val="24"/>
        </w:rPr>
      </w:pPr>
      <w:r>
        <w:rPr>
          <w:sz w:val="24"/>
          <w:szCs w:val="24"/>
        </w:rPr>
        <w:t xml:space="preserve">In de toelichting op de geconsolideerde winst-en-verliesrekening over het boekjaar 2013/2014 is te zien dat de afschrijvingskosten van de post </w:t>
      </w:r>
      <w:r>
        <w:rPr>
          <w:i/>
          <w:sz w:val="24"/>
          <w:szCs w:val="24"/>
        </w:rPr>
        <w:t>bedrijfsgebouwen en –terreinen</w:t>
      </w:r>
      <w:r>
        <w:rPr>
          <w:sz w:val="24"/>
          <w:szCs w:val="24"/>
        </w:rPr>
        <w:t xml:space="preserve"> net als voorgaande jaren verminderd wordt met de vrijval van de investeringspremie groot 52.000 euro. </w:t>
      </w:r>
      <w:r w:rsidR="003A1427">
        <w:rPr>
          <w:sz w:val="24"/>
          <w:szCs w:val="24"/>
        </w:rPr>
        <w:t xml:space="preserve">Daarnaast zijn de afschrijvingskosten over desbetreffend boekjaar, mede door de nieuwe afschrijvingsmethodiek, gedaald naar 4% van de totale bedrijfslasten </w:t>
      </w:r>
      <w:sdt>
        <w:sdtPr>
          <w:rPr>
            <w:sz w:val="24"/>
            <w:szCs w:val="24"/>
          </w:rPr>
          <w:id w:val="-1911378485"/>
          <w:citation/>
        </w:sdtPr>
        <w:sdtContent>
          <w:r w:rsidR="000C5AB6">
            <w:rPr>
              <w:sz w:val="24"/>
              <w:szCs w:val="24"/>
            </w:rPr>
            <w:fldChar w:fldCharType="begin"/>
          </w:r>
          <w:r w:rsidR="003A1427">
            <w:rPr>
              <w:sz w:val="24"/>
              <w:szCs w:val="24"/>
            </w:rPr>
            <w:instrText xml:space="preserve"> CITATION Sti15 \l 1043 </w:instrText>
          </w:r>
          <w:r w:rsidR="000C5AB6">
            <w:rPr>
              <w:sz w:val="24"/>
              <w:szCs w:val="24"/>
            </w:rPr>
            <w:fldChar w:fldCharType="separate"/>
          </w:r>
          <w:r w:rsidR="00062BB9" w:rsidRPr="00062BB9">
            <w:rPr>
              <w:noProof/>
              <w:sz w:val="24"/>
              <w:szCs w:val="24"/>
            </w:rPr>
            <w:t>(Stichting FC Twente '65 B.V., 2015)</w:t>
          </w:r>
          <w:r w:rsidR="000C5AB6">
            <w:rPr>
              <w:sz w:val="24"/>
              <w:szCs w:val="24"/>
            </w:rPr>
            <w:fldChar w:fldCharType="end"/>
          </w:r>
        </w:sdtContent>
      </w:sdt>
      <w:r w:rsidR="003A1427">
        <w:rPr>
          <w:sz w:val="24"/>
          <w:szCs w:val="24"/>
        </w:rPr>
        <w:t>.</w:t>
      </w:r>
    </w:p>
    <w:p w:rsidR="003A1427" w:rsidRPr="00A64B5B" w:rsidRDefault="00776867" w:rsidP="00A64B5B">
      <w:pPr>
        <w:pStyle w:val="Heading2"/>
        <w:rPr>
          <w:sz w:val="32"/>
        </w:rPr>
      </w:pPr>
      <w:bookmarkStart w:id="50" w:name="_Toc425516516"/>
      <w:r>
        <w:rPr>
          <w:sz w:val="32"/>
        </w:rPr>
        <w:t>5</w:t>
      </w:r>
      <w:r w:rsidR="00A64B5B">
        <w:rPr>
          <w:sz w:val="32"/>
        </w:rPr>
        <w:t>.4. Herziende</w:t>
      </w:r>
      <w:r w:rsidR="003A1427" w:rsidRPr="00A64B5B">
        <w:rPr>
          <w:sz w:val="32"/>
        </w:rPr>
        <w:t xml:space="preserve"> jaarrekening FC Twente 2013/2014</w:t>
      </w:r>
      <w:r w:rsidR="00A64B5B">
        <w:rPr>
          <w:sz w:val="32"/>
        </w:rPr>
        <w:br/>
      </w:r>
      <w:r w:rsidR="003A1427" w:rsidRPr="00A64B5B">
        <w:rPr>
          <w:sz w:val="32"/>
        </w:rPr>
        <w:t>(Datum vaststelling:</w:t>
      </w:r>
      <w:r w:rsidR="009A54F5" w:rsidRPr="00A64B5B">
        <w:rPr>
          <w:sz w:val="32"/>
        </w:rPr>
        <w:t xml:space="preserve"> </w:t>
      </w:r>
      <w:r w:rsidR="00986FE2" w:rsidRPr="00A64B5B">
        <w:rPr>
          <w:sz w:val="32"/>
        </w:rPr>
        <w:t xml:space="preserve">8 </w:t>
      </w:r>
      <w:r w:rsidR="009A54F5" w:rsidRPr="00A64B5B">
        <w:rPr>
          <w:sz w:val="32"/>
        </w:rPr>
        <w:t>april 2015)</w:t>
      </w:r>
      <w:bookmarkEnd w:id="50"/>
    </w:p>
    <w:p w:rsidR="00AE6A86" w:rsidRDefault="00AE6A86" w:rsidP="00AE6A86">
      <w:pPr>
        <w:spacing w:line="360" w:lineRule="auto"/>
        <w:jc w:val="both"/>
        <w:rPr>
          <w:sz w:val="24"/>
          <w:szCs w:val="24"/>
        </w:rPr>
      </w:pPr>
      <w:r>
        <w:rPr>
          <w:sz w:val="24"/>
          <w:szCs w:val="24"/>
        </w:rPr>
        <w:t xml:space="preserve">Zoals eerder uitgelegd, heeft FC Twente over het boekjaar een herziende jaarrekening uit moeten brengen als gevolg van foute waarderingen in de oorspronkelijke jaarrekening over het boekjaar 2013/2014. Waar het netto resultaat in de </w:t>
      </w:r>
      <w:proofErr w:type="gramStart"/>
      <w:r>
        <w:rPr>
          <w:sz w:val="24"/>
          <w:szCs w:val="24"/>
        </w:rPr>
        <w:t>oorspronkelijk</w:t>
      </w:r>
      <w:proofErr w:type="gramEnd"/>
      <w:r>
        <w:rPr>
          <w:sz w:val="24"/>
          <w:szCs w:val="24"/>
        </w:rPr>
        <w:t xml:space="preserve"> jaarrekening was gewaardeerd tegen een verlies van 7,2 miljoen euro </w:t>
      </w:r>
      <w:sdt>
        <w:sdtPr>
          <w:rPr>
            <w:sz w:val="24"/>
            <w:szCs w:val="24"/>
          </w:rPr>
          <w:id w:val="-817194"/>
          <w:citation/>
        </w:sdtPr>
        <w:sdtContent>
          <w:r w:rsidR="000C5AB6">
            <w:rPr>
              <w:sz w:val="24"/>
              <w:szCs w:val="24"/>
            </w:rPr>
            <w:fldChar w:fldCharType="begin"/>
          </w:r>
          <w:r>
            <w:rPr>
              <w:sz w:val="24"/>
              <w:szCs w:val="24"/>
            </w:rPr>
            <w:instrText xml:space="preserve"> CITATION Sti15 \l 1043 </w:instrText>
          </w:r>
          <w:r w:rsidR="000C5AB6">
            <w:rPr>
              <w:sz w:val="24"/>
              <w:szCs w:val="24"/>
            </w:rPr>
            <w:fldChar w:fldCharType="separate"/>
          </w:r>
          <w:r w:rsidR="00062BB9" w:rsidRPr="00062BB9">
            <w:rPr>
              <w:noProof/>
              <w:sz w:val="24"/>
              <w:szCs w:val="24"/>
            </w:rPr>
            <w:t>(Stichting FC Twente '65 B.V., 2015)</w:t>
          </w:r>
          <w:r w:rsidR="000C5AB6">
            <w:rPr>
              <w:sz w:val="24"/>
              <w:szCs w:val="24"/>
            </w:rPr>
            <w:fldChar w:fldCharType="end"/>
          </w:r>
        </w:sdtContent>
      </w:sdt>
      <w:r>
        <w:rPr>
          <w:sz w:val="24"/>
          <w:szCs w:val="24"/>
        </w:rPr>
        <w:t xml:space="preserve">, wordt in de herziende versie van de jaarrekening een verlies gepresenteerd van 8,1 miljoen euro </w:t>
      </w:r>
      <w:sdt>
        <w:sdtPr>
          <w:rPr>
            <w:sz w:val="24"/>
            <w:szCs w:val="24"/>
          </w:rPr>
          <w:id w:val="-2144795152"/>
          <w:citation/>
        </w:sdtPr>
        <w:sdtContent>
          <w:r w:rsidR="000C5AB6">
            <w:rPr>
              <w:sz w:val="24"/>
              <w:szCs w:val="24"/>
            </w:rPr>
            <w:fldChar w:fldCharType="begin"/>
          </w:r>
          <w:r>
            <w:rPr>
              <w:sz w:val="24"/>
              <w:szCs w:val="24"/>
            </w:rPr>
            <w:instrText xml:space="preserve"> CITATION Sti151 \l 1043 </w:instrText>
          </w:r>
          <w:r w:rsidR="000C5AB6">
            <w:rPr>
              <w:sz w:val="24"/>
              <w:szCs w:val="24"/>
            </w:rPr>
            <w:fldChar w:fldCharType="separate"/>
          </w:r>
          <w:r w:rsidR="00062BB9" w:rsidRPr="00062BB9">
            <w:rPr>
              <w:noProof/>
              <w:sz w:val="24"/>
              <w:szCs w:val="24"/>
            </w:rPr>
            <w:t>(Stichting FC Twente '65 B.V., 2015)</w:t>
          </w:r>
          <w:r w:rsidR="000C5AB6">
            <w:rPr>
              <w:sz w:val="24"/>
              <w:szCs w:val="24"/>
            </w:rPr>
            <w:fldChar w:fldCharType="end"/>
          </w:r>
        </w:sdtContent>
      </w:sdt>
      <w:r>
        <w:rPr>
          <w:sz w:val="24"/>
          <w:szCs w:val="24"/>
        </w:rPr>
        <w:t>.</w:t>
      </w:r>
    </w:p>
    <w:p w:rsidR="00AE6A86" w:rsidRDefault="00AE6A86" w:rsidP="00AE6A86">
      <w:pPr>
        <w:spacing w:line="360" w:lineRule="auto"/>
        <w:jc w:val="both"/>
        <w:rPr>
          <w:sz w:val="24"/>
          <w:szCs w:val="24"/>
        </w:rPr>
      </w:pPr>
      <w:r>
        <w:rPr>
          <w:sz w:val="24"/>
          <w:szCs w:val="24"/>
        </w:rPr>
        <w:t xml:space="preserve">Voor de post </w:t>
      </w:r>
      <w:r w:rsidR="00E01DA4">
        <w:rPr>
          <w:sz w:val="24"/>
          <w:szCs w:val="24"/>
        </w:rPr>
        <w:t>materiële</w:t>
      </w:r>
      <w:r>
        <w:rPr>
          <w:sz w:val="24"/>
          <w:szCs w:val="24"/>
        </w:rPr>
        <w:t xml:space="preserve"> activa zijn ten opzichte van de oorspronkelijke jaarrekening over desbetreffend boekjaar wederom aanpassingen gedaan. Deze herziende jaarrekening geeft nieuwe informatie over de post </w:t>
      </w:r>
      <w:r>
        <w:rPr>
          <w:i/>
          <w:sz w:val="24"/>
          <w:szCs w:val="24"/>
        </w:rPr>
        <w:t>bedrijfsgebouwen en –terreinen</w:t>
      </w:r>
      <w:r>
        <w:rPr>
          <w:sz w:val="24"/>
          <w:szCs w:val="24"/>
        </w:rPr>
        <w:t xml:space="preserve">, onderdeel van de </w:t>
      </w:r>
      <w:r w:rsidR="00E01DA4">
        <w:rPr>
          <w:sz w:val="24"/>
          <w:szCs w:val="24"/>
        </w:rPr>
        <w:t>materiële</w:t>
      </w:r>
      <w:r>
        <w:rPr>
          <w:sz w:val="24"/>
          <w:szCs w:val="24"/>
        </w:rPr>
        <w:t xml:space="preserve"> vaste activa die de waarde van het stadion De Grolsch Veste weergeeft.</w:t>
      </w:r>
    </w:p>
    <w:p w:rsidR="00A64B5B" w:rsidRDefault="00AE6A86" w:rsidP="00AE6A8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Ten eerste wordt er gekeken welke informatie de geconsolideerde balans van FC Twente verstrekt met betrekking tot de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Uit de geconsolideerde balans na resultaatverdeling blijkt de volgende </w:t>
      </w:r>
      <w:r w:rsidR="00950AC0">
        <w:rPr>
          <w:rFonts w:eastAsia="Times New Roman" w:cs="Times New Roman"/>
          <w:color w:val="222222"/>
          <w:sz w:val="24"/>
          <w:szCs w:val="24"/>
          <w:lang w:eastAsia="en-GB"/>
        </w:rPr>
        <w:t>onderverdeling te zijn gemaakt:</w:t>
      </w:r>
    </w:p>
    <w:p w:rsidR="00AE6A86" w:rsidRDefault="000C5AB6" w:rsidP="00AE6A86">
      <w:pPr>
        <w:spacing w:line="360" w:lineRule="auto"/>
        <w:jc w:val="both"/>
        <w:rPr>
          <w:sz w:val="24"/>
          <w:szCs w:val="24"/>
        </w:rPr>
      </w:pPr>
      <w:r w:rsidRPr="000C5AB6">
        <w:rPr>
          <w:noProof/>
          <w:sz w:val="24"/>
          <w:szCs w:val="24"/>
          <w:lang w:val="en-GB" w:eastAsia="en-GB"/>
        </w:rPr>
        <w:pict>
          <v:rect id="Rechthoek 69" o:spid="_x0000_s1065" style="position:absolute;left:0;text-align:left;margin-left:1.15pt;margin-top:7.7pt;width:55.5pt;height:21.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" fillcolor="white [3201]" strokecolor="black [3213]" strokeweight="1pt">
            <v:textbox>
              <w:txbxContent>
                <w:p w:rsidR="00776867" w:rsidRDefault="00776867" w:rsidP="00AE6A86">
                  <w:pPr>
                    <w:jc w:val="center"/>
                  </w:pPr>
                  <w:r>
                    <w:t>Figuur 30</w:t>
                  </w:r>
                </w:p>
              </w:txbxContent>
            </v:textbox>
          </v:rect>
        </w:pict>
      </w:r>
    </w:p>
    <w:p w:rsidR="00AE6A86" w:rsidRDefault="00AE6A86" w:rsidP="00AE6A86">
      <w:pPr>
        <w:spacing w:line="360" w:lineRule="auto"/>
        <w:jc w:val="both"/>
        <w:rPr>
          <w:sz w:val="24"/>
          <w:szCs w:val="24"/>
        </w:rPr>
      </w:pPr>
      <w:r>
        <w:rPr>
          <w:noProof/>
          <w:sz w:val="24"/>
          <w:szCs w:val="24"/>
          <w:lang w:val="en-US"/>
        </w:rPr>
        <w:lastRenderedPageBreak/>
        <w:drawing>
          <wp:inline distT="0" distB="0" distL="0" distR="0">
            <wp:extent cx="4901565" cy="1084580"/>
            <wp:effectExtent l="0" t="0" r="0" b="1270"/>
            <wp:docPr id="72" name="Afbeelding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01565" cy="1084580"/>
                    </a:xfrm>
                    <a:prstGeom prst="rect">
                      <a:avLst/>
                    </a:prstGeom>
                    <a:noFill/>
                    <a:ln>
                      <a:noFill/>
                    </a:ln>
                  </pic:spPr>
                </pic:pic>
              </a:graphicData>
            </a:graphic>
          </wp:inline>
        </w:drawing>
      </w:r>
    </w:p>
    <w:p w:rsidR="00A64B5B" w:rsidRDefault="00A64B5B" w:rsidP="00AE6A86">
      <w:pPr>
        <w:spacing w:line="360" w:lineRule="auto"/>
        <w:jc w:val="both"/>
        <w:rPr>
          <w:sz w:val="24"/>
          <w:szCs w:val="24"/>
        </w:rPr>
      </w:pPr>
    </w:p>
    <w:p w:rsidR="00AE6A86" w:rsidRDefault="00AE6A86" w:rsidP="00AE6A86">
      <w:pPr>
        <w:spacing w:line="360" w:lineRule="auto"/>
        <w:jc w:val="both"/>
        <w:rPr>
          <w:sz w:val="24"/>
          <w:szCs w:val="24"/>
        </w:rPr>
      </w:pPr>
      <w:r>
        <w:rPr>
          <w:sz w:val="24"/>
          <w:szCs w:val="24"/>
        </w:rPr>
        <w:t xml:space="preserve">Ten opzichte van de originele jaarrekening van 2013/2014 is de post </w:t>
      </w:r>
      <w:r>
        <w:rPr>
          <w:i/>
          <w:sz w:val="24"/>
          <w:szCs w:val="24"/>
        </w:rPr>
        <w:t>bedrijfsgebouwen en –terreinen</w:t>
      </w:r>
      <w:r>
        <w:rPr>
          <w:sz w:val="24"/>
          <w:szCs w:val="24"/>
        </w:rPr>
        <w:t xml:space="preserve"> slechts met 29.000 euro toegenomen. Dit is ook in de lijn van de algemene toelichting op de waarderingsgrondslagen voor de activa en passiva in de jaarrekening, die ten opzichte van de originele jaarrekening over boekjaar 2013/2014 onveranderd is gebleven.</w:t>
      </w:r>
    </w:p>
    <w:p w:rsidR="00AE6A86" w:rsidRDefault="00AE6A86" w:rsidP="00AE6A86">
      <w:pPr>
        <w:spacing w:line="360" w:lineRule="auto"/>
        <w:jc w:val="both"/>
        <w:rPr>
          <w:sz w:val="24"/>
          <w:szCs w:val="24"/>
        </w:rPr>
      </w:pPr>
    </w:p>
    <w:p w:rsidR="00AE6A86" w:rsidRDefault="00AE6A86" w:rsidP="00AE6A86">
      <w:pPr>
        <w:spacing w:line="360" w:lineRule="auto"/>
        <w:jc w:val="both"/>
        <w:rPr>
          <w:sz w:val="24"/>
          <w:szCs w:val="24"/>
        </w:rPr>
      </w:pPr>
    </w:p>
    <w:p w:rsidR="00AE6A86" w:rsidRDefault="00AE6A86" w:rsidP="00AE6A86">
      <w:pPr>
        <w:spacing w:line="360" w:lineRule="auto"/>
        <w:jc w:val="both"/>
        <w:rPr>
          <w:sz w:val="24"/>
          <w:szCs w:val="24"/>
        </w:rPr>
      </w:pPr>
    </w:p>
    <w:p w:rsidR="00950AC0" w:rsidRDefault="00950AC0" w:rsidP="00AE6A86">
      <w:pPr>
        <w:spacing w:line="360" w:lineRule="auto"/>
        <w:jc w:val="both"/>
        <w:rPr>
          <w:sz w:val="24"/>
          <w:szCs w:val="24"/>
        </w:rPr>
      </w:pPr>
    </w:p>
    <w:p w:rsidR="00AE6A86" w:rsidRDefault="000C5AB6" w:rsidP="00AE6A86">
      <w:pPr>
        <w:spacing w:line="360" w:lineRule="auto"/>
        <w:jc w:val="both"/>
        <w:rPr>
          <w:sz w:val="24"/>
          <w:szCs w:val="24"/>
        </w:rPr>
      </w:pPr>
      <w:r w:rsidRPr="000C5AB6">
        <w:rPr>
          <w:noProof/>
          <w:sz w:val="24"/>
          <w:szCs w:val="24"/>
          <w:lang w:val="en-GB" w:eastAsia="en-GB"/>
        </w:rPr>
        <w:pict>
          <v:rect id="Rechthoek 70" o:spid="_x0000_s1066" style="position:absolute;left:0;text-align:left;margin-left:-2.2pt;margin-top:1.15pt;width:54.75pt;height:21.4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" fillcolor="white [3201]" strokecolor="black [3213]" strokeweight="1pt">
            <v:textbox>
              <w:txbxContent>
                <w:p w:rsidR="00776867" w:rsidRDefault="00776867" w:rsidP="00AE6A86">
                  <w:pPr>
                    <w:jc w:val="center"/>
                  </w:pPr>
                  <w:r>
                    <w:t>Figuur 31</w:t>
                  </w:r>
                </w:p>
              </w:txbxContent>
            </v:textbox>
          </v:rect>
        </w:pict>
      </w:r>
    </w:p>
    <w:p w:rsidR="00AE6A86" w:rsidRDefault="00AE6A86" w:rsidP="00AE6A86">
      <w:pPr>
        <w:spacing w:line="360" w:lineRule="auto"/>
        <w:jc w:val="both"/>
        <w:rPr>
          <w:sz w:val="24"/>
          <w:szCs w:val="24"/>
        </w:rPr>
      </w:pPr>
      <w:r>
        <w:rPr>
          <w:noProof/>
          <w:lang w:val="en-US"/>
        </w:rPr>
        <w:drawing>
          <wp:inline distT="0" distB="0" distL="0" distR="0">
            <wp:extent cx="4848225" cy="1297305"/>
            <wp:effectExtent l="0" t="0" r="9525" b="0"/>
            <wp:docPr id="73" name="Afbeeld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48225" cy="1297305"/>
                    </a:xfrm>
                    <a:prstGeom prst="rect">
                      <a:avLst/>
                    </a:prstGeom>
                    <a:noFill/>
                    <a:ln>
                      <a:noFill/>
                    </a:ln>
                  </pic:spPr>
                </pic:pic>
              </a:graphicData>
            </a:graphic>
          </wp:inline>
        </w:drawing>
      </w:r>
    </w:p>
    <w:p w:rsidR="00A64B5B" w:rsidRDefault="00AE6A86" w:rsidP="00AE6A86">
      <w:pPr>
        <w:spacing w:line="360" w:lineRule="auto"/>
        <w:rPr>
          <w:sz w:val="24"/>
          <w:szCs w:val="24"/>
        </w:rPr>
      </w:pPr>
      <w:r w:rsidRPr="00C8454C">
        <w:rPr>
          <w:sz w:val="24"/>
          <w:szCs w:val="24"/>
        </w:rPr>
        <w:t xml:space="preserve">Echter, de schattingswijziging voor </w:t>
      </w:r>
      <w:r w:rsidR="00E01DA4">
        <w:rPr>
          <w:sz w:val="24"/>
          <w:szCs w:val="24"/>
        </w:rPr>
        <w:t>materiële</w:t>
      </w:r>
      <w:r w:rsidRPr="00C8454C">
        <w:rPr>
          <w:sz w:val="24"/>
          <w:szCs w:val="24"/>
        </w:rPr>
        <w:t xml:space="preserve"> vaste activa vertoont grote en belangrijke verschillen in vergelijking met de voorgaande schattingswijziging van het boekjaar 2013/2014. De vorige schattingswijziging toonde tekortkomingen in haar onderbouwing voor de economische levensduur en de restwaarde van het stadion.</w:t>
      </w:r>
    </w:p>
    <w:p w:rsidR="00AE6A86" w:rsidRPr="00C8454C" w:rsidRDefault="000C5AB6" w:rsidP="00AE6A86">
      <w:pPr>
        <w:spacing w:line="360" w:lineRule="auto"/>
        <w:rPr>
          <w:sz w:val="24"/>
          <w:szCs w:val="24"/>
        </w:rPr>
      </w:pPr>
      <w:r w:rsidRPr="000C5AB6">
        <w:rPr>
          <w:noProof/>
          <w:sz w:val="24"/>
          <w:szCs w:val="24"/>
          <w:lang w:val="en-GB" w:eastAsia="en-GB"/>
        </w:rPr>
        <w:pict>
          <v:rect id="Rechthoek 71" o:spid="_x0000_s1067" style="position:absolute;margin-left:3.4pt;margin-top:23.05pt;width:55.5pt;height:19.6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" fillcolor="white [3201]" strokecolor="black [3213]" strokeweight="1pt">
            <v:textbox>
              <w:txbxContent>
                <w:p w:rsidR="00776867" w:rsidRDefault="00776867" w:rsidP="00AE6A86">
                  <w:pPr>
                    <w:jc w:val="center"/>
                  </w:pPr>
                  <w:r>
                    <w:t>Figuur 32</w:t>
                  </w:r>
                </w:p>
              </w:txbxContent>
            </v:textbox>
            <w10:wrap anchorx="margin"/>
          </v:rect>
        </w:pict>
      </w:r>
    </w:p>
    <w:p w:rsidR="00AE6A86" w:rsidRDefault="00AE6A86" w:rsidP="00AE6A86"/>
    <w:p w:rsidR="00AE6A86" w:rsidRDefault="00AE6A86" w:rsidP="00AE6A86">
      <w:pPr>
        <w:spacing w:line="360" w:lineRule="auto"/>
        <w:jc w:val="both"/>
        <w:rPr>
          <w:sz w:val="24"/>
          <w:szCs w:val="24"/>
        </w:rPr>
      </w:pPr>
      <w:r>
        <w:rPr>
          <w:noProof/>
          <w:lang w:val="en-US"/>
        </w:rPr>
        <w:lastRenderedPageBreak/>
        <w:drawing>
          <wp:inline distT="0" distB="0" distL="0" distR="0">
            <wp:extent cx="4846320" cy="4023360"/>
            <wp:effectExtent l="0" t="0" r="0" b="0"/>
            <wp:docPr id="74" name="Afbeeld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46320" cy="4023360"/>
                    </a:xfrm>
                    <a:prstGeom prst="rect">
                      <a:avLst/>
                    </a:prstGeom>
                    <a:noFill/>
                    <a:ln>
                      <a:noFill/>
                    </a:ln>
                  </pic:spPr>
                </pic:pic>
              </a:graphicData>
            </a:graphic>
          </wp:inline>
        </w:drawing>
      </w:r>
      <w:r>
        <w:rPr>
          <w:sz w:val="24"/>
          <w:szCs w:val="24"/>
        </w:rPr>
        <w:t xml:space="preserve"> </w:t>
      </w:r>
    </w:p>
    <w:p w:rsidR="00AE6A86" w:rsidRDefault="00AE6A86" w:rsidP="00AE6A86">
      <w:pPr>
        <w:spacing w:line="360" w:lineRule="auto"/>
        <w:jc w:val="both"/>
        <w:rPr>
          <w:sz w:val="24"/>
          <w:szCs w:val="24"/>
        </w:rPr>
      </w:pPr>
      <w:r>
        <w:rPr>
          <w:sz w:val="24"/>
          <w:szCs w:val="24"/>
        </w:rPr>
        <w:t xml:space="preserve">De schattingswijziging is gebaseerd op de huidige status van het stadion en op basis van de zogenaamde </w:t>
      </w:r>
      <w:r w:rsidRPr="00394A5B">
        <w:rPr>
          <w:i/>
          <w:sz w:val="24"/>
          <w:szCs w:val="24"/>
        </w:rPr>
        <w:t>industry practice</w:t>
      </w:r>
      <w:r>
        <w:rPr>
          <w:sz w:val="24"/>
          <w:szCs w:val="24"/>
        </w:rPr>
        <w:t xml:space="preserve">. Deze term verwijst naar door de overheid gereguleerde industrieën die veelal gebruik maken van voorgeschreven rapportage eisen voor de financiële </w:t>
      </w:r>
      <w:r w:rsidR="000C5AB6" w:rsidRPr="000C5AB6">
        <w:rPr>
          <w:noProof/>
          <w:sz w:val="24"/>
          <w:szCs w:val="24"/>
          <w:lang w:val="en-GB" w:eastAsia="en-GB"/>
        </w:rPr>
        <w:pict>
          <v:rect id="Rechthoek 76" o:spid="_x0000_s1068" style="position:absolute;left:0;text-align:left;margin-left:4.5pt;margin-top:183.65pt;width:58.6pt;height:22.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" fillcolor="white [3201]" strokecolor="black [3213]" strokeweight="1pt">
            <v:textbox>
              <w:txbxContent>
                <w:p w:rsidR="00776867" w:rsidRDefault="00776867" w:rsidP="004D0B38">
                  <w:pPr>
                    <w:jc w:val="center"/>
                  </w:pPr>
                  <w:r>
                    <w:t>Figuur 31</w:t>
                  </w:r>
                </w:p>
              </w:txbxContent>
            </v:textbox>
          </v:rect>
        </w:pict>
      </w:r>
      <w:r>
        <w:rPr>
          <w:sz w:val="24"/>
          <w:szCs w:val="24"/>
        </w:rPr>
        <w:t xml:space="preserve">verslaggeving </w:t>
      </w:r>
      <w:sdt>
        <w:sdtPr>
          <w:rPr>
            <w:sz w:val="24"/>
            <w:szCs w:val="24"/>
          </w:rPr>
          <w:id w:val="629057869"/>
          <w:citation/>
        </w:sdtPr>
        <w:sdtContent>
          <w:r w:rsidR="000C5AB6">
            <w:rPr>
              <w:sz w:val="24"/>
              <w:szCs w:val="24"/>
            </w:rPr>
            <w:fldChar w:fldCharType="begin"/>
          </w:r>
          <w:r>
            <w:rPr>
              <w:sz w:val="24"/>
              <w:szCs w:val="24"/>
            </w:rPr>
            <w:instrText xml:space="preserve"> CITATION Wil14 \l 1043 </w:instrText>
          </w:r>
          <w:r w:rsidR="000C5AB6">
            <w:rPr>
              <w:sz w:val="24"/>
              <w:szCs w:val="24"/>
            </w:rPr>
            <w:fldChar w:fldCharType="separate"/>
          </w:r>
          <w:r w:rsidR="00062BB9" w:rsidRPr="00062BB9">
            <w:rPr>
              <w:noProof/>
              <w:sz w:val="24"/>
              <w:szCs w:val="24"/>
            </w:rPr>
            <w:t>(Wilson, 2014)</w:t>
          </w:r>
          <w:r w:rsidR="000C5AB6">
            <w:rPr>
              <w:sz w:val="24"/>
              <w:szCs w:val="24"/>
            </w:rPr>
            <w:fldChar w:fldCharType="end"/>
          </w:r>
        </w:sdtContent>
      </w:sdt>
      <w:r>
        <w:rPr>
          <w:sz w:val="24"/>
          <w:szCs w:val="24"/>
        </w:rPr>
        <w:t xml:space="preserve">. Door middel van deze techniek wordt in deze jaarrekening een legitieme onderbouwing gegeven voor de keuze van de economische levensduur van het stadion. Mede door multifunctionaliteit van het stadion, waar buiten het bespelen van voetbalwedstrijden van FC Twente, verschillende vormen van evenementen gehouden kunnen worden. Zodoende is besloten de economische levensduur van De Grolsch Veste te verlengen van 25 naar 40 jaar. </w:t>
      </w:r>
      <w:r w:rsidR="00406C2F">
        <w:rPr>
          <w:sz w:val="24"/>
          <w:szCs w:val="24"/>
        </w:rPr>
        <w:t xml:space="preserve">Het effect van deze schattingswijziging leidt tot een verlaging van de post afschrijvingen in de winst-en-verliesrekening van ongeveer 1,2 miljoen euro </w:t>
      </w:r>
      <w:sdt>
        <w:sdtPr>
          <w:rPr>
            <w:sz w:val="24"/>
            <w:szCs w:val="24"/>
          </w:rPr>
          <w:id w:val="656816319"/>
          <w:citation/>
        </w:sdtPr>
        <w:sdtContent>
          <w:r w:rsidR="000C5AB6">
            <w:rPr>
              <w:sz w:val="24"/>
              <w:szCs w:val="24"/>
            </w:rPr>
            <w:fldChar w:fldCharType="begin"/>
          </w:r>
          <w:r w:rsidR="00406C2F">
            <w:rPr>
              <w:sz w:val="24"/>
              <w:szCs w:val="24"/>
            </w:rPr>
            <w:instrText xml:space="preserve"> CITATION Sti151 \l 1043 </w:instrText>
          </w:r>
          <w:r w:rsidR="000C5AB6">
            <w:rPr>
              <w:sz w:val="24"/>
              <w:szCs w:val="24"/>
            </w:rPr>
            <w:fldChar w:fldCharType="separate"/>
          </w:r>
          <w:r w:rsidR="00062BB9" w:rsidRPr="00062BB9">
            <w:rPr>
              <w:noProof/>
              <w:sz w:val="24"/>
              <w:szCs w:val="24"/>
            </w:rPr>
            <w:t>(Stichting FC Twente '65 B.V., 2015)</w:t>
          </w:r>
          <w:r w:rsidR="000C5AB6">
            <w:rPr>
              <w:sz w:val="24"/>
              <w:szCs w:val="24"/>
            </w:rPr>
            <w:fldChar w:fldCharType="end"/>
          </w:r>
        </w:sdtContent>
      </w:sdt>
      <w:r w:rsidR="00406C2F">
        <w:rPr>
          <w:sz w:val="24"/>
          <w:szCs w:val="24"/>
        </w:rPr>
        <w:t>.</w:t>
      </w:r>
    </w:p>
    <w:p w:rsidR="00406C2F" w:rsidRDefault="000C5AB6" w:rsidP="00AE6A86">
      <w:pPr>
        <w:spacing w:line="360" w:lineRule="auto"/>
        <w:jc w:val="both"/>
        <w:rPr>
          <w:sz w:val="24"/>
          <w:szCs w:val="24"/>
        </w:rPr>
      </w:pPr>
      <w:r w:rsidRPr="000C5AB6">
        <w:rPr>
          <w:noProof/>
          <w:sz w:val="24"/>
          <w:szCs w:val="24"/>
          <w:lang w:val="en-GB" w:eastAsia="en-GB"/>
        </w:rPr>
        <w:pict>
          <v:rect id="Rechthoek 55" o:spid="_x0000_s1069" style="position:absolute;left:0;text-align:left;margin-left:0;margin-top:.4pt;width:54pt;height:21.35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" fillcolor="white [3201]" strokecolor="black [3213]" strokeweight="1pt">
            <v:textbox>
              <w:txbxContent>
                <w:p w:rsidR="00776867" w:rsidRDefault="00776867" w:rsidP="00615D2E">
                  <w:pPr>
                    <w:jc w:val="center"/>
                  </w:pPr>
                  <w:r>
                    <w:t>Figuur 33</w:t>
                  </w:r>
                </w:p>
              </w:txbxContent>
            </v:textbox>
            <w10:wrap anchorx="margin"/>
          </v:rect>
        </w:pict>
      </w:r>
    </w:p>
    <w:p w:rsidR="00406C2F" w:rsidRDefault="004D0B38" w:rsidP="00AE6A86">
      <w:pPr>
        <w:spacing w:line="360" w:lineRule="auto"/>
        <w:jc w:val="both"/>
        <w:rPr>
          <w:sz w:val="24"/>
          <w:szCs w:val="24"/>
        </w:rPr>
      </w:pPr>
      <w:r>
        <w:rPr>
          <w:noProof/>
          <w:lang w:val="en-US"/>
        </w:rPr>
        <w:lastRenderedPageBreak/>
        <w:drawing>
          <wp:inline distT="0" distB="0" distL="0" distR="0">
            <wp:extent cx="2381885" cy="3359785"/>
            <wp:effectExtent l="0" t="0" r="0" b="0"/>
            <wp:docPr id="78" name="Afbeeld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885" cy="3359785"/>
                    </a:xfrm>
                    <a:prstGeom prst="rect">
                      <a:avLst/>
                    </a:prstGeom>
                    <a:noFill/>
                    <a:ln>
                      <a:noFill/>
                    </a:ln>
                  </pic:spPr>
                </pic:pic>
              </a:graphicData>
            </a:graphic>
          </wp:inline>
        </w:drawing>
      </w:r>
    </w:p>
    <w:p w:rsidR="007657B6" w:rsidRDefault="007657B6" w:rsidP="00AE6A86">
      <w:pPr>
        <w:spacing w:line="360" w:lineRule="auto"/>
        <w:jc w:val="both"/>
        <w:rPr>
          <w:sz w:val="24"/>
          <w:szCs w:val="24"/>
        </w:rPr>
      </w:pPr>
    </w:p>
    <w:p w:rsidR="004D0B38" w:rsidRPr="004D0B38" w:rsidRDefault="004D0B38" w:rsidP="00AE6A86">
      <w:pPr>
        <w:spacing w:line="360" w:lineRule="auto"/>
        <w:jc w:val="both"/>
        <w:rPr>
          <w:sz w:val="24"/>
          <w:szCs w:val="24"/>
        </w:rPr>
      </w:pPr>
      <w:r>
        <w:rPr>
          <w:sz w:val="24"/>
          <w:szCs w:val="24"/>
        </w:rPr>
        <w:t xml:space="preserve">Ten opzichte van de algemene toelichting op de post </w:t>
      </w:r>
      <w:r>
        <w:rPr>
          <w:i/>
          <w:sz w:val="24"/>
          <w:szCs w:val="24"/>
        </w:rPr>
        <w:t>bedrijfsgebouwen en –terreinen</w:t>
      </w:r>
      <w:r>
        <w:rPr>
          <w:sz w:val="24"/>
          <w:szCs w:val="24"/>
        </w:rPr>
        <w:t xml:space="preserve"> uit de oorspro</w:t>
      </w:r>
      <w:r w:rsidR="00C926F6">
        <w:rPr>
          <w:sz w:val="24"/>
          <w:szCs w:val="24"/>
        </w:rPr>
        <w:t>nkelijke jaarrekening (figuur 28</w:t>
      </w:r>
      <w:r>
        <w:rPr>
          <w:sz w:val="24"/>
          <w:szCs w:val="24"/>
        </w:rPr>
        <w:t>) is op te merken dat de afschrijvingen over het boekjaar zijn afgenomen, waardoor het totale afschrijvingsbedrag op het stadion tot en met het boekjaar 2013/2014 ook gedaald is.</w:t>
      </w:r>
      <w:r w:rsidR="00DC048A">
        <w:rPr>
          <w:sz w:val="24"/>
          <w:szCs w:val="24"/>
        </w:rPr>
        <w:t xml:space="preserve"> Logischerwijs is het investeringsbedrag in het stadion onveranderd gebleven, zodat de aanschaffingswaarde per ultimo seizoen 2014 gelijk is aan de dezelfde aanschaffingswaarde uit de oorspronkelijke jaarrekening van 2013/2014.</w:t>
      </w:r>
    </w:p>
    <w:p w:rsidR="00AE6A86" w:rsidRDefault="00AE6A86" w:rsidP="00A747AC">
      <w:pPr>
        <w:spacing w:line="360" w:lineRule="auto"/>
        <w:jc w:val="both"/>
        <w:rPr>
          <w:sz w:val="24"/>
          <w:szCs w:val="24"/>
        </w:rPr>
      </w:pPr>
    </w:p>
    <w:p w:rsidR="00AE6A86" w:rsidRDefault="00AE6A86" w:rsidP="00A747AC">
      <w:pPr>
        <w:spacing w:line="360" w:lineRule="auto"/>
        <w:jc w:val="both"/>
        <w:rPr>
          <w:sz w:val="24"/>
          <w:szCs w:val="24"/>
        </w:rPr>
      </w:pPr>
    </w:p>
    <w:p w:rsidR="00E10131" w:rsidRDefault="00E10131" w:rsidP="00A747AC">
      <w:pPr>
        <w:spacing w:line="360" w:lineRule="auto"/>
        <w:jc w:val="both"/>
        <w:rPr>
          <w:sz w:val="24"/>
          <w:szCs w:val="24"/>
        </w:rPr>
      </w:pPr>
      <w:bookmarkStart w:id="51" w:name="_GoBack"/>
      <w:bookmarkEnd w:id="51"/>
    </w:p>
    <w:p w:rsidR="00E10131" w:rsidRDefault="000C5AB6" w:rsidP="00A747AC">
      <w:pPr>
        <w:spacing w:line="360" w:lineRule="auto"/>
        <w:jc w:val="both"/>
        <w:rPr>
          <w:sz w:val="24"/>
          <w:szCs w:val="24"/>
        </w:rPr>
      </w:pPr>
      <w:r w:rsidRPr="000C5AB6">
        <w:rPr>
          <w:noProof/>
          <w:lang w:val="en-GB" w:eastAsia="en-GB"/>
        </w:rPr>
        <w:pict>
          <v:rect id="Rechthoek 80" o:spid="_x0000_s1070" style="position:absolute;left:0;text-align:left;margin-left:2pt;margin-top:21.75pt;width:54.75pt;height:22.9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" fillcolor="white [3201]" strokecolor="black [3213]" strokeweight="1pt">
            <v:textbox>
              <w:txbxContent>
                <w:p w:rsidR="00776867" w:rsidRDefault="00776867" w:rsidP="005031F4">
                  <w:pPr>
                    <w:jc w:val="center"/>
                  </w:pPr>
                  <w:r>
                    <w:t>Figuur 34</w:t>
                  </w:r>
                </w:p>
              </w:txbxContent>
            </v:textbox>
          </v:rect>
        </w:pict>
      </w:r>
    </w:p>
    <w:p w:rsidR="005031F4" w:rsidRPr="00304A1F" w:rsidRDefault="005031F4" w:rsidP="006E3FF9">
      <w:pPr>
        <w:spacing w:line="360" w:lineRule="auto"/>
        <w:jc w:val="both"/>
        <w:rPr>
          <w:noProof/>
          <w:lang w:eastAsia="en-GB"/>
        </w:rPr>
      </w:pPr>
    </w:p>
    <w:p w:rsidR="005A3285" w:rsidRDefault="005031F4" w:rsidP="006E3FF9">
      <w:pPr>
        <w:spacing w:line="360" w:lineRule="auto"/>
        <w:jc w:val="both"/>
        <w:rPr>
          <w:sz w:val="24"/>
          <w:szCs w:val="24"/>
        </w:rPr>
      </w:pPr>
      <w:r>
        <w:rPr>
          <w:noProof/>
          <w:lang w:val="en-US"/>
        </w:rPr>
        <w:drawing>
          <wp:inline distT="0" distB="0" distL="0" distR="0">
            <wp:extent cx="4083050" cy="1445895"/>
            <wp:effectExtent l="0" t="0" r="0" b="1905"/>
            <wp:docPr id="79"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3050" cy="1445895"/>
                    </a:xfrm>
                    <a:prstGeom prst="rect">
                      <a:avLst/>
                    </a:prstGeom>
                    <a:noFill/>
                    <a:ln>
                      <a:noFill/>
                    </a:ln>
                  </pic:spPr>
                </pic:pic>
              </a:graphicData>
            </a:graphic>
          </wp:inline>
        </w:drawing>
      </w:r>
    </w:p>
    <w:p w:rsidR="007657B6" w:rsidRDefault="007657B6" w:rsidP="005031F4">
      <w:pPr>
        <w:spacing w:line="360" w:lineRule="auto"/>
        <w:jc w:val="both"/>
        <w:rPr>
          <w:sz w:val="24"/>
          <w:szCs w:val="24"/>
        </w:rPr>
      </w:pPr>
    </w:p>
    <w:p w:rsidR="005031F4" w:rsidRDefault="005031F4" w:rsidP="005031F4">
      <w:pPr>
        <w:spacing w:line="360" w:lineRule="auto"/>
        <w:jc w:val="both"/>
        <w:rPr>
          <w:sz w:val="24"/>
          <w:szCs w:val="24"/>
        </w:rPr>
      </w:pPr>
      <w:r>
        <w:rPr>
          <w:sz w:val="24"/>
          <w:szCs w:val="24"/>
        </w:rPr>
        <w:t xml:space="preserve">In de toelichting op de geconsolideerde winst-en-verliesrekening over het boekjaar 2013/2014 is te zien dat de afschrijvingskosten van de post </w:t>
      </w:r>
      <w:r>
        <w:rPr>
          <w:i/>
          <w:sz w:val="24"/>
          <w:szCs w:val="24"/>
        </w:rPr>
        <w:t>bedrijfsgebouwen en –terreinen</w:t>
      </w:r>
      <w:r>
        <w:rPr>
          <w:sz w:val="24"/>
          <w:szCs w:val="24"/>
        </w:rPr>
        <w:t xml:space="preserve"> net als voorgaande jaren verminderd wordt met de vrijval van de investeringspremie groot 52.000 euro. Daarnaast zijn de afschrijvingskosten over desbetreffend boekjaar, mede door de nieuwe afschr</w:t>
      </w:r>
      <w:r w:rsidR="00143844">
        <w:rPr>
          <w:sz w:val="24"/>
          <w:szCs w:val="24"/>
        </w:rPr>
        <w:t>ijvingsmethodiek, gedaald naar 3,8</w:t>
      </w:r>
      <w:r>
        <w:rPr>
          <w:sz w:val="24"/>
          <w:szCs w:val="24"/>
        </w:rPr>
        <w:t>% van de totale bedrijfslasten</w:t>
      </w:r>
      <w:r w:rsidR="00143844">
        <w:rPr>
          <w:sz w:val="24"/>
          <w:szCs w:val="24"/>
        </w:rPr>
        <w:t xml:space="preserve"> </w:t>
      </w:r>
      <w:sdt>
        <w:sdtPr>
          <w:rPr>
            <w:sz w:val="24"/>
            <w:szCs w:val="24"/>
          </w:rPr>
          <w:id w:val="-1888936344"/>
          <w:citation/>
        </w:sdtPr>
        <w:sdtContent>
          <w:r w:rsidR="000C5AB6">
            <w:rPr>
              <w:sz w:val="24"/>
              <w:szCs w:val="24"/>
            </w:rPr>
            <w:fldChar w:fldCharType="begin"/>
          </w:r>
          <w:r w:rsidR="00143844">
            <w:rPr>
              <w:sz w:val="24"/>
              <w:szCs w:val="24"/>
            </w:rPr>
            <w:instrText xml:space="preserve"> CITATION Sti151 \l 1043 </w:instrText>
          </w:r>
          <w:r w:rsidR="000C5AB6">
            <w:rPr>
              <w:sz w:val="24"/>
              <w:szCs w:val="24"/>
            </w:rPr>
            <w:fldChar w:fldCharType="separate"/>
          </w:r>
          <w:r w:rsidR="00062BB9" w:rsidRPr="00062BB9">
            <w:rPr>
              <w:noProof/>
              <w:sz w:val="24"/>
              <w:szCs w:val="24"/>
            </w:rPr>
            <w:t>(Stichting FC Twente '65 B.V., 2015)</w:t>
          </w:r>
          <w:r w:rsidR="000C5AB6">
            <w:rPr>
              <w:sz w:val="24"/>
              <w:szCs w:val="24"/>
            </w:rPr>
            <w:fldChar w:fldCharType="end"/>
          </w:r>
        </w:sdtContent>
      </w:sdt>
      <w:r>
        <w:rPr>
          <w:sz w:val="24"/>
          <w:szCs w:val="24"/>
        </w:rPr>
        <w:t>.</w:t>
      </w: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A64B5B">
      <w:pPr>
        <w:pStyle w:val="Heading2"/>
        <w:rPr>
          <w:sz w:val="32"/>
        </w:rPr>
      </w:pPr>
    </w:p>
    <w:p w:rsidR="007657B6" w:rsidRDefault="007657B6" w:rsidP="007657B6"/>
    <w:p w:rsidR="007657B6" w:rsidRDefault="007657B6" w:rsidP="00A64B5B">
      <w:pPr>
        <w:pStyle w:val="Heading2"/>
        <w:rPr>
          <w:rFonts w:asciiTheme="minorHAnsi" w:eastAsiaTheme="minorEastAsia" w:hAnsiTheme="minorHAnsi" w:cstheme="minorBidi"/>
          <w:color w:val="auto"/>
          <w:sz w:val="20"/>
          <w:szCs w:val="20"/>
        </w:rPr>
      </w:pPr>
    </w:p>
    <w:p w:rsidR="007657B6" w:rsidRDefault="007657B6" w:rsidP="007657B6"/>
    <w:p w:rsidR="007657B6" w:rsidRPr="007657B6" w:rsidRDefault="007657B6" w:rsidP="007657B6"/>
    <w:p w:rsidR="00E10131" w:rsidRPr="00A64B5B" w:rsidRDefault="00776867" w:rsidP="00A64B5B">
      <w:pPr>
        <w:pStyle w:val="Heading2"/>
        <w:rPr>
          <w:sz w:val="32"/>
        </w:rPr>
      </w:pPr>
      <w:bookmarkStart w:id="52" w:name="_Toc425516517"/>
      <w:r>
        <w:rPr>
          <w:sz w:val="32"/>
        </w:rPr>
        <w:t>5</w:t>
      </w:r>
      <w:r w:rsidR="00A64B5B">
        <w:rPr>
          <w:sz w:val="32"/>
        </w:rPr>
        <w:t xml:space="preserve">.5. </w:t>
      </w:r>
      <w:r w:rsidR="00E10131" w:rsidRPr="00A64B5B">
        <w:rPr>
          <w:sz w:val="32"/>
        </w:rPr>
        <w:t xml:space="preserve">Conclusie hoofdstuk </w:t>
      </w:r>
      <w:r>
        <w:rPr>
          <w:sz w:val="32"/>
        </w:rPr>
        <w:t>5</w:t>
      </w:r>
      <w:bookmarkEnd w:id="52"/>
    </w:p>
    <w:p w:rsidR="00A64B5B" w:rsidRDefault="00E10131" w:rsidP="005031F4">
      <w:pPr>
        <w:spacing w:line="360" w:lineRule="auto"/>
        <w:jc w:val="both"/>
        <w:rPr>
          <w:sz w:val="24"/>
          <w:szCs w:val="24"/>
        </w:rPr>
      </w:pPr>
      <w:r>
        <w:rPr>
          <w:sz w:val="24"/>
          <w:szCs w:val="24"/>
        </w:rPr>
        <w:t xml:space="preserve">Sinds de ingebruikneming van het stadion de Grolsch Veste in het seizoen 2008/2009 heeft de club de waarderingsgrondslagen wat betreft de </w:t>
      </w:r>
      <w:r w:rsidR="00E01DA4">
        <w:rPr>
          <w:sz w:val="24"/>
          <w:szCs w:val="24"/>
        </w:rPr>
        <w:t>materiële</w:t>
      </w:r>
      <w:r>
        <w:rPr>
          <w:sz w:val="24"/>
          <w:szCs w:val="24"/>
        </w:rPr>
        <w:t xml:space="preserve"> vaste activa, met in het bijzonder voor de post </w:t>
      </w:r>
      <w:r>
        <w:rPr>
          <w:i/>
          <w:sz w:val="24"/>
          <w:szCs w:val="24"/>
        </w:rPr>
        <w:t>bedrijfsgebouwen en –terreinen</w:t>
      </w:r>
      <w:r>
        <w:rPr>
          <w:sz w:val="24"/>
          <w:szCs w:val="24"/>
        </w:rPr>
        <w:t xml:space="preserve"> onveranderd gelaten tot aan het boekjaar 2013/2014. Een de eerste vijf boekjaren werd afgeschreven over een economische levensduur van 25 jaar</w:t>
      </w:r>
      <w:proofErr w:type="gramStart"/>
      <w:r>
        <w:rPr>
          <w:sz w:val="24"/>
          <w:szCs w:val="24"/>
        </w:rPr>
        <w:t>, wat</w:t>
      </w:r>
      <w:proofErr w:type="gramEnd"/>
      <w:r>
        <w:rPr>
          <w:sz w:val="24"/>
          <w:szCs w:val="24"/>
        </w:rPr>
        <w:t xml:space="preserve"> op jaarbasis leidde tot afschrijvingen van </w:t>
      </w:r>
      <w:r w:rsidR="001174E1">
        <w:rPr>
          <w:sz w:val="24"/>
          <w:szCs w:val="24"/>
        </w:rPr>
        <w:t xml:space="preserve">gemiddeld 2,6 miljoen euro, waardoor het totale afschrijvingsbedrag op het stadion eind boekjaar 2012/2013 al bijna 13,2 miljoen euro bedroeg. Zodoende besloot de directie van FC Twente de waarderingsgrondslagen op de </w:t>
      </w:r>
      <w:r w:rsidR="00E01DA4">
        <w:rPr>
          <w:sz w:val="24"/>
          <w:szCs w:val="24"/>
        </w:rPr>
        <w:t>materiële</w:t>
      </w:r>
      <w:r w:rsidR="001174E1">
        <w:rPr>
          <w:sz w:val="24"/>
          <w:szCs w:val="24"/>
        </w:rPr>
        <w:t xml:space="preserve"> vaste activa bij aanvang van het boekjaar </w:t>
      </w:r>
      <w:r w:rsidR="001174E1">
        <w:rPr>
          <w:sz w:val="24"/>
          <w:szCs w:val="24"/>
        </w:rPr>
        <w:lastRenderedPageBreak/>
        <w:t xml:space="preserve">2013/2014 aan te passen. Er werden schattingswijzigingen doorgevoerd voor de stadionpost </w:t>
      </w:r>
      <w:r w:rsidR="001174E1">
        <w:rPr>
          <w:i/>
          <w:sz w:val="24"/>
          <w:szCs w:val="24"/>
        </w:rPr>
        <w:t>bedrijfsgebouwen en –terreinen</w:t>
      </w:r>
      <w:r w:rsidR="001174E1">
        <w:rPr>
          <w:sz w:val="24"/>
          <w:szCs w:val="24"/>
        </w:rPr>
        <w:t xml:space="preserve"> met betrekking tot de economische restwaarde van het stadion</w:t>
      </w:r>
      <w:proofErr w:type="gramStart"/>
      <w:r w:rsidR="001174E1">
        <w:rPr>
          <w:sz w:val="24"/>
          <w:szCs w:val="24"/>
        </w:rPr>
        <w:t>, wat</w:t>
      </w:r>
      <w:proofErr w:type="gramEnd"/>
      <w:r w:rsidR="001174E1">
        <w:rPr>
          <w:sz w:val="24"/>
          <w:szCs w:val="24"/>
        </w:rPr>
        <w:t xml:space="preserve"> gevolg had voor het jaarlijkse afschrijvingsbedrag en zodoende ook op het resultaat. Echter, de keuze voor de economische restwaarde van groot 20 miljoen euro werd onvoldoende tot niet onderbouwd en leek daardoor niet op steun te rekenen van de KNVB licentiecommissie.</w:t>
      </w:r>
    </w:p>
    <w:p w:rsidR="001174E1" w:rsidRDefault="001174E1" w:rsidP="005031F4">
      <w:pPr>
        <w:spacing w:line="360" w:lineRule="auto"/>
        <w:jc w:val="both"/>
        <w:rPr>
          <w:sz w:val="24"/>
          <w:szCs w:val="24"/>
        </w:rPr>
      </w:pPr>
      <w:r>
        <w:rPr>
          <w:sz w:val="24"/>
          <w:szCs w:val="24"/>
        </w:rPr>
        <w:t xml:space="preserve">Als gevolg van de foute waarderingen van meerdere posten in de oorspronkelijke jaarrekening over 2013/2014 werd volgens de licentiecommissie de normstelling uit het opgelegde plan van aanpak niet behaald, wat resulteerde in drie winstpunten in vermindering. In de herziende jaarrekening over het boekjaar 2013/2014 </w:t>
      </w:r>
      <w:r w:rsidR="00B85B03">
        <w:rPr>
          <w:sz w:val="24"/>
          <w:szCs w:val="24"/>
        </w:rPr>
        <w:t xml:space="preserve">werd het verlies alsmaar groter en werden er aanpassingen doorgevoerd in de </w:t>
      </w:r>
      <w:r w:rsidR="00E01DA4">
        <w:rPr>
          <w:sz w:val="24"/>
          <w:szCs w:val="24"/>
        </w:rPr>
        <w:t>materiële</w:t>
      </w:r>
      <w:r w:rsidR="00B85B03">
        <w:rPr>
          <w:sz w:val="24"/>
          <w:szCs w:val="24"/>
        </w:rPr>
        <w:t xml:space="preserve"> vaste activa post </w:t>
      </w:r>
      <w:r w:rsidR="00B85B03">
        <w:rPr>
          <w:i/>
          <w:sz w:val="24"/>
          <w:szCs w:val="24"/>
        </w:rPr>
        <w:t>bedrijfsgebouwen en –terreinen</w:t>
      </w:r>
      <w:r w:rsidR="00B85B03">
        <w:rPr>
          <w:sz w:val="24"/>
          <w:szCs w:val="24"/>
        </w:rPr>
        <w:t xml:space="preserve">. </w:t>
      </w:r>
      <w:r w:rsidR="004C724F">
        <w:rPr>
          <w:sz w:val="24"/>
          <w:szCs w:val="24"/>
        </w:rPr>
        <w:t xml:space="preserve">Op basis van </w:t>
      </w:r>
      <w:r w:rsidR="004C724F">
        <w:rPr>
          <w:i/>
          <w:sz w:val="24"/>
          <w:szCs w:val="24"/>
        </w:rPr>
        <w:t xml:space="preserve">industry practice </w:t>
      </w:r>
      <w:r w:rsidR="004C724F">
        <w:rPr>
          <w:sz w:val="24"/>
          <w:szCs w:val="24"/>
        </w:rPr>
        <w:t>werd de keuze voor de economische levensduur van 40 jaar op het stadion</w:t>
      </w:r>
      <w:r w:rsidR="00B85B03">
        <w:rPr>
          <w:sz w:val="24"/>
          <w:szCs w:val="24"/>
        </w:rPr>
        <w:t xml:space="preserve"> </w:t>
      </w:r>
      <w:r w:rsidR="004C724F">
        <w:rPr>
          <w:sz w:val="24"/>
          <w:szCs w:val="24"/>
        </w:rPr>
        <w:t>voldoende toegelicht. De nieuwe afschrijvingsmethodiek zorgde voor lagere afschrijvingskosten op jaarbasis</w:t>
      </w:r>
      <w:proofErr w:type="gramStart"/>
      <w:r w:rsidR="004C724F">
        <w:rPr>
          <w:sz w:val="24"/>
          <w:szCs w:val="24"/>
        </w:rPr>
        <w:t>, wat</w:t>
      </w:r>
      <w:proofErr w:type="gramEnd"/>
      <w:r w:rsidR="004C724F">
        <w:rPr>
          <w:sz w:val="24"/>
          <w:szCs w:val="24"/>
        </w:rPr>
        <w:t xml:space="preserve"> resulteerde in een totale afschrijvingspost van ruim 14.9 miljoen ultimo seizoen 2014</w:t>
      </w:r>
      <w:r w:rsidR="00680E26">
        <w:rPr>
          <w:sz w:val="24"/>
          <w:szCs w:val="24"/>
        </w:rPr>
        <w:t xml:space="preserve"> op het stadion De Grolsch Veste</w:t>
      </w:r>
      <w:r w:rsidR="004C724F">
        <w:rPr>
          <w:sz w:val="24"/>
          <w:szCs w:val="24"/>
        </w:rPr>
        <w:t>.</w:t>
      </w:r>
    </w:p>
    <w:p w:rsidR="001D4A5E" w:rsidRDefault="001D4A5E" w:rsidP="005031F4">
      <w:pPr>
        <w:spacing w:line="360" w:lineRule="auto"/>
        <w:jc w:val="both"/>
        <w:rPr>
          <w:sz w:val="24"/>
          <w:szCs w:val="24"/>
        </w:rPr>
      </w:pPr>
    </w:p>
    <w:p w:rsidR="00304A1F" w:rsidRDefault="00304A1F" w:rsidP="005031F4">
      <w:pPr>
        <w:spacing w:line="360" w:lineRule="auto"/>
        <w:jc w:val="both"/>
        <w:rPr>
          <w:sz w:val="24"/>
          <w:szCs w:val="24"/>
        </w:rPr>
      </w:pPr>
    </w:p>
    <w:p w:rsidR="00304A1F" w:rsidRDefault="00304A1F" w:rsidP="005031F4">
      <w:pPr>
        <w:spacing w:line="360" w:lineRule="auto"/>
        <w:jc w:val="both"/>
        <w:rPr>
          <w:sz w:val="24"/>
          <w:szCs w:val="24"/>
        </w:rPr>
      </w:pPr>
    </w:p>
    <w:p w:rsidR="00304A1F" w:rsidRDefault="00304A1F" w:rsidP="005031F4">
      <w:pPr>
        <w:spacing w:line="360" w:lineRule="auto"/>
        <w:jc w:val="both"/>
        <w:rPr>
          <w:sz w:val="24"/>
          <w:szCs w:val="24"/>
        </w:rPr>
      </w:pPr>
    </w:p>
    <w:p w:rsidR="00304A1F" w:rsidRDefault="00304A1F" w:rsidP="005031F4">
      <w:pPr>
        <w:spacing w:line="360" w:lineRule="auto"/>
        <w:jc w:val="both"/>
        <w:rPr>
          <w:sz w:val="24"/>
          <w:szCs w:val="24"/>
        </w:rPr>
      </w:pPr>
    </w:p>
    <w:p w:rsidR="00304A1F" w:rsidRPr="00A64B5B" w:rsidRDefault="00776867" w:rsidP="00A64B5B">
      <w:pPr>
        <w:pStyle w:val="Heading1"/>
        <w:rPr>
          <w:b/>
          <w:sz w:val="40"/>
        </w:rPr>
      </w:pPr>
      <w:bookmarkStart w:id="53" w:name="_Toc425516518"/>
      <w:r>
        <w:rPr>
          <w:sz w:val="40"/>
        </w:rPr>
        <w:t>Hoofdstuk 6</w:t>
      </w:r>
      <w:r w:rsidR="008A7C3C" w:rsidRPr="00A64B5B">
        <w:rPr>
          <w:sz w:val="40"/>
        </w:rPr>
        <w:t xml:space="preserve">: </w:t>
      </w:r>
      <w:r w:rsidR="00304A1F" w:rsidRPr="00A64B5B">
        <w:rPr>
          <w:sz w:val="40"/>
        </w:rPr>
        <w:t>Conclusie en aanbevelingen</w:t>
      </w:r>
      <w:bookmarkEnd w:id="53"/>
    </w:p>
    <w:p w:rsidR="008A7C3C" w:rsidRDefault="008A7C3C" w:rsidP="005031F4">
      <w:pPr>
        <w:spacing w:line="360" w:lineRule="auto"/>
        <w:jc w:val="both"/>
        <w:rPr>
          <w:sz w:val="24"/>
          <w:szCs w:val="36"/>
        </w:rPr>
      </w:pPr>
      <w:r>
        <w:rPr>
          <w:sz w:val="24"/>
          <w:szCs w:val="36"/>
        </w:rPr>
        <w:t xml:space="preserve">Gedurende </w:t>
      </w:r>
      <w:r w:rsidR="00D150D5">
        <w:rPr>
          <w:sz w:val="24"/>
          <w:szCs w:val="36"/>
        </w:rPr>
        <w:t>de thesis is</w:t>
      </w:r>
      <w:r>
        <w:rPr>
          <w:sz w:val="24"/>
          <w:szCs w:val="36"/>
        </w:rPr>
        <w:t xml:space="preserve"> onderzoek </w:t>
      </w:r>
      <w:r w:rsidR="00D150D5">
        <w:rPr>
          <w:sz w:val="24"/>
          <w:szCs w:val="36"/>
        </w:rPr>
        <w:t>gedaan</w:t>
      </w:r>
      <w:r>
        <w:rPr>
          <w:sz w:val="24"/>
          <w:szCs w:val="36"/>
        </w:rPr>
        <w:t xml:space="preserve"> naar de oorzaak voor de problematiek in de waardering </w:t>
      </w:r>
      <w:r w:rsidR="00DB728A">
        <w:rPr>
          <w:sz w:val="24"/>
          <w:szCs w:val="36"/>
        </w:rPr>
        <w:t>van</w:t>
      </w:r>
      <w:r>
        <w:rPr>
          <w:sz w:val="24"/>
          <w:szCs w:val="36"/>
        </w:rPr>
        <w:t xml:space="preserve"> het stadion van de voetbalclub FC Twente, genaamd De Grolsch Veste. Het stadion is, sinds de ingebruikneming in het seizoen 2008/2009, als onderdeel van de </w:t>
      </w:r>
      <w:r w:rsidR="00E01DA4">
        <w:rPr>
          <w:sz w:val="24"/>
          <w:szCs w:val="36"/>
        </w:rPr>
        <w:t>materiële</w:t>
      </w:r>
      <w:r>
        <w:rPr>
          <w:sz w:val="24"/>
          <w:szCs w:val="36"/>
        </w:rPr>
        <w:t xml:space="preserve"> vaste activa op de balans ondergebracht onder de post </w:t>
      </w:r>
      <w:r>
        <w:rPr>
          <w:i/>
          <w:sz w:val="24"/>
          <w:szCs w:val="36"/>
        </w:rPr>
        <w:t xml:space="preserve">Bedrijfsgebouwen </w:t>
      </w:r>
      <w:r w:rsidR="0024076F">
        <w:rPr>
          <w:i/>
          <w:sz w:val="24"/>
          <w:szCs w:val="36"/>
        </w:rPr>
        <w:t xml:space="preserve">en </w:t>
      </w:r>
      <w:r>
        <w:rPr>
          <w:i/>
          <w:sz w:val="24"/>
          <w:szCs w:val="36"/>
        </w:rPr>
        <w:t>–terreinen</w:t>
      </w:r>
      <w:r>
        <w:rPr>
          <w:sz w:val="24"/>
          <w:szCs w:val="36"/>
        </w:rPr>
        <w:t xml:space="preserve">. De afschrijvingsmethodiek toegepast in de jaarrekening over het boekjaar 2013/2014 werd verworpen door de licentiecommissie van de KNVB. Deze commissie, die als </w:t>
      </w:r>
      <w:r>
        <w:rPr>
          <w:sz w:val="24"/>
          <w:szCs w:val="36"/>
        </w:rPr>
        <w:lastRenderedPageBreak/>
        <w:t xml:space="preserve">toezichthouder dient </w:t>
      </w:r>
      <w:r w:rsidR="005527B8">
        <w:rPr>
          <w:sz w:val="24"/>
          <w:szCs w:val="36"/>
        </w:rPr>
        <w:t>voor de</w:t>
      </w:r>
      <w:r>
        <w:rPr>
          <w:sz w:val="24"/>
          <w:szCs w:val="36"/>
        </w:rPr>
        <w:t xml:space="preserve"> Betaald Voetbal Organisaties</w:t>
      </w:r>
      <w:r w:rsidR="005527B8">
        <w:rPr>
          <w:sz w:val="24"/>
          <w:szCs w:val="36"/>
        </w:rPr>
        <w:t>, is aangesteld</w:t>
      </w:r>
      <w:r>
        <w:rPr>
          <w:sz w:val="24"/>
          <w:szCs w:val="36"/>
        </w:rPr>
        <w:t xml:space="preserve"> om de continuïteit van </w:t>
      </w:r>
      <w:r w:rsidR="005527B8">
        <w:rPr>
          <w:sz w:val="24"/>
          <w:szCs w:val="36"/>
        </w:rPr>
        <w:t xml:space="preserve">de licentiehouders en de competities betaald voetbal te waarborgen. </w:t>
      </w:r>
    </w:p>
    <w:p w:rsidR="005527B8" w:rsidRDefault="005527B8" w:rsidP="005031F4">
      <w:pPr>
        <w:spacing w:line="360" w:lineRule="auto"/>
        <w:jc w:val="both"/>
        <w:rPr>
          <w:sz w:val="24"/>
          <w:szCs w:val="36"/>
        </w:rPr>
      </w:pPr>
      <w:r>
        <w:rPr>
          <w:sz w:val="24"/>
          <w:szCs w:val="36"/>
        </w:rPr>
        <w:t xml:space="preserve">De licentie, die noodzakelijk is om betaald voetbal te </w:t>
      </w:r>
      <w:r w:rsidR="00117021">
        <w:rPr>
          <w:sz w:val="24"/>
          <w:szCs w:val="36"/>
        </w:rPr>
        <w:t>spelen</w:t>
      </w:r>
      <w:r>
        <w:rPr>
          <w:sz w:val="24"/>
          <w:szCs w:val="36"/>
        </w:rPr>
        <w:t xml:space="preserve"> in Nederland, </w:t>
      </w:r>
      <w:r w:rsidR="00DB728A">
        <w:rPr>
          <w:sz w:val="24"/>
          <w:szCs w:val="36"/>
        </w:rPr>
        <w:t>is</w:t>
      </w:r>
      <w:r>
        <w:rPr>
          <w:sz w:val="24"/>
          <w:szCs w:val="36"/>
        </w:rPr>
        <w:t xml:space="preserve"> door de verslechterde financiële situatie van FC Twente in gevaar gekomen. Sinds het boekjaar 2012/2013, waarin een negatief resultaat van ruim 8,5 miljoen euro werd geboekt, kwam de club onder </w:t>
      </w:r>
      <w:proofErr w:type="gramStart"/>
      <w:r>
        <w:rPr>
          <w:sz w:val="24"/>
          <w:szCs w:val="36"/>
        </w:rPr>
        <w:t>verscherpte</w:t>
      </w:r>
      <w:proofErr w:type="gramEnd"/>
      <w:r>
        <w:rPr>
          <w:sz w:val="24"/>
          <w:szCs w:val="36"/>
        </w:rPr>
        <w:t xml:space="preserve"> toezicht van de KNVB licentiecommissie. De financiële posities van betaald voetbal organisaties wordt driemaal per jaar getoetst aan de hand van het Financieel Rating Systeem (FRS). Gedurende dit onderzoek stond het FRS meetmoment van december 2014 centraal, toen de oorspronkelijke jaarrekening over het boekjaar 2013/2014 getoetst werd. </w:t>
      </w:r>
      <w:r w:rsidR="00861183">
        <w:rPr>
          <w:sz w:val="24"/>
          <w:szCs w:val="36"/>
        </w:rPr>
        <w:t xml:space="preserve">De toetsing </w:t>
      </w:r>
      <w:proofErr w:type="gramStart"/>
      <w:r w:rsidR="00861183">
        <w:rPr>
          <w:sz w:val="24"/>
          <w:szCs w:val="36"/>
        </w:rPr>
        <w:t>middels</w:t>
      </w:r>
      <w:proofErr w:type="gramEnd"/>
      <w:r w:rsidR="00861183">
        <w:rPr>
          <w:sz w:val="24"/>
          <w:szCs w:val="36"/>
        </w:rPr>
        <w:t xml:space="preserve"> het Financieel Rating Systeem geschiet op basis van tien kernvariabelen, die allen te berekenen zijn met behulp van cijfers uit desbetreffende </w:t>
      </w:r>
      <w:r w:rsidR="0024076F">
        <w:rPr>
          <w:sz w:val="24"/>
          <w:szCs w:val="36"/>
        </w:rPr>
        <w:t xml:space="preserve">jaarrekening. </w:t>
      </w:r>
      <w:r w:rsidR="00861183">
        <w:rPr>
          <w:sz w:val="24"/>
          <w:szCs w:val="36"/>
        </w:rPr>
        <w:t xml:space="preserve">Alle kernvariabelen kennen allemaal een multiplier, die een bandbreedte score toegewezen gekregen op basis van de uitkomst van de kernvariabelen. Alle scores van de tien kernvariabele </w:t>
      </w:r>
      <w:proofErr w:type="gramStart"/>
      <w:r w:rsidR="00861183">
        <w:rPr>
          <w:sz w:val="24"/>
          <w:szCs w:val="36"/>
        </w:rPr>
        <w:t>tezamen</w:t>
      </w:r>
      <w:proofErr w:type="gramEnd"/>
      <w:r w:rsidR="00861183">
        <w:rPr>
          <w:sz w:val="24"/>
          <w:szCs w:val="36"/>
        </w:rPr>
        <w:t>, leiden tot een eindscore die vervolgens leidt tot indeling in categorie 1 (onvoldoende), categorie 2 (voldoende) of categorie 3 (goed) die de financiële positie van de licentiehouders karakteriseert.</w:t>
      </w:r>
      <w:r w:rsidR="00D422F1">
        <w:rPr>
          <w:sz w:val="24"/>
          <w:szCs w:val="36"/>
        </w:rPr>
        <w:t xml:space="preserve"> Uit de toetsing van de financiële positie van FC Twente </w:t>
      </w:r>
      <w:proofErr w:type="gramStart"/>
      <w:r w:rsidR="00D422F1">
        <w:rPr>
          <w:sz w:val="24"/>
          <w:szCs w:val="36"/>
        </w:rPr>
        <w:t>middels</w:t>
      </w:r>
      <w:proofErr w:type="gramEnd"/>
      <w:r w:rsidR="00D422F1">
        <w:rPr>
          <w:sz w:val="24"/>
          <w:szCs w:val="36"/>
        </w:rPr>
        <w:t xml:space="preserve"> het FRS behaalde de club een score van 36 punten, die ruimschoots voldoende is voor de indeling in categorie 1. Naar aanleiding van deze indeling was FC Twente </w:t>
      </w:r>
      <w:proofErr w:type="gramStart"/>
      <w:r w:rsidR="00D422F1">
        <w:rPr>
          <w:sz w:val="24"/>
          <w:szCs w:val="36"/>
        </w:rPr>
        <w:t>genoodzaakt</w:t>
      </w:r>
      <w:proofErr w:type="gramEnd"/>
      <w:r w:rsidR="00D422F1">
        <w:rPr>
          <w:sz w:val="24"/>
          <w:szCs w:val="36"/>
        </w:rPr>
        <w:t xml:space="preserve"> een (financieel) plan van aanpak op te stellen, die de club in maximaal 3 jaar structurele verbetering moet opleveren om promotie naar categorie 2 of </w:t>
      </w:r>
      <w:r w:rsidR="0024076F">
        <w:rPr>
          <w:sz w:val="24"/>
          <w:szCs w:val="36"/>
        </w:rPr>
        <w:t xml:space="preserve">3 </w:t>
      </w:r>
      <w:r w:rsidR="00D422F1">
        <w:rPr>
          <w:sz w:val="24"/>
          <w:szCs w:val="36"/>
        </w:rPr>
        <w:t xml:space="preserve">te bewerkstelligen. </w:t>
      </w:r>
    </w:p>
    <w:p w:rsidR="00760016" w:rsidRDefault="00760016" w:rsidP="005031F4">
      <w:pPr>
        <w:spacing w:line="360" w:lineRule="auto"/>
        <w:jc w:val="both"/>
        <w:rPr>
          <w:sz w:val="24"/>
          <w:szCs w:val="36"/>
        </w:rPr>
      </w:pPr>
      <w:r>
        <w:rPr>
          <w:sz w:val="24"/>
          <w:szCs w:val="36"/>
        </w:rPr>
        <w:t xml:space="preserve">Echter, FC Twente kreeg de eisen niet op orde en kreeg in eerste instantie sancties in de vorm van geldboetes. Vervolgens was de licentiecommissie van de KNVB het oneens met de wijze van afschrijven op het stadion De Grolsch Veste. Door het terugdraaien van deze afschrijvingsmethode, in combinatie met de enorme bedrijfslasten, werd de normstelling uit het plan van aanpak niet behaald, wat leidde tot een nog negatiever verlies over het boekjaar 2013/2014. Als gevolg hiervan legde de licentiecommissie drie winstpunten in mindering op aan FC Twente. </w:t>
      </w:r>
      <w:proofErr w:type="gramStart"/>
      <w:r>
        <w:rPr>
          <w:sz w:val="24"/>
          <w:szCs w:val="36"/>
        </w:rPr>
        <w:t>Middels</w:t>
      </w:r>
      <w:proofErr w:type="gramEnd"/>
      <w:r>
        <w:rPr>
          <w:sz w:val="24"/>
          <w:szCs w:val="36"/>
        </w:rPr>
        <w:t xml:space="preserve"> het beschrijven van de wetgeving volgens zowel de IFRS als Titel 9 Boek 2 BW, die gebruikt is bij het opstellen van de jaarrekeningen van FC Twente, is gedurende de thesis onderzocht welke</w:t>
      </w:r>
      <w:r w:rsidR="008A756F">
        <w:rPr>
          <w:sz w:val="24"/>
          <w:szCs w:val="36"/>
        </w:rPr>
        <w:t xml:space="preserve"> keuze van</w:t>
      </w:r>
      <w:r>
        <w:rPr>
          <w:sz w:val="24"/>
          <w:szCs w:val="36"/>
        </w:rPr>
        <w:t xml:space="preserve"> waarderingsgrondslagen op het ma</w:t>
      </w:r>
      <w:r w:rsidR="008A756F">
        <w:rPr>
          <w:sz w:val="24"/>
          <w:szCs w:val="36"/>
        </w:rPr>
        <w:t>terieel vast actief geleid hebben</w:t>
      </w:r>
      <w:r>
        <w:rPr>
          <w:sz w:val="24"/>
          <w:szCs w:val="36"/>
        </w:rPr>
        <w:t xml:space="preserve"> tot de sanctie van drie winstpunten in mindering. </w:t>
      </w:r>
      <w:r w:rsidR="00711F54">
        <w:rPr>
          <w:sz w:val="24"/>
          <w:szCs w:val="36"/>
        </w:rPr>
        <w:t xml:space="preserve">Ten </w:t>
      </w:r>
      <w:r w:rsidR="00711F54">
        <w:rPr>
          <w:sz w:val="24"/>
          <w:szCs w:val="36"/>
        </w:rPr>
        <w:lastRenderedPageBreak/>
        <w:t>slotte</w:t>
      </w:r>
      <w:r w:rsidR="008A756F">
        <w:rPr>
          <w:sz w:val="24"/>
          <w:szCs w:val="36"/>
        </w:rPr>
        <w:t xml:space="preserve"> heeft onderzoek naar de ontwikkelingen van het stadion, onder de post </w:t>
      </w:r>
      <w:r w:rsidR="008A756F">
        <w:rPr>
          <w:i/>
          <w:sz w:val="24"/>
          <w:szCs w:val="36"/>
        </w:rPr>
        <w:t>bedrijfsgebouwen en –terreinen</w:t>
      </w:r>
      <w:r w:rsidR="008A756F">
        <w:rPr>
          <w:sz w:val="24"/>
          <w:szCs w:val="36"/>
        </w:rPr>
        <w:t>, gedurende meerdere boekjaren ons in staat gesteld om antwoord te geven op de onderzoeksvraag:</w:t>
      </w:r>
    </w:p>
    <w:p w:rsidR="00760016" w:rsidRPr="008A756F" w:rsidRDefault="00760016" w:rsidP="00760016">
      <w:pPr>
        <w:shd w:val="clear" w:color="auto" w:fill="FFFFFF"/>
        <w:spacing w:after="0" w:line="360" w:lineRule="auto"/>
        <w:jc w:val="both"/>
        <w:rPr>
          <w:rFonts w:eastAsia="Times New Roman" w:cs="Times New Roman"/>
          <w:b/>
          <w:i/>
          <w:color w:val="222222"/>
          <w:sz w:val="24"/>
          <w:szCs w:val="24"/>
          <w:lang w:eastAsia="en-GB"/>
        </w:rPr>
      </w:pPr>
      <w:r w:rsidRPr="008A756F">
        <w:rPr>
          <w:rFonts w:eastAsia="Times New Roman" w:cs="Times New Roman"/>
          <w:b/>
          <w:i/>
          <w:color w:val="222222"/>
          <w:sz w:val="24"/>
          <w:szCs w:val="24"/>
          <w:lang w:eastAsia="en-GB"/>
        </w:rPr>
        <w:t xml:space="preserve">‘Welke wijzigingen in de post </w:t>
      </w:r>
      <w:r w:rsidR="00E01DA4">
        <w:rPr>
          <w:rFonts w:eastAsia="Times New Roman" w:cs="Times New Roman"/>
          <w:b/>
          <w:i/>
          <w:color w:val="222222"/>
          <w:sz w:val="24"/>
          <w:szCs w:val="24"/>
          <w:lang w:eastAsia="en-GB"/>
        </w:rPr>
        <w:t>materiële</w:t>
      </w:r>
      <w:r w:rsidRPr="008A756F">
        <w:rPr>
          <w:rFonts w:eastAsia="Times New Roman" w:cs="Times New Roman"/>
          <w:b/>
          <w:i/>
          <w:color w:val="222222"/>
          <w:sz w:val="24"/>
          <w:szCs w:val="24"/>
          <w:lang w:eastAsia="en-GB"/>
        </w:rPr>
        <w:t xml:space="preserve"> vaste activa en de daarbij horende afschrijvingen op </w:t>
      </w:r>
      <w:r w:rsidR="00E01DA4">
        <w:rPr>
          <w:rFonts w:eastAsia="Times New Roman" w:cs="Times New Roman"/>
          <w:b/>
          <w:i/>
          <w:color w:val="222222"/>
          <w:sz w:val="24"/>
          <w:szCs w:val="24"/>
          <w:lang w:eastAsia="en-GB"/>
        </w:rPr>
        <w:t>materiële</w:t>
      </w:r>
      <w:r w:rsidRPr="008A756F">
        <w:rPr>
          <w:rFonts w:eastAsia="Times New Roman" w:cs="Times New Roman"/>
          <w:b/>
          <w:i/>
          <w:color w:val="222222"/>
          <w:sz w:val="24"/>
          <w:szCs w:val="24"/>
          <w:lang w:eastAsia="en-GB"/>
        </w:rPr>
        <w:t xml:space="preserve"> vaste activa met betrekking tot het stadion De Grolsch Veste in het boekjaar 2013/2014 hebben geleid tot de 3 winstpunten in mindering?’</w:t>
      </w:r>
    </w:p>
    <w:p w:rsidR="008A756F" w:rsidRDefault="008A756F" w:rsidP="00760016">
      <w:pPr>
        <w:shd w:val="clear" w:color="auto" w:fill="FFFFFF"/>
        <w:spacing w:after="0" w:line="360" w:lineRule="auto"/>
        <w:jc w:val="both"/>
        <w:rPr>
          <w:rFonts w:eastAsia="Times New Roman" w:cs="Times New Roman"/>
          <w:color w:val="222222"/>
          <w:sz w:val="24"/>
          <w:szCs w:val="24"/>
          <w:lang w:eastAsia="en-GB"/>
        </w:rPr>
      </w:pPr>
    </w:p>
    <w:p w:rsidR="008A756F" w:rsidRDefault="006B28E6" w:rsidP="0076001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Ten eerste is het stadion De Grolsch Veste terecht gedefinieerd als een materieel vast actief. Het stadion voldoet aan ‘een actief dat wordt aangehouden voor gebruik in de productie of levering van goederen of diensten, verhuur aan derden of voor bestuurlijke doeleinden en waarvan men verwacht dat ze de uitoefening van de werkzaamheden van de rechtspersoon duurzaam dienen’, zoals een materiaal vast actief wordt gedefinieerd conform IAS 16.6 en RJ 212.106. Daarnaast is het stadion ingedeeld in de door de RJ opgestelde categorieën voor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onder de post </w:t>
      </w:r>
      <w:r>
        <w:rPr>
          <w:rFonts w:eastAsia="Times New Roman" w:cs="Times New Roman"/>
          <w:i/>
          <w:color w:val="222222"/>
          <w:sz w:val="24"/>
          <w:szCs w:val="24"/>
          <w:lang w:eastAsia="en-GB"/>
        </w:rPr>
        <w:t>bedrijfsgebouwen en –terreinen</w:t>
      </w:r>
      <w:r>
        <w:rPr>
          <w:rFonts w:eastAsia="Times New Roman" w:cs="Times New Roman"/>
          <w:color w:val="222222"/>
          <w:sz w:val="24"/>
          <w:szCs w:val="24"/>
          <w:lang w:eastAsia="en-GB"/>
        </w:rPr>
        <w:t xml:space="preserve">. Tevens voldoet het stadion aan de algemene activeringscriteria conform IAS 16.7 en RJ 212.201, waaruit moet blijken dat het uit het actief voortkomende toekomstige prestatie-eenheden </w:t>
      </w:r>
      <w:r>
        <w:rPr>
          <w:rFonts w:eastAsia="Times New Roman" w:cs="Times New Roman"/>
          <w:i/>
          <w:color w:val="222222"/>
          <w:sz w:val="24"/>
          <w:szCs w:val="24"/>
          <w:lang w:eastAsia="en-GB"/>
        </w:rPr>
        <w:t>waarschijnlijk</w:t>
      </w:r>
      <w:r>
        <w:rPr>
          <w:rFonts w:eastAsia="Times New Roman" w:cs="Times New Roman"/>
          <w:color w:val="222222"/>
          <w:sz w:val="24"/>
          <w:szCs w:val="24"/>
          <w:lang w:eastAsia="en-GB"/>
        </w:rPr>
        <w:t xml:space="preserve"> zullen toevloeien naar FC Twente en waarvan voorts de kosten op betrouwbare wijze van kunnen worden vastgesteld.</w:t>
      </w:r>
      <w:r w:rsidR="00075FFC">
        <w:rPr>
          <w:rFonts w:eastAsia="Times New Roman" w:cs="Times New Roman"/>
          <w:color w:val="222222"/>
          <w:sz w:val="24"/>
          <w:szCs w:val="24"/>
          <w:lang w:eastAsia="en-GB"/>
        </w:rPr>
        <w:t xml:space="preserve"> </w:t>
      </w:r>
      <w:r w:rsidR="00711F54">
        <w:rPr>
          <w:rFonts w:eastAsia="Times New Roman" w:cs="Times New Roman"/>
          <w:color w:val="222222"/>
          <w:sz w:val="24"/>
          <w:szCs w:val="24"/>
          <w:lang w:eastAsia="en-GB"/>
        </w:rPr>
        <w:t>Ten slotte</w:t>
      </w:r>
      <w:r w:rsidR="00075FFC">
        <w:rPr>
          <w:rFonts w:eastAsia="Times New Roman" w:cs="Times New Roman"/>
          <w:color w:val="222222"/>
          <w:sz w:val="24"/>
          <w:szCs w:val="24"/>
          <w:lang w:eastAsia="en-GB"/>
        </w:rPr>
        <w:t xml:space="preserve"> voldoet De Grolsch Veste aan de eis van </w:t>
      </w:r>
      <w:r w:rsidR="00075FFC">
        <w:rPr>
          <w:rFonts w:eastAsia="Times New Roman" w:cs="Times New Roman"/>
          <w:i/>
          <w:color w:val="222222"/>
          <w:sz w:val="24"/>
          <w:szCs w:val="24"/>
          <w:lang w:eastAsia="en-GB"/>
        </w:rPr>
        <w:t>substance over form</w:t>
      </w:r>
      <w:r w:rsidR="00075FFC">
        <w:rPr>
          <w:rFonts w:eastAsia="Times New Roman" w:cs="Times New Roman"/>
          <w:color w:val="222222"/>
          <w:sz w:val="24"/>
          <w:szCs w:val="24"/>
          <w:lang w:eastAsia="en-GB"/>
        </w:rPr>
        <w:t>, waarin economische eigendom bewezen moet worden. Gezien het feit FC Twente eigenaar van het stadion is, heeft het de economische beschikkingsmacht over het actief. Daarnaast is de club ook drager van alle bijbehorende economische risico’s van het stadion.</w:t>
      </w:r>
    </w:p>
    <w:p w:rsidR="008F4123" w:rsidRDefault="00644A83" w:rsidP="0076001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Vervolgens is gedurende het onderzoek de waarderingsmethode van het stadion onder de loep gelegd. </w:t>
      </w:r>
      <w:r w:rsidR="00776867">
        <w:rPr>
          <w:rFonts w:eastAsia="Times New Roman" w:cs="Times New Roman"/>
          <w:color w:val="222222"/>
          <w:sz w:val="24"/>
          <w:szCs w:val="24"/>
          <w:lang w:eastAsia="en-GB"/>
        </w:rPr>
        <w:t>Uit</w:t>
      </w:r>
      <w:r>
        <w:rPr>
          <w:rFonts w:eastAsia="Times New Roman" w:cs="Times New Roman"/>
          <w:color w:val="222222"/>
          <w:sz w:val="24"/>
          <w:szCs w:val="24"/>
          <w:lang w:eastAsia="en-GB"/>
        </w:rPr>
        <w:t xml:space="preserve"> de algemene toelichting in de jaarrekening</w:t>
      </w:r>
      <w:r w:rsidR="00776867">
        <w:rPr>
          <w:rFonts w:eastAsia="Times New Roman" w:cs="Times New Roman"/>
          <w:color w:val="222222"/>
          <w:sz w:val="24"/>
          <w:szCs w:val="24"/>
          <w:lang w:eastAsia="en-GB"/>
        </w:rPr>
        <w:t xml:space="preserve"> </w:t>
      </w:r>
      <w:r>
        <w:rPr>
          <w:rFonts w:eastAsia="Times New Roman" w:cs="Times New Roman"/>
          <w:color w:val="222222"/>
          <w:sz w:val="24"/>
          <w:szCs w:val="24"/>
          <w:lang w:eastAsia="en-GB"/>
        </w:rPr>
        <w:t>van het boekjaar 2013/2014</w:t>
      </w:r>
      <w:r w:rsidR="00776867">
        <w:rPr>
          <w:rFonts w:eastAsia="Times New Roman" w:cs="Times New Roman"/>
          <w:color w:val="222222"/>
          <w:sz w:val="24"/>
          <w:szCs w:val="24"/>
          <w:lang w:eastAsia="en-GB"/>
        </w:rPr>
        <w:t xml:space="preserve"> blijkt dat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w:t>
      </w:r>
      <w:r w:rsidR="00776867">
        <w:rPr>
          <w:rFonts w:eastAsia="Times New Roman" w:cs="Times New Roman"/>
          <w:color w:val="222222"/>
          <w:sz w:val="24"/>
          <w:szCs w:val="24"/>
          <w:lang w:eastAsia="en-GB"/>
        </w:rPr>
        <w:t xml:space="preserve">wordt </w:t>
      </w:r>
      <w:r>
        <w:rPr>
          <w:rFonts w:eastAsia="Times New Roman" w:cs="Times New Roman"/>
          <w:color w:val="222222"/>
          <w:sz w:val="24"/>
          <w:szCs w:val="24"/>
          <w:lang w:eastAsia="en-GB"/>
        </w:rPr>
        <w:t>gewaardeerd tegen de aanschafprijs, wat in lijn is met de definiëring van de kostprijsmethode volgens IAS 16.16 en RJ 212.302. (Des)investeringen bestemd voor het stadion werden eveneens in lijn met de regelgeving geactiveerd, wat de aanschafwaarde (en boekwaarde) van het stadion beïnvloedde.</w:t>
      </w:r>
      <w:r w:rsidR="008F4123">
        <w:rPr>
          <w:rFonts w:eastAsia="Times New Roman" w:cs="Times New Roman"/>
          <w:color w:val="222222"/>
          <w:sz w:val="24"/>
          <w:szCs w:val="24"/>
          <w:lang w:eastAsia="en-GB"/>
        </w:rPr>
        <w:t xml:space="preserve"> Ondanks</w:t>
      </w:r>
      <w:r w:rsidR="00F229D6">
        <w:rPr>
          <w:rFonts w:eastAsia="Times New Roman" w:cs="Times New Roman"/>
          <w:color w:val="222222"/>
          <w:sz w:val="24"/>
          <w:szCs w:val="24"/>
          <w:lang w:eastAsia="en-GB"/>
        </w:rPr>
        <w:t xml:space="preserve"> dat uit hoofdstuk 2</w:t>
      </w:r>
      <w:r w:rsidR="008F4123">
        <w:rPr>
          <w:rFonts w:eastAsia="Times New Roman" w:cs="Times New Roman"/>
          <w:color w:val="222222"/>
          <w:sz w:val="24"/>
          <w:szCs w:val="24"/>
          <w:lang w:eastAsia="en-GB"/>
        </w:rPr>
        <w:t xml:space="preserve"> blijkt dat de reële waarde-methode in veel gevallen leidt tot een betrouwbaardere waardering van </w:t>
      </w:r>
      <w:r w:rsidR="00E01DA4">
        <w:rPr>
          <w:rFonts w:eastAsia="Times New Roman" w:cs="Times New Roman"/>
          <w:color w:val="222222"/>
          <w:sz w:val="24"/>
          <w:szCs w:val="24"/>
          <w:lang w:eastAsia="en-GB"/>
        </w:rPr>
        <w:t>materiële</w:t>
      </w:r>
      <w:r w:rsidR="008F4123">
        <w:rPr>
          <w:rFonts w:eastAsia="Times New Roman" w:cs="Times New Roman"/>
          <w:color w:val="222222"/>
          <w:sz w:val="24"/>
          <w:szCs w:val="24"/>
          <w:lang w:eastAsia="en-GB"/>
        </w:rPr>
        <w:t xml:space="preserve"> vaste activa, is de door FC Twente gekozen waarderingsmethode als betrouwbaar te bestempelen.</w:t>
      </w:r>
    </w:p>
    <w:p w:rsidR="00075FFC" w:rsidRDefault="008F4123" w:rsidP="0076001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lastRenderedPageBreak/>
        <w:t xml:space="preserve">Voor de resultaatbepaling is de afschrijvingsmethode op </w:t>
      </w:r>
      <w:r w:rsidR="00E01DA4">
        <w:rPr>
          <w:rFonts w:eastAsia="Times New Roman" w:cs="Times New Roman"/>
          <w:color w:val="222222"/>
          <w:sz w:val="24"/>
          <w:szCs w:val="24"/>
          <w:lang w:eastAsia="en-GB"/>
        </w:rPr>
        <w:t>materiële</w:t>
      </w:r>
      <w:r>
        <w:rPr>
          <w:rFonts w:eastAsia="Times New Roman" w:cs="Times New Roman"/>
          <w:color w:val="222222"/>
          <w:sz w:val="24"/>
          <w:szCs w:val="24"/>
          <w:lang w:eastAsia="en-GB"/>
        </w:rPr>
        <w:t xml:space="preserve"> vaste activa van groot belang. </w:t>
      </w:r>
      <w:r w:rsidR="00776867">
        <w:rPr>
          <w:rFonts w:eastAsia="Times New Roman" w:cs="Times New Roman"/>
          <w:color w:val="222222"/>
          <w:sz w:val="24"/>
          <w:szCs w:val="24"/>
          <w:lang w:eastAsia="en-GB"/>
        </w:rPr>
        <w:t>Uit</w:t>
      </w:r>
      <w:r>
        <w:rPr>
          <w:rFonts w:eastAsia="Times New Roman" w:cs="Times New Roman"/>
          <w:color w:val="222222"/>
          <w:sz w:val="24"/>
          <w:szCs w:val="24"/>
          <w:lang w:eastAsia="en-GB"/>
        </w:rPr>
        <w:t xml:space="preserve"> de algemene toelichting in de jaarrekening</w:t>
      </w:r>
      <w:r w:rsidR="00776867">
        <w:rPr>
          <w:rFonts w:eastAsia="Times New Roman" w:cs="Times New Roman"/>
          <w:color w:val="222222"/>
          <w:sz w:val="24"/>
          <w:szCs w:val="24"/>
          <w:lang w:eastAsia="en-GB"/>
        </w:rPr>
        <w:t xml:space="preserve"> blijk dat</w:t>
      </w:r>
      <w:r>
        <w:rPr>
          <w:rFonts w:eastAsia="Times New Roman" w:cs="Times New Roman"/>
          <w:color w:val="222222"/>
          <w:sz w:val="24"/>
          <w:szCs w:val="24"/>
          <w:lang w:eastAsia="en-GB"/>
        </w:rPr>
        <w:t xml:space="preserve"> FC Twente </w:t>
      </w:r>
      <w:r w:rsidR="00776867">
        <w:rPr>
          <w:rFonts w:eastAsia="Times New Roman" w:cs="Times New Roman"/>
          <w:color w:val="222222"/>
          <w:sz w:val="24"/>
          <w:szCs w:val="24"/>
          <w:lang w:eastAsia="en-GB"/>
        </w:rPr>
        <w:t xml:space="preserve">heeft </w:t>
      </w:r>
      <w:r>
        <w:rPr>
          <w:rFonts w:eastAsia="Times New Roman" w:cs="Times New Roman"/>
          <w:color w:val="222222"/>
          <w:sz w:val="24"/>
          <w:szCs w:val="24"/>
          <w:lang w:eastAsia="en-GB"/>
        </w:rPr>
        <w:t xml:space="preserve">besloten de aanschafwaarde jaarlijks te verminderen </w:t>
      </w:r>
      <w:proofErr w:type="gramStart"/>
      <w:r>
        <w:rPr>
          <w:rFonts w:eastAsia="Times New Roman" w:cs="Times New Roman"/>
          <w:color w:val="222222"/>
          <w:sz w:val="24"/>
          <w:szCs w:val="24"/>
          <w:lang w:eastAsia="en-GB"/>
        </w:rPr>
        <w:t>middels</w:t>
      </w:r>
      <w:proofErr w:type="gramEnd"/>
      <w:r>
        <w:rPr>
          <w:rFonts w:eastAsia="Times New Roman" w:cs="Times New Roman"/>
          <w:color w:val="222222"/>
          <w:sz w:val="24"/>
          <w:szCs w:val="24"/>
          <w:lang w:eastAsia="en-GB"/>
        </w:rPr>
        <w:t xml:space="preserve"> de lineaire afschrijvingsmethode, op basis van de geschatte economische levensduur van het stadion. De lineaire afschrijvingsmethode is een van de drie voorgestelde </w:t>
      </w:r>
      <w:r w:rsidR="0024076F">
        <w:rPr>
          <w:rFonts w:eastAsia="Times New Roman" w:cs="Times New Roman"/>
          <w:color w:val="222222"/>
          <w:sz w:val="24"/>
          <w:szCs w:val="24"/>
          <w:lang w:eastAsia="en-GB"/>
        </w:rPr>
        <w:t xml:space="preserve">methodes, </w:t>
      </w:r>
      <w:r>
        <w:rPr>
          <w:rFonts w:eastAsia="Times New Roman" w:cs="Times New Roman"/>
          <w:color w:val="222222"/>
          <w:sz w:val="24"/>
          <w:szCs w:val="24"/>
          <w:lang w:eastAsia="en-GB"/>
        </w:rPr>
        <w:t>zoals beschreven in IAS 16.62 en RJ 212.425.</w:t>
      </w:r>
      <w:r w:rsidR="00CF37A2">
        <w:rPr>
          <w:rFonts w:eastAsia="Times New Roman" w:cs="Times New Roman"/>
          <w:color w:val="222222"/>
          <w:sz w:val="24"/>
          <w:szCs w:val="24"/>
          <w:lang w:eastAsia="en-GB"/>
        </w:rPr>
        <w:t xml:space="preserve"> Sinds de ingebruikneming van het stadion in het seizoen 2008/2009 tot en met het boekjaar 2012/2013 werd de </w:t>
      </w:r>
      <w:proofErr w:type="gramStart"/>
      <w:r w:rsidR="00CF37A2">
        <w:rPr>
          <w:rFonts w:eastAsia="Times New Roman" w:cs="Times New Roman"/>
          <w:color w:val="222222"/>
          <w:sz w:val="24"/>
          <w:szCs w:val="24"/>
          <w:lang w:eastAsia="en-GB"/>
        </w:rPr>
        <w:t>bedrijfseconomisch</w:t>
      </w:r>
      <w:proofErr w:type="gramEnd"/>
      <w:r w:rsidR="00CF37A2">
        <w:rPr>
          <w:rFonts w:eastAsia="Times New Roman" w:cs="Times New Roman"/>
          <w:color w:val="222222"/>
          <w:sz w:val="24"/>
          <w:szCs w:val="24"/>
          <w:lang w:eastAsia="en-GB"/>
        </w:rPr>
        <w:t xml:space="preserve"> restwaarde van het stadion op nihil gewaardeerd. De economische levensduur van De Grolsch Veste was in die tijd vastgesteld op 25 jaar. Zodoende noteerde FC Twente gedurende de eerste vijf boekjaren (sinds de ingebruikneming van het stadion) hoge afschrijvingsbedragen op het stadion.</w:t>
      </w:r>
    </w:p>
    <w:p w:rsidR="0004327D" w:rsidRDefault="00CF37A2" w:rsidP="0076001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Bij het opstellen van de jaarrekening over het boekjaar 2013/2014 besloot FC Twente een schattingswijzing door te voeren met betrekking tot het materieel vast actief. Vanaf desbetreffend boekjaar werd </w:t>
      </w:r>
      <w:r w:rsidR="008A4559">
        <w:rPr>
          <w:rFonts w:eastAsia="Times New Roman" w:cs="Times New Roman"/>
          <w:color w:val="222222"/>
          <w:sz w:val="24"/>
          <w:szCs w:val="24"/>
          <w:lang w:eastAsia="en-GB"/>
        </w:rPr>
        <w:t>nog steeds lineair afgeschreven over 25 jaar, echter rekening houdend met een restwaarde van 20 miljoen euro van het stadion.</w:t>
      </w:r>
      <w:r w:rsidR="00D72303">
        <w:rPr>
          <w:rFonts w:eastAsia="Times New Roman" w:cs="Times New Roman"/>
          <w:color w:val="222222"/>
          <w:sz w:val="24"/>
          <w:szCs w:val="24"/>
          <w:lang w:eastAsia="en-GB"/>
        </w:rPr>
        <w:t xml:space="preserve"> Klaarblijkelijk was er voor de directie van FC Twente aanleiding om de restwaarde opnieuw te beoordelen. </w:t>
      </w:r>
      <w:r w:rsidR="0042166D">
        <w:rPr>
          <w:rFonts w:eastAsia="Times New Roman" w:cs="Times New Roman"/>
          <w:color w:val="222222"/>
          <w:sz w:val="24"/>
          <w:szCs w:val="24"/>
          <w:lang w:eastAsia="en-GB"/>
        </w:rPr>
        <w:t xml:space="preserve">Deze miscalculatie had voorkomen kunnen worden bij het toepassen van regelgeving van de IFRS, aangezien IAS 16.51 een jaarlijkse </w:t>
      </w:r>
      <w:r w:rsidR="0042166D">
        <w:rPr>
          <w:rFonts w:eastAsia="Times New Roman" w:cs="Times New Roman"/>
          <w:i/>
          <w:color w:val="222222"/>
          <w:sz w:val="24"/>
          <w:szCs w:val="24"/>
          <w:lang w:eastAsia="en-GB"/>
        </w:rPr>
        <w:t>impairment</w:t>
      </w:r>
      <w:r w:rsidR="0042166D">
        <w:rPr>
          <w:rFonts w:eastAsia="Times New Roman" w:cs="Times New Roman"/>
          <w:color w:val="222222"/>
          <w:sz w:val="24"/>
          <w:szCs w:val="24"/>
          <w:lang w:eastAsia="en-GB"/>
        </w:rPr>
        <w:t xml:space="preserve"> van de restwaarde verplicht. In dat geval waren de te hoge afschrijvingsbedragen op het stadion in een eerder stadium opgemerkt.</w:t>
      </w:r>
      <w:r w:rsidR="00A60E1B">
        <w:rPr>
          <w:rFonts w:eastAsia="Times New Roman" w:cs="Times New Roman"/>
          <w:color w:val="222222"/>
          <w:sz w:val="24"/>
          <w:szCs w:val="24"/>
          <w:lang w:eastAsia="en-GB"/>
        </w:rPr>
        <w:t xml:space="preserve"> De wijziging van de restwaarde van groot 20 miljoen euro heeft invloed op het resultaat in desbetreffend boekjaar en toekomstige boekjaren. De afschrijvingsbedragen van vóór het boekjaar 2013/2014 blijven ongewijzigd conform de regelgeving IAS 16.61 en RJ 212.424. Daarnaast was het effect van de schattingswijziging </w:t>
      </w:r>
      <w:proofErr w:type="gramStart"/>
      <w:r w:rsidR="00A60E1B">
        <w:rPr>
          <w:rFonts w:eastAsia="Times New Roman" w:cs="Times New Roman"/>
          <w:color w:val="222222"/>
          <w:sz w:val="24"/>
          <w:szCs w:val="24"/>
          <w:lang w:eastAsia="en-GB"/>
        </w:rPr>
        <w:t>omtrent</w:t>
      </w:r>
      <w:proofErr w:type="gramEnd"/>
      <w:r w:rsidR="00A60E1B">
        <w:rPr>
          <w:rFonts w:eastAsia="Times New Roman" w:cs="Times New Roman"/>
          <w:color w:val="222222"/>
          <w:sz w:val="24"/>
          <w:szCs w:val="24"/>
          <w:lang w:eastAsia="en-GB"/>
        </w:rPr>
        <w:t xml:space="preserve"> het stadion zichtbaar in de winst-en-verliesrekening; op de post afschrijvingen nam naar aanleiding hiervan met ongeveer 1,1 miljoen euro af.</w:t>
      </w:r>
      <w:r w:rsidR="0004327D">
        <w:rPr>
          <w:rFonts w:eastAsia="Times New Roman" w:cs="Times New Roman"/>
          <w:color w:val="222222"/>
          <w:sz w:val="24"/>
          <w:szCs w:val="24"/>
          <w:lang w:eastAsia="en-GB"/>
        </w:rPr>
        <w:t xml:space="preserve"> </w:t>
      </w:r>
    </w:p>
    <w:p w:rsidR="00146456" w:rsidRDefault="00382827" w:rsidP="00760016">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Echter, </w:t>
      </w:r>
      <w:r w:rsidR="00642E61">
        <w:rPr>
          <w:rFonts w:eastAsia="Times New Roman" w:cs="Times New Roman"/>
          <w:color w:val="222222"/>
          <w:sz w:val="24"/>
          <w:szCs w:val="24"/>
          <w:lang w:eastAsia="en-GB"/>
        </w:rPr>
        <w:t>de doorgevoerde schattingswijzigingen werden afgekeurd door de licentiecommissie van de KNVB. Zowel de bepaling van de economische gebruiksduur van 25 jaar als de schatting van de restwaarde op het stadion zijn onvoldoende tot niet onderbouwd in de algemene toelichting van de jaarrekening. De levensduur was ten tijde van de ingebruikneming van het stadion al bepaald op 25 jaar. Echter, de waardebepaling van de restwaarde van groot 20 miljoen euro op het stadion is zonder enkele onderbouwing toegevoegd aan de waarderingsgrondslagen van dit materieel vast actief.</w:t>
      </w:r>
    </w:p>
    <w:p w:rsidR="00554074" w:rsidRPr="00554074" w:rsidRDefault="00986FE2" w:rsidP="0089177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lastRenderedPageBreak/>
        <w:t xml:space="preserve">Op 8 april 2015 leverde FC Twente een nieuwe jaarrekening in ter vervanging van de originele jaarrekening over het boekjaar 2013/2014. </w:t>
      </w:r>
      <w:r w:rsidR="00615D2E">
        <w:rPr>
          <w:rFonts w:eastAsia="Times New Roman" w:cs="Times New Roman"/>
          <w:color w:val="222222"/>
          <w:sz w:val="24"/>
          <w:szCs w:val="24"/>
          <w:lang w:eastAsia="en-GB"/>
        </w:rPr>
        <w:t xml:space="preserve">De nieuwe jaarrekening had eveneens invloed op de waarderingsgrondslagen op de </w:t>
      </w:r>
      <w:r w:rsidR="00E01DA4">
        <w:rPr>
          <w:rFonts w:eastAsia="Times New Roman" w:cs="Times New Roman"/>
          <w:color w:val="222222"/>
          <w:sz w:val="24"/>
          <w:szCs w:val="24"/>
          <w:lang w:eastAsia="en-GB"/>
        </w:rPr>
        <w:t>materiële</w:t>
      </w:r>
      <w:r w:rsidR="00615D2E">
        <w:rPr>
          <w:rFonts w:eastAsia="Times New Roman" w:cs="Times New Roman"/>
          <w:color w:val="222222"/>
          <w:sz w:val="24"/>
          <w:szCs w:val="24"/>
          <w:lang w:eastAsia="en-GB"/>
        </w:rPr>
        <w:t xml:space="preserve"> vaste activa, met in het bijzonder op de post </w:t>
      </w:r>
      <w:r w:rsidR="00615D2E">
        <w:rPr>
          <w:rFonts w:eastAsia="Times New Roman" w:cs="Times New Roman"/>
          <w:i/>
          <w:color w:val="222222"/>
          <w:sz w:val="24"/>
          <w:szCs w:val="24"/>
          <w:lang w:eastAsia="en-GB"/>
        </w:rPr>
        <w:t>bedrijfsgebouwen en –terreinen</w:t>
      </w:r>
      <w:r w:rsidR="00615D2E">
        <w:rPr>
          <w:rFonts w:eastAsia="Times New Roman" w:cs="Times New Roman"/>
          <w:color w:val="222222"/>
          <w:sz w:val="24"/>
          <w:szCs w:val="24"/>
          <w:lang w:eastAsia="en-GB"/>
        </w:rPr>
        <w:t xml:space="preserve">. </w:t>
      </w:r>
      <w:r w:rsidR="00756D27">
        <w:rPr>
          <w:rFonts w:eastAsia="Times New Roman" w:cs="Times New Roman"/>
          <w:color w:val="222222"/>
          <w:sz w:val="24"/>
          <w:szCs w:val="24"/>
          <w:lang w:eastAsia="en-GB"/>
        </w:rPr>
        <w:t xml:space="preserve">Er vindt een schattingswijziging plaats voor het stadion gebaseerd op de huidige status van het stadion en op basis van </w:t>
      </w:r>
      <w:r w:rsidR="00756D27">
        <w:rPr>
          <w:rFonts w:eastAsia="Times New Roman" w:cs="Times New Roman"/>
          <w:i/>
          <w:color w:val="222222"/>
          <w:sz w:val="24"/>
          <w:szCs w:val="24"/>
          <w:lang w:eastAsia="en-GB"/>
        </w:rPr>
        <w:t>industry practice</w:t>
      </w:r>
      <w:r w:rsidR="00756D27">
        <w:rPr>
          <w:rFonts w:eastAsia="Times New Roman" w:cs="Times New Roman"/>
          <w:color w:val="222222"/>
          <w:sz w:val="24"/>
          <w:szCs w:val="24"/>
          <w:lang w:eastAsia="en-GB"/>
        </w:rPr>
        <w:t>. Deze manier van verslaggevi</w:t>
      </w:r>
      <w:r w:rsidR="0024076F">
        <w:rPr>
          <w:rFonts w:eastAsia="Times New Roman" w:cs="Times New Roman"/>
          <w:color w:val="222222"/>
          <w:sz w:val="24"/>
          <w:szCs w:val="24"/>
          <w:lang w:eastAsia="en-GB"/>
        </w:rPr>
        <w:t xml:space="preserve">ng </w:t>
      </w:r>
      <w:r w:rsidR="00756D27">
        <w:rPr>
          <w:rFonts w:eastAsia="Times New Roman" w:cs="Times New Roman"/>
          <w:color w:val="222222"/>
          <w:sz w:val="24"/>
          <w:szCs w:val="24"/>
          <w:lang w:eastAsia="en-GB"/>
        </w:rPr>
        <w:t xml:space="preserve">geeft een legitieme onderbouwing </w:t>
      </w:r>
      <w:r w:rsidR="0024076F">
        <w:rPr>
          <w:rFonts w:eastAsia="Times New Roman" w:cs="Times New Roman"/>
          <w:color w:val="222222"/>
          <w:sz w:val="24"/>
          <w:szCs w:val="24"/>
          <w:lang w:eastAsia="en-GB"/>
        </w:rPr>
        <w:t xml:space="preserve">weer </w:t>
      </w:r>
      <w:r w:rsidR="00756D27">
        <w:rPr>
          <w:rFonts w:eastAsia="Times New Roman" w:cs="Times New Roman"/>
          <w:color w:val="222222"/>
          <w:sz w:val="24"/>
          <w:szCs w:val="24"/>
          <w:lang w:eastAsia="en-GB"/>
        </w:rPr>
        <w:t>in de algemene toelichting van de jaarrekening voor de keuze van de economische levensduur van het stadion. Mede door de multifunctionaliteit van het stadion, waar buiten het bespelen van voetbalwedstrijden van FC Twente, verschillen vormen van evenement worden georganiseerd. Als gevolg hiervan is de economische levensduur van De Grolsch Veste verlengd van 25 naar 40 jaar. Deze wijziging heeft invloed op desbetreffend boek</w:t>
      </w:r>
      <w:r w:rsidR="007451CD">
        <w:rPr>
          <w:rFonts w:eastAsia="Times New Roman" w:cs="Times New Roman"/>
          <w:color w:val="222222"/>
          <w:sz w:val="24"/>
          <w:szCs w:val="24"/>
          <w:lang w:eastAsia="en-GB"/>
        </w:rPr>
        <w:t xml:space="preserve">jaar en toekomstige boekjaren. Het effect van de schattingswijziging </w:t>
      </w:r>
      <w:proofErr w:type="gramStart"/>
      <w:r w:rsidR="007451CD">
        <w:rPr>
          <w:rFonts w:eastAsia="Times New Roman" w:cs="Times New Roman"/>
          <w:color w:val="222222"/>
          <w:sz w:val="24"/>
          <w:szCs w:val="24"/>
          <w:lang w:eastAsia="en-GB"/>
        </w:rPr>
        <w:t>omtrent</w:t>
      </w:r>
      <w:proofErr w:type="gramEnd"/>
      <w:r w:rsidR="007451CD">
        <w:rPr>
          <w:rFonts w:eastAsia="Times New Roman" w:cs="Times New Roman"/>
          <w:color w:val="222222"/>
          <w:sz w:val="24"/>
          <w:szCs w:val="24"/>
          <w:lang w:eastAsia="en-GB"/>
        </w:rPr>
        <w:t xml:space="preserve"> in het stadion is zichtbaar in de winst-en-verliesrekening; op de post afschrijvingen nam naar aanleiding van de gewijzigde economische levensduur met ongeveer 1,2 miljoen euro af. De afschrijvingsbedragen van vóór het boekjaar 2013/2014 blijven ongewijzigd conform de regelgeving IAS 16.61 en RJ 212.424.</w:t>
      </w:r>
      <w:r w:rsidR="00B645E6">
        <w:rPr>
          <w:rFonts w:eastAsia="Times New Roman" w:cs="Times New Roman"/>
          <w:color w:val="222222"/>
          <w:sz w:val="24"/>
          <w:szCs w:val="24"/>
          <w:lang w:eastAsia="en-GB"/>
        </w:rPr>
        <w:t xml:space="preserve"> </w:t>
      </w:r>
      <w:r w:rsidR="00B645E6">
        <w:rPr>
          <w:sz w:val="24"/>
          <w:szCs w:val="36"/>
        </w:rPr>
        <w:t>De doorgevoerde schattingswijziging met betrekking tot het stadion geeft de licentiecommissie geen aanleiding tot verdere sancties en presenteert zodoende een getrouwe weergave van de feitelijke waardering.</w:t>
      </w:r>
    </w:p>
    <w:p w:rsidR="00891775" w:rsidRPr="00891775" w:rsidRDefault="00EB68ED" w:rsidP="00891775">
      <w:pPr>
        <w:shd w:val="clear" w:color="auto" w:fill="FFFFFF"/>
        <w:spacing w:after="0" w:line="360" w:lineRule="auto"/>
        <w:jc w:val="both"/>
        <w:rPr>
          <w:rFonts w:eastAsia="Times New Roman" w:cs="Times New Roman"/>
          <w:color w:val="222222"/>
          <w:sz w:val="24"/>
          <w:szCs w:val="24"/>
          <w:lang w:eastAsia="en-GB"/>
        </w:rPr>
      </w:pPr>
      <w:r>
        <w:rPr>
          <w:rFonts w:eastAsia="Times New Roman" w:cs="Times New Roman"/>
          <w:color w:val="222222"/>
          <w:sz w:val="24"/>
          <w:szCs w:val="24"/>
          <w:lang w:eastAsia="en-GB"/>
        </w:rPr>
        <w:t xml:space="preserve">Naar aanleiding van dit onderzoek bestaat er voldoende aanleiding </w:t>
      </w:r>
      <w:r w:rsidR="00DB728A">
        <w:rPr>
          <w:rFonts w:eastAsia="Times New Roman" w:cs="Times New Roman"/>
          <w:color w:val="222222"/>
          <w:sz w:val="24"/>
          <w:szCs w:val="24"/>
          <w:lang w:eastAsia="en-GB"/>
        </w:rPr>
        <w:t>voor</w:t>
      </w:r>
      <w:r>
        <w:rPr>
          <w:rFonts w:eastAsia="Times New Roman" w:cs="Times New Roman"/>
          <w:color w:val="222222"/>
          <w:sz w:val="24"/>
          <w:szCs w:val="24"/>
          <w:lang w:eastAsia="en-GB"/>
        </w:rPr>
        <w:t xml:space="preserve"> vervolgonderzoek naar de financiële positie van zowel FC Twente als andere Betaald Voetbal Organisaties.</w:t>
      </w:r>
      <w:r w:rsidR="00891775">
        <w:rPr>
          <w:rFonts w:eastAsia="Times New Roman" w:cs="Times New Roman"/>
          <w:color w:val="222222"/>
          <w:sz w:val="24"/>
          <w:szCs w:val="24"/>
          <w:lang w:eastAsia="en-GB"/>
        </w:rPr>
        <w:t xml:space="preserve"> De geheimhoudingsovereenkomst van de KNVB met de voetbalclubs zorgt ervoor dat bepaalde financiële informatie niet herleidbaar is. Daarnaast zou de openbaarmaking van het financieel plan van aanpak meer duidelijkheid geven over de overtredingen begaan door FC Twente. </w:t>
      </w:r>
      <w:r w:rsidR="00711F54">
        <w:rPr>
          <w:rFonts w:eastAsia="Times New Roman" w:cs="Times New Roman"/>
          <w:color w:val="222222"/>
          <w:sz w:val="24"/>
          <w:szCs w:val="24"/>
          <w:lang w:eastAsia="en-GB"/>
        </w:rPr>
        <w:t>Ten slotte</w:t>
      </w:r>
      <w:r w:rsidR="00891775">
        <w:rPr>
          <w:rFonts w:eastAsia="Times New Roman" w:cs="Times New Roman"/>
          <w:color w:val="222222"/>
          <w:sz w:val="24"/>
          <w:szCs w:val="24"/>
          <w:lang w:eastAsia="en-GB"/>
        </w:rPr>
        <w:t xml:space="preserve"> zouden de financiële posities van andere licentiehouders in categorie 1 onderzocht moeten worden, om de positie van FC Twente in een breder perspectief te kunnen plaatsen. </w:t>
      </w:r>
      <w:r w:rsidR="00711F54">
        <w:rPr>
          <w:rFonts w:eastAsia="Times New Roman" w:cs="Times New Roman"/>
          <w:color w:val="222222"/>
          <w:sz w:val="24"/>
          <w:szCs w:val="24"/>
          <w:lang w:eastAsia="en-GB"/>
        </w:rPr>
        <w:t>Ten slotte</w:t>
      </w:r>
      <w:r w:rsidR="00891775">
        <w:rPr>
          <w:rFonts w:eastAsia="Times New Roman" w:cs="Times New Roman"/>
          <w:color w:val="222222"/>
          <w:sz w:val="24"/>
          <w:szCs w:val="24"/>
          <w:lang w:eastAsia="en-GB"/>
        </w:rPr>
        <w:t xml:space="preserve"> zou vervolgonderzoek naar de waarderingsgrondslagen voor </w:t>
      </w:r>
      <w:r w:rsidR="0004327D">
        <w:rPr>
          <w:rFonts w:eastAsia="Times New Roman" w:cs="Times New Roman"/>
          <w:color w:val="222222"/>
          <w:sz w:val="24"/>
          <w:szCs w:val="24"/>
          <w:lang w:eastAsia="en-GB"/>
        </w:rPr>
        <w:t xml:space="preserve">voetbalstadions </w:t>
      </w:r>
      <w:r w:rsidR="00891775">
        <w:rPr>
          <w:rFonts w:eastAsia="Times New Roman" w:cs="Times New Roman"/>
          <w:color w:val="222222"/>
          <w:sz w:val="24"/>
          <w:szCs w:val="24"/>
          <w:lang w:eastAsia="en-GB"/>
        </w:rPr>
        <w:t xml:space="preserve">van andere betaald voetbal organisaties </w:t>
      </w:r>
      <w:r w:rsidR="0004327D">
        <w:rPr>
          <w:rFonts w:eastAsia="Times New Roman" w:cs="Times New Roman"/>
          <w:color w:val="222222"/>
          <w:sz w:val="24"/>
          <w:szCs w:val="24"/>
          <w:lang w:eastAsia="en-GB"/>
        </w:rPr>
        <w:t>tot meer vergelijkbaarheid leiden met de onderzochte situatie bij FC Twente.</w:t>
      </w:r>
    </w:p>
    <w:bookmarkStart w:id="54" w:name="_Toc425516519" w:displacedByCustomXml="next"/>
    <w:sdt>
      <w:sdtPr>
        <w:rPr>
          <w:rFonts w:asciiTheme="minorHAnsi" w:eastAsiaTheme="minorHAnsi" w:hAnsiTheme="minorHAnsi" w:cstheme="minorBidi"/>
          <w:color w:val="auto"/>
          <w:sz w:val="22"/>
          <w:szCs w:val="22"/>
        </w:rPr>
        <w:id w:val="329339308"/>
        <w:docPartObj>
          <w:docPartGallery w:val="Bibliographies"/>
          <w:docPartUnique/>
        </w:docPartObj>
      </w:sdtPr>
      <w:sdtEndPr>
        <w:rPr>
          <w:rFonts w:eastAsiaTheme="minorEastAsia"/>
          <w:sz w:val="20"/>
          <w:szCs w:val="20"/>
        </w:rPr>
      </w:sdtEndPr>
      <w:sdtContent>
        <w:p w:rsidR="001D4A5E" w:rsidRPr="001D4A5E" w:rsidRDefault="001D4A5E">
          <w:pPr>
            <w:pStyle w:val="Heading1"/>
          </w:pPr>
          <w:r>
            <w:t>Bibliografie</w:t>
          </w:r>
          <w:bookmarkEnd w:id="54"/>
        </w:p>
        <w:sdt>
          <w:sdtPr>
            <w:id w:val="111145805"/>
            <w:bibliography/>
          </w:sdtPr>
          <w:sdtContent>
            <w:p w:rsidR="00062BB9" w:rsidRDefault="000C5AB6" w:rsidP="00062BB9">
              <w:pPr>
                <w:pStyle w:val="Bibliography"/>
                <w:ind w:left="720" w:hanging="720"/>
                <w:rPr>
                  <w:noProof/>
                  <w:sz w:val="24"/>
                  <w:szCs w:val="24"/>
                </w:rPr>
              </w:pPr>
              <w:r w:rsidRPr="000C5AB6">
                <w:fldChar w:fldCharType="begin"/>
              </w:r>
              <w:r w:rsidR="001D4A5E" w:rsidRPr="007657B6">
                <w:instrText>BIBLIOGRAPHY</w:instrText>
              </w:r>
              <w:r w:rsidRPr="000C5AB6">
                <w:fldChar w:fldCharType="separate"/>
              </w:r>
              <w:r w:rsidR="00062BB9">
                <w:rPr>
                  <w:noProof/>
                </w:rPr>
                <w:t xml:space="preserve">Accountancy vanmorgen. (2015, Maart 4). </w:t>
              </w:r>
              <w:r w:rsidR="00062BB9">
                <w:rPr>
                  <w:i/>
                  <w:iCs/>
                  <w:noProof/>
                </w:rPr>
                <w:t>Accountant keurt afschrijvingsmethodiek goed, KNVB niet: 3 punten aftrek voor FC Twente.</w:t>
              </w:r>
              <w:r w:rsidR="00062BB9">
                <w:rPr>
                  <w:noProof/>
                </w:rPr>
                <w:t xml:space="preserve"> Opgehaald van Accountancy vanmorgen: </w:t>
              </w:r>
              <w:r w:rsidR="00062BB9">
                <w:rPr>
                  <w:noProof/>
                </w:rPr>
                <w:lastRenderedPageBreak/>
                <w:t>http://www.accountancyvanmorgen.nl/Nieuws/Detail/accountant-keurt-afschrijvingsmethodiek-goed-knvb-niet-3-punten-aftrek-voor-fc-twente</w:t>
              </w:r>
            </w:p>
            <w:p w:rsidR="00062BB9" w:rsidRPr="00062BB9" w:rsidRDefault="00062BB9" w:rsidP="00062BB9">
              <w:pPr>
                <w:pStyle w:val="Bibliography"/>
                <w:ind w:left="720" w:hanging="720"/>
                <w:rPr>
                  <w:noProof/>
                  <w:lang w:val="en-GB"/>
                </w:rPr>
              </w:pPr>
              <w:r w:rsidRPr="00062BB9">
                <w:rPr>
                  <w:noProof/>
                  <w:lang w:val="en-GB"/>
                </w:rPr>
                <w:t xml:space="preserve">American Bankers Association. (2011). </w:t>
              </w:r>
              <w:r w:rsidRPr="00062BB9">
                <w:rPr>
                  <w:i/>
                  <w:iCs/>
                  <w:noProof/>
                  <w:lang w:val="en-GB"/>
                </w:rPr>
                <w:t>Fair value and mark to market accounting.</w:t>
              </w:r>
              <w:r w:rsidRPr="00062BB9">
                <w:rPr>
                  <w:noProof/>
                  <w:lang w:val="en-GB"/>
                </w:rPr>
                <w:t xml:space="preserve"> Opgehaald van American Bankers Association: http://www.aba.com/issues/issues_fairvalue.htm</w:t>
              </w:r>
            </w:p>
            <w:p w:rsidR="00062BB9" w:rsidRDefault="00062BB9" w:rsidP="00062BB9">
              <w:pPr>
                <w:pStyle w:val="Bibliography"/>
                <w:ind w:left="720" w:hanging="720"/>
                <w:rPr>
                  <w:noProof/>
                </w:rPr>
              </w:pPr>
              <w:r w:rsidRPr="00062BB9">
                <w:rPr>
                  <w:noProof/>
                  <w:lang w:val="en-GB"/>
                </w:rPr>
                <w:t xml:space="preserve">BDO accountants. </w:t>
              </w:r>
              <w:r>
                <w:rPr>
                  <w:noProof/>
                </w:rPr>
                <w:t xml:space="preserve">(2009, Oktober). </w:t>
              </w:r>
              <w:r>
                <w:rPr>
                  <w:i/>
                  <w:iCs/>
                  <w:noProof/>
                </w:rPr>
                <w:t>IFRS for SME.</w:t>
              </w:r>
              <w:r>
                <w:rPr>
                  <w:noProof/>
                </w:rPr>
                <w:t xml:space="preserve"> Opgehaald van BDO: http://www.bdo.nl/nl/diensten/accountancy/ifrs/documents/ifrs%20for%20sme.pdf</w:t>
              </w:r>
            </w:p>
            <w:p w:rsidR="00062BB9" w:rsidRPr="00062BB9" w:rsidRDefault="00062BB9" w:rsidP="00062BB9">
              <w:pPr>
                <w:pStyle w:val="Bibliography"/>
                <w:ind w:left="720" w:hanging="720"/>
                <w:rPr>
                  <w:noProof/>
                  <w:lang w:val="en-GB"/>
                </w:rPr>
              </w:pPr>
              <w:r w:rsidRPr="00062BB9">
                <w:rPr>
                  <w:noProof/>
                  <w:lang w:val="en-GB"/>
                </w:rPr>
                <w:t xml:space="preserve">Bebchuk, L. A., &amp; Fried, J. M. (2003). Executive Compensation as an Agency Problem. </w:t>
              </w:r>
              <w:r w:rsidRPr="00062BB9">
                <w:rPr>
                  <w:i/>
                  <w:iCs/>
                  <w:noProof/>
                  <w:lang w:val="en-GB"/>
                </w:rPr>
                <w:t>Journal of Economic Perspectives</w:t>
              </w:r>
              <w:r w:rsidRPr="00062BB9">
                <w:rPr>
                  <w:noProof/>
                  <w:lang w:val="en-GB"/>
                </w:rPr>
                <w:t>, 71-92.</w:t>
              </w:r>
            </w:p>
            <w:p w:rsidR="00062BB9" w:rsidRPr="00062BB9" w:rsidRDefault="00062BB9" w:rsidP="00062BB9">
              <w:pPr>
                <w:pStyle w:val="Bibliography"/>
                <w:ind w:left="720" w:hanging="720"/>
                <w:rPr>
                  <w:noProof/>
                  <w:lang w:val="en-GB"/>
                </w:rPr>
              </w:pPr>
              <w:r w:rsidRPr="00062BB9">
                <w:rPr>
                  <w:noProof/>
                  <w:lang w:val="en-GB"/>
                </w:rPr>
                <w:t xml:space="preserve">Belinna, B., Yen, J., &amp; Yang, X. (2008). False financial statements: characteristics of China's listed companies and cart detecting approach. </w:t>
              </w:r>
              <w:r w:rsidRPr="00062BB9">
                <w:rPr>
                  <w:i/>
                  <w:iCs/>
                  <w:noProof/>
                  <w:lang w:val="en-GB"/>
                </w:rPr>
                <w:t>International Journal of Information and Technology &amp; Decision making 7(2)</w:t>
              </w:r>
              <w:r w:rsidRPr="00062BB9">
                <w:rPr>
                  <w:noProof/>
                  <w:lang w:val="en-GB"/>
                </w:rPr>
                <w:t>, 339-359.</w:t>
              </w:r>
            </w:p>
            <w:p w:rsidR="00062BB9" w:rsidRDefault="00062BB9" w:rsidP="00062BB9">
              <w:pPr>
                <w:pStyle w:val="Bibliography"/>
                <w:ind w:left="720" w:hanging="720"/>
                <w:rPr>
                  <w:noProof/>
                </w:rPr>
              </w:pPr>
              <w:r w:rsidRPr="00062BB9">
                <w:rPr>
                  <w:noProof/>
                  <w:lang w:val="en-GB"/>
                </w:rPr>
                <w:t xml:space="preserve">Böhmer, S., Hoogendoorn, M., &amp; Kruit, R. (2014). </w:t>
              </w:r>
              <w:r>
                <w:rPr>
                  <w:i/>
                  <w:iCs/>
                  <w:noProof/>
                </w:rPr>
                <w:t>EY Handboek Jaarrekening.</w:t>
              </w:r>
              <w:r>
                <w:rPr>
                  <w:noProof/>
                </w:rPr>
                <w:t xml:space="preserve"> Kluwer.</w:t>
              </w:r>
            </w:p>
            <w:p w:rsidR="00062BB9" w:rsidRDefault="00062BB9" w:rsidP="00062BB9">
              <w:pPr>
                <w:pStyle w:val="Bibliography"/>
                <w:ind w:left="720" w:hanging="720"/>
                <w:rPr>
                  <w:noProof/>
                </w:rPr>
              </w:pPr>
              <w:r>
                <w:rPr>
                  <w:noProof/>
                </w:rPr>
                <w:t xml:space="preserve">Bollaert, C. (2006). </w:t>
              </w:r>
              <w:r>
                <w:rPr>
                  <w:i/>
                  <w:iCs/>
                  <w:noProof/>
                </w:rPr>
                <w:t>Het belang van de verschillende waarderingsstelsels in het licht van IFRS.</w:t>
              </w:r>
              <w:r>
                <w:rPr>
                  <w:noProof/>
                </w:rPr>
                <w:t xml:space="preserve"> Gent: Universiteitsbibliotheek Gent.</w:t>
              </w:r>
            </w:p>
            <w:p w:rsidR="00062BB9" w:rsidRDefault="00062BB9" w:rsidP="00062BB9">
              <w:pPr>
                <w:pStyle w:val="Bibliography"/>
                <w:ind w:left="720" w:hanging="720"/>
                <w:rPr>
                  <w:noProof/>
                </w:rPr>
              </w:pPr>
              <w:r>
                <w:rPr>
                  <w:noProof/>
                </w:rPr>
                <w:t xml:space="preserve">de Groot, G. (2015, Maart 4). </w:t>
              </w:r>
              <w:r>
                <w:rPr>
                  <w:i/>
                  <w:iCs/>
                  <w:noProof/>
                </w:rPr>
                <w:t>Financieel beleid kost FC Twente punten</w:t>
              </w:r>
              <w:r>
                <w:rPr>
                  <w:noProof/>
                </w:rPr>
                <w:t>. Opgehaald van Financieel dagblad: http://fd.nl/ondernemen/1095274/financieel-beleid-kost-fc-twente-punten</w:t>
              </w:r>
            </w:p>
            <w:p w:rsidR="00062BB9" w:rsidRDefault="00062BB9" w:rsidP="00062BB9">
              <w:pPr>
                <w:pStyle w:val="Bibliography"/>
                <w:ind w:left="720" w:hanging="720"/>
                <w:rPr>
                  <w:noProof/>
                </w:rPr>
              </w:pPr>
              <w:r w:rsidRPr="00062BB9">
                <w:rPr>
                  <w:noProof/>
                  <w:lang w:val="en-GB"/>
                </w:rPr>
                <w:t xml:space="preserve">Deloitte. (2014). </w:t>
              </w:r>
              <w:r w:rsidRPr="00062BB9">
                <w:rPr>
                  <w:i/>
                  <w:iCs/>
                  <w:noProof/>
                  <w:lang w:val="en-GB"/>
                </w:rPr>
                <w:t>IAS 16 -- Property, Plant and Equipment.</w:t>
              </w:r>
              <w:r w:rsidRPr="00062BB9">
                <w:rPr>
                  <w:noProof/>
                  <w:lang w:val="en-GB"/>
                </w:rPr>
                <w:t xml:space="preserve"> </w:t>
              </w:r>
              <w:r>
                <w:rPr>
                  <w:noProof/>
                </w:rPr>
                <w:t>Opgehaald van Iasplus: http://www.iasplus.com/en/standards/ias/ias16</w:t>
              </w:r>
            </w:p>
            <w:p w:rsidR="00062BB9" w:rsidRDefault="00062BB9" w:rsidP="00062BB9">
              <w:pPr>
                <w:pStyle w:val="Bibliography"/>
                <w:ind w:left="720" w:hanging="720"/>
                <w:rPr>
                  <w:noProof/>
                </w:rPr>
              </w:pPr>
              <w:r w:rsidRPr="00062BB9">
                <w:rPr>
                  <w:noProof/>
                  <w:lang w:val="en-GB"/>
                </w:rPr>
                <w:t xml:space="preserve">European Commission - IAS 16. (2009, September 16). </w:t>
              </w:r>
              <w:r w:rsidRPr="00062BB9">
                <w:rPr>
                  <w:i/>
                  <w:iCs/>
                  <w:noProof/>
                  <w:lang w:val="en-GB"/>
                </w:rPr>
                <w:t>EC Europa</w:t>
              </w:r>
              <w:r w:rsidRPr="00062BB9">
                <w:rPr>
                  <w:noProof/>
                  <w:lang w:val="en-GB"/>
                </w:rPr>
                <w:t xml:space="preserve">. </w:t>
              </w:r>
              <w:r>
                <w:rPr>
                  <w:noProof/>
                </w:rPr>
                <w:t>Opgehaald van European Commission Europa: http://ec.europa.eu/internal_market/accounting/docs/consolidated/ias16_en.pdf</w:t>
              </w:r>
            </w:p>
            <w:p w:rsidR="00062BB9" w:rsidRDefault="00062BB9" w:rsidP="00062BB9">
              <w:pPr>
                <w:pStyle w:val="Bibliography"/>
                <w:ind w:left="720" w:hanging="720"/>
                <w:rPr>
                  <w:noProof/>
                </w:rPr>
              </w:pPr>
              <w:r>
                <w:rPr>
                  <w:noProof/>
                </w:rPr>
                <w:t xml:space="preserve">Handboek Bestuurders Betaald Voetbal Licentiecommissie. (2012, Februari). </w:t>
              </w:r>
              <w:r>
                <w:rPr>
                  <w:i/>
                  <w:iCs/>
                  <w:noProof/>
                </w:rPr>
                <w:t>Handboek Bestuurders Betaald Voetbal Licentiecommissie.</w:t>
              </w:r>
              <w:r>
                <w:rPr>
                  <w:noProof/>
                </w:rPr>
                <w:t xml:space="preserve"> Opgehaald van KNVB: http://www.knvb.nl/watdoenwe/organiseren/licentiezaken</w:t>
              </w:r>
            </w:p>
            <w:p w:rsidR="00062BB9" w:rsidRPr="00062BB9" w:rsidRDefault="00062BB9" w:rsidP="00062BB9">
              <w:pPr>
                <w:pStyle w:val="Bibliography"/>
                <w:ind w:left="720" w:hanging="720"/>
                <w:rPr>
                  <w:noProof/>
                  <w:lang w:val="en-GB"/>
                </w:rPr>
              </w:pPr>
              <w:r>
                <w:rPr>
                  <w:noProof/>
                </w:rPr>
                <w:t xml:space="preserve">Healy, P., &amp; Wahlen, J. (1999). </w:t>
              </w:r>
              <w:r w:rsidRPr="00062BB9">
                <w:rPr>
                  <w:noProof/>
                  <w:lang w:val="en-GB"/>
                </w:rPr>
                <w:t xml:space="preserve">A Review Of The Earnings Management Literature and Its Implications For Standard Setting. </w:t>
              </w:r>
              <w:r w:rsidRPr="00062BB9">
                <w:rPr>
                  <w:i/>
                  <w:iCs/>
                  <w:noProof/>
                  <w:lang w:val="en-GB"/>
                </w:rPr>
                <w:t>Accounting Horizons</w:t>
              </w:r>
              <w:r w:rsidRPr="00062BB9">
                <w:rPr>
                  <w:noProof/>
                  <w:lang w:val="en-GB"/>
                </w:rPr>
                <w:t>, 365-383. Opgehaald van Accounting Horizons: http://papers.ssrn.com/sol3/papers.cfm?abstract_id=156445</w:t>
              </w:r>
            </w:p>
            <w:p w:rsidR="00062BB9" w:rsidRPr="00062BB9" w:rsidRDefault="00062BB9" w:rsidP="00062BB9">
              <w:pPr>
                <w:pStyle w:val="Bibliography"/>
                <w:ind w:left="720" w:hanging="720"/>
                <w:rPr>
                  <w:noProof/>
                  <w:lang w:val="en-GB"/>
                </w:rPr>
              </w:pPr>
              <w:r w:rsidRPr="00062BB9">
                <w:rPr>
                  <w:noProof/>
                  <w:lang w:val="en-GB"/>
                </w:rPr>
                <w:t xml:space="preserve">Hermann, D., Saudagaran, S., &amp; Thomas, W. (2006). The quality of fair value measures of property, plant and equipment. </w:t>
              </w:r>
              <w:r w:rsidRPr="00062BB9">
                <w:rPr>
                  <w:i/>
                  <w:iCs/>
                  <w:noProof/>
                  <w:lang w:val="en-GB"/>
                </w:rPr>
                <w:t>Accounting Forum</w:t>
              </w:r>
              <w:r w:rsidRPr="00062BB9">
                <w:rPr>
                  <w:noProof/>
                  <w:lang w:val="en-GB"/>
                </w:rPr>
                <w:t>, 43-59.</w:t>
              </w:r>
            </w:p>
            <w:p w:rsidR="00062BB9" w:rsidRPr="00062BB9" w:rsidRDefault="00062BB9" w:rsidP="00062BB9">
              <w:pPr>
                <w:pStyle w:val="Bibliography"/>
                <w:ind w:left="720" w:hanging="720"/>
                <w:rPr>
                  <w:noProof/>
                  <w:lang w:val="en-GB"/>
                </w:rPr>
              </w:pPr>
              <w:r w:rsidRPr="00062BB9">
                <w:rPr>
                  <w:noProof/>
                  <w:lang w:val="en-GB"/>
                </w:rPr>
                <w:t xml:space="preserve">Holthausen, R., &amp; Watts, R. (2001). The relevance of value-relevance literature for financial accounting standard setting. </w:t>
              </w:r>
              <w:r w:rsidRPr="00062BB9">
                <w:rPr>
                  <w:i/>
                  <w:iCs/>
                  <w:noProof/>
                  <w:lang w:val="en-GB"/>
                </w:rPr>
                <w:t>Journal of Accounting and Economics 31</w:t>
              </w:r>
              <w:r w:rsidRPr="00062BB9">
                <w:rPr>
                  <w:noProof/>
                  <w:lang w:val="en-GB"/>
                </w:rPr>
                <w:t>, 3-75.</w:t>
              </w:r>
            </w:p>
            <w:p w:rsidR="00062BB9" w:rsidRDefault="00062BB9" w:rsidP="00062BB9">
              <w:pPr>
                <w:pStyle w:val="Bibliography"/>
                <w:ind w:left="720" w:hanging="720"/>
                <w:rPr>
                  <w:noProof/>
                </w:rPr>
              </w:pPr>
              <w:r w:rsidRPr="00062BB9">
                <w:rPr>
                  <w:noProof/>
                  <w:lang w:val="en-GB"/>
                </w:rPr>
                <w:t xml:space="preserve">Hoogendorn, M., Bömher, S., &amp; Kruit, R. (2014). </w:t>
              </w:r>
              <w:r>
                <w:rPr>
                  <w:i/>
                  <w:iCs/>
                  <w:noProof/>
                </w:rPr>
                <w:t>EY Handboek Jaarrekening 2014.</w:t>
              </w:r>
              <w:r>
                <w:rPr>
                  <w:noProof/>
                </w:rPr>
                <w:t xml:space="preserve"> Kluwer.</w:t>
              </w:r>
            </w:p>
            <w:p w:rsidR="00062BB9" w:rsidRDefault="00062BB9" w:rsidP="00062BB9">
              <w:pPr>
                <w:pStyle w:val="Bibliography"/>
                <w:ind w:left="720" w:hanging="720"/>
                <w:rPr>
                  <w:noProof/>
                </w:rPr>
              </w:pPr>
              <w:r>
                <w:rPr>
                  <w:i/>
                  <w:iCs/>
                  <w:noProof/>
                </w:rPr>
                <w:t>IASplus</w:t>
              </w:r>
              <w:r>
                <w:rPr>
                  <w:noProof/>
                </w:rPr>
                <w:t>. (2014, Juni 30). Opgehaald van Website van Deloitte: http://www.iasplus.com/en/standards/ias/ias16</w:t>
              </w:r>
            </w:p>
            <w:p w:rsidR="00062BB9" w:rsidRDefault="00062BB9" w:rsidP="00062BB9">
              <w:pPr>
                <w:pStyle w:val="Bibliography"/>
                <w:ind w:left="720" w:hanging="720"/>
                <w:rPr>
                  <w:noProof/>
                </w:rPr>
              </w:pPr>
              <w:r w:rsidRPr="00062BB9">
                <w:rPr>
                  <w:noProof/>
                  <w:lang w:val="en-GB"/>
                </w:rPr>
                <w:t xml:space="preserve">IFRS 13. (2013). </w:t>
              </w:r>
              <w:r w:rsidRPr="00062BB9">
                <w:rPr>
                  <w:i/>
                  <w:iCs/>
                  <w:noProof/>
                  <w:lang w:val="en-GB"/>
                </w:rPr>
                <w:t>IFRS 13 Fair Value Measurement.</w:t>
              </w:r>
              <w:r w:rsidRPr="00062BB9">
                <w:rPr>
                  <w:noProof/>
                  <w:lang w:val="en-GB"/>
                </w:rPr>
                <w:t xml:space="preserve"> </w:t>
              </w:r>
              <w:r>
                <w:rPr>
                  <w:noProof/>
                </w:rPr>
                <w:t>Opgehaald van IFRS: http://www.ifrs.org/IFRSs/IFRS-technical-summaries/Documents/English%20Web%20Summaries%202013/IFRS%2013.pdf</w:t>
              </w:r>
            </w:p>
            <w:p w:rsidR="00062BB9" w:rsidRDefault="00062BB9" w:rsidP="00062BB9">
              <w:pPr>
                <w:pStyle w:val="Bibliography"/>
                <w:ind w:left="720" w:hanging="720"/>
                <w:rPr>
                  <w:noProof/>
                </w:rPr>
              </w:pPr>
              <w:r>
                <w:rPr>
                  <w:noProof/>
                </w:rPr>
                <w:t xml:space="preserve">IFRS. (2002). </w:t>
              </w:r>
              <w:r>
                <w:rPr>
                  <w:i/>
                  <w:iCs/>
                  <w:noProof/>
                </w:rPr>
                <w:t>IFRS</w:t>
              </w:r>
              <w:r>
                <w:rPr>
                  <w:noProof/>
                </w:rPr>
                <w:t>. Opgehaald van IFRS: http://www.ifrs.org/Use-around-the-world/Global-convergence/Convergence-with-US-GAAP/Pages/Convergence-with-US-GAAP.aspx</w:t>
              </w:r>
            </w:p>
            <w:p w:rsidR="00062BB9" w:rsidRPr="00062BB9" w:rsidRDefault="00062BB9" w:rsidP="00062BB9">
              <w:pPr>
                <w:pStyle w:val="Bibliography"/>
                <w:ind w:left="720" w:hanging="720"/>
                <w:rPr>
                  <w:noProof/>
                  <w:lang w:val="en-GB"/>
                </w:rPr>
              </w:pPr>
              <w:r w:rsidRPr="00062BB9">
                <w:rPr>
                  <w:noProof/>
                  <w:lang w:val="en-GB"/>
                </w:rPr>
                <w:t xml:space="preserve">IFRS Foundation. (2012, Januari 1). </w:t>
              </w:r>
              <w:r w:rsidRPr="00062BB9">
                <w:rPr>
                  <w:i/>
                  <w:iCs/>
                  <w:noProof/>
                  <w:lang w:val="en-GB"/>
                </w:rPr>
                <w:t>IFRS</w:t>
              </w:r>
              <w:r w:rsidRPr="00062BB9">
                <w:rPr>
                  <w:noProof/>
                  <w:lang w:val="en-GB"/>
                </w:rPr>
                <w:t>. Opgehaald van IFRS: http://www.ifrs.org/Documents/IAS16.pdf</w:t>
              </w:r>
            </w:p>
            <w:p w:rsidR="00062BB9" w:rsidRPr="00062BB9" w:rsidRDefault="00062BB9" w:rsidP="00062BB9">
              <w:pPr>
                <w:pStyle w:val="Bibliography"/>
                <w:ind w:left="720" w:hanging="720"/>
                <w:rPr>
                  <w:noProof/>
                  <w:lang w:val="en-GB"/>
                </w:rPr>
              </w:pPr>
              <w:r w:rsidRPr="00062BB9">
                <w:rPr>
                  <w:noProof/>
                  <w:lang w:val="en-GB"/>
                </w:rPr>
                <w:t xml:space="preserve">Jaijairam, P. (2013). </w:t>
              </w:r>
              <w:r w:rsidRPr="00062BB9">
                <w:rPr>
                  <w:i/>
                  <w:iCs/>
                  <w:noProof/>
                  <w:lang w:val="en-GB"/>
                </w:rPr>
                <w:t>Fair Value Accounting vs. Hisorical Cost Accounting.</w:t>
              </w:r>
              <w:r w:rsidRPr="00062BB9">
                <w:rPr>
                  <w:noProof/>
                  <w:lang w:val="en-GB"/>
                </w:rPr>
                <w:t xml:space="preserve"> Opgehaald van Review of Business Information Systems: http://www.cluteinstitute.com/ojs/index.php/RBIS/article/viewFile/7579/7645</w:t>
              </w:r>
            </w:p>
            <w:p w:rsidR="00062BB9" w:rsidRDefault="00062BB9" w:rsidP="00062BB9">
              <w:pPr>
                <w:pStyle w:val="Bibliography"/>
                <w:ind w:left="720" w:hanging="720"/>
                <w:rPr>
                  <w:noProof/>
                </w:rPr>
              </w:pPr>
              <w:r w:rsidRPr="00F229D6">
                <w:rPr>
                  <w:noProof/>
                  <w:lang w:val="en-GB"/>
                </w:rPr>
                <w:t xml:space="preserve">Kaiser, J. G., Schmid, D., &amp; Kuykendall, K. (2014). </w:t>
              </w:r>
              <w:r w:rsidRPr="00F229D6">
                <w:rPr>
                  <w:i/>
                  <w:iCs/>
                  <w:noProof/>
                  <w:lang w:val="en-GB"/>
                </w:rPr>
                <w:t>IFRS and US GAAP: similarities and differences.</w:t>
              </w:r>
              <w:r w:rsidRPr="00F229D6">
                <w:rPr>
                  <w:noProof/>
                  <w:lang w:val="en-GB"/>
                </w:rPr>
                <w:t xml:space="preserve"> </w:t>
              </w:r>
              <w:r>
                <w:rPr>
                  <w:noProof/>
                </w:rPr>
                <w:t>PwC.</w:t>
              </w:r>
            </w:p>
            <w:p w:rsidR="00062BB9" w:rsidRDefault="00062BB9" w:rsidP="00062BB9">
              <w:pPr>
                <w:pStyle w:val="Bibliography"/>
                <w:ind w:left="720" w:hanging="720"/>
                <w:rPr>
                  <w:noProof/>
                </w:rPr>
              </w:pPr>
              <w:r>
                <w:rPr>
                  <w:noProof/>
                </w:rPr>
                <w:t xml:space="preserve">KNVB. (2014). </w:t>
              </w:r>
              <w:r>
                <w:rPr>
                  <w:i/>
                  <w:iCs/>
                  <w:noProof/>
                </w:rPr>
                <w:t>Financiële integriteit: Licentiesysteem.</w:t>
              </w:r>
              <w:r>
                <w:rPr>
                  <w:noProof/>
                </w:rPr>
                <w:t xml:space="preserve"> Opgehaald van KNVB: http://home.knvb.nl/themas/financi%C3%ABle-integriteit/licentiesysteem/</w:t>
              </w:r>
            </w:p>
            <w:p w:rsidR="00062BB9" w:rsidRDefault="00062BB9" w:rsidP="00062BB9">
              <w:pPr>
                <w:pStyle w:val="Bibliography"/>
                <w:ind w:left="720" w:hanging="720"/>
                <w:rPr>
                  <w:noProof/>
                </w:rPr>
              </w:pPr>
              <w:r>
                <w:rPr>
                  <w:noProof/>
                </w:rPr>
                <w:lastRenderedPageBreak/>
                <w:t xml:space="preserve">KNVB. (2015, Maart 12). </w:t>
              </w:r>
              <w:r>
                <w:rPr>
                  <w:i/>
                  <w:iCs/>
                  <w:noProof/>
                </w:rPr>
                <w:t>Categorie-indeling clubs betaald voetbal</w:t>
              </w:r>
              <w:r>
                <w:rPr>
                  <w:noProof/>
                </w:rPr>
                <w:t>. Opgehaald van KNVB: http://home.knvb.nl/nieuws/categorie-indeling-clubs-betaald-voetbal/</w:t>
              </w:r>
            </w:p>
            <w:p w:rsidR="00062BB9" w:rsidRDefault="00062BB9" w:rsidP="00062BB9">
              <w:pPr>
                <w:pStyle w:val="Bibliography"/>
                <w:ind w:left="720" w:hanging="720"/>
                <w:rPr>
                  <w:noProof/>
                </w:rPr>
              </w:pPr>
              <w:r>
                <w:rPr>
                  <w:noProof/>
                </w:rPr>
                <w:t xml:space="preserve">KNVB Licentiereglement. (2013, December 16). </w:t>
              </w:r>
              <w:r>
                <w:rPr>
                  <w:i/>
                  <w:iCs/>
                  <w:noProof/>
                </w:rPr>
                <w:t>Licentiezaken.</w:t>
              </w:r>
              <w:r>
                <w:rPr>
                  <w:noProof/>
                </w:rPr>
                <w:t xml:space="preserve"> Opgehaald van KNVB: http://www.knvb.nl/watdoenwe/organiseren/licentiezaken</w:t>
              </w:r>
            </w:p>
            <w:p w:rsidR="00062BB9" w:rsidRPr="00F229D6" w:rsidRDefault="00062BB9" w:rsidP="00062BB9">
              <w:pPr>
                <w:pStyle w:val="Bibliography"/>
                <w:ind w:left="720" w:hanging="720"/>
                <w:rPr>
                  <w:noProof/>
                  <w:lang w:val="en-GB"/>
                </w:rPr>
              </w:pPr>
              <w:r w:rsidRPr="00F229D6">
                <w:rPr>
                  <w:noProof/>
                  <w:lang w:val="en-GB"/>
                </w:rPr>
                <w:t xml:space="preserve">LaFond, R., &amp; Watts, R. (2008). The information role of conservatism. </w:t>
              </w:r>
              <w:r w:rsidRPr="00F229D6">
                <w:rPr>
                  <w:i/>
                  <w:iCs/>
                  <w:noProof/>
                  <w:lang w:val="en-GB"/>
                </w:rPr>
                <w:t>The Accounting Review 83(2)</w:t>
              </w:r>
              <w:r w:rsidRPr="00F229D6">
                <w:rPr>
                  <w:noProof/>
                  <w:lang w:val="en-GB"/>
                </w:rPr>
                <w:t>, 447-478.</w:t>
              </w:r>
            </w:p>
            <w:p w:rsidR="00062BB9" w:rsidRPr="00F229D6" w:rsidRDefault="00062BB9" w:rsidP="00062BB9">
              <w:pPr>
                <w:pStyle w:val="Bibliography"/>
                <w:ind w:left="720" w:hanging="720"/>
                <w:rPr>
                  <w:noProof/>
                  <w:lang w:val="en-GB"/>
                </w:rPr>
              </w:pPr>
              <w:r w:rsidRPr="00F229D6">
                <w:rPr>
                  <w:noProof/>
                  <w:lang w:val="en-GB"/>
                </w:rPr>
                <w:t xml:space="preserve">LaFond, R.; Roychowdhury, S. (2008). Managerial ownership and accounting conservatism. </w:t>
              </w:r>
              <w:r w:rsidRPr="00F229D6">
                <w:rPr>
                  <w:i/>
                  <w:iCs/>
                  <w:noProof/>
                  <w:lang w:val="en-GB"/>
                </w:rPr>
                <w:t>Journal of Accounting Research 46(1)</w:t>
              </w:r>
              <w:r w:rsidRPr="00F229D6">
                <w:rPr>
                  <w:noProof/>
                  <w:lang w:val="en-GB"/>
                </w:rPr>
                <w:t>, 101-135.</w:t>
              </w:r>
            </w:p>
            <w:p w:rsidR="00062BB9" w:rsidRPr="00F229D6" w:rsidRDefault="00062BB9" w:rsidP="00062BB9">
              <w:pPr>
                <w:pStyle w:val="Bibliography"/>
                <w:ind w:left="720" w:hanging="720"/>
                <w:rPr>
                  <w:noProof/>
                  <w:lang w:val="en-GB"/>
                </w:rPr>
              </w:pPr>
              <w:r w:rsidRPr="00F229D6">
                <w:rPr>
                  <w:noProof/>
                  <w:lang w:val="en-GB"/>
                </w:rPr>
                <w:t xml:space="preserve">Laux &amp; Leuz. (2010). Did fair-value accounting contribute to the financial crisis. </w:t>
              </w:r>
              <w:r w:rsidRPr="00F229D6">
                <w:rPr>
                  <w:i/>
                  <w:iCs/>
                  <w:noProof/>
                  <w:lang w:val="en-GB"/>
                </w:rPr>
                <w:t>Journal of Economic Perspectives</w:t>
              </w:r>
              <w:r w:rsidRPr="00F229D6">
                <w:rPr>
                  <w:noProof/>
                  <w:lang w:val="en-GB"/>
                </w:rPr>
                <w:t>, 1-41.</w:t>
              </w:r>
            </w:p>
            <w:p w:rsidR="00062BB9" w:rsidRPr="00F229D6" w:rsidRDefault="00062BB9" w:rsidP="00062BB9">
              <w:pPr>
                <w:pStyle w:val="Bibliography"/>
                <w:ind w:left="720" w:hanging="720"/>
                <w:rPr>
                  <w:noProof/>
                  <w:lang w:val="en-GB"/>
                </w:rPr>
              </w:pPr>
              <w:r w:rsidRPr="00F229D6">
                <w:rPr>
                  <w:noProof/>
                  <w:lang w:val="en-GB"/>
                </w:rPr>
                <w:t xml:space="preserve">Laux, C., &amp; Leuz, C. (2009). The crisis of fair-value accounting: Making sense of the recent debate. In C. Laux, &amp; C. Leuz, </w:t>
              </w:r>
              <w:r w:rsidRPr="00F229D6">
                <w:rPr>
                  <w:i/>
                  <w:iCs/>
                  <w:noProof/>
                  <w:lang w:val="en-GB"/>
                </w:rPr>
                <w:t>The crisis of fair-value accounting: Making sense of the recent debate</w:t>
              </w:r>
              <w:r w:rsidRPr="00F229D6">
                <w:rPr>
                  <w:noProof/>
                  <w:lang w:val="en-GB"/>
                </w:rPr>
                <w:t xml:space="preserve"> (pp. 826-834). Accounting, Organizations and Society.</w:t>
              </w:r>
            </w:p>
            <w:p w:rsidR="00062BB9" w:rsidRPr="00F229D6" w:rsidRDefault="00062BB9" w:rsidP="00062BB9">
              <w:pPr>
                <w:pStyle w:val="Bibliography"/>
                <w:ind w:left="720" w:hanging="720"/>
                <w:rPr>
                  <w:noProof/>
                  <w:lang w:val="en-GB"/>
                </w:rPr>
              </w:pPr>
              <w:r w:rsidRPr="00F229D6">
                <w:rPr>
                  <w:noProof/>
                  <w:lang w:val="en-GB"/>
                </w:rPr>
                <w:t xml:space="preserve">Law, J. (2014). </w:t>
              </w:r>
              <w:r w:rsidRPr="00F229D6">
                <w:rPr>
                  <w:i/>
                  <w:iCs/>
                  <w:noProof/>
                  <w:lang w:val="en-GB"/>
                </w:rPr>
                <w:t>A Dictionairy of Finance and Banking (5 ed.).</w:t>
              </w:r>
              <w:r w:rsidRPr="00F229D6">
                <w:rPr>
                  <w:noProof/>
                  <w:lang w:val="en-GB"/>
                </w:rPr>
                <w:t xml:space="preserve"> Oxford University Press.</w:t>
              </w:r>
            </w:p>
            <w:p w:rsidR="00062BB9" w:rsidRDefault="00062BB9" w:rsidP="00062BB9">
              <w:pPr>
                <w:pStyle w:val="Bibliography"/>
                <w:ind w:left="720" w:hanging="720"/>
                <w:rPr>
                  <w:noProof/>
                </w:rPr>
              </w:pPr>
              <w:r w:rsidRPr="00F229D6">
                <w:rPr>
                  <w:noProof/>
                  <w:lang w:val="en-GB"/>
                </w:rPr>
                <w:t xml:space="preserve">Lee, J. (2010). </w:t>
              </w:r>
              <w:r w:rsidRPr="00F229D6">
                <w:rPr>
                  <w:i/>
                  <w:iCs/>
                  <w:noProof/>
                  <w:lang w:val="en-GB"/>
                </w:rPr>
                <w:t>The Role of Accounting Conservatism in Firms' Financial Decisions.</w:t>
              </w:r>
              <w:r w:rsidRPr="00F229D6">
                <w:rPr>
                  <w:noProof/>
                  <w:lang w:val="en-GB"/>
                </w:rPr>
                <w:t xml:space="preserve"> </w:t>
              </w:r>
              <w:r>
                <w:rPr>
                  <w:noProof/>
                </w:rPr>
                <w:t>Evanston: Northwestern University.</w:t>
              </w:r>
            </w:p>
            <w:p w:rsidR="00062BB9" w:rsidRDefault="00062BB9" w:rsidP="00062BB9">
              <w:pPr>
                <w:pStyle w:val="Bibliography"/>
                <w:ind w:left="720" w:hanging="720"/>
                <w:rPr>
                  <w:noProof/>
                </w:rPr>
              </w:pPr>
              <w:r>
                <w:rPr>
                  <w:noProof/>
                </w:rPr>
                <w:t xml:space="preserve">Licentiesysteem KNVB. (2013, Juli 25). </w:t>
              </w:r>
              <w:r>
                <w:rPr>
                  <w:i/>
                  <w:iCs/>
                  <w:noProof/>
                </w:rPr>
                <w:t>Uitleg Licentiesysteem KNVB.</w:t>
              </w:r>
              <w:r>
                <w:rPr>
                  <w:noProof/>
                </w:rPr>
                <w:t xml:space="preserve"> Opgehaald van KNVB: http://www.knvb.nl/watdoenwe/organiseren/licentiezaken</w:t>
              </w:r>
            </w:p>
            <w:p w:rsidR="00062BB9" w:rsidRDefault="00062BB9" w:rsidP="00062BB9">
              <w:pPr>
                <w:pStyle w:val="Bibliography"/>
                <w:ind w:left="720" w:hanging="720"/>
                <w:rPr>
                  <w:noProof/>
                </w:rPr>
              </w:pPr>
              <w:r w:rsidRPr="00F229D6">
                <w:rPr>
                  <w:noProof/>
                  <w:lang w:val="en-GB"/>
                </w:rPr>
                <w:t xml:space="preserve">Meunier, K. (2012). </w:t>
              </w:r>
              <w:r w:rsidRPr="00F229D6">
                <w:rPr>
                  <w:i/>
                  <w:iCs/>
                  <w:noProof/>
                  <w:lang w:val="en-GB"/>
                </w:rPr>
                <w:t>Historical cost and fair-value accounting</w:t>
              </w:r>
              <w:r w:rsidRPr="00F229D6">
                <w:rPr>
                  <w:noProof/>
                  <w:lang w:val="en-GB"/>
                </w:rPr>
                <w:t xml:space="preserve">. </w:t>
              </w:r>
              <w:r>
                <w:rPr>
                  <w:noProof/>
                </w:rPr>
                <w:t>Opgehaald van http://business-accounting-guides.com/historical-cost/</w:t>
              </w:r>
            </w:p>
            <w:p w:rsidR="00062BB9" w:rsidRDefault="00062BB9" w:rsidP="00062BB9">
              <w:pPr>
                <w:pStyle w:val="Bibliography"/>
                <w:ind w:left="720" w:hanging="720"/>
                <w:rPr>
                  <w:noProof/>
                </w:rPr>
              </w:pPr>
              <w:r w:rsidRPr="00F229D6">
                <w:rPr>
                  <w:noProof/>
                  <w:lang w:val="en-GB"/>
                </w:rPr>
                <w:t xml:space="preserve">NOS. (2014, April 18). </w:t>
              </w:r>
              <w:r w:rsidRPr="00F229D6">
                <w:rPr>
                  <w:i/>
                  <w:iCs/>
                  <w:noProof/>
                  <w:lang w:val="en-GB"/>
                </w:rPr>
                <w:t>KNVB beboet FC Twente</w:t>
              </w:r>
              <w:r w:rsidRPr="00F229D6">
                <w:rPr>
                  <w:noProof/>
                  <w:lang w:val="en-GB"/>
                </w:rPr>
                <w:t xml:space="preserve">. </w:t>
              </w:r>
              <w:r>
                <w:rPr>
                  <w:noProof/>
                </w:rPr>
                <w:t>Opgehaald van NOS: http://nos.nl/artikel/637362-knvb-beboet-fc-twente.html</w:t>
              </w:r>
            </w:p>
            <w:p w:rsidR="00062BB9" w:rsidRDefault="00062BB9" w:rsidP="00062BB9">
              <w:pPr>
                <w:pStyle w:val="Bibliography"/>
                <w:ind w:left="720" w:hanging="720"/>
                <w:rPr>
                  <w:noProof/>
                </w:rPr>
              </w:pPr>
              <w:r>
                <w:rPr>
                  <w:noProof/>
                </w:rPr>
                <w:t xml:space="preserve">NOS. (2015, Juli 7). </w:t>
              </w:r>
              <w:r>
                <w:rPr>
                  <w:i/>
                  <w:iCs/>
                  <w:noProof/>
                </w:rPr>
                <w:t>Martina tekent bij Southampton: Droom komt uit</w:t>
              </w:r>
              <w:r>
                <w:rPr>
                  <w:noProof/>
                </w:rPr>
                <w:t>. Opgehaald van NOS: http://nos.nl/artikel/2045676-martina-tekent-bij-southampton-droom-komt-uit.html</w:t>
              </w:r>
            </w:p>
            <w:p w:rsidR="00062BB9" w:rsidRDefault="00062BB9" w:rsidP="00062BB9">
              <w:pPr>
                <w:pStyle w:val="Bibliography"/>
                <w:ind w:left="720" w:hanging="720"/>
                <w:rPr>
                  <w:noProof/>
                </w:rPr>
              </w:pPr>
              <w:r>
                <w:rPr>
                  <w:noProof/>
                </w:rPr>
                <w:t>Ravensbergen, W. (2015, Juni 26). (G. v. Merrienboer, Interviewer)</w:t>
              </w:r>
            </w:p>
            <w:p w:rsidR="00062BB9" w:rsidRDefault="00062BB9" w:rsidP="00062BB9">
              <w:pPr>
                <w:pStyle w:val="Bibliography"/>
                <w:ind w:left="720" w:hanging="720"/>
                <w:rPr>
                  <w:noProof/>
                </w:rPr>
              </w:pPr>
              <w:r>
                <w:rPr>
                  <w:noProof/>
                </w:rPr>
                <w:t xml:space="preserve">Richtlijn Financieel Rating Systeem. (2014, Juli 1). </w:t>
              </w:r>
              <w:r>
                <w:rPr>
                  <w:i/>
                  <w:iCs/>
                  <w:noProof/>
                </w:rPr>
                <w:t>Richtlijn Financieel Rating Systeem categorie indeling.</w:t>
              </w:r>
              <w:r>
                <w:rPr>
                  <w:noProof/>
                </w:rPr>
                <w:t xml:space="preserve"> Opgehaald van KNVB: http://www.knvb.nl/watdoenwe/organiseren/licentiezaken</w:t>
              </w:r>
            </w:p>
            <w:p w:rsidR="00062BB9" w:rsidRDefault="00062BB9" w:rsidP="00062BB9">
              <w:pPr>
                <w:pStyle w:val="Bibliography"/>
                <w:ind w:left="720" w:hanging="720"/>
                <w:rPr>
                  <w:noProof/>
                </w:rPr>
              </w:pPr>
              <w:r>
                <w:rPr>
                  <w:noProof/>
                </w:rPr>
                <w:t xml:space="preserve">Richtlijn Licensie-eisen. (2015, Januari 1). </w:t>
              </w:r>
              <w:r>
                <w:rPr>
                  <w:i/>
                  <w:iCs/>
                  <w:noProof/>
                </w:rPr>
                <w:t>Richtlijn Licensie-eisen.</w:t>
              </w:r>
              <w:r>
                <w:rPr>
                  <w:noProof/>
                </w:rPr>
                <w:t xml:space="preserve"> Opgehaald van KNVB: http://www.knvb.nl/watdoenwe/organiseren/licentiezaken</w:t>
              </w:r>
            </w:p>
            <w:p w:rsidR="00062BB9" w:rsidRDefault="00062BB9" w:rsidP="00062BB9">
              <w:pPr>
                <w:pStyle w:val="Bibliography"/>
                <w:ind w:left="720" w:hanging="720"/>
                <w:rPr>
                  <w:noProof/>
                </w:rPr>
              </w:pPr>
              <w:r>
                <w:rPr>
                  <w:noProof/>
                </w:rPr>
                <w:t xml:space="preserve">Richtlijn Plan van Aanpak. (2014, Juli 1). </w:t>
              </w:r>
              <w:r>
                <w:rPr>
                  <w:i/>
                  <w:iCs/>
                  <w:noProof/>
                </w:rPr>
                <w:t>Richtlijn Opmaak Plan van Aanpak.</w:t>
              </w:r>
              <w:r>
                <w:rPr>
                  <w:noProof/>
                </w:rPr>
                <w:t xml:space="preserve"> Opgehaald van KNVB: http://www.knvb.nl/watdoenwe/organiseren/licentiezaken</w:t>
              </w:r>
            </w:p>
            <w:p w:rsidR="00062BB9" w:rsidRDefault="00062BB9" w:rsidP="00062BB9">
              <w:pPr>
                <w:pStyle w:val="Bibliography"/>
                <w:ind w:left="720" w:hanging="720"/>
                <w:rPr>
                  <w:noProof/>
                </w:rPr>
              </w:pPr>
              <w:r>
                <w:rPr>
                  <w:noProof/>
                </w:rPr>
                <w:t xml:space="preserve">Richtlijn verslaggeving KNVB modelstaten. (2014, Juli 1). </w:t>
              </w:r>
              <w:r>
                <w:rPr>
                  <w:i/>
                  <w:iCs/>
                  <w:noProof/>
                </w:rPr>
                <w:t>Richtlijn verslaggeving KNVB modelstaten.</w:t>
              </w:r>
              <w:r>
                <w:rPr>
                  <w:noProof/>
                </w:rPr>
                <w:t xml:space="preserve"> Opgehaald van KNVB: http://www.knvb.nl/watdoenwe/organiseren/licentiezaken</w:t>
              </w:r>
            </w:p>
            <w:p w:rsidR="00062BB9" w:rsidRDefault="00062BB9" w:rsidP="00062BB9">
              <w:pPr>
                <w:pStyle w:val="Bibliography"/>
                <w:ind w:left="720" w:hanging="720"/>
                <w:rPr>
                  <w:noProof/>
                </w:rPr>
              </w:pPr>
              <w:r>
                <w:rPr>
                  <w:noProof/>
                </w:rPr>
                <w:t xml:space="preserve">Staatsblad. (2005). </w:t>
              </w:r>
              <w:r>
                <w:rPr>
                  <w:i/>
                  <w:iCs/>
                  <w:noProof/>
                </w:rPr>
                <w:t>Staatsblad van het Koninkrijk der Nederlanden.</w:t>
              </w:r>
              <w:r>
                <w:rPr>
                  <w:noProof/>
                </w:rPr>
                <w:t xml:space="preserve"> Opgehaald van European Commission: http://ec.europa.eu/internal_market/finances/docs/actionplan/transposition/netherlands/d8.1-nl.pdf</w:t>
              </w:r>
            </w:p>
            <w:p w:rsidR="00062BB9" w:rsidRDefault="00062BB9" w:rsidP="00062BB9">
              <w:pPr>
                <w:pStyle w:val="Bibliography"/>
                <w:ind w:left="720" w:hanging="720"/>
                <w:rPr>
                  <w:noProof/>
                </w:rPr>
              </w:pPr>
              <w:r>
                <w:rPr>
                  <w:noProof/>
                </w:rPr>
                <w:t xml:space="preserve">Stichting FC Twente '65 B.V. (2014). </w:t>
              </w:r>
              <w:r>
                <w:rPr>
                  <w:i/>
                  <w:iCs/>
                  <w:noProof/>
                </w:rPr>
                <w:t>Jaarrekening FC Twente 2012/2013.</w:t>
              </w:r>
              <w:r>
                <w:rPr>
                  <w:noProof/>
                </w:rPr>
                <w:t xml:space="preserve"> Enschede: Stichting FC Twente '65 B.V.</w:t>
              </w:r>
            </w:p>
            <w:p w:rsidR="00062BB9" w:rsidRDefault="00062BB9" w:rsidP="00062BB9">
              <w:pPr>
                <w:pStyle w:val="Bibliography"/>
                <w:ind w:left="720" w:hanging="720"/>
                <w:rPr>
                  <w:noProof/>
                </w:rPr>
              </w:pPr>
              <w:r>
                <w:rPr>
                  <w:noProof/>
                </w:rPr>
                <w:t xml:space="preserve">Stichting FC Twente '65 B.V. (2015). </w:t>
              </w:r>
              <w:r>
                <w:rPr>
                  <w:i/>
                  <w:iCs/>
                  <w:noProof/>
                </w:rPr>
                <w:t>Herziende jaarrekening FC Twente 2013/2014.</w:t>
              </w:r>
              <w:r>
                <w:rPr>
                  <w:noProof/>
                </w:rPr>
                <w:t xml:space="preserve"> Enschede: Stichting FC Twente '65 B.V.</w:t>
              </w:r>
            </w:p>
            <w:p w:rsidR="00062BB9" w:rsidRDefault="00062BB9" w:rsidP="00062BB9">
              <w:pPr>
                <w:pStyle w:val="Bibliography"/>
                <w:ind w:left="720" w:hanging="720"/>
                <w:rPr>
                  <w:noProof/>
                </w:rPr>
              </w:pPr>
              <w:r>
                <w:rPr>
                  <w:noProof/>
                </w:rPr>
                <w:t xml:space="preserve">Stichting FC Twente '65 B.V. (2015). </w:t>
              </w:r>
              <w:r>
                <w:rPr>
                  <w:i/>
                  <w:iCs/>
                  <w:noProof/>
                </w:rPr>
                <w:t>Jaarrekening FC Twente 2013/2014.</w:t>
              </w:r>
              <w:r>
                <w:rPr>
                  <w:noProof/>
                </w:rPr>
                <w:t xml:space="preserve"> Enschede: Stichting FC Twente '65 B.V.</w:t>
              </w:r>
            </w:p>
            <w:p w:rsidR="00062BB9" w:rsidRDefault="00062BB9" w:rsidP="00062BB9">
              <w:pPr>
                <w:pStyle w:val="Bibliography"/>
                <w:ind w:left="720" w:hanging="720"/>
                <w:rPr>
                  <w:noProof/>
                </w:rPr>
              </w:pPr>
              <w:r>
                <w:rPr>
                  <w:noProof/>
                </w:rPr>
                <w:t xml:space="preserve">Tubantia. (2015, April 10). </w:t>
              </w:r>
              <w:r>
                <w:rPr>
                  <w:i/>
                  <w:iCs/>
                  <w:noProof/>
                </w:rPr>
                <w:t>FC Twente: ontslag voor 18 werknemers</w:t>
              </w:r>
              <w:r>
                <w:rPr>
                  <w:noProof/>
                </w:rPr>
                <w:t>. Opgehaald van Tubantia: http://www.tubantia.nl/sport/fc-twente/fc-twente-ontslag-voor-18-medewerkers-1.4850604</w:t>
              </w:r>
            </w:p>
            <w:p w:rsidR="00062BB9" w:rsidRDefault="00062BB9" w:rsidP="00062BB9">
              <w:pPr>
                <w:pStyle w:val="Bibliography"/>
                <w:ind w:left="720" w:hanging="720"/>
                <w:rPr>
                  <w:noProof/>
                </w:rPr>
              </w:pPr>
              <w:r>
                <w:rPr>
                  <w:noProof/>
                </w:rPr>
                <w:t xml:space="preserve">van Cauwenberghe, P., &amp; de Beelde, I. (2007). </w:t>
              </w:r>
              <w:r w:rsidRPr="00F229D6">
                <w:rPr>
                  <w:noProof/>
                  <w:lang w:val="en-GB"/>
                </w:rPr>
                <w:t xml:space="preserve">On the IASB Comprehensive Income Project: An Analysis of the Case for Fual Income Display. </w:t>
              </w:r>
              <w:r>
                <w:rPr>
                  <w:i/>
                  <w:iCs/>
                  <w:noProof/>
                </w:rPr>
                <w:t>Abacus</w:t>
              </w:r>
              <w:r>
                <w:rPr>
                  <w:noProof/>
                </w:rPr>
                <w:t>, 1-26.</w:t>
              </w:r>
            </w:p>
            <w:p w:rsidR="00062BB9" w:rsidRDefault="00062BB9" w:rsidP="00062BB9">
              <w:pPr>
                <w:pStyle w:val="Bibliography"/>
                <w:ind w:left="720" w:hanging="720"/>
                <w:rPr>
                  <w:noProof/>
                </w:rPr>
              </w:pPr>
              <w:r>
                <w:rPr>
                  <w:noProof/>
                </w:rPr>
                <w:lastRenderedPageBreak/>
                <w:t xml:space="preserve">Veenbrink, B. (2009, Oktober 5). </w:t>
              </w:r>
              <w:r>
                <w:rPr>
                  <w:i/>
                  <w:iCs/>
                  <w:noProof/>
                </w:rPr>
                <w:t>Project Uitbreiding Grolsch Veste.</w:t>
              </w:r>
              <w:r>
                <w:rPr>
                  <w:noProof/>
                </w:rPr>
                <w:t xml:space="preserve"> Opgehaald van Stadium Consultancy: http://www.stadiumconsultancy.com/documents/ProjectuitbreidingGrolschVeste.pdf</w:t>
              </w:r>
            </w:p>
            <w:p w:rsidR="00062BB9" w:rsidRDefault="00062BB9" w:rsidP="00062BB9">
              <w:pPr>
                <w:pStyle w:val="Bibliography"/>
                <w:ind w:left="720" w:hanging="720"/>
                <w:rPr>
                  <w:noProof/>
                </w:rPr>
              </w:pPr>
              <w:r>
                <w:rPr>
                  <w:noProof/>
                </w:rPr>
                <w:t xml:space="preserve">Vergoossen, R. (2004). Bijzondere waardevermindering van vaste activa in de regelgeving. </w:t>
              </w:r>
              <w:r>
                <w:rPr>
                  <w:i/>
                  <w:iCs/>
                  <w:noProof/>
                </w:rPr>
                <w:t>MAB</w:t>
              </w:r>
              <w:r>
                <w:rPr>
                  <w:noProof/>
                </w:rPr>
                <w:t>, 261-268.</w:t>
              </w:r>
            </w:p>
            <w:p w:rsidR="00062BB9" w:rsidRDefault="00062BB9" w:rsidP="00062BB9">
              <w:pPr>
                <w:pStyle w:val="Bibliography"/>
                <w:ind w:left="720" w:hanging="720"/>
                <w:rPr>
                  <w:noProof/>
                </w:rPr>
              </w:pPr>
              <w:r>
                <w:rPr>
                  <w:noProof/>
                </w:rPr>
                <w:t xml:space="preserve">Volkskrant. (2015, April 10). </w:t>
              </w:r>
              <w:r>
                <w:rPr>
                  <w:i/>
                  <w:iCs/>
                  <w:noProof/>
                </w:rPr>
                <w:t>FC Twente krijgt opnieuw drie punten in mindering</w:t>
              </w:r>
              <w:r>
                <w:rPr>
                  <w:noProof/>
                </w:rPr>
                <w:t>. Opgehaald van Volkskrant: http://www.volkskrant.nl/dossier-eredivisie/fc-twente-krijgt-opnieuw-drie-punten-in-mindering~a3948262/</w:t>
              </w:r>
            </w:p>
            <w:p w:rsidR="00062BB9" w:rsidRPr="00F229D6" w:rsidRDefault="00062BB9" w:rsidP="00062BB9">
              <w:pPr>
                <w:pStyle w:val="Bibliography"/>
                <w:ind w:left="720" w:hanging="720"/>
                <w:rPr>
                  <w:noProof/>
                  <w:lang w:val="en-GB"/>
                </w:rPr>
              </w:pPr>
              <w:r w:rsidRPr="00F229D6">
                <w:rPr>
                  <w:noProof/>
                  <w:lang w:val="en-GB"/>
                </w:rPr>
                <w:t xml:space="preserve">Watts, R. (2003). Conservatism in accouinting, Part 1: Explanations and implications. </w:t>
              </w:r>
              <w:r w:rsidRPr="00F229D6">
                <w:rPr>
                  <w:i/>
                  <w:iCs/>
                  <w:noProof/>
                  <w:lang w:val="en-GB"/>
                </w:rPr>
                <w:t>Accounting Horizons 17</w:t>
              </w:r>
              <w:r w:rsidRPr="00F229D6">
                <w:rPr>
                  <w:noProof/>
                  <w:lang w:val="en-GB"/>
                </w:rPr>
                <w:t>, 207-221.</w:t>
              </w:r>
            </w:p>
            <w:p w:rsidR="00062BB9" w:rsidRPr="00F229D6" w:rsidRDefault="00062BB9" w:rsidP="00062BB9">
              <w:pPr>
                <w:pStyle w:val="Bibliography"/>
                <w:ind w:left="720" w:hanging="720"/>
                <w:rPr>
                  <w:noProof/>
                  <w:lang w:val="en-GB"/>
                </w:rPr>
              </w:pPr>
              <w:r w:rsidRPr="00F229D6">
                <w:rPr>
                  <w:noProof/>
                  <w:lang w:val="en-GB"/>
                </w:rPr>
                <w:t xml:space="preserve">Wilson, R. C. (2014, Februari 14). </w:t>
              </w:r>
              <w:r w:rsidRPr="00F229D6">
                <w:rPr>
                  <w:i/>
                  <w:iCs/>
                  <w:noProof/>
                  <w:lang w:val="en-GB"/>
                </w:rPr>
                <w:t>Industry practice</w:t>
              </w:r>
              <w:r w:rsidRPr="00F229D6">
                <w:rPr>
                  <w:noProof/>
                  <w:lang w:val="en-GB"/>
                </w:rPr>
                <w:t>. Opgehaald van Finance Training Society: http://financetraining.com/industry-practices-definition/</w:t>
              </w:r>
            </w:p>
            <w:p w:rsidR="00062BB9" w:rsidRDefault="00062BB9" w:rsidP="00062BB9">
              <w:pPr>
                <w:pStyle w:val="Bibliography"/>
                <w:ind w:left="720" w:hanging="720"/>
                <w:rPr>
                  <w:noProof/>
                </w:rPr>
              </w:pPr>
              <w:r w:rsidRPr="00F229D6">
                <w:rPr>
                  <w:noProof/>
                  <w:lang w:val="en-GB"/>
                </w:rPr>
                <w:t xml:space="preserve">Zhang, J. (2008). The contracting benefits of accounting conservatism to lenders and borrowers. </w:t>
              </w:r>
              <w:r>
                <w:rPr>
                  <w:i/>
                  <w:iCs/>
                  <w:noProof/>
                </w:rPr>
                <w:t>Journal of Accounting and Economics 45</w:t>
              </w:r>
              <w:r>
                <w:rPr>
                  <w:noProof/>
                </w:rPr>
                <w:t>, 27-54.</w:t>
              </w:r>
            </w:p>
            <w:p w:rsidR="005031F4" w:rsidRPr="00891775" w:rsidRDefault="000C5AB6" w:rsidP="00062BB9">
              <w:r w:rsidRPr="007657B6">
                <w:rPr>
                  <w:b/>
                  <w:bCs/>
                </w:rPr>
                <w:fldChar w:fldCharType="end"/>
              </w:r>
            </w:p>
          </w:sdtContent>
        </w:sdt>
      </w:sdtContent>
    </w:sdt>
    <w:sectPr w:rsidR="005031F4" w:rsidRPr="00891775" w:rsidSect="000C5AB6">
      <w:headerReference w:type="default" r:id="rId36"/>
      <w:footerReference w:type="default" r:id="rId3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325E" w:rsidRDefault="002F325E" w:rsidP="00D47D18">
      <w:pPr>
        <w:spacing w:after="0" w:line="240" w:lineRule="auto"/>
      </w:pPr>
      <w:r>
        <w:separator/>
      </w:r>
    </w:p>
  </w:endnote>
  <w:endnote w:type="continuationSeparator" w:id="0">
    <w:p w:rsidR="002F325E" w:rsidRDefault="002F325E" w:rsidP="00D47D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6980954"/>
      <w:docPartObj>
        <w:docPartGallery w:val="Page Numbers (Bottom of Page)"/>
        <w:docPartUnique/>
      </w:docPartObj>
    </w:sdtPr>
    <w:sdtContent>
      <w:p w:rsidR="00776867" w:rsidRDefault="000C5AB6">
        <w:pPr>
          <w:pStyle w:val="Footer"/>
          <w:jc w:val="right"/>
        </w:pPr>
        <w:r>
          <w:fldChar w:fldCharType="begin"/>
        </w:r>
        <w:r w:rsidR="00776867">
          <w:instrText>PAGE   \* MERGEFORMAT</w:instrText>
        </w:r>
        <w:r>
          <w:fldChar w:fldCharType="separate"/>
        </w:r>
        <w:r w:rsidR="00FF0705">
          <w:rPr>
            <w:noProof/>
          </w:rPr>
          <w:t>84</w:t>
        </w:r>
        <w:r>
          <w:fldChar w:fldCharType="end"/>
        </w:r>
      </w:p>
    </w:sdtContent>
  </w:sdt>
  <w:p w:rsidR="00776867" w:rsidRDefault="007768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325E" w:rsidRDefault="002F325E" w:rsidP="00D47D18">
      <w:pPr>
        <w:spacing w:after="0" w:line="240" w:lineRule="auto"/>
      </w:pPr>
      <w:r>
        <w:separator/>
      </w:r>
    </w:p>
  </w:footnote>
  <w:footnote w:type="continuationSeparator" w:id="0">
    <w:p w:rsidR="002F325E" w:rsidRDefault="002F325E" w:rsidP="00D47D18">
      <w:pPr>
        <w:spacing w:after="0" w:line="240" w:lineRule="auto"/>
      </w:pPr>
      <w:r>
        <w:continuationSeparator/>
      </w:r>
    </w:p>
  </w:footnote>
  <w:footnote w:id="1">
    <w:p w:rsidR="00776867" w:rsidRDefault="00776867" w:rsidP="00AD5B19">
      <w:pPr>
        <w:pStyle w:val="FootnoteText"/>
      </w:pPr>
      <w:r>
        <w:rPr>
          <w:rStyle w:val="FootnoteReference"/>
        </w:rPr>
        <w:footnoteRef/>
      </w:r>
      <w:r>
        <w:t xml:space="preserve"> Elk jaar </w:t>
      </w:r>
      <w:proofErr w:type="gramStart"/>
      <w:r>
        <w:t>zijn</w:t>
      </w:r>
      <w:proofErr w:type="gramEnd"/>
      <w:r>
        <w:t xml:space="preserve"> er drie meetmomenten voor de categorie-indeling. Dat betekent dat het plan van aanpak binnen drie jaar de club naar categorie 2 of 3 moet brengen.</w:t>
      </w:r>
    </w:p>
  </w:footnote>
  <w:footnote w:id="2">
    <w:p w:rsidR="00776867" w:rsidRDefault="00776867" w:rsidP="00247AA1">
      <w:pPr>
        <w:pStyle w:val="FootnoteText"/>
      </w:pPr>
      <w:r>
        <w:rPr>
          <w:rStyle w:val="FootnoteReference"/>
        </w:rPr>
        <w:footnoteRef/>
      </w:r>
      <w:r>
        <w:t xml:space="preserve"> Langer dan één verslaggevingsperiode (IAS 16.6).</w:t>
      </w:r>
    </w:p>
  </w:footnote>
  <w:footnote w:id="3">
    <w:p w:rsidR="00776867" w:rsidRDefault="00776867" w:rsidP="00D47D18">
      <w:pPr>
        <w:pStyle w:val="FootnoteText"/>
      </w:pPr>
      <w:r>
        <w:rPr>
          <w:rStyle w:val="FootnoteReference"/>
        </w:rPr>
        <w:footnoteRef/>
      </w:r>
      <w:r>
        <w:t xml:space="preserve"> Langer dan één verslaggevingsperiode (IAS 16.6).</w:t>
      </w:r>
    </w:p>
  </w:footnote>
  <w:footnote w:id="4">
    <w:p w:rsidR="00776867" w:rsidRPr="00AB6C7E" w:rsidRDefault="00776867">
      <w:pPr>
        <w:pStyle w:val="FootnoteText"/>
        <w:rPr>
          <w:lang w:val="en-GB"/>
        </w:rPr>
      </w:pPr>
      <w:r>
        <w:rPr>
          <w:rStyle w:val="FootnoteReference"/>
        </w:rPr>
        <w:footnoteRef/>
      </w:r>
      <w:r w:rsidRPr="00AB6C7E">
        <w:rPr>
          <w:lang w:val="en-GB"/>
        </w:rPr>
        <w:t xml:space="preserve"> </w:t>
      </w:r>
      <w:proofErr w:type="gramStart"/>
      <w:r w:rsidRPr="00AB6C7E">
        <w:rPr>
          <w:lang w:val="en-GB"/>
        </w:rPr>
        <w:t>IAS 16.37.</w:t>
      </w:r>
      <w:proofErr w:type="gramEnd"/>
    </w:p>
  </w:footnote>
  <w:footnote w:id="5">
    <w:p w:rsidR="00776867" w:rsidRPr="00AB6C7E" w:rsidRDefault="00776867">
      <w:pPr>
        <w:pStyle w:val="FootnoteText"/>
        <w:rPr>
          <w:lang w:val="en-GB"/>
        </w:rPr>
      </w:pPr>
      <w:r>
        <w:rPr>
          <w:rStyle w:val="FootnoteReference"/>
        </w:rPr>
        <w:footnoteRef/>
      </w:r>
      <w:r w:rsidRPr="00AB6C7E">
        <w:rPr>
          <w:lang w:val="en-GB"/>
        </w:rPr>
        <w:t xml:space="preserve"> </w:t>
      </w:r>
      <w:proofErr w:type="gramStart"/>
      <w:r w:rsidRPr="00AB6C7E">
        <w:rPr>
          <w:lang w:val="en-GB"/>
        </w:rPr>
        <w:t>IAS 16.10-14.</w:t>
      </w:r>
      <w:proofErr w:type="gramEnd"/>
    </w:p>
  </w:footnote>
  <w:footnote w:id="6">
    <w:p w:rsidR="00776867" w:rsidRPr="00AB6C7E" w:rsidRDefault="00776867">
      <w:pPr>
        <w:pStyle w:val="FootnoteText"/>
        <w:rPr>
          <w:lang w:val="en-GB"/>
        </w:rPr>
      </w:pPr>
      <w:r>
        <w:rPr>
          <w:rStyle w:val="FootnoteReference"/>
        </w:rPr>
        <w:footnoteRef/>
      </w:r>
      <w:r w:rsidRPr="00AB6C7E">
        <w:rPr>
          <w:lang w:val="en-GB"/>
        </w:rPr>
        <w:t xml:space="preserve"> </w:t>
      </w:r>
      <w:proofErr w:type="gramStart"/>
      <w:r w:rsidRPr="00AB6C7E">
        <w:rPr>
          <w:lang w:val="en-GB"/>
        </w:rPr>
        <w:t>IAS 16.12.</w:t>
      </w:r>
      <w:proofErr w:type="gramEnd"/>
    </w:p>
  </w:footnote>
  <w:footnote w:id="7">
    <w:p w:rsidR="00776867" w:rsidRPr="00AB6C7E" w:rsidRDefault="00776867">
      <w:pPr>
        <w:pStyle w:val="FootnoteText"/>
        <w:rPr>
          <w:lang w:val="en-GB"/>
        </w:rPr>
      </w:pPr>
      <w:r>
        <w:rPr>
          <w:rStyle w:val="FootnoteReference"/>
        </w:rPr>
        <w:footnoteRef/>
      </w:r>
      <w:r w:rsidRPr="00AB6C7E">
        <w:rPr>
          <w:lang w:val="en-GB"/>
        </w:rPr>
        <w:t xml:space="preserve"> </w:t>
      </w:r>
      <w:proofErr w:type="gramStart"/>
      <w:r w:rsidRPr="00AB6C7E">
        <w:rPr>
          <w:lang w:val="en-GB"/>
        </w:rPr>
        <w:t>IAS 16.15.</w:t>
      </w:r>
      <w:proofErr w:type="gramEnd"/>
    </w:p>
  </w:footnote>
  <w:footnote w:id="8">
    <w:p w:rsidR="00776867" w:rsidRPr="00AB6C7E" w:rsidRDefault="00776867">
      <w:pPr>
        <w:pStyle w:val="FootnoteText"/>
        <w:rPr>
          <w:lang w:val="en-GB"/>
        </w:rPr>
      </w:pPr>
      <w:r>
        <w:rPr>
          <w:rStyle w:val="FootnoteReference"/>
        </w:rPr>
        <w:footnoteRef/>
      </w:r>
      <w:r w:rsidRPr="00AB6C7E">
        <w:rPr>
          <w:lang w:val="en-GB"/>
        </w:rPr>
        <w:t xml:space="preserve"> </w:t>
      </w:r>
      <w:proofErr w:type="gramStart"/>
      <w:r w:rsidRPr="00AB6C7E">
        <w:rPr>
          <w:lang w:val="en-GB"/>
        </w:rPr>
        <w:t>IAS 16.16.</w:t>
      </w:r>
      <w:proofErr w:type="gramEnd"/>
    </w:p>
  </w:footnote>
  <w:footnote w:id="9">
    <w:p w:rsidR="00776867" w:rsidRDefault="00776867">
      <w:pPr>
        <w:pStyle w:val="FootnoteText"/>
      </w:pPr>
      <w:r>
        <w:rPr>
          <w:rStyle w:val="FootnoteReference"/>
        </w:rPr>
        <w:footnoteRef/>
      </w:r>
      <w:r>
        <w:t xml:space="preserve"> De RJ verplicht deze kosten niet op te nemen, omdat de RJ deze verplichting ook kan verwerken onder herstelkosten.</w:t>
      </w:r>
    </w:p>
  </w:footnote>
  <w:footnote w:id="10">
    <w:p w:rsidR="00776867" w:rsidRDefault="00776867">
      <w:pPr>
        <w:pStyle w:val="FootnoteText"/>
      </w:pPr>
      <w:r>
        <w:rPr>
          <w:rStyle w:val="FootnoteReference"/>
        </w:rPr>
        <w:footnoteRef/>
      </w:r>
      <w:r>
        <w:t xml:space="preserve"> IAS 16.20 en 16.22.</w:t>
      </w:r>
    </w:p>
  </w:footnote>
  <w:footnote w:id="11">
    <w:p w:rsidR="00776867" w:rsidRDefault="00776867">
      <w:pPr>
        <w:pStyle w:val="FootnoteText"/>
      </w:pPr>
      <w:r>
        <w:rPr>
          <w:rStyle w:val="FootnoteReference"/>
        </w:rPr>
        <w:footnoteRef/>
      </w:r>
      <w:r>
        <w:t xml:space="preserve"> Voor de volledigheid dient opgemerkt te worden dat het actief op het eerste moment van waardering/verwerking tegen verkrijgingsprijs of vervaardigingsprijs dient te worden opgenomen (IAS 16.15, RJ 212.301).</w:t>
      </w:r>
    </w:p>
  </w:footnote>
  <w:footnote w:id="12">
    <w:p w:rsidR="00776867" w:rsidRDefault="00776867">
      <w:pPr>
        <w:pStyle w:val="FootnoteText"/>
      </w:pPr>
      <w:r>
        <w:rPr>
          <w:rStyle w:val="FootnoteReference"/>
        </w:rPr>
        <w:footnoteRef/>
      </w:r>
      <w:r>
        <w:t xml:space="preserve"> IAS 16.29.</w:t>
      </w:r>
    </w:p>
  </w:footnote>
  <w:footnote w:id="13">
    <w:p w:rsidR="00776867" w:rsidRDefault="00776867" w:rsidP="00953626">
      <w:pPr>
        <w:pStyle w:val="FootnoteText"/>
      </w:pPr>
      <w:r>
        <w:rPr>
          <w:rStyle w:val="FootnoteReference"/>
        </w:rPr>
        <w:footnoteRef/>
      </w:r>
      <w:r>
        <w:t xml:space="preserve"> IAS 8.7, RJ 140.202.</w:t>
      </w:r>
    </w:p>
  </w:footnote>
  <w:footnote w:id="14">
    <w:p w:rsidR="00776867" w:rsidRDefault="00776867">
      <w:pPr>
        <w:pStyle w:val="FootnoteText"/>
      </w:pPr>
      <w:r>
        <w:rPr>
          <w:rStyle w:val="FootnoteReference"/>
        </w:rPr>
        <w:footnoteRef/>
      </w:r>
      <w:r>
        <w:t xml:space="preserve"> IAS 1.45 en 8.15, RJ 140.203.</w:t>
      </w:r>
    </w:p>
  </w:footnote>
  <w:footnote w:id="15">
    <w:p w:rsidR="00776867" w:rsidRDefault="00776867">
      <w:pPr>
        <w:pStyle w:val="FootnoteText"/>
      </w:pPr>
      <w:r>
        <w:rPr>
          <w:rStyle w:val="FootnoteReference"/>
        </w:rPr>
        <w:footnoteRef/>
      </w:r>
      <w:r>
        <w:t xml:space="preserve"> IAS 16.36, RJ 212.409.</w:t>
      </w:r>
    </w:p>
  </w:footnote>
  <w:footnote w:id="16">
    <w:p w:rsidR="00776867" w:rsidRDefault="00776867">
      <w:pPr>
        <w:pStyle w:val="FootnoteText"/>
      </w:pPr>
      <w:r>
        <w:rPr>
          <w:rStyle w:val="FootnoteReference"/>
        </w:rPr>
        <w:footnoteRef/>
      </w:r>
      <w:r>
        <w:t xml:space="preserve"> IAS 16.50, RJ 212.417.</w:t>
      </w:r>
    </w:p>
  </w:footnote>
  <w:footnote w:id="17">
    <w:p w:rsidR="00776867" w:rsidRPr="004816E7" w:rsidRDefault="00776867">
      <w:pPr>
        <w:pStyle w:val="FootnoteText"/>
      </w:pPr>
      <w:r>
        <w:rPr>
          <w:rStyle w:val="FootnoteReference"/>
        </w:rPr>
        <w:footnoteRef/>
      </w:r>
      <w:r w:rsidRPr="004816E7">
        <w:t xml:space="preserve"> IAS 16.55, RJ 212.427.</w:t>
      </w:r>
    </w:p>
  </w:footnote>
  <w:footnote w:id="18">
    <w:p w:rsidR="00776867" w:rsidRPr="004816E7" w:rsidRDefault="00776867">
      <w:pPr>
        <w:pStyle w:val="FootnoteText"/>
        <w:rPr>
          <w:lang w:val="en-GB"/>
        </w:rPr>
      </w:pPr>
      <w:r>
        <w:rPr>
          <w:rStyle w:val="FootnoteReference"/>
        </w:rPr>
        <w:footnoteRef/>
      </w:r>
      <w:r w:rsidRPr="004816E7">
        <w:rPr>
          <w:lang w:val="en-GB"/>
        </w:rPr>
        <w:t xml:space="preserve"> IAS 16.48, RJ 212.421.</w:t>
      </w:r>
    </w:p>
  </w:footnote>
  <w:footnote w:id="19">
    <w:p w:rsidR="00776867" w:rsidRPr="00E36BB8" w:rsidRDefault="00776867">
      <w:pPr>
        <w:pStyle w:val="FootnoteText"/>
        <w:rPr>
          <w:lang w:val="en-GB"/>
        </w:rPr>
      </w:pPr>
      <w:r>
        <w:rPr>
          <w:rStyle w:val="FootnoteReference"/>
        </w:rPr>
        <w:footnoteRef/>
      </w:r>
      <w:r w:rsidRPr="00E36BB8">
        <w:rPr>
          <w:lang w:val="en-GB"/>
        </w:rPr>
        <w:t xml:space="preserve"> </w:t>
      </w:r>
      <w:proofErr w:type="gramStart"/>
      <w:r w:rsidRPr="00E36BB8">
        <w:rPr>
          <w:lang w:val="en-GB"/>
        </w:rPr>
        <w:t>IAS 16.53.</w:t>
      </w:r>
      <w:proofErr w:type="gramEnd"/>
    </w:p>
  </w:footnote>
  <w:footnote w:id="20">
    <w:p w:rsidR="00776867" w:rsidRPr="004816E7" w:rsidRDefault="00776867">
      <w:pPr>
        <w:pStyle w:val="FootnoteText"/>
        <w:rPr>
          <w:lang w:val="en-GB"/>
        </w:rPr>
      </w:pPr>
      <w:r>
        <w:rPr>
          <w:rStyle w:val="FootnoteReference"/>
        </w:rPr>
        <w:footnoteRef/>
      </w:r>
      <w:r w:rsidRPr="004816E7">
        <w:rPr>
          <w:lang w:val="en-GB"/>
        </w:rPr>
        <w:t xml:space="preserve"> </w:t>
      </w:r>
      <w:proofErr w:type="gramStart"/>
      <w:r w:rsidRPr="004816E7">
        <w:rPr>
          <w:lang w:val="en-GB"/>
        </w:rPr>
        <w:t>IAS 16.50.</w:t>
      </w:r>
      <w:proofErr w:type="gramEnd"/>
    </w:p>
  </w:footnote>
  <w:footnote w:id="21">
    <w:p w:rsidR="00776867" w:rsidRPr="00C16D4E" w:rsidRDefault="00776867">
      <w:pPr>
        <w:pStyle w:val="FootnoteText"/>
        <w:rPr>
          <w:lang w:val="en-GB"/>
        </w:rPr>
      </w:pPr>
      <w:r>
        <w:rPr>
          <w:rStyle w:val="FootnoteReference"/>
        </w:rPr>
        <w:footnoteRef/>
      </w:r>
      <w:r w:rsidRPr="00C16D4E">
        <w:rPr>
          <w:lang w:val="en-GB"/>
        </w:rPr>
        <w:t xml:space="preserve"> </w:t>
      </w:r>
      <w:proofErr w:type="gramStart"/>
      <w:r w:rsidRPr="00C16D4E">
        <w:rPr>
          <w:lang w:val="en-GB"/>
        </w:rPr>
        <w:t>IAS 16.60.</w:t>
      </w:r>
      <w:proofErr w:type="gramEnd"/>
    </w:p>
  </w:footnote>
  <w:footnote w:id="22">
    <w:p w:rsidR="00776867" w:rsidRDefault="00776867">
      <w:pPr>
        <w:pStyle w:val="FootnoteText"/>
      </w:pPr>
      <w:r>
        <w:rPr>
          <w:rStyle w:val="FootnoteReference"/>
        </w:rPr>
        <w:footnoteRef/>
      </w:r>
      <w:r>
        <w:t xml:space="preserve"> IAS 16.62, RJ 212.425.</w:t>
      </w:r>
    </w:p>
  </w:footnote>
  <w:footnote w:id="23">
    <w:p w:rsidR="00776867" w:rsidRDefault="00776867">
      <w:pPr>
        <w:pStyle w:val="FootnoteText"/>
      </w:pPr>
      <w:r>
        <w:rPr>
          <w:rStyle w:val="FootnoteReference"/>
        </w:rPr>
        <w:footnoteRef/>
      </w:r>
      <w:r>
        <w:t xml:space="preserve"> Voor de voorbeelden in deze tabellen wordt hetzelfde getallenvoorbeeld gebruikt zoals die in tabel 1 is gepresenteerd.</w:t>
      </w:r>
    </w:p>
  </w:footnote>
  <w:footnote w:id="24">
    <w:p w:rsidR="00776867" w:rsidRDefault="00776867">
      <w:pPr>
        <w:pStyle w:val="FootnoteText"/>
      </w:pPr>
      <w:r>
        <w:rPr>
          <w:rStyle w:val="FootnoteReference"/>
        </w:rPr>
        <w:footnoteRef/>
      </w:r>
      <w:r>
        <w:t xml:space="preserve"> IAS 16.6, RJ 940.</w:t>
      </w:r>
    </w:p>
  </w:footnote>
  <w:footnote w:id="25">
    <w:p w:rsidR="00776867" w:rsidRDefault="00776867">
      <w:pPr>
        <w:pStyle w:val="FootnoteText"/>
      </w:pPr>
      <w:r>
        <w:rPr>
          <w:rStyle w:val="FootnoteReference"/>
        </w:rPr>
        <w:footnoteRef/>
      </w:r>
      <w:r>
        <w:t xml:space="preserve"> RJ 212.428.</w:t>
      </w:r>
    </w:p>
  </w:footnote>
  <w:footnote w:id="26">
    <w:p w:rsidR="00776867" w:rsidRPr="004816E7" w:rsidRDefault="00776867">
      <w:pPr>
        <w:pStyle w:val="FootnoteText"/>
      </w:pPr>
      <w:r>
        <w:rPr>
          <w:rStyle w:val="FootnoteReference"/>
        </w:rPr>
        <w:footnoteRef/>
      </w:r>
      <w:r w:rsidRPr="004816E7">
        <w:t xml:space="preserve"> IAS 16.51.</w:t>
      </w:r>
    </w:p>
  </w:footnote>
  <w:footnote w:id="27">
    <w:p w:rsidR="00776867" w:rsidRPr="004816E7" w:rsidRDefault="00776867">
      <w:pPr>
        <w:pStyle w:val="FootnoteText"/>
      </w:pPr>
      <w:r>
        <w:rPr>
          <w:rStyle w:val="FootnoteReference"/>
        </w:rPr>
        <w:footnoteRef/>
      </w:r>
      <w:r w:rsidRPr="004816E7">
        <w:t xml:space="preserve"> IAS 16.54, RJ 212.431.</w:t>
      </w:r>
    </w:p>
  </w:footnote>
  <w:footnote w:id="28">
    <w:p w:rsidR="00776867" w:rsidRPr="004816E7" w:rsidRDefault="00776867">
      <w:pPr>
        <w:pStyle w:val="FootnoteText"/>
      </w:pPr>
      <w:r>
        <w:rPr>
          <w:rStyle w:val="FootnoteReference"/>
        </w:rPr>
        <w:footnoteRef/>
      </w:r>
      <w:r w:rsidRPr="004816E7">
        <w:t xml:space="preserve"> IAS 16.57, RJ 212.432.</w:t>
      </w:r>
    </w:p>
  </w:footnote>
  <w:footnote w:id="29">
    <w:p w:rsidR="00776867" w:rsidRPr="004816E7" w:rsidRDefault="00776867">
      <w:pPr>
        <w:pStyle w:val="FootnoteText"/>
      </w:pPr>
      <w:r>
        <w:rPr>
          <w:rStyle w:val="FootnoteReference"/>
        </w:rPr>
        <w:footnoteRef/>
      </w:r>
      <w:r w:rsidRPr="004816E7">
        <w:t xml:space="preserve"> IAS 16.56, RJ 212.432.</w:t>
      </w:r>
    </w:p>
  </w:footnote>
  <w:footnote w:id="30">
    <w:p w:rsidR="00776867" w:rsidRPr="004816E7" w:rsidRDefault="00776867">
      <w:pPr>
        <w:pStyle w:val="FootnoteText"/>
      </w:pPr>
      <w:r>
        <w:rPr>
          <w:rStyle w:val="FootnoteReference"/>
        </w:rPr>
        <w:footnoteRef/>
      </w:r>
      <w:r w:rsidRPr="004816E7">
        <w:t xml:space="preserve"> RJ 212.433.</w:t>
      </w:r>
    </w:p>
  </w:footnote>
  <w:footnote w:id="31">
    <w:p w:rsidR="00776867" w:rsidRPr="004816E7" w:rsidRDefault="00776867" w:rsidP="002E6F88">
      <w:pPr>
        <w:pStyle w:val="FootnoteText"/>
      </w:pPr>
      <w:r>
        <w:rPr>
          <w:rStyle w:val="FootnoteReference"/>
        </w:rPr>
        <w:footnoteRef/>
      </w:r>
      <w:r w:rsidRPr="004816E7">
        <w:t xml:space="preserve"> IAS 16.43-44.</w:t>
      </w:r>
    </w:p>
  </w:footnote>
  <w:footnote w:id="32">
    <w:p w:rsidR="00776867" w:rsidRPr="004816E7" w:rsidRDefault="00776867">
      <w:pPr>
        <w:pStyle w:val="FootnoteText"/>
      </w:pPr>
      <w:r>
        <w:rPr>
          <w:rStyle w:val="FootnoteReference"/>
        </w:rPr>
        <w:footnoteRef/>
      </w:r>
      <w:r w:rsidRPr="004816E7">
        <w:t xml:space="preserve"> IAS 16.51, RJ 212.248.</w:t>
      </w:r>
    </w:p>
  </w:footnote>
  <w:footnote w:id="33">
    <w:p w:rsidR="00776867" w:rsidRPr="004816E7" w:rsidRDefault="00776867">
      <w:pPr>
        <w:pStyle w:val="FootnoteText"/>
      </w:pPr>
      <w:r>
        <w:rPr>
          <w:rStyle w:val="FootnoteReference"/>
        </w:rPr>
        <w:footnoteRef/>
      </w:r>
      <w:r w:rsidRPr="004816E7">
        <w:t xml:space="preserve"> RJ 212.428.</w:t>
      </w:r>
    </w:p>
  </w:footnote>
  <w:footnote w:id="34">
    <w:p w:rsidR="00776867" w:rsidRPr="004816E7" w:rsidRDefault="00776867">
      <w:pPr>
        <w:pStyle w:val="FootnoteText"/>
      </w:pPr>
      <w:r>
        <w:rPr>
          <w:rStyle w:val="FootnoteReference"/>
        </w:rPr>
        <w:footnoteRef/>
      </w:r>
      <w:r w:rsidRPr="004816E7">
        <w:t xml:space="preserve"> IAS 16.51.</w:t>
      </w:r>
    </w:p>
  </w:footnote>
  <w:footnote w:id="35">
    <w:p w:rsidR="00776867" w:rsidRPr="007D7BF1" w:rsidRDefault="00776867">
      <w:pPr>
        <w:pStyle w:val="FootnoteText"/>
      </w:pPr>
      <w:r>
        <w:rPr>
          <w:rStyle w:val="FootnoteReference"/>
        </w:rPr>
        <w:footnoteRef/>
      </w:r>
      <w:r w:rsidRPr="007D7BF1">
        <w:t xml:space="preserve"> </w:t>
      </w:r>
      <w:r>
        <w:t>Beide begrippen worden nader uitgelegd in paragraaf 1.4 Actuele waarde model onder RJ 212.</w:t>
      </w:r>
    </w:p>
  </w:footnote>
  <w:footnote w:id="36">
    <w:p w:rsidR="00776867" w:rsidRDefault="00776867">
      <w:pPr>
        <w:pStyle w:val="FootnoteText"/>
      </w:pPr>
      <w:r>
        <w:rPr>
          <w:rStyle w:val="FootnoteReference"/>
        </w:rPr>
        <w:footnoteRef/>
      </w:r>
      <w:r>
        <w:t xml:space="preserve"> IAS 36.7-17, RJ 121.2.</w:t>
      </w:r>
    </w:p>
  </w:footnote>
  <w:footnote w:id="37">
    <w:p w:rsidR="00776867" w:rsidRDefault="00776867">
      <w:pPr>
        <w:pStyle w:val="FootnoteText"/>
      </w:pPr>
      <w:r>
        <w:rPr>
          <w:rStyle w:val="FootnoteReference"/>
        </w:rPr>
        <w:footnoteRef/>
      </w:r>
      <w:r>
        <w:t xml:space="preserve"> IAS 36.18-57, RJ 121.3.</w:t>
      </w:r>
    </w:p>
  </w:footnote>
  <w:footnote w:id="38">
    <w:p w:rsidR="00776867" w:rsidRDefault="00776867">
      <w:pPr>
        <w:pStyle w:val="FootnoteText"/>
      </w:pPr>
      <w:r>
        <w:rPr>
          <w:rStyle w:val="FootnoteReference"/>
        </w:rPr>
        <w:footnoteRef/>
      </w:r>
      <w:r>
        <w:t xml:space="preserve"> IAS 36.58-64, RJ 121.4.</w:t>
      </w:r>
    </w:p>
  </w:footnote>
  <w:footnote w:id="39">
    <w:p w:rsidR="00776867" w:rsidRDefault="00776867">
      <w:pPr>
        <w:pStyle w:val="FootnoteText"/>
      </w:pPr>
      <w:r>
        <w:rPr>
          <w:rStyle w:val="FootnoteReference"/>
        </w:rPr>
        <w:footnoteRef/>
      </w:r>
      <w:r>
        <w:t xml:space="preserve"> IAS 36.759, RJ 121.401.</w:t>
      </w:r>
    </w:p>
  </w:footnote>
  <w:footnote w:id="40">
    <w:p w:rsidR="00776867" w:rsidRDefault="00776867">
      <w:pPr>
        <w:pStyle w:val="FootnoteText"/>
      </w:pPr>
      <w:r>
        <w:rPr>
          <w:rStyle w:val="FootnoteReference"/>
        </w:rPr>
        <w:footnoteRef/>
      </w:r>
      <w:r>
        <w:t xml:space="preserve"> Dit geschiet te gebeuren in overeenstemming met artikel 2:390 lid 3 BW (IAS 36.60, RJ 121.402).</w:t>
      </w:r>
    </w:p>
  </w:footnote>
  <w:footnote w:id="41">
    <w:p w:rsidR="00776867" w:rsidRDefault="00776867">
      <w:pPr>
        <w:pStyle w:val="FootnoteText"/>
      </w:pPr>
      <w:r>
        <w:rPr>
          <w:rStyle w:val="FootnoteReference"/>
        </w:rPr>
        <w:footnoteRef/>
      </w:r>
      <w:r>
        <w:t xml:space="preserve"> IAS 16.39, RJ 212.412.</w:t>
      </w:r>
    </w:p>
  </w:footnote>
  <w:footnote w:id="42">
    <w:p w:rsidR="00776867" w:rsidRDefault="00776867">
      <w:pPr>
        <w:pStyle w:val="FootnoteText"/>
      </w:pPr>
      <w:r>
        <w:rPr>
          <w:rStyle w:val="FootnoteReference"/>
        </w:rPr>
        <w:footnoteRef/>
      </w:r>
      <w:r>
        <w:t xml:space="preserve"> IAS 16.40, RJ 212.413 en RJ 240.227.</w:t>
      </w:r>
    </w:p>
  </w:footnote>
  <w:footnote w:id="43">
    <w:p w:rsidR="00776867" w:rsidRDefault="00776867">
      <w:pPr>
        <w:pStyle w:val="FootnoteText"/>
      </w:pPr>
      <w:r>
        <w:rPr>
          <w:rStyle w:val="FootnoteReference"/>
        </w:rPr>
        <w:footnoteRef/>
      </w:r>
      <w:r>
        <w:t xml:space="preserve"> Rekening houdend met cumulatieve afschrijvingen en –waardeverminderingen.</w:t>
      </w:r>
    </w:p>
  </w:footnote>
  <w:footnote w:id="44">
    <w:p w:rsidR="00776867" w:rsidRDefault="00776867">
      <w:pPr>
        <w:pStyle w:val="FootnoteText"/>
      </w:pPr>
      <w:r>
        <w:rPr>
          <w:rStyle w:val="FootnoteReference"/>
        </w:rPr>
        <w:footnoteRef/>
      </w:r>
      <w:r>
        <w:t xml:space="preserve"> RJ 212.414</w:t>
      </w:r>
    </w:p>
  </w:footnote>
  <w:footnote w:id="45">
    <w:p w:rsidR="00776867" w:rsidRDefault="00776867">
      <w:pPr>
        <w:pStyle w:val="FootnoteText"/>
      </w:pPr>
      <w:r>
        <w:rPr>
          <w:rStyle w:val="FootnoteReference"/>
        </w:rPr>
        <w:footnoteRef/>
      </w:r>
      <w:r>
        <w:t xml:space="preserve"> De relatie tussen een opdrachtgever en opdrachtnemer waarbij de opdrachtnemer niet alleen de belangen van de opdrachtgever nastreeft bij het uitvoeren van taken voor de opdrachtgever. Doordat er sprake is van informatieasymmetrie is de opdrachtnemer in staat om acties te ondernemen in eigen voordeel of zelfs tegen het belang in van de opdrachtgever </w:t>
      </w:r>
      <w:sdt>
        <w:sdtPr>
          <w:id w:val="-1560170105"/>
          <w:citation/>
        </w:sdtPr>
        <w:sdtContent>
          <w:r w:rsidR="000C5AB6">
            <w:fldChar w:fldCharType="begin"/>
          </w:r>
          <w:r>
            <w:instrText xml:space="preserve"> CITATION Beb03 \l 1043 </w:instrText>
          </w:r>
          <w:r w:rsidR="000C5AB6">
            <w:fldChar w:fldCharType="separate"/>
          </w:r>
          <w:r w:rsidR="00062BB9">
            <w:rPr>
              <w:noProof/>
            </w:rPr>
            <w:t>(Bebchuk &amp; Fried, 2003)</w:t>
          </w:r>
          <w:r w:rsidR="000C5AB6">
            <w:fldChar w:fldCharType="end"/>
          </w:r>
        </w:sdtContent>
      </w:sdt>
      <w:r>
        <w:t>.</w:t>
      </w:r>
    </w:p>
  </w:footnote>
  <w:footnote w:id="46">
    <w:p w:rsidR="00776867" w:rsidRPr="001131D7" w:rsidRDefault="00776867" w:rsidP="00734147">
      <w:pPr>
        <w:pStyle w:val="FootnoteText"/>
      </w:pPr>
      <w:r>
        <w:rPr>
          <w:rStyle w:val="FootnoteReference"/>
        </w:rPr>
        <w:footnoteRef/>
      </w:r>
      <w:r>
        <w:t xml:space="preserve"> Met </w:t>
      </w:r>
      <w:r>
        <w:rPr>
          <w:i/>
        </w:rPr>
        <w:t xml:space="preserve">professional </w:t>
      </w:r>
      <w:proofErr w:type="spellStart"/>
      <w:r>
        <w:rPr>
          <w:i/>
        </w:rPr>
        <w:t>judgement</w:t>
      </w:r>
      <w:proofErr w:type="spellEnd"/>
      <w:r>
        <w:t xml:space="preserve"> wordt het proces van een eigen evaluatie of mening vormen bedoeld.</w:t>
      </w:r>
    </w:p>
  </w:footnote>
  <w:footnote w:id="47">
    <w:p w:rsidR="00776867" w:rsidRPr="00AC2999" w:rsidRDefault="00776867">
      <w:pPr>
        <w:pStyle w:val="FootnoteText"/>
      </w:pPr>
      <w:r>
        <w:rPr>
          <w:rStyle w:val="FootnoteReference"/>
        </w:rPr>
        <w:footnoteRef/>
      </w:r>
      <w:r w:rsidRPr="00AC2999">
        <w:t xml:space="preserve"> RJ 212.403.</w:t>
      </w:r>
    </w:p>
  </w:footnote>
  <w:footnote w:id="48">
    <w:p w:rsidR="00776867" w:rsidRDefault="00776867">
      <w:pPr>
        <w:pStyle w:val="FootnoteText"/>
      </w:pPr>
      <w:r>
        <w:rPr>
          <w:rStyle w:val="FootnoteReference"/>
        </w:rPr>
        <w:footnoteRef/>
      </w:r>
      <w:r>
        <w:t xml:space="preserve"> RJ 212.405.</w:t>
      </w:r>
    </w:p>
  </w:footnote>
  <w:footnote w:id="49">
    <w:p w:rsidR="00776867" w:rsidRDefault="00776867">
      <w:pPr>
        <w:pStyle w:val="FootnoteText"/>
      </w:pPr>
      <w:r>
        <w:rPr>
          <w:rStyle w:val="FootnoteReference"/>
        </w:rPr>
        <w:footnoteRef/>
      </w:r>
      <w:r>
        <w:t xml:space="preserve"> RJ 212.406.</w:t>
      </w:r>
    </w:p>
  </w:footnote>
  <w:footnote w:id="50">
    <w:p w:rsidR="00776867" w:rsidRDefault="00776867">
      <w:pPr>
        <w:pStyle w:val="FootnoteText"/>
      </w:pPr>
      <w:r>
        <w:rPr>
          <w:rStyle w:val="FootnoteReference"/>
        </w:rPr>
        <w:footnoteRef/>
      </w:r>
      <w:r>
        <w:t xml:space="preserve"> Voorbeelden hiervan zijn niet aan het productieproces dienstbare activa.</w:t>
      </w:r>
    </w:p>
  </w:footnote>
  <w:footnote w:id="51">
    <w:p w:rsidR="00776867" w:rsidRDefault="00776867">
      <w:pPr>
        <w:pStyle w:val="FootnoteText"/>
      </w:pPr>
      <w:r>
        <w:rPr>
          <w:rStyle w:val="FootnoteReference"/>
        </w:rPr>
        <w:footnoteRef/>
      </w:r>
      <w:r>
        <w:t xml:space="preserve"> RJ.212.504.</w:t>
      </w:r>
    </w:p>
  </w:footnote>
  <w:footnote w:id="52">
    <w:p w:rsidR="00776867" w:rsidRDefault="00776867" w:rsidP="005A2A5C">
      <w:pPr>
        <w:pStyle w:val="FootnoteText"/>
      </w:pPr>
      <w:r>
        <w:rPr>
          <w:rStyle w:val="FootnoteReference"/>
        </w:rPr>
        <w:footnoteRef/>
      </w:r>
      <w:r>
        <w:t xml:space="preserve"> Uitzondering op deze regel betreft voetbalclub en voormalig amateurvoetbalvereniging Achilles ’29 uit Groesbeek. Achilles ’29 is per seizoen 2013/2014 door middel van een pilot toegetreden tot de Jupiler League, onder andere voorwaarden betreffende de licentie dan alle andere BVO’s in zowel de Eredivisie als de Jupiler League. </w:t>
      </w:r>
    </w:p>
  </w:footnote>
  <w:footnote w:id="53">
    <w:p w:rsidR="00776867" w:rsidRDefault="00776867">
      <w:pPr>
        <w:pStyle w:val="FootnoteText"/>
      </w:pPr>
      <w:r>
        <w:rPr>
          <w:rStyle w:val="FootnoteReference"/>
        </w:rPr>
        <w:footnoteRef/>
      </w:r>
      <w:r>
        <w:t xml:space="preserve"> Het grootste verschil tussen de Nederlandse- en Europese licentieregels betreft dat de UEFA-licentie voor deelname aan Europese competities telkens slechts voor één jaar worden verstrekt. De UEFE Club Licensing and Financial Fair Play Regulations wordt niet nader besproken tijdens de thesis, omdat enkel de Nederlandse regelgeving van belang is.</w:t>
      </w:r>
    </w:p>
  </w:footnote>
  <w:footnote w:id="54">
    <w:p w:rsidR="00776867" w:rsidRDefault="00776867">
      <w:pPr>
        <w:pStyle w:val="FootnoteText"/>
      </w:pPr>
      <w:r>
        <w:rPr>
          <w:rStyle w:val="FootnoteReference"/>
        </w:rPr>
        <w:footnoteRef/>
      </w:r>
      <w:r>
        <w:t xml:space="preserve"> Voor BVO’s die deelnemen aan Europese competities bestaan op dit gebied nog aanvullende eisen. Zie appendix.</w:t>
      </w:r>
    </w:p>
  </w:footnote>
  <w:footnote w:id="55">
    <w:p w:rsidR="00776867" w:rsidRDefault="00776867">
      <w:pPr>
        <w:pStyle w:val="FootnoteText"/>
      </w:pPr>
      <w:r>
        <w:rPr>
          <w:rStyle w:val="FootnoteReference"/>
        </w:rPr>
        <w:footnoteRef/>
      </w:r>
      <w:r>
        <w:t xml:space="preserve"> De boekjaren van de jaarrekeningen van FC Twente lopen van 1 juli tot en met 30 juni in het jaar daaropvolgend. Ter illustratie: het boekjaar 2013/2014 begint op 1 juli 2013 en eindigt op 30 juni 2014.</w:t>
      </w:r>
    </w:p>
  </w:footnote>
  <w:footnote w:id="56">
    <w:p w:rsidR="00776867" w:rsidRDefault="00776867">
      <w:pPr>
        <w:pStyle w:val="FootnoteText"/>
      </w:pPr>
      <w:r>
        <w:rPr>
          <w:rStyle w:val="FootnoteReference"/>
        </w:rPr>
        <w:footnoteRef/>
      </w:r>
      <w:r>
        <w:t xml:space="preserve"> Zie de definities van de kernvariabelen in </w:t>
      </w:r>
      <w:proofErr w:type="gramStart"/>
      <w:r>
        <w:t>de</w:t>
      </w:r>
      <w:proofErr w:type="gramEnd"/>
      <w:r>
        <w:t xml:space="preserve"> appendix voor nader uitleg.</w:t>
      </w:r>
    </w:p>
  </w:footnote>
  <w:footnote w:id="57">
    <w:p w:rsidR="00776867" w:rsidRDefault="00776867">
      <w:pPr>
        <w:pStyle w:val="FootnoteText"/>
      </w:pPr>
      <w:r>
        <w:rPr>
          <w:rStyle w:val="FootnoteReference"/>
        </w:rPr>
        <w:footnoteRef/>
      </w:r>
      <w:r>
        <w:t xml:space="preserve"> Met onderbouwde wordt bedoeld dat over deze toekomstige gegevens met zekerheid zullen plaatsvinden.</w:t>
      </w:r>
    </w:p>
  </w:footnote>
  <w:footnote w:id="58">
    <w:p w:rsidR="00776867" w:rsidRDefault="00776867">
      <w:pPr>
        <w:pStyle w:val="FootnoteText"/>
      </w:pPr>
      <w:r>
        <w:rPr>
          <w:rStyle w:val="FootnoteReference"/>
        </w:rPr>
        <w:footnoteRef/>
      </w:r>
      <w:r>
        <w:t xml:space="preserve"> Zie pagina 56.</w:t>
      </w:r>
    </w:p>
  </w:footnote>
  <w:footnote w:id="59">
    <w:p w:rsidR="00776867" w:rsidRDefault="00776867">
      <w:pPr>
        <w:pStyle w:val="FootnoteText"/>
      </w:pPr>
      <w:r>
        <w:rPr>
          <w:rStyle w:val="FootnoteReference"/>
        </w:rPr>
        <w:footnoteRef/>
      </w:r>
      <w:r>
        <w:t xml:space="preserve"> In feite sluit deze aanname aan bij de realiteit, omdat het halfjaarresultaat per 31 december 2013 van deze variabele tevens onderdeel is van het resultaat aan het eind van het boekjaar 2013/2014.</w:t>
      </w:r>
    </w:p>
  </w:footnote>
  <w:footnote w:id="60">
    <w:p w:rsidR="00776867" w:rsidRDefault="00776867">
      <w:pPr>
        <w:pStyle w:val="FootnoteText"/>
      </w:pPr>
      <w:r>
        <w:rPr>
          <w:rStyle w:val="FootnoteReference"/>
        </w:rPr>
        <w:footnoteRef/>
      </w:r>
      <w:r>
        <w:t xml:space="preserve"> Zie de aannames bij kernvariabele 7 voor de volledige achtergrond achter deze assumptie.</w:t>
      </w:r>
    </w:p>
  </w:footnote>
  <w:footnote w:id="61">
    <w:p w:rsidR="00776867" w:rsidRDefault="00776867">
      <w:pPr>
        <w:pStyle w:val="FootnoteText"/>
      </w:pPr>
      <w:r>
        <w:rPr>
          <w:rStyle w:val="FootnoteReference"/>
        </w:rPr>
        <w:footnoteRef/>
      </w:r>
      <w:r>
        <w:t xml:space="preserve"> Gewenste </w:t>
      </w:r>
      <m:oMath>
        <m:r>
          <w:rPr>
            <w:rFonts w:ascii="Cambria Math" w:hAnsi="Cambria Math"/>
            <w:sz w:val="24"/>
            <w:szCs w:val="24"/>
          </w:rPr>
          <m:t>x</m:t>
        </m:r>
      </m:oMath>
      <w:r>
        <w:rPr>
          <w:sz w:val="24"/>
          <w:szCs w:val="24"/>
        </w:rPr>
        <w:t xml:space="preserve"> </w:t>
      </w:r>
      <w:r>
        <w:t xml:space="preserve">te vinden door personeelskostenratio te waarden tegen 0,6. </w:t>
      </w:r>
    </w:p>
  </w:footnote>
  <w:footnote w:id="62">
    <w:p w:rsidR="00776867" w:rsidRDefault="00776867">
      <w:pPr>
        <w:pStyle w:val="FootnoteText"/>
      </w:pPr>
      <w:r>
        <w:rPr>
          <w:rStyle w:val="FootnoteReference"/>
        </w:rPr>
        <w:footnoteRef/>
      </w:r>
      <w:r>
        <w:t xml:space="preserve"> Ter verduidelijking: het feit dat de normstelling uit het financieel plan van aanpak niet is behaald, is logischerwijs niet enkel de oorzaak van de verkeerde afschrijvingsmethodiek op het stadion De Grolsch Veste. Hoge kosten en onverantwoorde investeringen hebben er op de eerste plaats voor gezorgd dat het resultaat over de afgelopen boekjaren negatief was.</w:t>
      </w:r>
    </w:p>
  </w:footnote>
  <w:footnote w:id="63">
    <w:p w:rsidR="00776867" w:rsidRDefault="00776867">
      <w:pPr>
        <w:pStyle w:val="FootnoteText"/>
      </w:pPr>
      <w:r>
        <w:rPr>
          <w:rStyle w:val="FootnoteReference"/>
        </w:rPr>
        <w:footnoteRef/>
      </w:r>
      <w:r>
        <w:t xml:space="preserve"> Zodoende moet de aftrek voor de vrijval van de investeringspremie meegenomen worden in de berekening.</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867" w:rsidRDefault="00776867" w:rsidP="00A2660B">
    <w:pPr>
      <w:pStyle w:val="Header"/>
      <w:tabs>
        <w:tab w:val="clear" w:pos="4536"/>
        <w:tab w:val="clear" w:pos="9072"/>
        <w:tab w:val="left" w:pos="7887"/>
      </w:tabs>
    </w:pPr>
    <w:r>
      <w:rPr>
        <w:noProof/>
        <w:lang w:val="en-US"/>
      </w:rPr>
      <w:drawing>
        <wp:anchor distT="0" distB="0" distL="114300" distR="114300" simplePos="0" relativeHeight="251659264" behindDoc="1" locked="0" layoutInCell="1" allowOverlap="1">
          <wp:simplePos x="0" y="0"/>
          <wp:positionH relativeFrom="page">
            <wp:posOffset>4578660</wp:posOffset>
          </wp:positionH>
          <wp:positionV relativeFrom="paragraph">
            <wp:posOffset>-404776</wp:posOffset>
          </wp:positionV>
          <wp:extent cx="2908935" cy="694690"/>
          <wp:effectExtent l="0" t="0" r="5715" b="0"/>
          <wp:wrapTight wrapText="bothSides">
            <wp:wrapPolygon edited="0">
              <wp:start x="0" y="0"/>
              <wp:lineTo x="0" y="20731"/>
              <wp:lineTo x="21501" y="20731"/>
              <wp:lineTo x="21501" y="0"/>
              <wp:lineTo x="0" y="0"/>
            </wp:wrapPolygon>
          </wp:wrapTight>
          <wp:docPr id="60" name="Afbeelding 60" descr="http://www.effectory.nl/globalassets/images-effectory-nl/klantlogos/logo-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ffectory.nl/globalassets/images-effectory-nl/klantlogos/logo-eur.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8935" cy="694690"/>
                  </a:xfrm>
                  <a:prstGeom prst="rect">
                    <a:avLst/>
                  </a:prstGeom>
                  <a:noFill/>
                  <a:ln>
                    <a:noFill/>
                  </a:ln>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3373A"/>
    <w:multiLevelType w:val="multilevel"/>
    <w:tmpl w:val="CA3034A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8611DBD"/>
    <w:multiLevelType w:val="multilevel"/>
    <w:tmpl w:val="FF26F99A"/>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0FB82D25"/>
    <w:multiLevelType w:val="hybridMultilevel"/>
    <w:tmpl w:val="99AE2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8A1024D"/>
    <w:multiLevelType w:val="hybridMultilevel"/>
    <w:tmpl w:val="28F4A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B3572B4"/>
    <w:multiLevelType w:val="multilevel"/>
    <w:tmpl w:val="57D85FA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1D1B4513"/>
    <w:multiLevelType w:val="hybridMultilevel"/>
    <w:tmpl w:val="41A817D0"/>
    <w:lvl w:ilvl="0" w:tplc="24B204E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E17160C"/>
    <w:multiLevelType w:val="hybridMultilevel"/>
    <w:tmpl w:val="DD605A5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F6D4F57"/>
    <w:multiLevelType w:val="hybridMultilevel"/>
    <w:tmpl w:val="6DE202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24B4DB6"/>
    <w:multiLevelType w:val="hybridMultilevel"/>
    <w:tmpl w:val="1C3465D8"/>
    <w:lvl w:ilvl="0" w:tplc="FD6477E8">
      <w:start w:val="1"/>
      <w:numFmt w:val="bullet"/>
      <w:lvlText w:val="-"/>
      <w:lvlJc w:val="left"/>
      <w:pPr>
        <w:ind w:left="720" w:hanging="360"/>
      </w:pPr>
      <w:rPr>
        <w:rFonts w:ascii="Calibri" w:eastAsia="Times New Roman" w:hAnsi="Calibri" w:cs="Times New Roman"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E2C0E3E"/>
    <w:multiLevelType w:val="multilevel"/>
    <w:tmpl w:val="9B209D8E"/>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3BFF7346"/>
    <w:multiLevelType w:val="hybridMultilevel"/>
    <w:tmpl w:val="41721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3456D41"/>
    <w:multiLevelType w:val="multilevel"/>
    <w:tmpl w:val="14382640"/>
    <w:lvl w:ilvl="0">
      <w:start w:val="1"/>
      <w:numFmt w:val="decimal"/>
      <w:lvlText w:val="%1."/>
      <w:lvlJc w:val="left"/>
      <w:pPr>
        <w:ind w:left="720" w:hanging="360"/>
      </w:pPr>
      <w:rPr>
        <w:rFonts w:hint="default"/>
      </w:rPr>
    </w:lvl>
    <w:lvl w:ilvl="1">
      <w:start w:val="2"/>
      <w:numFmt w:val="decimal"/>
      <w:isLgl/>
      <w:lvlText w:val="%1.%2"/>
      <w:lvlJc w:val="left"/>
      <w:pPr>
        <w:ind w:left="915" w:hanging="555"/>
      </w:pPr>
      <w:rPr>
        <w:rFonts w:hint="default"/>
        <w:sz w:val="32"/>
      </w:rPr>
    </w:lvl>
    <w:lvl w:ilvl="2">
      <w:start w:val="1"/>
      <w:numFmt w:val="decimal"/>
      <w:isLgl/>
      <w:lvlText w:val="%1.%2.%3"/>
      <w:lvlJc w:val="left"/>
      <w:pPr>
        <w:ind w:left="1080" w:hanging="720"/>
      </w:pPr>
      <w:rPr>
        <w:rFonts w:hint="default"/>
        <w:sz w:val="32"/>
      </w:rPr>
    </w:lvl>
    <w:lvl w:ilvl="3">
      <w:start w:val="1"/>
      <w:numFmt w:val="decimal"/>
      <w:isLgl/>
      <w:lvlText w:val="%1.%2.%3.%4"/>
      <w:lvlJc w:val="left"/>
      <w:pPr>
        <w:ind w:left="1440" w:hanging="1080"/>
      </w:pPr>
      <w:rPr>
        <w:rFonts w:hint="default"/>
        <w:sz w:val="32"/>
      </w:rPr>
    </w:lvl>
    <w:lvl w:ilvl="4">
      <w:start w:val="1"/>
      <w:numFmt w:val="decimal"/>
      <w:isLgl/>
      <w:lvlText w:val="%1.%2.%3.%4.%5"/>
      <w:lvlJc w:val="left"/>
      <w:pPr>
        <w:ind w:left="1440" w:hanging="1080"/>
      </w:pPr>
      <w:rPr>
        <w:rFonts w:hint="default"/>
        <w:sz w:val="32"/>
      </w:rPr>
    </w:lvl>
    <w:lvl w:ilvl="5">
      <w:start w:val="1"/>
      <w:numFmt w:val="decimal"/>
      <w:isLgl/>
      <w:lvlText w:val="%1.%2.%3.%4.%5.%6"/>
      <w:lvlJc w:val="left"/>
      <w:pPr>
        <w:ind w:left="1800" w:hanging="1440"/>
      </w:pPr>
      <w:rPr>
        <w:rFonts w:hint="default"/>
        <w:sz w:val="32"/>
      </w:rPr>
    </w:lvl>
    <w:lvl w:ilvl="6">
      <w:start w:val="1"/>
      <w:numFmt w:val="decimal"/>
      <w:isLgl/>
      <w:lvlText w:val="%1.%2.%3.%4.%5.%6.%7"/>
      <w:lvlJc w:val="left"/>
      <w:pPr>
        <w:ind w:left="1800" w:hanging="1440"/>
      </w:pPr>
      <w:rPr>
        <w:rFonts w:hint="default"/>
        <w:sz w:val="32"/>
      </w:rPr>
    </w:lvl>
    <w:lvl w:ilvl="7">
      <w:start w:val="1"/>
      <w:numFmt w:val="decimal"/>
      <w:isLgl/>
      <w:lvlText w:val="%1.%2.%3.%4.%5.%6.%7.%8"/>
      <w:lvlJc w:val="left"/>
      <w:pPr>
        <w:ind w:left="2160" w:hanging="1800"/>
      </w:pPr>
      <w:rPr>
        <w:rFonts w:hint="default"/>
        <w:sz w:val="32"/>
      </w:rPr>
    </w:lvl>
    <w:lvl w:ilvl="8">
      <w:start w:val="1"/>
      <w:numFmt w:val="decimal"/>
      <w:isLgl/>
      <w:lvlText w:val="%1.%2.%3.%4.%5.%6.%7.%8.%9"/>
      <w:lvlJc w:val="left"/>
      <w:pPr>
        <w:ind w:left="2520" w:hanging="2160"/>
      </w:pPr>
      <w:rPr>
        <w:rFonts w:hint="default"/>
        <w:sz w:val="32"/>
      </w:rPr>
    </w:lvl>
  </w:abstractNum>
  <w:abstractNum w:abstractNumId="12">
    <w:nsid w:val="4C632856"/>
    <w:multiLevelType w:val="hybridMultilevel"/>
    <w:tmpl w:val="762CF2F2"/>
    <w:lvl w:ilvl="0" w:tplc="FD6477E8">
      <w:start w:val="1"/>
      <w:numFmt w:val="bullet"/>
      <w:lvlText w:val="-"/>
      <w:lvlJc w:val="left"/>
      <w:pPr>
        <w:ind w:left="720" w:hanging="360"/>
      </w:pPr>
      <w:rPr>
        <w:rFonts w:ascii="Calibri" w:eastAsia="Times New Roman" w:hAnsi="Calibri" w:cs="Times New Roman"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9835121"/>
    <w:multiLevelType w:val="multilevel"/>
    <w:tmpl w:val="DBECA332"/>
    <w:lvl w:ilvl="0">
      <w:start w:val="1"/>
      <w:numFmt w:val="decimal"/>
      <w:lvlText w:val="%1."/>
      <w:lvlJc w:val="left"/>
      <w:pPr>
        <w:ind w:left="720" w:hanging="360"/>
      </w:p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5B31256F"/>
    <w:multiLevelType w:val="hybridMultilevel"/>
    <w:tmpl w:val="6B24D6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CCB2C92"/>
    <w:multiLevelType w:val="multilevel"/>
    <w:tmpl w:val="2BA8262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880" w:hanging="2160"/>
      </w:pPr>
      <w:rPr>
        <w:rFonts w:hint="default"/>
      </w:rPr>
    </w:lvl>
    <w:lvl w:ilvl="8">
      <w:start w:val="1"/>
      <w:numFmt w:val="decimal"/>
      <w:isLgl/>
      <w:lvlText w:val="%1.%2.%3.%4.%5.%6.%7.%8.%9."/>
      <w:lvlJc w:val="left"/>
      <w:pPr>
        <w:ind w:left="2880" w:hanging="2160"/>
      </w:pPr>
      <w:rPr>
        <w:rFonts w:hint="default"/>
      </w:rPr>
    </w:lvl>
  </w:abstractNum>
  <w:abstractNum w:abstractNumId="16">
    <w:nsid w:val="60EC18B8"/>
    <w:multiLevelType w:val="hybridMultilevel"/>
    <w:tmpl w:val="5EA2C1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9FA4093"/>
    <w:multiLevelType w:val="hybridMultilevel"/>
    <w:tmpl w:val="00EA5DF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CD9709F"/>
    <w:multiLevelType w:val="hybridMultilevel"/>
    <w:tmpl w:val="C04223BC"/>
    <w:lvl w:ilvl="0" w:tplc="FD6477E8">
      <w:start w:val="1"/>
      <w:numFmt w:val="bullet"/>
      <w:lvlText w:val="-"/>
      <w:lvlJc w:val="left"/>
      <w:pPr>
        <w:ind w:left="720" w:hanging="360"/>
      </w:pPr>
      <w:rPr>
        <w:rFonts w:ascii="Calibri" w:eastAsia="Times New Roman" w:hAnsi="Calibri" w:cs="Times New Roman"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EA840C2"/>
    <w:multiLevelType w:val="hybridMultilevel"/>
    <w:tmpl w:val="CDDCF5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6"/>
  </w:num>
  <w:num w:numId="3">
    <w:abstractNumId w:val="1"/>
  </w:num>
  <w:num w:numId="4">
    <w:abstractNumId w:val="18"/>
  </w:num>
  <w:num w:numId="5">
    <w:abstractNumId w:val="8"/>
  </w:num>
  <w:num w:numId="6">
    <w:abstractNumId w:val="5"/>
  </w:num>
  <w:num w:numId="7">
    <w:abstractNumId w:val="19"/>
  </w:num>
  <w:num w:numId="8">
    <w:abstractNumId w:val="3"/>
  </w:num>
  <w:num w:numId="9">
    <w:abstractNumId w:val="4"/>
  </w:num>
  <w:num w:numId="10">
    <w:abstractNumId w:val="13"/>
  </w:num>
  <w:num w:numId="11">
    <w:abstractNumId w:val="17"/>
  </w:num>
  <w:num w:numId="12">
    <w:abstractNumId w:val="10"/>
  </w:num>
  <w:num w:numId="13">
    <w:abstractNumId w:val="2"/>
  </w:num>
  <w:num w:numId="14">
    <w:abstractNumId w:val="11"/>
  </w:num>
  <w:num w:numId="15">
    <w:abstractNumId w:val="7"/>
  </w:num>
  <w:num w:numId="16">
    <w:abstractNumId w:val="16"/>
  </w:num>
  <w:num w:numId="17">
    <w:abstractNumId w:val="0"/>
  </w:num>
  <w:num w:numId="18">
    <w:abstractNumId w:val="14"/>
  </w:num>
  <w:num w:numId="19">
    <w:abstractNumId w:val="9"/>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useFELayout/>
  </w:compat>
  <w:rsids>
    <w:rsidRoot w:val="00C83CC0"/>
    <w:rsid w:val="00001C53"/>
    <w:rsid w:val="00003686"/>
    <w:rsid w:val="000045F8"/>
    <w:rsid w:val="000062AA"/>
    <w:rsid w:val="00006DC0"/>
    <w:rsid w:val="00011ABA"/>
    <w:rsid w:val="00012C17"/>
    <w:rsid w:val="00012F96"/>
    <w:rsid w:val="00013F71"/>
    <w:rsid w:val="0004327D"/>
    <w:rsid w:val="00044304"/>
    <w:rsid w:val="00060445"/>
    <w:rsid w:val="00062BB9"/>
    <w:rsid w:val="00063265"/>
    <w:rsid w:val="0006351F"/>
    <w:rsid w:val="00063C3A"/>
    <w:rsid w:val="00075FFC"/>
    <w:rsid w:val="00085217"/>
    <w:rsid w:val="000B4502"/>
    <w:rsid w:val="000B5E29"/>
    <w:rsid w:val="000B7004"/>
    <w:rsid w:val="000C087F"/>
    <w:rsid w:val="000C5AB6"/>
    <w:rsid w:val="000D08D5"/>
    <w:rsid w:val="000D1E57"/>
    <w:rsid w:val="000D4B95"/>
    <w:rsid w:val="000D6A19"/>
    <w:rsid w:val="000D79D3"/>
    <w:rsid w:val="000E7B85"/>
    <w:rsid w:val="000F19D4"/>
    <w:rsid w:val="000F51BC"/>
    <w:rsid w:val="00103AE8"/>
    <w:rsid w:val="00104305"/>
    <w:rsid w:val="00107650"/>
    <w:rsid w:val="00107FAB"/>
    <w:rsid w:val="00110D0D"/>
    <w:rsid w:val="00111350"/>
    <w:rsid w:val="001129AC"/>
    <w:rsid w:val="001131D7"/>
    <w:rsid w:val="00114E39"/>
    <w:rsid w:val="00114E6D"/>
    <w:rsid w:val="00117021"/>
    <w:rsid w:val="001174E1"/>
    <w:rsid w:val="00121902"/>
    <w:rsid w:val="001245CE"/>
    <w:rsid w:val="00130AF2"/>
    <w:rsid w:val="001328A3"/>
    <w:rsid w:val="00141146"/>
    <w:rsid w:val="001431F8"/>
    <w:rsid w:val="00143844"/>
    <w:rsid w:val="00146456"/>
    <w:rsid w:val="00154140"/>
    <w:rsid w:val="00154AAB"/>
    <w:rsid w:val="00157629"/>
    <w:rsid w:val="00157C42"/>
    <w:rsid w:val="0016300F"/>
    <w:rsid w:val="001714CF"/>
    <w:rsid w:val="00176453"/>
    <w:rsid w:val="00176DEB"/>
    <w:rsid w:val="001819FD"/>
    <w:rsid w:val="001842A3"/>
    <w:rsid w:val="001849A2"/>
    <w:rsid w:val="00190DEF"/>
    <w:rsid w:val="00191E86"/>
    <w:rsid w:val="001A1CE7"/>
    <w:rsid w:val="001A6301"/>
    <w:rsid w:val="001A6B7A"/>
    <w:rsid w:val="001A6D90"/>
    <w:rsid w:val="001B59ED"/>
    <w:rsid w:val="001D1424"/>
    <w:rsid w:val="001D3A0B"/>
    <w:rsid w:val="001D4A5E"/>
    <w:rsid w:val="001E217D"/>
    <w:rsid w:val="001E2ACC"/>
    <w:rsid w:val="001E3452"/>
    <w:rsid w:val="001F06EC"/>
    <w:rsid w:val="001F4BB2"/>
    <w:rsid w:val="00200B98"/>
    <w:rsid w:val="002021A8"/>
    <w:rsid w:val="00202BEF"/>
    <w:rsid w:val="00204C40"/>
    <w:rsid w:val="00221895"/>
    <w:rsid w:val="00221CA6"/>
    <w:rsid w:val="002229D3"/>
    <w:rsid w:val="002253B3"/>
    <w:rsid w:val="002278A9"/>
    <w:rsid w:val="00230512"/>
    <w:rsid w:val="00232073"/>
    <w:rsid w:val="0023250E"/>
    <w:rsid w:val="0024076F"/>
    <w:rsid w:val="00243A9F"/>
    <w:rsid w:val="00247AA1"/>
    <w:rsid w:val="00254B0F"/>
    <w:rsid w:val="002558BF"/>
    <w:rsid w:val="00260183"/>
    <w:rsid w:val="00262DC0"/>
    <w:rsid w:val="00276B7A"/>
    <w:rsid w:val="002807D5"/>
    <w:rsid w:val="00284039"/>
    <w:rsid w:val="00284535"/>
    <w:rsid w:val="00284635"/>
    <w:rsid w:val="00286992"/>
    <w:rsid w:val="00286E72"/>
    <w:rsid w:val="00287D87"/>
    <w:rsid w:val="002902F4"/>
    <w:rsid w:val="00292039"/>
    <w:rsid w:val="002931C5"/>
    <w:rsid w:val="002A1766"/>
    <w:rsid w:val="002B0E1F"/>
    <w:rsid w:val="002B5DCB"/>
    <w:rsid w:val="002C50DA"/>
    <w:rsid w:val="002D119B"/>
    <w:rsid w:val="002D440A"/>
    <w:rsid w:val="002D6F58"/>
    <w:rsid w:val="002E4A96"/>
    <w:rsid w:val="002E6F88"/>
    <w:rsid w:val="002F065D"/>
    <w:rsid w:val="002F25F5"/>
    <w:rsid w:val="002F30A9"/>
    <w:rsid w:val="002F325E"/>
    <w:rsid w:val="002F5D7C"/>
    <w:rsid w:val="002F654C"/>
    <w:rsid w:val="00303331"/>
    <w:rsid w:val="00304A1F"/>
    <w:rsid w:val="003144B0"/>
    <w:rsid w:val="00326F90"/>
    <w:rsid w:val="00327C97"/>
    <w:rsid w:val="003344F4"/>
    <w:rsid w:val="00334BA5"/>
    <w:rsid w:val="00334C43"/>
    <w:rsid w:val="00342E67"/>
    <w:rsid w:val="00373300"/>
    <w:rsid w:val="003810BB"/>
    <w:rsid w:val="00382827"/>
    <w:rsid w:val="003849C3"/>
    <w:rsid w:val="00387879"/>
    <w:rsid w:val="00390584"/>
    <w:rsid w:val="003926D8"/>
    <w:rsid w:val="00394A5B"/>
    <w:rsid w:val="00394E71"/>
    <w:rsid w:val="003955EE"/>
    <w:rsid w:val="003A1427"/>
    <w:rsid w:val="003A5FF8"/>
    <w:rsid w:val="003B4A28"/>
    <w:rsid w:val="003B51D6"/>
    <w:rsid w:val="003B605C"/>
    <w:rsid w:val="003C243C"/>
    <w:rsid w:val="003C381B"/>
    <w:rsid w:val="003C62F0"/>
    <w:rsid w:val="003D5C54"/>
    <w:rsid w:val="003F0FC9"/>
    <w:rsid w:val="003F269E"/>
    <w:rsid w:val="003F311D"/>
    <w:rsid w:val="003F39DC"/>
    <w:rsid w:val="003F4A16"/>
    <w:rsid w:val="003F5965"/>
    <w:rsid w:val="00402A7F"/>
    <w:rsid w:val="004061DD"/>
    <w:rsid w:val="0040633B"/>
    <w:rsid w:val="00406C2F"/>
    <w:rsid w:val="00413820"/>
    <w:rsid w:val="0042053A"/>
    <w:rsid w:val="00420F96"/>
    <w:rsid w:val="0042166D"/>
    <w:rsid w:val="00423DBB"/>
    <w:rsid w:val="004326E3"/>
    <w:rsid w:val="0043524A"/>
    <w:rsid w:val="00435F22"/>
    <w:rsid w:val="00441F2F"/>
    <w:rsid w:val="004427E8"/>
    <w:rsid w:val="004458D3"/>
    <w:rsid w:val="0045260F"/>
    <w:rsid w:val="00454516"/>
    <w:rsid w:val="00455525"/>
    <w:rsid w:val="00480C96"/>
    <w:rsid w:val="004816E7"/>
    <w:rsid w:val="00492E71"/>
    <w:rsid w:val="004B67FF"/>
    <w:rsid w:val="004C1BDE"/>
    <w:rsid w:val="004C53F5"/>
    <w:rsid w:val="004C724F"/>
    <w:rsid w:val="004D0B38"/>
    <w:rsid w:val="004D1225"/>
    <w:rsid w:val="004D4A38"/>
    <w:rsid w:val="004F3637"/>
    <w:rsid w:val="004F75FB"/>
    <w:rsid w:val="00501603"/>
    <w:rsid w:val="005031F4"/>
    <w:rsid w:val="005077EF"/>
    <w:rsid w:val="00510601"/>
    <w:rsid w:val="005140C9"/>
    <w:rsid w:val="00514AF0"/>
    <w:rsid w:val="00516A0E"/>
    <w:rsid w:val="00521E79"/>
    <w:rsid w:val="005368CF"/>
    <w:rsid w:val="00537399"/>
    <w:rsid w:val="00537AD0"/>
    <w:rsid w:val="0054239F"/>
    <w:rsid w:val="005527B8"/>
    <w:rsid w:val="00553072"/>
    <w:rsid w:val="00554074"/>
    <w:rsid w:val="00554706"/>
    <w:rsid w:val="00554B22"/>
    <w:rsid w:val="0056057B"/>
    <w:rsid w:val="0056522C"/>
    <w:rsid w:val="00566E9D"/>
    <w:rsid w:val="00575BDB"/>
    <w:rsid w:val="00575EA0"/>
    <w:rsid w:val="00586E83"/>
    <w:rsid w:val="005A059A"/>
    <w:rsid w:val="005A2A5C"/>
    <w:rsid w:val="005A3285"/>
    <w:rsid w:val="005A4A18"/>
    <w:rsid w:val="005A5E5B"/>
    <w:rsid w:val="005A62E6"/>
    <w:rsid w:val="005B1AA4"/>
    <w:rsid w:val="005B2107"/>
    <w:rsid w:val="005B3C75"/>
    <w:rsid w:val="005B7372"/>
    <w:rsid w:val="005B7EF6"/>
    <w:rsid w:val="005C0297"/>
    <w:rsid w:val="005C1F47"/>
    <w:rsid w:val="005C4248"/>
    <w:rsid w:val="005C4F4A"/>
    <w:rsid w:val="005C5A04"/>
    <w:rsid w:val="005C60AA"/>
    <w:rsid w:val="005D15E9"/>
    <w:rsid w:val="005F0C05"/>
    <w:rsid w:val="005F3BA5"/>
    <w:rsid w:val="00603AA6"/>
    <w:rsid w:val="006110CE"/>
    <w:rsid w:val="00615D2E"/>
    <w:rsid w:val="006234DD"/>
    <w:rsid w:val="00624800"/>
    <w:rsid w:val="00626405"/>
    <w:rsid w:val="00633A13"/>
    <w:rsid w:val="00640F12"/>
    <w:rsid w:val="00642E61"/>
    <w:rsid w:val="00643655"/>
    <w:rsid w:val="00644A83"/>
    <w:rsid w:val="006523F6"/>
    <w:rsid w:val="00656CB3"/>
    <w:rsid w:val="00662468"/>
    <w:rsid w:val="0066604E"/>
    <w:rsid w:val="00667446"/>
    <w:rsid w:val="006757A5"/>
    <w:rsid w:val="00680E26"/>
    <w:rsid w:val="006823D3"/>
    <w:rsid w:val="00682B22"/>
    <w:rsid w:val="0069112F"/>
    <w:rsid w:val="00693511"/>
    <w:rsid w:val="00695E50"/>
    <w:rsid w:val="006A7B71"/>
    <w:rsid w:val="006B2287"/>
    <w:rsid w:val="006B28E6"/>
    <w:rsid w:val="006B5D8F"/>
    <w:rsid w:val="006B6ABB"/>
    <w:rsid w:val="006C38E6"/>
    <w:rsid w:val="006D0C12"/>
    <w:rsid w:val="006E0243"/>
    <w:rsid w:val="006E36D6"/>
    <w:rsid w:val="006E3FF9"/>
    <w:rsid w:val="006F0CD0"/>
    <w:rsid w:val="006F7E1E"/>
    <w:rsid w:val="00711F54"/>
    <w:rsid w:val="00715269"/>
    <w:rsid w:val="00717B16"/>
    <w:rsid w:val="007224E8"/>
    <w:rsid w:val="0072560E"/>
    <w:rsid w:val="00725781"/>
    <w:rsid w:val="00733FE0"/>
    <w:rsid w:val="00734147"/>
    <w:rsid w:val="007342C7"/>
    <w:rsid w:val="007433B6"/>
    <w:rsid w:val="007451CD"/>
    <w:rsid w:val="00752A32"/>
    <w:rsid w:val="00753CDE"/>
    <w:rsid w:val="00756D27"/>
    <w:rsid w:val="00760016"/>
    <w:rsid w:val="007602D2"/>
    <w:rsid w:val="00761C3F"/>
    <w:rsid w:val="00763C49"/>
    <w:rsid w:val="007657B6"/>
    <w:rsid w:val="0077677B"/>
    <w:rsid w:val="00776867"/>
    <w:rsid w:val="00781075"/>
    <w:rsid w:val="007845C4"/>
    <w:rsid w:val="007867FA"/>
    <w:rsid w:val="00793D91"/>
    <w:rsid w:val="00794C84"/>
    <w:rsid w:val="007951A3"/>
    <w:rsid w:val="007A1BA5"/>
    <w:rsid w:val="007A216B"/>
    <w:rsid w:val="007A36BF"/>
    <w:rsid w:val="007A743F"/>
    <w:rsid w:val="007B60DD"/>
    <w:rsid w:val="007C2C26"/>
    <w:rsid w:val="007C707F"/>
    <w:rsid w:val="007D397E"/>
    <w:rsid w:val="007D3AF6"/>
    <w:rsid w:val="007D47D7"/>
    <w:rsid w:val="007D6EB6"/>
    <w:rsid w:val="007D7BF1"/>
    <w:rsid w:val="007E2E5A"/>
    <w:rsid w:val="007E34D9"/>
    <w:rsid w:val="007F1B32"/>
    <w:rsid w:val="007F2EB8"/>
    <w:rsid w:val="007F53F8"/>
    <w:rsid w:val="007F76F5"/>
    <w:rsid w:val="00803D72"/>
    <w:rsid w:val="00806BC3"/>
    <w:rsid w:val="008074B9"/>
    <w:rsid w:val="008117E9"/>
    <w:rsid w:val="008123C5"/>
    <w:rsid w:val="00812C1D"/>
    <w:rsid w:val="0082361F"/>
    <w:rsid w:val="00823866"/>
    <w:rsid w:val="00832F08"/>
    <w:rsid w:val="00833CC1"/>
    <w:rsid w:val="00837885"/>
    <w:rsid w:val="008430A1"/>
    <w:rsid w:val="00843F1F"/>
    <w:rsid w:val="00851180"/>
    <w:rsid w:val="00861183"/>
    <w:rsid w:val="00866BAF"/>
    <w:rsid w:val="008727C9"/>
    <w:rsid w:val="00877295"/>
    <w:rsid w:val="00877B71"/>
    <w:rsid w:val="00887655"/>
    <w:rsid w:val="00887E34"/>
    <w:rsid w:val="00890466"/>
    <w:rsid w:val="00891775"/>
    <w:rsid w:val="008A04D6"/>
    <w:rsid w:val="008A36EE"/>
    <w:rsid w:val="008A4559"/>
    <w:rsid w:val="008A5454"/>
    <w:rsid w:val="008A66E0"/>
    <w:rsid w:val="008A756F"/>
    <w:rsid w:val="008A7C3C"/>
    <w:rsid w:val="008B1D28"/>
    <w:rsid w:val="008C09B8"/>
    <w:rsid w:val="008C10A4"/>
    <w:rsid w:val="008C53E1"/>
    <w:rsid w:val="008D37D6"/>
    <w:rsid w:val="008D59FB"/>
    <w:rsid w:val="008E0342"/>
    <w:rsid w:val="008F11FE"/>
    <w:rsid w:val="008F1C91"/>
    <w:rsid w:val="008F4123"/>
    <w:rsid w:val="008F45D4"/>
    <w:rsid w:val="008F475A"/>
    <w:rsid w:val="008F5EDC"/>
    <w:rsid w:val="009036A2"/>
    <w:rsid w:val="009152D4"/>
    <w:rsid w:val="00916672"/>
    <w:rsid w:val="00921D1B"/>
    <w:rsid w:val="009254F0"/>
    <w:rsid w:val="00933C7E"/>
    <w:rsid w:val="00950AC0"/>
    <w:rsid w:val="00953626"/>
    <w:rsid w:val="00954E76"/>
    <w:rsid w:val="00955813"/>
    <w:rsid w:val="00955D5F"/>
    <w:rsid w:val="009615A0"/>
    <w:rsid w:val="00965175"/>
    <w:rsid w:val="009651A6"/>
    <w:rsid w:val="0096561D"/>
    <w:rsid w:val="00967DD4"/>
    <w:rsid w:val="0097319D"/>
    <w:rsid w:val="00977DD0"/>
    <w:rsid w:val="0098062C"/>
    <w:rsid w:val="00985A31"/>
    <w:rsid w:val="00986FE2"/>
    <w:rsid w:val="00994255"/>
    <w:rsid w:val="00995CDD"/>
    <w:rsid w:val="00996816"/>
    <w:rsid w:val="009A54F5"/>
    <w:rsid w:val="009A6711"/>
    <w:rsid w:val="009B2D90"/>
    <w:rsid w:val="009C03C2"/>
    <w:rsid w:val="009C32F5"/>
    <w:rsid w:val="009D3023"/>
    <w:rsid w:val="009D334B"/>
    <w:rsid w:val="009E3F5D"/>
    <w:rsid w:val="009E41F8"/>
    <w:rsid w:val="009E5B8D"/>
    <w:rsid w:val="009F58E1"/>
    <w:rsid w:val="009F6B99"/>
    <w:rsid w:val="009F6BAF"/>
    <w:rsid w:val="00A01562"/>
    <w:rsid w:val="00A14C48"/>
    <w:rsid w:val="00A15087"/>
    <w:rsid w:val="00A16AEE"/>
    <w:rsid w:val="00A20C44"/>
    <w:rsid w:val="00A21726"/>
    <w:rsid w:val="00A2660B"/>
    <w:rsid w:val="00A2664C"/>
    <w:rsid w:val="00A267D5"/>
    <w:rsid w:val="00A316FC"/>
    <w:rsid w:val="00A33354"/>
    <w:rsid w:val="00A35A43"/>
    <w:rsid w:val="00A46065"/>
    <w:rsid w:val="00A52771"/>
    <w:rsid w:val="00A60E1B"/>
    <w:rsid w:val="00A631D7"/>
    <w:rsid w:val="00A64B5B"/>
    <w:rsid w:val="00A66C23"/>
    <w:rsid w:val="00A714E6"/>
    <w:rsid w:val="00A72FC2"/>
    <w:rsid w:val="00A737CC"/>
    <w:rsid w:val="00A73FF6"/>
    <w:rsid w:val="00A747AC"/>
    <w:rsid w:val="00A75218"/>
    <w:rsid w:val="00A86755"/>
    <w:rsid w:val="00A92291"/>
    <w:rsid w:val="00AA079B"/>
    <w:rsid w:val="00AA2D28"/>
    <w:rsid w:val="00AA4CBC"/>
    <w:rsid w:val="00AA64BC"/>
    <w:rsid w:val="00AA6EEE"/>
    <w:rsid w:val="00AA755A"/>
    <w:rsid w:val="00AA78B1"/>
    <w:rsid w:val="00AB03AE"/>
    <w:rsid w:val="00AB06C2"/>
    <w:rsid w:val="00AB5899"/>
    <w:rsid w:val="00AB5B29"/>
    <w:rsid w:val="00AB6C7E"/>
    <w:rsid w:val="00AC2999"/>
    <w:rsid w:val="00AC45FF"/>
    <w:rsid w:val="00AD122A"/>
    <w:rsid w:val="00AD4C8A"/>
    <w:rsid w:val="00AD5B19"/>
    <w:rsid w:val="00AE15FC"/>
    <w:rsid w:val="00AE6A86"/>
    <w:rsid w:val="00AE74A6"/>
    <w:rsid w:val="00AE7AC9"/>
    <w:rsid w:val="00AF1C1E"/>
    <w:rsid w:val="00AF2585"/>
    <w:rsid w:val="00AF3A2A"/>
    <w:rsid w:val="00AF5E17"/>
    <w:rsid w:val="00B03DAA"/>
    <w:rsid w:val="00B07764"/>
    <w:rsid w:val="00B109CF"/>
    <w:rsid w:val="00B11B19"/>
    <w:rsid w:val="00B12261"/>
    <w:rsid w:val="00B33280"/>
    <w:rsid w:val="00B61AD2"/>
    <w:rsid w:val="00B645E6"/>
    <w:rsid w:val="00B743FE"/>
    <w:rsid w:val="00B7506F"/>
    <w:rsid w:val="00B83B54"/>
    <w:rsid w:val="00B85B03"/>
    <w:rsid w:val="00B9106F"/>
    <w:rsid w:val="00B96720"/>
    <w:rsid w:val="00BA181F"/>
    <w:rsid w:val="00BA307A"/>
    <w:rsid w:val="00BB27C0"/>
    <w:rsid w:val="00BC419E"/>
    <w:rsid w:val="00BD309C"/>
    <w:rsid w:val="00BD364F"/>
    <w:rsid w:val="00BD5038"/>
    <w:rsid w:val="00BD51F8"/>
    <w:rsid w:val="00BD5AC8"/>
    <w:rsid w:val="00BE3EEF"/>
    <w:rsid w:val="00BE3FA3"/>
    <w:rsid w:val="00BF1B60"/>
    <w:rsid w:val="00BF351F"/>
    <w:rsid w:val="00BF548D"/>
    <w:rsid w:val="00C01AD3"/>
    <w:rsid w:val="00C01F0C"/>
    <w:rsid w:val="00C022B1"/>
    <w:rsid w:val="00C05D5A"/>
    <w:rsid w:val="00C1190F"/>
    <w:rsid w:val="00C12BC6"/>
    <w:rsid w:val="00C16D4E"/>
    <w:rsid w:val="00C2208D"/>
    <w:rsid w:val="00C238EB"/>
    <w:rsid w:val="00C2633A"/>
    <w:rsid w:val="00C26593"/>
    <w:rsid w:val="00C34072"/>
    <w:rsid w:val="00C36FCD"/>
    <w:rsid w:val="00C44179"/>
    <w:rsid w:val="00C5456F"/>
    <w:rsid w:val="00C57A08"/>
    <w:rsid w:val="00C60143"/>
    <w:rsid w:val="00C669AF"/>
    <w:rsid w:val="00C714F4"/>
    <w:rsid w:val="00C72470"/>
    <w:rsid w:val="00C7286F"/>
    <w:rsid w:val="00C72AA9"/>
    <w:rsid w:val="00C83CC0"/>
    <w:rsid w:val="00C8454C"/>
    <w:rsid w:val="00C8630F"/>
    <w:rsid w:val="00C923C6"/>
    <w:rsid w:val="00C926F6"/>
    <w:rsid w:val="00C9579B"/>
    <w:rsid w:val="00C95D56"/>
    <w:rsid w:val="00CA1C73"/>
    <w:rsid w:val="00CA2541"/>
    <w:rsid w:val="00CA3336"/>
    <w:rsid w:val="00CA3382"/>
    <w:rsid w:val="00CA3809"/>
    <w:rsid w:val="00CA6D0A"/>
    <w:rsid w:val="00CB2539"/>
    <w:rsid w:val="00CB4A2A"/>
    <w:rsid w:val="00CB5CA9"/>
    <w:rsid w:val="00CC1ABB"/>
    <w:rsid w:val="00CC1CD7"/>
    <w:rsid w:val="00CC5BD1"/>
    <w:rsid w:val="00CD3047"/>
    <w:rsid w:val="00CE1003"/>
    <w:rsid w:val="00CE1DEA"/>
    <w:rsid w:val="00CE283D"/>
    <w:rsid w:val="00CF1094"/>
    <w:rsid w:val="00CF37A2"/>
    <w:rsid w:val="00CF413F"/>
    <w:rsid w:val="00CF5C7D"/>
    <w:rsid w:val="00D04DF8"/>
    <w:rsid w:val="00D150D5"/>
    <w:rsid w:val="00D164E3"/>
    <w:rsid w:val="00D20638"/>
    <w:rsid w:val="00D236A7"/>
    <w:rsid w:val="00D33B90"/>
    <w:rsid w:val="00D36550"/>
    <w:rsid w:val="00D400A5"/>
    <w:rsid w:val="00D422F1"/>
    <w:rsid w:val="00D46187"/>
    <w:rsid w:val="00D46AC0"/>
    <w:rsid w:val="00D471DF"/>
    <w:rsid w:val="00D47D18"/>
    <w:rsid w:val="00D61D54"/>
    <w:rsid w:val="00D72303"/>
    <w:rsid w:val="00D77F54"/>
    <w:rsid w:val="00D86F03"/>
    <w:rsid w:val="00D91D4E"/>
    <w:rsid w:val="00D93AAA"/>
    <w:rsid w:val="00D93F7B"/>
    <w:rsid w:val="00DA19EF"/>
    <w:rsid w:val="00DB0D6C"/>
    <w:rsid w:val="00DB17FA"/>
    <w:rsid w:val="00DB555A"/>
    <w:rsid w:val="00DB728A"/>
    <w:rsid w:val="00DC048A"/>
    <w:rsid w:val="00DC31E3"/>
    <w:rsid w:val="00DC5757"/>
    <w:rsid w:val="00DD3EA3"/>
    <w:rsid w:val="00DD3F62"/>
    <w:rsid w:val="00DD4945"/>
    <w:rsid w:val="00DD78E5"/>
    <w:rsid w:val="00DF0089"/>
    <w:rsid w:val="00DF5949"/>
    <w:rsid w:val="00E0009B"/>
    <w:rsid w:val="00E01DA4"/>
    <w:rsid w:val="00E04845"/>
    <w:rsid w:val="00E04F2A"/>
    <w:rsid w:val="00E068F5"/>
    <w:rsid w:val="00E10131"/>
    <w:rsid w:val="00E13732"/>
    <w:rsid w:val="00E17ACF"/>
    <w:rsid w:val="00E23429"/>
    <w:rsid w:val="00E27A61"/>
    <w:rsid w:val="00E364D7"/>
    <w:rsid w:val="00E36BB8"/>
    <w:rsid w:val="00E4043E"/>
    <w:rsid w:val="00E4335E"/>
    <w:rsid w:val="00E514A0"/>
    <w:rsid w:val="00E5258F"/>
    <w:rsid w:val="00E55BAD"/>
    <w:rsid w:val="00E56513"/>
    <w:rsid w:val="00E657C4"/>
    <w:rsid w:val="00E72740"/>
    <w:rsid w:val="00E742B3"/>
    <w:rsid w:val="00E874F8"/>
    <w:rsid w:val="00E93663"/>
    <w:rsid w:val="00EA2C2E"/>
    <w:rsid w:val="00EA3F7B"/>
    <w:rsid w:val="00EA5CD3"/>
    <w:rsid w:val="00EA7BAD"/>
    <w:rsid w:val="00EB1947"/>
    <w:rsid w:val="00EB1C10"/>
    <w:rsid w:val="00EB3048"/>
    <w:rsid w:val="00EB68ED"/>
    <w:rsid w:val="00EB76EA"/>
    <w:rsid w:val="00ED0DC3"/>
    <w:rsid w:val="00ED2F2C"/>
    <w:rsid w:val="00ED3319"/>
    <w:rsid w:val="00ED6C27"/>
    <w:rsid w:val="00ED6D33"/>
    <w:rsid w:val="00EE27B4"/>
    <w:rsid w:val="00EE34F5"/>
    <w:rsid w:val="00EE57C8"/>
    <w:rsid w:val="00EE66C3"/>
    <w:rsid w:val="00EE686A"/>
    <w:rsid w:val="00EF3193"/>
    <w:rsid w:val="00EF7488"/>
    <w:rsid w:val="00F0235C"/>
    <w:rsid w:val="00F054BF"/>
    <w:rsid w:val="00F06B60"/>
    <w:rsid w:val="00F11222"/>
    <w:rsid w:val="00F16342"/>
    <w:rsid w:val="00F229D6"/>
    <w:rsid w:val="00F22E52"/>
    <w:rsid w:val="00F247A3"/>
    <w:rsid w:val="00F33E8F"/>
    <w:rsid w:val="00F36209"/>
    <w:rsid w:val="00F501CE"/>
    <w:rsid w:val="00F50710"/>
    <w:rsid w:val="00F54762"/>
    <w:rsid w:val="00F55BDE"/>
    <w:rsid w:val="00F55F4C"/>
    <w:rsid w:val="00F65B32"/>
    <w:rsid w:val="00F67EA4"/>
    <w:rsid w:val="00F70E39"/>
    <w:rsid w:val="00F83C5E"/>
    <w:rsid w:val="00F83FA9"/>
    <w:rsid w:val="00F85B9F"/>
    <w:rsid w:val="00F9102A"/>
    <w:rsid w:val="00FA1600"/>
    <w:rsid w:val="00FA3E3A"/>
    <w:rsid w:val="00FA70EE"/>
    <w:rsid w:val="00FC00BE"/>
    <w:rsid w:val="00FC2CAE"/>
    <w:rsid w:val="00FC5B18"/>
    <w:rsid w:val="00FD0947"/>
    <w:rsid w:val="00FE2DA6"/>
    <w:rsid w:val="00FF0705"/>
    <w:rsid w:val="00FF0A9F"/>
    <w:rsid w:val="00FF171E"/>
    <w:rsid w:val="00FF31CE"/>
    <w:rsid w:val="00FF4C13"/>
    <w:rsid w:val="00FF6592"/>
    <w:rsid w:val="00FF6B5F"/>
    <w:rsid w:val="00FF6B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3820"/>
    <w:rPr>
      <w:lang w:val="nl-NL"/>
    </w:rPr>
  </w:style>
  <w:style w:type="paragraph" w:styleId="Heading1">
    <w:name w:val="heading 1"/>
    <w:basedOn w:val="Normal"/>
    <w:next w:val="Normal"/>
    <w:link w:val="Heading1Char"/>
    <w:uiPriority w:val="9"/>
    <w:qFormat/>
    <w:rsid w:val="00413820"/>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13820"/>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13820"/>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413820"/>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413820"/>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413820"/>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413820"/>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413820"/>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413820"/>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47D18"/>
    <w:pPr>
      <w:spacing w:after="0" w:line="240" w:lineRule="auto"/>
    </w:pPr>
  </w:style>
  <w:style w:type="character" w:customStyle="1" w:styleId="FootnoteTextChar">
    <w:name w:val="Footnote Text Char"/>
    <w:basedOn w:val="DefaultParagraphFont"/>
    <w:link w:val="FootnoteText"/>
    <w:uiPriority w:val="99"/>
    <w:semiHidden/>
    <w:rsid w:val="00D47D18"/>
    <w:rPr>
      <w:sz w:val="20"/>
      <w:szCs w:val="20"/>
      <w:lang w:val="nl-NL"/>
    </w:rPr>
  </w:style>
  <w:style w:type="character" w:styleId="FootnoteReference">
    <w:name w:val="footnote reference"/>
    <w:basedOn w:val="DefaultParagraphFont"/>
    <w:uiPriority w:val="99"/>
    <w:semiHidden/>
    <w:unhideWhenUsed/>
    <w:rsid w:val="00D47D18"/>
    <w:rPr>
      <w:vertAlign w:val="superscript"/>
    </w:rPr>
  </w:style>
  <w:style w:type="paragraph" w:styleId="ListParagraph">
    <w:name w:val="List Paragraph"/>
    <w:basedOn w:val="Normal"/>
    <w:uiPriority w:val="34"/>
    <w:qFormat/>
    <w:rsid w:val="00D47D18"/>
    <w:pPr>
      <w:ind w:left="720"/>
      <w:contextualSpacing/>
    </w:pPr>
  </w:style>
  <w:style w:type="character" w:styleId="Hyperlink">
    <w:name w:val="Hyperlink"/>
    <w:basedOn w:val="DefaultParagraphFont"/>
    <w:uiPriority w:val="99"/>
    <w:unhideWhenUsed/>
    <w:rsid w:val="00292039"/>
    <w:rPr>
      <w:color w:val="0563C1" w:themeColor="hyperlink"/>
      <w:u w:val="single"/>
    </w:rPr>
  </w:style>
  <w:style w:type="character" w:styleId="FollowedHyperlink">
    <w:name w:val="FollowedHyperlink"/>
    <w:basedOn w:val="DefaultParagraphFont"/>
    <w:uiPriority w:val="99"/>
    <w:semiHidden/>
    <w:unhideWhenUsed/>
    <w:rsid w:val="001E2ACC"/>
    <w:rPr>
      <w:color w:val="954F72" w:themeColor="followedHyperlink"/>
      <w:u w:val="single"/>
    </w:rPr>
  </w:style>
  <w:style w:type="paragraph" w:styleId="Header">
    <w:name w:val="header"/>
    <w:basedOn w:val="Normal"/>
    <w:link w:val="HeaderChar"/>
    <w:uiPriority w:val="99"/>
    <w:unhideWhenUsed/>
    <w:rsid w:val="007E2E5A"/>
    <w:pPr>
      <w:tabs>
        <w:tab w:val="center" w:pos="4536"/>
        <w:tab w:val="right" w:pos="9072"/>
      </w:tabs>
      <w:spacing w:after="0" w:line="240" w:lineRule="auto"/>
    </w:pPr>
  </w:style>
  <w:style w:type="character" w:customStyle="1" w:styleId="HeaderChar">
    <w:name w:val="Header Char"/>
    <w:basedOn w:val="DefaultParagraphFont"/>
    <w:link w:val="Header"/>
    <w:uiPriority w:val="99"/>
    <w:rsid w:val="007E2E5A"/>
    <w:rPr>
      <w:lang w:val="nl-NL"/>
    </w:rPr>
  </w:style>
  <w:style w:type="paragraph" w:styleId="Footer">
    <w:name w:val="footer"/>
    <w:basedOn w:val="Normal"/>
    <w:link w:val="FooterChar"/>
    <w:uiPriority w:val="99"/>
    <w:unhideWhenUsed/>
    <w:rsid w:val="007E2E5A"/>
    <w:pPr>
      <w:tabs>
        <w:tab w:val="center" w:pos="4536"/>
        <w:tab w:val="right" w:pos="9072"/>
      </w:tabs>
      <w:spacing w:after="0" w:line="240" w:lineRule="auto"/>
    </w:pPr>
  </w:style>
  <w:style w:type="character" w:customStyle="1" w:styleId="FooterChar">
    <w:name w:val="Footer Char"/>
    <w:basedOn w:val="DefaultParagraphFont"/>
    <w:link w:val="Footer"/>
    <w:uiPriority w:val="99"/>
    <w:rsid w:val="007E2E5A"/>
    <w:rPr>
      <w:lang w:val="nl-NL"/>
    </w:rPr>
  </w:style>
  <w:style w:type="table" w:styleId="TableGrid">
    <w:name w:val="Table Grid"/>
    <w:basedOn w:val="TableNormal"/>
    <w:uiPriority w:val="39"/>
    <w:rsid w:val="004C5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04C40"/>
    <w:rPr>
      <w:color w:val="808080"/>
    </w:rPr>
  </w:style>
  <w:style w:type="table" w:customStyle="1" w:styleId="PlainTable1">
    <w:name w:val="Plain Table 1"/>
    <w:basedOn w:val="TableNormal"/>
    <w:uiPriority w:val="41"/>
    <w:rsid w:val="005F3BA5"/>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413820"/>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EA3F7B"/>
  </w:style>
  <w:style w:type="character" w:customStyle="1" w:styleId="Heading2Char">
    <w:name w:val="Heading 2 Char"/>
    <w:basedOn w:val="DefaultParagraphFont"/>
    <w:link w:val="Heading2"/>
    <w:uiPriority w:val="9"/>
    <w:rsid w:val="00413820"/>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413820"/>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413820"/>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413820"/>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413820"/>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413820"/>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413820"/>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413820"/>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413820"/>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413820"/>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413820"/>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413820"/>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413820"/>
    <w:rPr>
      <w:rFonts w:asciiTheme="majorHAnsi" w:eastAsiaTheme="majorEastAsia" w:hAnsiTheme="majorHAnsi" w:cstheme="majorBidi"/>
      <w:sz w:val="24"/>
      <w:szCs w:val="24"/>
    </w:rPr>
  </w:style>
  <w:style w:type="character" w:styleId="Strong">
    <w:name w:val="Strong"/>
    <w:basedOn w:val="DefaultParagraphFont"/>
    <w:uiPriority w:val="22"/>
    <w:qFormat/>
    <w:rsid w:val="00413820"/>
    <w:rPr>
      <w:b/>
      <w:bCs/>
    </w:rPr>
  </w:style>
  <w:style w:type="character" w:styleId="Emphasis">
    <w:name w:val="Emphasis"/>
    <w:basedOn w:val="DefaultParagraphFont"/>
    <w:uiPriority w:val="20"/>
    <w:qFormat/>
    <w:rsid w:val="00413820"/>
    <w:rPr>
      <w:i/>
      <w:iCs/>
    </w:rPr>
  </w:style>
  <w:style w:type="paragraph" w:styleId="NoSpacing">
    <w:name w:val="No Spacing"/>
    <w:uiPriority w:val="1"/>
    <w:qFormat/>
    <w:rsid w:val="00413820"/>
    <w:pPr>
      <w:spacing w:after="0" w:line="240" w:lineRule="auto"/>
    </w:pPr>
  </w:style>
  <w:style w:type="paragraph" w:styleId="Quote">
    <w:name w:val="Quote"/>
    <w:basedOn w:val="Normal"/>
    <w:next w:val="Normal"/>
    <w:link w:val="QuoteChar"/>
    <w:uiPriority w:val="29"/>
    <w:qFormat/>
    <w:rsid w:val="00413820"/>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13820"/>
    <w:rPr>
      <w:i/>
      <w:iCs/>
      <w:color w:val="404040" w:themeColor="text1" w:themeTint="BF"/>
    </w:rPr>
  </w:style>
  <w:style w:type="paragraph" w:styleId="IntenseQuote">
    <w:name w:val="Intense Quote"/>
    <w:basedOn w:val="Normal"/>
    <w:next w:val="Normal"/>
    <w:link w:val="IntenseQuoteChar"/>
    <w:uiPriority w:val="30"/>
    <w:qFormat/>
    <w:rsid w:val="00413820"/>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413820"/>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413820"/>
    <w:rPr>
      <w:i/>
      <w:iCs/>
      <w:color w:val="404040" w:themeColor="text1" w:themeTint="BF"/>
    </w:rPr>
  </w:style>
  <w:style w:type="character" w:styleId="IntenseEmphasis">
    <w:name w:val="Intense Emphasis"/>
    <w:basedOn w:val="DefaultParagraphFont"/>
    <w:uiPriority w:val="21"/>
    <w:qFormat/>
    <w:rsid w:val="00413820"/>
    <w:rPr>
      <w:b/>
      <w:bCs/>
      <w:i/>
      <w:iCs/>
    </w:rPr>
  </w:style>
  <w:style w:type="character" w:styleId="SubtleReference">
    <w:name w:val="Subtle Reference"/>
    <w:basedOn w:val="DefaultParagraphFont"/>
    <w:uiPriority w:val="31"/>
    <w:qFormat/>
    <w:rsid w:val="00413820"/>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13820"/>
    <w:rPr>
      <w:b/>
      <w:bCs/>
      <w:smallCaps/>
      <w:spacing w:val="5"/>
      <w:u w:val="single"/>
    </w:rPr>
  </w:style>
  <w:style w:type="character" w:styleId="BookTitle">
    <w:name w:val="Book Title"/>
    <w:basedOn w:val="DefaultParagraphFont"/>
    <w:uiPriority w:val="33"/>
    <w:qFormat/>
    <w:rsid w:val="00413820"/>
    <w:rPr>
      <w:b/>
      <w:bCs/>
      <w:smallCaps/>
    </w:rPr>
  </w:style>
  <w:style w:type="paragraph" w:styleId="TOCHeading">
    <w:name w:val="TOC Heading"/>
    <w:basedOn w:val="Heading1"/>
    <w:next w:val="Normal"/>
    <w:uiPriority w:val="39"/>
    <w:unhideWhenUsed/>
    <w:qFormat/>
    <w:rsid w:val="00413820"/>
    <w:pPr>
      <w:outlineLvl w:val="9"/>
    </w:pPr>
  </w:style>
  <w:style w:type="paragraph" w:styleId="TOC2">
    <w:name w:val="toc 2"/>
    <w:basedOn w:val="Normal"/>
    <w:next w:val="Normal"/>
    <w:autoRedefine/>
    <w:uiPriority w:val="39"/>
    <w:unhideWhenUsed/>
    <w:rsid w:val="00955D5F"/>
    <w:pPr>
      <w:spacing w:after="100" w:line="259" w:lineRule="auto"/>
      <w:ind w:left="220"/>
    </w:pPr>
    <w:rPr>
      <w:rFonts w:cs="Times New Roman"/>
      <w:sz w:val="22"/>
      <w:szCs w:val="22"/>
      <w:lang w:eastAsia="en-GB"/>
    </w:rPr>
  </w:style>
  <w:style w:type="paragraph" w:styleId="TOC1">
    <w:name w:val="toc 1"/>
    <w:basedOn w:val="Normal"/>
    <w:next w:val="Normal"/>
    <w:autoRedefine/>
    <w:uiPriority w:val="39"/>
    <w:unhideWhenUsed/>
    <w:rsid w:val="00955D5F"/>
    <w:pPr>
      <w:spacing w:after="100" w:line="259" w:lineRule="auto"/>
    </w:pPr>
    <w:rPr>
      <w:rFonts w:cs="Times New Roman"/>
      <w:sz w:val="22"/>
      <w:szCs w:val="22"/>
      <w:lang w:eastAsia="en-GB"/>
    </w:rPr>
  </w:style>
  <w:style w:type="paragraph" w:styleId="TOC3">
    <w:name w:val="toc 3"/>
    <w:basedOn w:val="Normal"/>
    <w:next w:val="Normal"/>
    <w:autoRedefine/>
    <w:uiPriority w:val="39"/>
    <w:unhideWhenUsed/>
    <w:rsid w:val="00955D5F"/>
    <w:pPr>
      <w:spacing w:after="100" w:line="259" w:lineRule="auto"/>
      <w:ind w:left="440"/>
    </w:pPr>
    <w:rPr>
      <w:rFonts w:cs="Times New Roman"/>
      <w:sz w:val="22"/>
      <w:szCs w:val="22"/>
      <w:lang w:eastAsia="en-GB"/>
    </w:rPr>
  </w:style>
  <w:style w:type="paragraph" w:styleId="BalloonText">
    <w:name w:val="Balloon Text"/>
    <w:basedOn w:val="Normal"/>
    <w:link w:val="BalloonTextChar"/>
    <w:uiPriority w:val="99"/>
    <w:semiHidden/>
    <w:unhideWhenUsed/>
    <w:rsid w:val="00FF07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705"/>
    <w:rPr>
      <w:rFonts w:ascii="Tahoma" w:hAnsi="Tahoma" w:cs="Tahoma"/>
      <w:sz w:val="16"/>
      <w:szCs w:val="16"/>
      <w:lang w:val="nl-NL"/>
    </w:rPr>
  </w:style>
</w:styles>
</file>

<file path=word/webSettings.xml><?xml version="1.0" encoding="utf-8"?>
<w:webSettings xmlns:r="http://schemas.openxmlformats.org/officeDocument/2006/relationships" xmlns:w="http://schemas.openxmlformats.org/wordprocessingml/2006/main">
  <w:divs>
    <w:div w:id="4402681">
      <w:bodyDiv w:val="1"/>
      <w:marLeft w:val="0"/>
      <w:marRight w:val="0"/>
      <w:marTop w:val="0"/>
      <w:marBottom w:val="0"/>
      <w:divBdr>
        <w:top w:val="none" w:sz="0" w:space="0" w:color="auto"/>
        <w:left w:val="none" w:sz="0" w:space="0" w:color="auto"/>
        <w:bottom w:val="none" w:sz="0" w:space="0" w:color="auto"/>
        <w:right w:val="none" w:sz="0" w:space="0" w:color="auto"/>
      </w:divBdr>
    </w:div>
    <w:div w:id="8412578">
      <w:bodyDiv w:val="1"/>
      <w:marLeft w:val="0"/>
      <w:marRight w:val="0"/>
      <w:marTop w:val="0"/>
      <w:marBottom w:val="0"/>
      <w:divBdr>
        <w:top w:val="none" w:sz="0" w:space="0" w:color="auto"/>
        <w:left w:val="none" w:sz="0" w:space="0" w:color="auto"/>
        <w:bottom w:val="none" w:sz="0" w:space="0" w:color="auto"/>
        <w:right w:val="none" w:sz="0" w:space="0" w:color="auto"/>
      </w:divBdr>
    </w:div>
    <w:div w:id="9334964">
      <w:bodyDiv w:val="1"/>
      <w:marLeft w:val="0"/>
      <w:marRight w:val="0"/>
      <w:marTop w:val="0"/>
      <w:marBottom w:val="0"/>
      <w:divBdr>
        <w:top w:val="none" w:sz="0" w:space="0" w:color="auto"/>
        <w:left w:val="none" w:sz="0" w:space="0" w:color="auto"/>
        <w:bottom w:val="none" w:sz="0" w:space="0" w:color="auto"/>
        <w:right w:val="none" w:sz="0" w:space="0" w:color="auto"/>
      </w:divBdr>
    </w:div>
    <w:div w:id="16279244">
      <w:bodyDiv w:val="1"/>
      <w:marLeft w:val="0"/>
      <w:marRight w:val="0"/>
      <w:marTop w:val="0"/>
      <w:marBottom w:val="0"/>
      <w:divBdr>
        <w:top w:val="none" w:sz="0" w:space="0" w:color="auto"/>
        <w:left w:val="none" w:sz="0" w:space="0" w:color="auto"/>
        <w:bottom w:val="none" w:sz="0" w:space="0" w:color="auto"/>
        <w:right w:val="none" w:sz="0" w:space="0" w:color="auto"/>
      </w:divBdr>
    </w:div>
    <w:div w:id="18819499">
      <w:bodyDiv w:val="1"/>
      <w:marLeft w:val="0"/>
      <w:marRight w:val="0"/>
      <w:marTop w:val="0"/>
      <w:marBottom w:val="0"/>
      <w:divBdr>
        <w:top w:val="none" w:sz="0" w:space="0" w:color="auto"/>
        <w:left w:val="none" w:sz="0" w:space="0" w:color="auto"/>
        <w:bottom w:val="none" w:sz="0" w:space="0" w:color="auto"/>
        <w:right w:val="none" w:sz="0" w:space="0" w:color="auto"/>
      </w:divBdr>
    </w:div>
    <w:div w:id="22632780">
      <w:bodyDiv w:val="1"/>
      <w:marLeft w:val="0"/>
      <w:marRight w:val="0"/>
      <w:marTop w:val="0"/>
      <w:marBottom w:val="0"/>
      <w:divBdr>
        <w:top w:val="none" w:sz="0" w:space="0" w:color="auto"/>
        <w:left w:val="none" w:sz="0" w:space="0" w:color="auto"/>
        <w:bottom w:val="none" w:sz="0" w:space="0" w:color="auto"/>
        <w:right w:val="none" w:sz="0" w:space="0" w:color="auto"/>
      </w:divBdr>
    </w:div>
    <w:div w:id="24408528">
      <w:bodyDiv w:val="1"/>
      <w:marLeft w:val="0"/>
      <w:marRight w:val="0"/>
      <w:marTop w:val="0"/>
      <w:marBottom w:val="0"/>
      <w:divBdr>
        <w:top w:val="none" w:sz="0" w:space="0" w:color="auto"/>
        <w:left w:val="none" w:sz="0" w:space="0" w:color="auto"/>
        <w:bottom w:val="none" w:sz="0" w:space="0" w:color="auto"/>
        <w:right w:val="none" w:sz="0" w:space="0" w:color="auto"/>
      </w:divBdr>
    </w:div>
    <w:div w:id="25298851">
      <w:bodyDiv w:val="1"/>
      <w:marLeft w:val="0"/>
      <w:marRight w:val="0"/>
      <w:marTop w:val="0"/>
      <w:marBottom w:val="0"/>
      <w:divBdr>
        <w:top w:val="none" w:sz="0" w:space="0" w:color="auto"/>
        <w:left w:val="none" w:sz="0" w:space="0" w:color="auto"/>
        <w:bottom w:val="none" w:sz="0" w:space="0" w:color="auto"/>
        <w:right w:val="none" w:sz="0" w:space="0" w:color="auto"/>
      </w:divBdr>
    </w:div>
    <w:div w:id="26684356">
      <w:bodyDiv w:val="1"/>
      <w:marLeft w:val="0"/>
      <w:marRight w:val="0"/>
      <w:marTop w:val="0"/>
      <w:marBottom w:val="0"/>
      <w:divBdr>
        <w:top w:val="none" w:sz="0" w:space="0" w:color="auto"/>
        <w:left w:val="none" w:sz="0" w:space="0" w:color="auto"/>
        <w:bottom w:val="none" w:sz="0" w:space="0" w:color="auto"/>
        <w:right w:val="none" w:sz="0" w:space="0" w:color="auto"/>
      </w:divBdr>
    </w:div>
    <w:div w:id="27730719">
      <w:bodyDiv w:val="1"/>
      <w:marLeft w:val="0"/>
      <w:marRight w:val="0"/>
      <w:marTop w:val="0"/>
      <w:marBottom w:val="0"/>
      <w:divBdr>
        <w:top w:val="none" w:sz="0" w:space="0" w:color="auto"/>
        <w:left w:val="none" w:sz="0" w:space="0" w:color="auto"/>
        <w:bottom w:val="none" w:sz="0" w:space="0" w:color="auto"/>
        <w:right w:val="none" w:sz="0" w:space="0" w:color="auto"/>
      </w:divBdr>
    </w:div>
    <w:div w:id="29647563">
      <w:bodyDiv w:val="1"/>
      <w:marLeft w:val="0"/>
      <w:marRight w:val="0"/>
      <w:marTop w:val="0"/>
      <w:marBottom w:val="0"/>
      <w:divBdr>
        <w:top w:val="none" w:sz="0" w:space="0" w:color="auto"/>
        <w:left w:val="none" w:sz="0" w:space="0" w:color="auto"/>
        <w:bottom w:val="none" w:sz="0" w:space="0" w:color="auto"/>
        <w:right w:val="none" w:sz="0" w:space="0" w:color="auto"/>
      </w:divBdr>
    </w:div>
    <w:div w:id="34275335">
      <w:bodyDiv w:val="1"/>
      <w:marLeft w:val="0"/>
      <w:marRight w:val="0"/>
      <w:marTop w:val="0"/>
      <w:marBottom w:val="0"/>
      <w:divBdr>
        <w:top w:val="none" w:sz="0" w:space="0" w:color="auto"/>
        <w:left w:val="none" w:sz="0" w:space="0" w:color="auto"/>
        <w:bottom w:val="none" w:sz="0" w:space="0" w:color="auto"/>
        <w:right w:val="none" w:sz="0" w:space="0" w:color="auto"/>
      </w:divBdr>
    </w:div>
    <w:div w:id="34815759">
      <w:bodyDiv w:val="1"/>
      <w:marLeft w:val="0"/>
      <w:marRight w:val="0"/>
      <w:marTop w:val="0"/>
      <w:marBottom w:val="0"/>
      <w:divBdr>
        <w:top w:val="none" w:sz="0" w:space="0" w:color="auto"/>
        <w:left w:val="none" w:sz="0" w:space="0" w:color="auto"/>
        <w:bottom w:val="none" w:sz="0" w:space="0" w:color="auto"/>
        <w:right w:val="none" w:sz="0" w:space="0" w:color="auto"/>
      </w:divBdr>
    </w:div>
    <w:div w:id="36050587">
      <w:bodyDiv w:val="1"/>
      <w:marLeft w:val="0"/>
      <w:marRight w:val="0"/>
      <w:marTop w:val="0"/>
      <w:marBottom w:val="0"/>
      <w:divBdr>
        <w:top w:val="none" w:sz="0" w:space="0" w:color="auto"/>
        <w:left w:val="none" w:sz="0" w:space="0" w:color="auto"/>
        <w:bottom w:val="none" w:sz="0" w:space="0" w:color="auto"/>
        <w:right w:val="none" w:sz="0" w:space="0" w:color="auto"/>
      </w:divBdr>
    </w:div>
    <w:div w:id="36249101">
      <w:bodyDiv w:val="1"/>
      <w:marLeft w:val="0"/>
      <w:marRight w:val="0"/>
      <w:marTop w:val="0"/>
      <w:marBottom w:val="0"/>
      <w:divBdr>
        <w:top w:val="none" w:sz="0" w:space="0" w:color="auto"/>
        <w:left w:val="none" w:sz="0" w:space="0" w:color="auto"/>
        <w:bottom w:val="none" w:sz="0" w:space="0" w:color="auto"/>
        <w:right w:val="none" w:sz="0" w:space="0" w:color="auto"/>
      </w:divBdr>
    </w:div>
    <w:div w:id="39288122">
      <w:bodyDiv w:val="1"/>
      <w:marLeft w:val="0"/>
      <w:marRight w:val="0"/>
      <w:marTop w:val="0"/>
      <w:marBottom w:val="0"/>
      <w:divBdr>
        <w:top w:val="none" w:sz="0" w:space="0" w:color="auto"/>
        <w:left w:val="none" w:sz="0" w:space="0" w:color="auto"/>
        <w:bottom w:val="none" w:sz="0" w:space="0" w:color="auto"/>
        <w:right w:val="none" w:sz="0" w:space="0" w:color="auto"/>
      </w:divBdr>
    </w:div>
    <w:div w:id="40056915">
      <w:bodyDiv w:val="1"/>
      <w:marLeft w:val="0"/>
      <w:marRight w:val="0"/>
      <w:marTop w:val="0"/>
      <w:marBottom w:val="0"/>
      <w:divBdr>
        <w:top w:val="none" w:sz="0" w:space="0" w:color="auto"/>
        <w:left w:val="none" w:sz="0" w:space="0" w:color="auto"/>
        <w:bottom w:val="none" w:sz="0" w:space="0" w:color="auto"/>
        <w:right w:val="none" w:sz="0" w:space="0" w:color="auto"/>
      </w:divBdr>
    </w:div>
    <w:div w:id="40137830">
      <w:bodyDiv w:val="1"/>
      <w:marLeft w:val="0"/>
      <w:marRight w:val="0"/>
      <w:marTop w:val="0"/>
      <w:marBottom w:val="0"/>
      <w:divBdr>
        <w:top w:val="none" w:sz="0" w:space="0" w:color="auto"/>
        <w:left w:val="none" w:sz="0" w:space="0" w:color="auto"/>
        <w:bottom w:val="none" w:sz="0" w:space="0" w:color="auto"/>
        <w:right w:val="none" w:sz="0" w:space="0" w:color="auto"/>
      </w:divBdr>
    </w:div>
    <w:div w:id="42678905">
      <w:bodyDiv w:val="1"/>
      <w:marLeft w:val="0"/>
      <w:marRight w:val="0"/>
      <w:marTop w:val="0"/>
      <w:marBottom w:val="0"/>
      <w:divBdr>
        <w:top w:val="none" w:sz="0" w:space="0" w:color="auto"/>
        <w:left w:val="none" w:sz="0" w:space="0" w:color="auto"/>
        <w:bottom w:val="none" w:sz="0" w:space="0" w:color="auto"/>
        <w:right w:val="none" w:sz="0" w:space="0" w:color="auto"/>
      </w:divBdr>
    </w:div>
    <w:div w:id="42948650">
      <w:bodyDiv w:val="1"/>
      <w:marLeft w:val="0"/>
      <w:marRight w:val="0"/>
      <w:marTop w:val="0"/>
      <w:marBottom w:val="0"/>
      <w:divBdr>
        <w:top w:val="none" w:sz="0" w:space="0" w:color="auto"/>
        <w:left w:val="none" w:sz="0" w:space="0" w:color="auto"/>
        <w:bottom w:val="none" w:sz="0" w:space="0" w:color="auto"/>
        <w:right w:val="none" w:sz="0" w:space="0" w:color="auto"/>
      </w:divBdr>
    </w:div>
    <w:div w:id="44531706">
      <w:bodyDiv w:val="1"/>
      <w:marLeft w:val="0"/>
      <w:marRight w:val="0"/>
      <w:marTop w:val="0"/>
      <w:marBottom w:val="0"/>
      <w:divBdr>
        <w:top w:val="none" w:sz="0" w:space="0" w:color="auto"/>
        <w:left w:val="none" w:sz="0" w:space="0" w:color="auto"/>
        <w:bottom w:val="none" w:sz="0" w:space="0" w:color="auto"/>
        <w:right w:val="none" w:sz="0" w:space="0" w:color="auto"/>
      </w:divBdr>
    </w:div>
    <w:div w:id="50469935">
      <w:bodyDiv w:val="1"/>
      <w:marLeft w:val="0"/>
      <w:marRight w:val="0"/>
      <w:marTop w:val="0"/>
      <w:marBottom w:val="0"/>
      <w:divBdr>
        <w:top w:val="none" w:sz="0" w:space="0" w:color="auto"/>
        <w:left w:val="none" w:sz="0" w:space="0" w:color="auto"/>
        <w:bottom w:val="none" w:sz="0" w:space="0" w:color="auto"/>
        <w:right w:val="none" w:sz="0" w:space="0" w:color="auto"/>
      </w:divBdr>
    </w:div>
    <w:div w:id="52049434">
      <w:bodyDiv w:val="1"/>
      <w:marLeft w:val="0"/>
      <w:marRight w:val="0"/>
      <w:marTop w:val="0"/>
      <w:marBottom w:val="0"/>
      <w:divBdr>
        <w:top w:val="none" w:sz="0" w:space="0" w:color="auto"/>
        <w:left w:val="none" w:sz="0" w:space="0" w:color="auto"/>
        <w:bottom w:val="none" w:sz="0" w:space="0" w:color="auto"/>
        <w:right w:val="none" w:sz="0" w:space="0" w:color="auto"/>
      </w:divBdr>
    </w:div>
    <w:div w:id="53235800">
      <w:bodyDiv w:val="1"/>
      <w:marLeft w:val="0"/>
      <w:marRight w:val="0"/>
      <w:marTop w:val="0"/>
      <w:marBottom w:val="0"/>
      <w:divBdr>
        <w:top w:val="none" w:sz="0" w:space="0" w:color="auto"/>
        <w:left w:val="none" w:sz="0" w:space="0" w:color="auto"/>
        <w:bottom w:val="none" w:sz="0" w:space="0" w:color="auto"/>
        <w:right w:val="none" w:sz="0" w:space="0" w:color="auto"/>
      </w:divBdr>
    </w:div>
    <w:div w:id="55124878">
      <w:bodyDiv w:val="1"/>
      <w:marLeft w:val="0"/>
      <w:marRight w:val="0"/>
      <w:marTop w:val="0"/>
      <w:marBottom w:val="0"/>
      <w:divBdr>
        <w:top w:val="none" w:sz="0" w:space="0" w:color="auto"/>
        <w:left w:val="none" w:sz="0" w:space="0" w:color="auto"/>
        <w:bottom w:val="none" w:sz="0" w:space="0" w:color="auto"/>
        <w:right w:val="none" w:sz="0" w:space="0" w:color="auto"/>
      </w:divBdr>
    </w:div>
    <w:div w:id="55131712">
      <w:bodyDiv w:val="1"/>
      <w:marLeft w:val="0"/>
      <w:marRight w:val="0"/>
      <w:marTop w:val="0"/>
      <w:marBottom w:val="0"/>
      <w:divBdr>
        <w:top w:val="none" w:sz="0" w:space="0" w:color="auto"/>
        <w:left w:val="none" w:sz="0" w:space="0" w:color="auto"/>
        <w:bottom w:val="none" w:sz="0" w:space="0" w:color="auto"/>
        <w:right w:val="none" w:sz="0" w:space="0" w:color="auto"/>
      </w:divBdr>
    </w:div>
    <w:div w:id="65807502">
      <w:bodyDiv w:val="1"/>
      <w:marLeft w:val="0"/>
      <w:marRight w:val="0"/>
      <w:marTop w:val="0"/>
      <w:marBottom w:val="0"/>
      <w:divBdr>
        <w:top w:val="none" w:sz="0" w:space="0" w:color="auto"/>
        <w:left w:val="none" w:sz="0" w:space="0" w:color="auto"/>
        <w:bottom w:val="none" w:sz="0" w:space="0" w:color="auto"/>
        <w:right w:val="none" w:sz="0" w:space="0" w:color="auto"/>
      </w:divBdr>
    </w:div>
    <w:div w:id="76488792">
      <w:bodyDiv w:val="1"/>
      <w:marLeft w:val="0"/>
      <w:marRight w:val="0"/>
      <w:marTop w:val="0"/>
      <w:marBottom w:val="0"/>
      <w:divBdr>
        <w:top w:val="none" w:sz="0" w:space="0" w:color="auto"/>
        <w:left w:val="none" w:sz="0" w:space="0" w:color="auto"/>
        <w:bottom w:val="none" w:sz="0" w:space="0" w:color="auto"/>
        <w:right w:val="none" w:sz="0" w:space="0" w:color="auto"/>
      </w:divBdr>
    </w:div>
    <w:div w:id="81151508">
      <w:bodyDiv w:val="1"/>
      <w:marLeft w:val="0"/>
      <w:marRight w:val="0"/>
      <w:marTop w:val="0"/>
      <w:marBottom w:val="0"/>
      <w:divBdr>
        <w:top w:val="none" w:sz="0" w:space="0" w:color="auto"/>
        <w:left w:val="none" w:sz="0" w:space="0" w:color="auto"/>
        <w:bottom w:val="none" w:sz="0" w:space="0" w:color="auto"/>
        <w:right w:val="none" w:sz="0" w:space="0" w:color="auto"/>
      </w:divBdr>
    </w:div>
    <w:div w:id="83036891">
      <w:bodyDiv w:val="1"/>
      <w:marLeft w:val="0"/>
      <w:marRight w:val="0"/>
      <w:marTop w:val="0"/>
      <w:marBottom w:val="0"/>
      <w:divBdr>
        <w:top w:val="none" w:sz="0" w:space="0" w:color="auto"/>
        <w:left w:val="none" w:sz="0" w:space="0" w:color="auto"/>
        <w:bottom w:val="none" w:sz="0" w:space="0" w:color="auto"/>
        <w:right w:val="none" w:sz="0" w:space="0" w:color="auto"/>
      </w:divBdr>
    </w:div>
    <w:div w:id="84152871">
      <w:bodyDiv w:val="1"/>
      <w:marLeft w:val="0"/>
      <w:marRight w:val="0"/>
      <w:marTop w:val="0"/>
      <w:marBottom w:val="0"/>
      <w:divBdr>
        <w:top w:val="none" w:sz="0" w:space="0" w:color="auto"/>
        <w:left w:val="none" w:sz="0" w:space="0" w:color="auto"/>
        <w:bottom w:val="none" w:sz="0" w:space="0" w:color="auto"/>
        <w:right w:val="none" w:sz="0" w:space="0" w:color="auto"/>
      </w:divBdr>
    </w:div>
    <w:div w:id="86199254">
      <w:bodyDiv w:val="1"/>
      <w:marLeft w:val="0"/>
      <w:marRight w:val="0"/>
      <w:marTop w:val="0"/>
      <w:marBottom w:val="0"/>
      <w:divBdr>
        <w:top w:val="none" w:sz="0" w:space="0" w:color="auto"/>
        <w:left w:val="none" w:sz="0" w:space="0" w:color="auto"/>
        <w:bottom w:val="none" w:sz="0" w:space="0" w:color="auto"/>
        <w:right w:val="none" w:sz="0" w:space="0" w:color="auto"/>
      </w:divBdr>
    </w:div>
    <w:div w:id="88359018">
      <w:bodyDiv w:val="1"/>
      <w:marLeft w:val="0"/>
      <w:marRight w:val="0"/>
      <w:marTop w:val="0"/>
      <w:marBottom w:val="0"/>
      <w:divBdr>
        <w:top w:val="none" w:sz="0" w:space="0" w:color="auto"/>
        <w:left w:val="none" w:sz="0" w:space="0" w:color="auto"/>
        <w:bottom w:val="none" w:sz="0" w:space="0" w:color="auto"/>
        <w:right w:val="none" w:sz="0" w:space="0" w:color="auto"/>
      </w:divBdr>
    </w:div>
    <w:div w:id="88552739">
      <w:bodyDiv w:val="1"/>
      <w:marLeft w:val="0"/>
      <w:marRight w:val="0"/>
      <w:marTop w:val="0"/>
      <w:marBottom w:val="0"/>
      <w:divBdr>
        <w:top w:val="none" w:sz="0" w:space="0" w:color="auto"/>
        <w:left w:val="none" w:sz="0" w:space="0" w:color="auto"/>
        <w:bottom w:val="none" w:sz="0" w:space="0" w:color="auto"/>
        <w:right w:val="none" w:sz="0" w:space="0" w:color="auto"/>
      </w:divBdr>
    </w:div>
    <w:div w:id="88896910">
      <w:bodyDiv w:val="1"/>
      <w:marLeft w:val="0"/>
      <w:marRight w:val="0"/>
      <w:marTop w:val="0"/>
      <w:marBottom w:val="0"/>
      <w:divBdr>
        <w:top w:val="none" w:sz="0" w:space="0" w:color="auto"/>
        <w:left w:val="none" w:sz="0" w:space="0" w:color="auto"/>
        <w:bottom w:val="none" w:sz="0" w:space="0" w:color="auto"/>
        <w:right w:val="none" w:sz="0" w:space="0" w:color="auto"/>
      </w:divBdr>
    </w:div>
    <w:div w:id="89083771">
      <w:bodyDiv w:val="1"/>
      <w:marLeft w:val="0"/>
      <w:marRight w:val="0"/>
      <w:marTop w:val="0"/>
      <w:marBottom w:val="0"/>
      <w:divBdr>
        <w:top w:val="none" w:sz="0" w:space="0" w:color="auto"/>
        <w:left w:val="none" w:sz="0" w:space="0" w:color="auto"/>
        <w:bottom w:val="none" w:sz="0" w:space="0" w:color="auto"/>
        <w:right w:val="none" w:sz="0" w:space="0" w:color="auto"/>
      </w:divBdr>
    </w:div>
    <w:div w:id="93323801">
      <w:bodyDiv w:val="1"/>
      <w:marLeft w:val="0"/>
      <w:marRight w:val="0"/>
      <w:marTop w:val="0"/>
      <w:marBottom w:val="0"/>
      <w:divBdr>
        <w:top w:val="none" w:sz="0" w:space="0" w:color="auto"/>
        <w:left w:val="none" w:sz="0" w:space="0" w:color="auto"/>
        <w:bottom w:val="none" w:sz="0" w:space="0" w:color="auto"/>
        <w:right w:val="none" w:sz="0" w:space="0" w:color="auto"/>
      </w:divBdr>
    </w:div>
    <w:div w:id="96756658">
      <w:bodyDiv w:val="1"/>
      <w:marLeft w:val="0"/>
      <w:marRight w:val="0"/>
      <w:marTop w:val="0"/>
      <w:marBottom w:val="0"/>
      <w:divBdr>
        <w:top w:val="none" w:sz="0" w:space="0" w:color="auto"/>
        <w:left w:val="none" w:sz="0" w:space="0" w:color="auto"/>
        <w:bottom w:val="none" w:sz="0" w:space="0" w:color="auto"/>
        <w:right w:val="none" w:sz="0" w:space="0" w:color="auto"/>
      </w:divBdr>
    </w:div>
    <w:div w:id="96868927">
      <w:bodyDiv w:val="1"/>
      <w:marLeft w:val="0"/>
      <w:marRight w:val="0"/>
      <w:marTop w:val="0"/>
      <w:marBottom w:val="0"/>
      <w:divBdr>
        <w:top w:val="none" w:sz="0" w:space="0" w:color="auto"/>
        <w:left w:val="none" w:sz="0" w:space="0" w:color="auto"/>
        <w:bottom w:val="none" w:sz="0" w:space="0" w:color="auto"/>
        <w:right w:val="none" w:sz="0" w:space="0" w:color="auto"/>
      </w:divBdr>
    </w:div>
    <w:div w:id="98646422">
      <w:bodyDiv w:val="1"/>
      <w:marLeft w:val="0"/>
      <w:marRight w:val="0"/>
      <w:marTop w:val="0"/>
      <w:marBottom w:val="0"/>
      <w:divBdr>
        <w:top w:val="none" w:sz="0" w:space="0" w:color="auto"/>
        <w:left w:val="none" w:sz="0" w:space="0" w:color="auto"/>
        <w:bottom w:val="none" w:sz="0" w:space="0" w:color="auto"/>
        <w:right w:val="none" w:sz="0" w:space="0" w:color="auto"/>
      </w:divBdr>
    </w:div>
    <w:div w:id="101342840">
      <w:bodyDiv w:val="1"/>
      <w:marLeft w:val="0"/>
      <w:marRight w:val="0"/>
      <w:marTop w:val="0"/>
      <w:marBottom w:val="0"/>
      <w:divBdr>
        <w:top w:val="none" w:sz="0" w:space="0" w:color="auto"/>
        <w:left w:val="none" w:sz="0" w:space="0" w:color="auto"/>
        <w:bottom w:val="none" w:sz="0" w:space="0" w:color="auto"/>
        <w:right w:val="none" w:sz="0" w:space="0" w:color="auto"/>
      </w:divBdr>
    </w:div>
    <w:div w:id="101540214">
      <w:bodyDiv w:val="1"/>
      <w:marLeft w:val="0"/>
      <w:marRight w:val="0"/>
      <w:marTop w:val="0"/>
      <w:marBottom w:val="0"/>
      <w:divBdr>
        <w:top w:val="none" w:sz="0" w:space="0" w:color="auto"/>
        <w:left w:val="none" w:sz="0" w:space="0" w:color="auto"/>
        <w:bottom w:val="none" w:sz="0" w:space="0" w:color="auto"/>
        <w:right w:val="none" w:sz="0" w:space="0" w:color="auto"/>
      </w:divBdr>
    </w:div>
    <w:div w:id="102266834">
      <w:bodyDiv w:val="1"/>
      <w:marLeft w:val="0"/>
      <w:marRight w:val="0"/>
      <w:marTop w:val="0"/>
      <w:marBottom w:val="0"/>
      <w:divBdr>
        <w:top w:val="none" w:sz="0" w:space="0" w:color="auto"/>
        <w:left w:val="none" w:sz="0" w:space="0" w:color="auto"/>
        <w:bottom w:val="none" w:sz="0" w:space="0" w:color="auto"/>
        <w:right w:val="none" w:sz="0" w:space="0" w:color="auto"/>
      </w:divBdr>
    </w:div>
    <w:div w:id="104007167">
      <w:bodyDiv w:val="1"/>
      <w:marLeft w:val="0"/>
      <w:marRight w:val="0"/>
      <w:marTop w:val="0"/>
      <w:marBottom w:val="0"/>
      <w:divBdr>
        <w:top w:val="none" w:sz="0" w:space="0" w:color="auto"/>
        <w:left w:val="none" w:sz="0" w:space="0" w:color="auto"/>
        <w:bottom w:val="none" w:sz="0" w:space="0" w:color="auto"/>
        <w:right w:val="none" w:sz="0" w:space="0" w:color="auto"/>
      </w:divBdr>
    </w:div>
    <w:div w:id="104077295">
      <w:bodyDiv w:val="1"/>
      <w:marLeft w:val="0"/>
      <w:marRight w:val="0"/>
      <w:marTop w:val="0"/>
      <w:marBottom w:val="0"/>
      <w:divBdr>
        <w:top w:val="none" w:sz="0" w:space="0" w:color="auto"/>
        <w:left w:val="none" w:sz="0" w:space="0" w:color="auto"/>
        <w:bottom w:val="none" w:sz="0" w:space="0" w:color="auto"/>
        <w:right w:val="none" w:sz="0" w:space="0" w:color="auto"/>
      </w:divBdr>
    </w:div>
    <w:div w:id="109208763">
      <w:bodyDiv w:val="1"/>
      <w:marLeft w:val="0"/>
      <w:marRight w:val="0"/>
      <w:marTop w:val="0"/>
      <w:marBottom w:val="0"/>
      <w:divBdr>
        <w:top w:val="none" w:sz="0" w:space="0" w:color="auto"/>
        <w:left w:val="none" w:sz="0" w:space="0" w:color="auto"/>
        <w:bottom w:val="none" w:sz="0" w:space="0" w:color="auto"/>
        <w:right w:val="none" w:sz="0" w:space="0" w:color="auto"/>
      </w:divBdr>
    </w:div>
    <w:div w:id="109857474">
      <w:bodyDiv w:val="1"/>
      <w:marLeft w:val="0"/>
      <w:marRight w:val="0"/>
      <w:marTop w:val="0"/>
      <w:marBottom w:val="0"/>
      <w:divBdr>
        <w:top w:val="none" w:sz="0" w:space="0" w:color="auto"/>
        <w:left w:val="none" w:sz="0" w:space="0" w:color="auto"/>
        <w:bottom w:val="none" w:sz="0" w:space="0" w:color="auto"/>
        <w:right w:val="none" w:sz="0" w:space="0" w:color="auto"/>
      </w:divBdr>
    </w:div>
    <w:div w:id="109905482">
      <w:bodyDiv w:val="1"/>
      <w:marLeft w:val="0"/>
      <w:marRight w:val="0"/>
      <w:marTop w:val="0"/>
      <w:marBottom w:val="0"/>
      <w:divBdr>
        <w:top w:val="none" w:sz="0" w:space="0" w:color="auto"/>
        <w:left w:val="none" w:sz="0" w:space="0" w:color="auto"/>
        <w:bottom w:val="none" w:sz="0" w:space="0" w:color="auto"/>
        <w:right w:val="none" w:sz="0" w:space="0" w:color="auto"/>
      </w:divBdr>
    </w:div>
    <w:div w:id="111099813">
      <w:bodyDiv w:val="1"/>
      <w:marLeft w:val="0"/>
      <w:marRight w:val="0"/>
      <w:marTop w:val="0"/>
      <w:marBottom w:val="0"/>
      <w:divBdr>
        <w:top w:val="none" w:sz="0" w:space="0" w:color="auto"/>
        <w:left w:val="none" w:sz="0" w:space="0" w:color="auto"/>
        <w:bottom w:val="none" w:sz="0" w:space="0" w:color="auto"/>
        <w:right w:val="none" w:sz="0" w:space="0" w:color="auto"/>
      </w:divBdr>
    </w:div>
    <w:div w:id="112292827">
      <w:bodyDiv w:val="1"/>
      <w:marLeft w:val="0"/>
      <w:marRight w:val="0"/>
      <w:marTop w:val="0"/>
      <w:marBottom w:val="0"/>
      <w:divBdr>
        <w:top w:val="none" w:sz="0" w:space="0" w:color="auto"/>
        <w:left w:val="none" w:sz="0" w:space="0" w:color="auto"/>
        <w:bottom w:val="none" w:sz="0" w:space="0" w:color="auto"/>
        <w:right w:val="none" w:sz="0" w:space="0" w:color="auto"/>
      </w:divBdr>
    </w:div>
    <w:div w:id="115680943">
      <w:bodyDiv w:val="1"/>
      <w:marLeft w:val="0"/>
      <w:marRight w:val="0"/>
      <w:marTop w:val="0"/>
      <w:marBottom w:val="0"/>
      <w:divBdr>
        <w:top w:val="none" w:sz="0" w:space="0" w:color="auto"/>
        <w:left w:val="none" w:sz="0" w:space="0" w:color="auto"/>
        <w:bottom w:val="none" w:sz="0" w:space="0" w:color="auto"/>
        <w:right w:val="none" w:sz="0" w:space="0" w:color="auto"/>
      </w:divBdr>
    </w:div>
    <w:div w:id="116530922">
      <w:bodyDiv w:val="1"/>
      <w:marLeft w:val="0"/>
      <w:marRight w:val="0"/>
      <w:marTop w:val="0"/>
      <w:marBottom w:val="0"/>
      <w:divBdr>
        <w:top w:val="none" w:sz="0" w:space="0" w:color="auto"/>
        <w:left w:val="none" w:sz="0" w:space="0" w:color="auto"/>
        <w:bottom w:val="none" w:sz="0" w:space="0" w:color="auto"/>
        <w:right w:val="none" w:sz="0" w:space="0" w:color="auto"/>
      </w:divBdr>
    </w:div>
    <w:div w:id="116993819">
      <w:bodyDiv w:val="1"/>
      <w:marLeft w:val="0"/>
      <w:marRight w:val="0"/>
      <w:marTop w:val="0"/>
      <w:marBottom w:val="0"/>
      <w:divBdr>
        <w:top w:val="none" w:sz="0" w:space="0" w:color="auto"/>
        <w:left w:val="none" w:sz="0" w:space="0" w:color="auto"/>
        <w:bottom w:val="none" w:sz="0" w:space="0" w:color="auto"/>
        <w:right w:val="none" w:sz="0" w:space="0" w:color="auto"/>
      </w:divBdr>
    </w:div>
    <w:div w:id="117728839">
      <w:bodyDiv w:val="1"/>
      <w:marLeft w:val="0"/>
      <w:marRight w:val="0"/>
      <w:marTop w:val="0"/>
      <w:marBottom w:val="0"/>
      <w:divBdr>
        <w:top w:val="none" w:sz="0" w:space="0" w:color="auto"/>
        <w:left w:val="none" w:sz="0" w:space="0" w:color="auto"/>
        <w:bottom w:val="none" w:sz="0" w:space="0" w:color="auto"/>
        <w:right w:val="none" w:sz="0" w:space="0" w:color="auto"/>
      </w:divBdr>
    </w:div>
    <w:div w:id="119347922">
      <w:bodyDiv w:val="1"/>
      <w:marLeft w:val="0"/>
      <w:marRight w:val="0"/>
      <w:marTop w:val="0"/>
      <w:marBottom w:val="0"/>
      <w:divBdr>
        <w:top w:val="none" w:sz="0" w:space="0" w:color="auto"/>
        <w:left w:val="none" w:sz="0" w:space="0" w:color="auto"/>
        <w:bottom w:val="none" w:sz="0" w:space="0" w:color="auto"/>
        <w:right w:val="none" w:sz="0" w:space="0" w:color="auto"/>
      </w:divBdr>
    </w:div>
    <w:div w:id="133374818">
      <w:bodyDiv w:val="1"/>
      <w:marLeft w:val="0"/>
      <w:marRight w:val="0"/>
      <w:marTop w:val="0"/>
      <w:marBottom w:val="0"/>
      <w:divBdr>
        <w:top w:val="none" w:sz="0" w:space="0" w:color="auto"/>
        <w:left w:val="none" w:sz="0" w:space="0" w:color="auto"/>
        <w:bottom w:val="none" w:sz="0" w:space="0" w:color="auto"/>
        <w:right w:val="none" w:sz="0" w:space="0" w:color="auto"/>
      </w:divBdr>
    </w:div>
    <w:div w:id="139884332">
      <w:bodyDiv w:val="1"/>
      <w:marLeft w:val="0"/>
      <w:marRight w:val="0"/>
      <w:marTop w:val="0"/>
      <w:marBottom w:val="0"/>
      <w:divBdr>
        <w:top w:val="none" w:sz="0" w:space="0" w:color="auto"/>
        <w:left w:val="none" w:sz="0" w:space="0" w:color="auto"/>
        <w:bottom w:val="none" w:sz="0" w:space="0" w:color="auto"/>
        <w:right w:val="none" w:sz="0" w:space="0" w:color="auto"/>
      </w:divBdr>
    </w:div>
    <w:div w:id="140462686">
      <w:bodyDiv w:val="1"/>
      <w:marLeft w:val="0"/>
      <w:marRight w:val="0"/>
      <w:marTop w:val="0"/>
      <w:marBottom w:val="0"/>
      <w:divBdr>
        <w:top w:val="none" w:sz="0" w:space="0" w:color="auto"/>
        <w:left w:val="none" w:sz="0" w:space="0" w:color="auto"/>
        <w:bottom w:val="none" w:sz="0" w:space="0" w:color="auto"/>
        <w:right w:val="none" w:sz="0" w:space="0" w:color="auto"/>
      </w:divBdr>
    </w:div>
    <w:div w:id="141704046">
      <w:bodyDiv w:val="1"/>
      <w:marLeft w:val="0"/>
      <w:marRight w:val="0"/>
      <w:marTop w:val="0"/>
      <w:marBottom w:val="0"/>
      <w:divBdr>
        <w:top w:val="none" w:sz="0" w:space="0" w:color="auto"/>
        <w:left w:val="none" w:sz="0" w:space="0" w:color="auto"/>
        <w:bottom w:val="none" w:sz="0" w:space="0" w:color="auto"/>
        <w:right w:val="none" w:sz="0" w:space="0" w:color="auto"/>
      </w:divBdr>
    </w:div>
    <w:div w:id="142435356">
      <w:bodyDiv w:val="1"/>
      <w:marLeft w:val="0"/>
      <w:marRight w:val="0"/>
      <w:marTop w:val="0"/>
      <w:marBottom w:val="0"/>
      <w:divBdr>
        <w:top w:val="none" w:sz="0" w:space="0" w:color="auto"/>
        <w:left w:val="none" w:sz="0" w:space="0" w:color="auto"/>
        <w:bottom w:val="none" w:sz="0" w:space="0" w:color="auto"/>
        <w:right w:val="none" w:sz="0" w:space="0" w:color="auto"/>
      </w:divBdr>
    </w:div>
    <w:div w:id="144128456">
      <w:bodyDiv w:val="1"/>
      <w:marLeft w:val="0"/>
      <w:marRight w:val="0"/>
      <w:marTop w:val="0"/>
      <w:marBottom w:val="0"/>
      <w:divBdr>
        <w:top w:val="none" w:sz="0" w:space="0" w:color="auto"/>
        <w:left w:val="none" w:sz="0" w:space="0" w:color="auto"/>
        <w:bottom w:val="none" w:sz="0" w:space="0" w:color="auto"/>
        <w:right w:val="none" w:sz="0" w:space="0" w:color="auto"/>
      </w:divBdr>
    </w:div>
    <w:div w:id="145249014">
      <w:bodyDiv w:val="1"/>
      <w:marLeft w:val="0"/>
      <w:marRight w:val="0"/>
      <w:marTop w:val="0"/>
      <w:marBottom w:val="0"/>
      <w:divBdr>
        <w:top w:val="none" w:sz="0" w:space="0" w:color="auto"/>
        <w:left w:val="none" w:sz="0" w:space="0" w:color="auto"/>
        <w:bottom w:val="none" w:sz="0" w:space="0" w:color="auto"/>
        <w:right w:val="none" w:sz="0" w:space="0" w:color="auto"/>
      </w:divBdr>
    </w:div>
    <w:div w:id="146870908">
      <w:bodyDiv w:val="1"/>
      <w:marLeft w:val="0"/>
      <w:marRight w:val="0"/>
      <w:marTop w:val="0"/>
      <w:marBottom w:val="0"/>
      <w:divBdr>
        <w:top w:val="none" w:sz="0" w:space="0" w:color="auto"/>
        <w:left w:val="none" w:sz="0" w:space="0" w:color="auto"/>
        <w:bottom w:val="none" w:sz="0" w:space="0" w:color="auto"/>
        <w:right w:val="none" w:sz="0" w:space="0" w:color="auto"/>
      </w:divBdr>
    </w:div>
    <w:div w:id="151066475">
      <w:bodyDiv w:val="1"/>
      <w:marLeft w:val="0"/>
      <w:marRight w:val="0"/>
      <w:marTop w:val="0"/>
      <w:marBottom w:val="0"/>
      <w:divBdr>
        <w:top w:val="none" w:sz="0" w:space="0" w:color="auto"/>
        <w:left w:val="none" w:sz="0" w:space="0" w:color="auto"/>
        <w:bottom w:val="none" w:sz="0" w:space="0" w:color="auto"/>
        <w:right w:val="none" w:sz="0" w:space="0" w:color="auto"/>
      </w:divBdr>
    </w:div>
    <w:div w:id="152069230">
      <w:bodyDiv w:val="1"/>
      <w:marLeft w:val="0"/>
      <w:marRight w:val="0"/>
      <w:marTop w:val="0"/>
      <w:marBottom w:val="0"/>
      <w:divBdr>
        <w:top w:val="none" w:sz="0" w:space="0" w:color="auto"/>
        <w:left w:val="none" w:sz="0" w:space="0" w:color="auto"/>
        <w:bottom w:val="none" w:sz="0" w:space="0" w:color="auto"/>
        <w:right w:val="none" w:sz="0" w:space="0" w:color="auto"/>
      </w:divBdr>
    </w:div>
    <w:div w:id="159588108">
      <w:bodyDiv w:val="1"/>
      <w:marLeft w:val="0"/>
      <w:marRight w:val="0"/>
      <w:marTop w:val="0"/>
      <w:marBottom w:val="0"/>
      <w:divBdr>
        <w:top w:val="none" w:sz="0" w:space="0" w:color="auto"/>
        <w:left w:val="none" w:sz="0" w:space="0" w:color="auto"/>
        <w:bottom w:val="none" w:sz="0" w:space="0" w:color="auto"/>
        <w:right w:val="none" w:sz="0" w:space="0" w:color="auto"/>
      </w:divBdr>
    </w:div>
    <w:div w:id="169487697">
      <w:bodyDiv w:val="1"/>
      <w:marLeft w:val="0"/>
      <w:marRight w:val="0"/>
      <w:marTop w:val="0"/>
      <w:marBottom w:val="0"/>
      <w:divBdr>
        <w:top w:val="none" w:sz="0" w:space="0" w:color="auto"/>
        <w:left w:val="none" w:sz="0" w:space="0" w:color="auto"/>
        <w:bottom w:val="none" w:sz="0" w:space="0" w:color="auto"/>
        <w:right w:val="none" w:sz="0" w:space="0" w:color="auto"/>
      </w:divBdr>
    </w:div>
    <w:div w:id="172648090">
      <w:bodyDiv w:val="1"/>
      <w:marLeft w:val="0"/>
      <w:marRight w:val="0"/>
      <w:marTop w:val="0"/>
      <w:marBottom w:val="0"/>
      <w:divBdr>
        <w:top w:val="none" w:sz="0" w:space="0" w:color="auto"/>
        <w:left w:val="none" w:sz="0" w:space="0" w:color="auto"/>
        <w:bottom w:val="none" w:sz="0" w:space="0" w:color="auto"/>
        <w:right w:val="none" w:sz="0" w:space="0" w:color="auto"/>
      </w:divBdr>
    </w:div>
    <w:div w:id="175389629">
      <w:bodyDiv w:val="1"/>
      <w:marLeft w:val="0"/>
      <w:marRight w:val="0"/>
      <w:marTop w:val="0"/>
      <w:marBottom w:val="0"/>
      <w:divBdr>
        <w:top w:val="none" w:sz="0" w:space="0" w:color="auto"/>
        <w:left w:val="none" w:sz="0" w:space="0" w:color="auto"/>
        <w:bottom w:val="none" w:sz="0" w:space="0" w:color="auto"/>
        <w:right w:val="none" w:sz="0" w:space="0" w:color="auto"/>
      </w:divBdr>
    </w:div>
    <w:div w:id="175460090">
      <w:bodyDiv w:val="1"/>
      <w:marLeft w:val="0"/>
      <w:marRight w:val="0"/>
      <w:marTop w:val="0"/>
      <w:marBottom w:val="0"/>
      <w:divBdr>
        <w:top w:val="none" w:sz="0" w:space="0" w:color="auto"/>
        <w:left w:val="none" w:sz="0" w:space="0" w:color="auto"/>
        <w:bottom w:val="none" w:sz="0" w:space="0" w:color="auto"/>
        <w:right w:val="none" w:sz="0" w:space="0" w:color="auto"/>
      </w:divBdr>
    </w:div>
    <w:div w:id="177083763">
      <w:bodyDiv w:val="1"/>
      <w:marLeft w:val="0"/>
      <w:marRight w:val="0"/>
      <w:marTop w:val="0"/>
      <w:marBottom w:val="0"/>
      <w:divBdr>
        <w:top w:val="none" w:sz="0" w:space="0" w:color="auto"/>
        <w:left w:val="none" w:sz="0" w:space="0" w:color="auto"/>
        <w:bottom w:val="none" w:sz="0" w:space="0" w:color="auto"/>
        <w:right w:val="none" w:sz="0" w:space="0" w:color="auto"/>
      </w:divBdr>
    </w:div>
    <w:div w:id="180290249">
      <w:bodyDiv w:val="1"/>
      <w:marLeft w:val="0"/>
      <w:marRight w:val="0"/>
      <w:marTop w:val="0"/>
      <w:marBottom w:val="0"/>
      <w:divBdr>
        <w:top w:val="none" w:sz="0" w:space="0" w:color="auto"/>
        <w:left w:val="none" w:sz="0" w:space="0" w:color="auto"/>
        <w:bottom w:val="none" w:sz="0" w:space="0" w:color="auto"/>
        <w:right w:val="none" w:sz="0" w:space="0" w:color="auto"/>
      </w:divBdr>
    </w:div>
    <w:div w:id="189300616">
      <w:bodyDiv w:val="1"/>
      <w:marLeft w:val="0"/>
      <w:marRight w:val="0"/>
      <w:marTop w:val="0"/>
      <w:marBottom w:val="0"/>
      <w:divBdr>
        <w:top w:val="none" w:sz="0" w:space="0" w:color="auto"/>
        <w:left w:val="none" w:sz="0" w:space="0" w:color="auto"/>
        <w:bottom w:val="none" w:sz="0" w:space="0" w:color="auto"/>
        <w:right w:val="none" w:sz="0" w:space="0" w:color="auto"/>
      </w:divBdr>
    </w:div>
    <w:div w:id="192425029">
      <w:bodyDiv w:val="1"/>
      <w:marLeft w:val="0"/>
      <w:marRight w:val="0"/>
      <w:marTop w:val="0"/>
      <w:marBottom w:val="0"/>
      <w:divBdr>
        <w:top w:val="none" w:sz="0" w:space="0" w:color="auto"/>
        <w:left w:val="none" w:sz="0" w:space="0" w:color="auto"/>
        <w:bottom w:val="none" w:sz="0" w:space="0" w:color="auto"/>
        <w:right w:val="none" w:sz="0" w:space="0" w:color="auto"/>
      </w:divBdr>
    </w:div>
    <w:div w:id="192964784">
      <w:bodyDiv w:val="1"/>
      <w:marLeft w:val="0"/>
      <w:marRight w:val="0"/>
      <w:marTop w:val="0"/>
      <w:marBottom w:val="0"/>
      <w:divBdr>
        <w:top w:val="none" w:sz="0" w:space="0" w:color="auto"/>
        <w:left w:val="none" w:sz="0" w:space="0" w:color="auto"/>
        <w:bottom w:val="none" w:sz="0" w:space="0" w:color="auto"/>
        <w:right w:val="none" w:sz="0" w:space="0" w:color="auto"/>
      </w:divBdr>
    </w:div>
    <w:div w:id="197159933">
      <w:bodyDiv w:val="1"/>
      <w:marLeft w:val="0"/>
      <w:marRight w:val="0"/>
      <w:marTop w:val="0"/>
      <w:marBottom w:val="0"/>
      <w:divBdr>
        <w:top w:val="none" w:sz="0" w:space="0" w:color="auto"/>
        <w:left w:val="none" w:sz="0" w:space="0" w:color="auto"/>
        <w:bottom w:val="none" w:sz="0" w:space="0" w:color="auto"/>
        <w:right w:val="none" w:sz="0" w:space="0" w:color="auto"/>
      </w:divBdr>
    </w:div>
    <w:div w:id="199250526">
      <w:bodyDiv w:val="1"/>
      <w:marLeft w:val="0"/>
      <w:marRight w:val="0"/>
      <w:marTop w:val="0"/>
      <w:marBottom w:val="0"/>
      <w:divBdr>
        <w:top w:val="none" w:sz="0" w:space="0" w:color="auto"/>
        <w:left w:val="none" w:sz="0" w:space="0" w:color="auto"/>
        <w:bottom w:val="none" w:sz="0" w:space="0" w:color="auto"/>
        <w:right w:val="none" w:sz="0" w:space="0" w:color="auto"/>
      </w:divBdr>
    </w:div>
    <w:div w:id="204996972">
      <w:bodyDiv w:val="1"/>
      <w:marLeft w:val="0"/>
      <w:marRight w:val="0"/>
      <w:marTop w:val="0"/>
      <w:marBottom w:val="0"/>
      <w:divBdr>
        <w:top w:val="none" w:sz="0" w:space="0" w:color="auto"/>
        <w:left w:val="none" w:sz="0" w:space="0" w:color="auto"/>
        <w:bottom w:val="none" w:sz="0" w:space="0" w:color="auto"/>
        <w:right w:val="none" w:sz="0" w:space="0" w:color="auto"/>
      </w:divBdr>
    </w:div>
    <w:div w:id="213584617">
      <w:bodyDiv w:val="1"/>
      <w:marLeft w:val="0"/>
      <w:marRight w:val="0"/>
      <w:marTop w:val="0"/>
      <w:marBottom w:val="0"/>
      <w:divBdr>
        <w:top w:val="none" w:sz="0" w:space="0" w:color="auto"/>
        <w:left w:val="none" w:sz="0" w:space="0" w:color="auto"/>
        <w:bottom w:val="none" w:sz="0" w:space="0" w:color="auto"/>
        <w:right w:val="none" w:sz="0" w:space="0" w:color="auto"/>
      </w:divBdr>
    </w:div>
    <w:div w:id="214200891">
      <w:bodyDiv w:val="1"/>
      <w:marLeft w:val="0"/>
      <w:marRight w:val="0"/>
      <w:marTop w:val="0"/>
      <w:marBottom w:val="0"/>
      <w:divBdr>
        <w:top w:val="none" w:sz="0" w:space="0" w:color="auto"/>
        <w:left w:val="none" w:sz="0" w:space="0" w:color="auto"/>
        <w:bottom w:val="none" w:sz="0" w:space="0" w:color="auto"/>
        <w:right w:val="none" w:sz="0" w:space="0" w:color="auto"/>
      </w:divBdr>
    </w:div>
    <w:div w:id="221990241">
      <w:bodyDiv w:val="1"/>
      <w:marLeft w:val="0"/>
      <w:marRight w:val="0"/>
      <w:marTop w:val="0"/>
      <w:marBottom w:val="0"/>
      <w:divBdr>
        <w:top w:val="none" w:sz="0" w:space="0" w:color="auto"/>
        <w:left w:val="none" w:sz="0" w:space="0" w:color="auto"/>
        <w:bottom w:val="none" w:sz="0" w:space="0" w:color="auto"/>
        <w:right w:val="none" w:sz="0" w:space="0" w:color="auto"/>
      </w:divBdr>
    </w:div>
    <w:div w:id="223950023">
      <w:bodyDiv w:val="1"/>
      <w:marLeft w:val="0"/>
      <w:marRight w:val="0"/>
      <w:marTop w:val="0"/>
      <w:marBottom w:val="0"/>
      <w:divBdr>
        <w:top w:val="none" w:sz="0" w:space="0" w:color="auto"/>
        <w:left w:val="none" w:sz="0" w:space="0" w:color="auto"/>
        <w:bottom w:val="none" w:sz="0" w:space="0" w:color="auto"/>
        <w:right w:val="none" w:sz="0" w:space="0" w:color="auto"/>
      </w:divBdr>
    </w:div>
    <w:div w:id="226650372">
      <w:bodyDiv w:val="1"/>
      <w:marLeft w:val="0"/>
      <w:marRight w:val="0"/>
      <w:marTop w:val="0"/>
      <w:marBottom w:val="0"/>
      <w:divBdr>
        <w:top w:val="none" w:sz="0" w:space="0" w:color="auto"/>
        <w:left w:val="none" w:sz="0" w:space="0" w:color="auto"/>
        <w:bottom w:val="none" w:sz="0" w:space="0" w:color="auto"/>
        <w:right w:val="none" w:sz="0" w:space="0" w:color="auto"/>
      </w:divBdr>
    </w:div>
    <w:div w:id="232743663">
      <w:bodyDiv w:val="1"/>
      <w:marLeft w:val="0"/>
      <w:marRight w:val="0"/>
      <w:marTop w:val="0"/>
      <w:marBottom w:val="0"/>
      <w:divBdr>
        <w:top w:val="none" w:sz="0" w:space="0" w:color="auto"/>
        <w:left w:val="none" w:sz="0" w:space="0" w:color="auto"/>
        <w:bottom w:val="none" w:sz="0" w:space="0" w:color="auto"/>
        <w:right w:val="none" w:sz="0" w:space="0" w:color="auto"/>
      </w:divBdr>
    </w:div>
    <w:div w:id="233005899">
      <w:bodyDiv w:val="1"/>
      <w:marLeft w:val="0"/>
      <w:marRight w:val="0"/>
      <w:marTop w:val="0"/>
      <w:marBottom w:val="0"/>
      <w:divBdr>
        <w:top w:val="none" w:sz="0" w:space="0" w:color="auto"/>
        <w:left w:val="none" w:sz="0" w:space="0" w:color="auto"/>
        <w:bottom w:val="none" w:sz="0" w:space="0" w:color="auto"/>
        <w:right w:val="none" w:sz="0" w:space="0" w:color="auto"/>
      </w:divBdr>
    </w:div>
    <w:div w:id="245388674">
      <w:bodyDiv w:val="1"/>
      <w:marLeft w:val="0"/>
      <w:marRight w:val="0"/>
      <w:marTop w:val="0"/>
      <w:marBottom w:val="0"/>
      <w:divBdr>
        <w:top w:val="none" w:sz="0" w:space="0" w:color="auto"/>
        <w:left w:val="none" w:sz="0" w:space="0" w:color="auto"/>
        <w:bottom w:val="none" w:sz="0" w:space="0" w:color="auto"/>
        <w:right w:val="none" w:sz="0" w:space="0" w:color="auto"/>
      </w:divBdr>
    </w:div>
    <w:div w:id="246354647">
      <w:bodyDiv w:val="1"/>
      <w:marLeft w:val="0"/>
      <w:marRight w:val="0"/>
      <w:marTop w:val="0"/>
      <w:marBottom w:val="0"/>
      <w:divBdr>
        <w:top w:val="none" w:sz="0" w:space="0" w:color="auto"/>
        <w:left w:val="none" w:sz="0" w:space="0" w:color="auto"/>
        <w:bottom w:val="none" w:sz="0" w:space="0" w:color="auto"/>
        <w:right w:val="none" w:sz="0" w:space="0" w:color="auto"/>
      </w:divBdr>
    </w:div>
    <w:div w:id="247421775">
      <w:bodyDiv w:val="1"/>
      <w:marLeft w:val="0"/>
      <w:marRight w:val="0"/>
      <w:marTop w:val="0"/>
      <w:marBottom w:val="0"/>
      <w:divBdr>
        <w:top w:val="none" w:sz="0" w:space="0" w:color="auto"/>
        <w:left w:val="none" w:sz="0" w:space="0" w:color="auto"/>
        <w:bottom w:val="none" w:sz="0" w:space="0" w:color="auto"/>
        <w:right w:val="none" w:sz="0" w:space="0" w:color="auto"/>
      </w:divBdr>
    </w:div>
    <w:div w:id="254480077">
      <w:bodyDiv w:val="1"/>
      <w:marLeft w:val="0"/>
      <w:marRight w:val="0"/>
      <w:marTop w:val="0"/>
      <w:marBottom w:val="0"/>
      <w:divBdr>
        <w:top w:val="none" w:sz="0" w:space="0" w:color="auto"/>
        <w:left w:val="none" w:sz="0" w:space="0" w:color="auto"/>
        <w:bottom w:val="none" w:sz="0" w:space="0" w:color="auto"/>
        <w:right w:val="none" w:sz="0" w:space="0" w:color="auto"/>
      </w:divBdr>
    </w:div>
    <w:div w:id="258948272">
      <w:bodyDiv w:val="1"/>
      <w:marLeft w:val="0"/>
      <w:marRight w:val="0"/>
      <w:marTop w:val="0"/>
      <w:marBottom w:val="0"/>
      <w:divBdr>
        <w:top w:val="none" w:sz="0" w:space="0" w:color="auto"/>
        <w:left w:val="none" w:sz="0" w:space="0" w:color="auto"/>
        <w:bottom w:val="none" w:sz="0" w:space="0" w:color="auto"/>
        <w:right w:val="none" w:sz="0" w:space="0" w:color="auto"/>
      </w:divBdr>
    </w:div>
    <w:div w:id="260455910">
      <w:bodyDiv w:val="1"/>
      <w:marLeft w:val="0"/>
      <w:marRight w:val="0"/>
      <w:marTop w:val="0"/>
      <w:marBottom w:val="0"/>
      <w:divBdr>
        <w:top w:val="none" w:sz="0" w:space="0" w:color="auto"/>
        <w:left w:val="none" w:sz="0" w:space="0" w:color="auto"/>
        <w:bottom w:val="none" w:sz="0" w:space="0" w:color="auto"/>
        <w:right w:val="none" w:sz="0" w:space="0" w:color="auto"/>
      </w:divBdr>
    </w:div>
    <w:div w:id="263732795">
      <w:bodyDiv w:val="1"/>
      <w:marLeft w:val="0"/>
      <w:marRight w:val="0"/>
      <w:marTop w:val="0"/>
      <w:marBottom w:val="0"/>
      <w:divBdr>
        <w:top w:val="none" w:sz="0" w:space="0" w:color="auto"/>
        <w:left w:val="none" w:sz="0" w:space="0" w:color="auto"/>
        <w:bottom w:val="none" w:sz="0" w:space="0" w:color="auto"/>
        <w:right w:val="none" w:sz="0" w:space="0" w:color="auto"/>
      </w:divBdr>
    </w:div>
    <w:div w:id="266498734">
      <w:bodyDiv w:val="1"/>
      <w:marLeft w:val="0"/>
      <w:marRight w:val="0"/>
      <w:marTop w:val="0"/>
      <w:marBottom w:val="0"/>
      <w:divBdr>
        <w:top w:val="none" w:sz="0" w:space="0" w:color="auto"/>
        <w:left w:val="none" w:sz="0" w:space="0" w:color="auto"/>
        <w:bottom w:val="none" w:sz="0" w:space="0" w:color="auto"/>
        <w:right w:val="none" w:sz="0" w:space="0" w:color="auto"/>
      </w:divBdr>
    </w:div>
    <w:div w:id="268707677">
      <w:bodyDiv w:val="1"/>
      <w:marLeft w:val="0"/>
      <w:marRight w:val="0"/>
      <w:marTop w:val="0"/>
      <w:marBottom w:val="0"/>
      <w:divBdr>
        <w:top w:val="none" w:sz="0" w:space="0" w:color="auto"/>
        <w:left w:val="none" w:sz="0" w:space="0" w:color="auto"/>
        <w:bottom w:val="none" w:sz="0" w:space="0" w:color="auto"/>
        <w:right w:val="none" w:sz="0" w:space="0" w:color="auto"/>
      </w:divBdr>
    </w:div>
    <w:div w:id="268969939">
      <w:bodyDiv w:val="1"/>
      <w:marLeft w:val="0"/>
      <w:marRight w:val="0"/>
      <w:marTop w:val="0"/>
      <w:marBottom w:val="0"/>
      <w:divBdr>
        <w:top w:val="none" w:sz="0" w:space="0" w:color="auto"/>
        <w:left w:val="none" w:sz="0" w:space="0" w:color="auto"/>
        <w:bottom w:val="none" w:sz="0" w:space="0" w:color="auto"/>
        <w:right w:val="none" w:sz="0" w:space="0" w:color="auto"/>
      </w:divBdr>
    </w:div>
    <w:div w:id="269777501">
      <w:bodyDiv w:val="1"/>
      <w:marLeft w:val="0"/>
      <w:marRight w:val="0"/>
      <w:marTop w:val="0"/>
      <w:marBottom w:val="0"/>
      <w:divBdr>
        <w:top w:val="none" w:sz="0" w:space="0" w:color="auto"/>
        <w:left w:val="none" w:sz="0" w:space="0" w:color="auto"/>
        <w:bottom w:val="none" w:sz="0" w:space="0" w:color="auto"/>
        <w:right w:val="none" w:sz="0" w:space="0" w:color="auto"/>
      </w:divBdr>
    </w:div>
    <w:div w:id="270937652">
      <w:bodyDiv w:val="1"/>
      <w:marLeft w:val="0"/>
      <w:marRight w:val="0"/>
      <w:marTop w:val="0"/>
      <w:marBottom w:val="0"/>
      <w:divBdr>
        <w:top w:val="none" w:sz="0" w:space="0" w:color="auto"/>
        <w:left w:val="none" w:sz="0" w:space="0" w:color="auto"/>
        <w:bottom w:val="none" w:sz="0" w:space="0" w:color="auto"/>
        <w:right w:val="none" w:sz="0" w:space="0" w:color="auto"/>
      </w:divBdr>
    </w:div>
    <w:div w:id="273679651">
      <w:bodyDiv w:val="1"/>
      <w:marLeft w:val="0"/>
      <w:marRight w:val="0"/>
      <w:marTop w:val="0"/>
      <w:marBottom w:val="0"/>
      <w:divBdr>
        <w:top w:val="none" w:sz="0" w:space="0" w:color="auto"/>
        <w:left w:val="none" w:sz="0" w:space="0" w:color="auto"/>
        <w:bottom w:val="none" w:sz="0" w:space="0" w:color="auto"/>
        <w:right w:val="none" w:sz="0" w:space="0" w:color="auto"/>
      </w:divBdr>
    </w:div>
    <w:div w:id="274413437">
      <w:bodyDiv w:val="1"/>
      <w:marLeft w:val="0"/>
      <w:marRight w:val="0"/>
      <w:marTop w:val="0"/>
      <w:marBottom w:val="0"/>
      <w:divBdr>
        <w:top w:val="none" w:sz="0" w:space="0" w:color="auto"/>
        <w:left w:val="none" w:sz="0" w:space="0" w:color="auto"/>
        <w:bottom w:val="none" w:sz="0" w:space="0" w:color="auto"/>
        <w:right w:val="none" w:sz="0" w:space="0" w:color="auto"/>
      </w:divBdr>
    </w:div>
    <w:div w:id="278028543">
      <w:bodyDiv w:val="1"/>
      <w:marLeft w:val="0"/>
      <w:marRight w:val="0"/>
      <w:marTop w:val="0"/>
      <w:marBottom w:val="0"/>
      <w:divBdr>
        <w:top w:val="none" w:sz="0" w:space="0" w:color="auto"/>
        <w:left w:val="none" w:sz="0" w:space="0" w:color="auto"/>
        <w:bottom w:val="none" w:sz="0" w:space="0" w:color="auto"/>
        <w:right w:val="none" w:sz="0" w:space="0" w:color="auto"/>
      </w:divBdr>
    </w:div>
    <w:div w:id="278611496">
      <w:bodyDiv w:val="1"/>
      <w:marLeft w:val="0"/>
      <w:marRight w:val="0"/>
      <w:marTop w:val="0"/>
      <w:marBottom w:val="0"/>
      <w:divBdr>
        <w:top w:val="none" w:sz="0" w:space="0" w:color="auto"/>
        <w:left w:val="none" w:sz="0" w:space="0" w:color="auto"/>
        <w:bottom w:val="none" w:sz="0" w:space="0" w:color="auto"/>
        <w:right w:val="none" w:sz="0" w:space="0" w:color="auto"/>
      </w:divBdr>
    </w:div>
    <w:div w:id="279338311">
      <w:bodyDiv w:val="1"/>
      <w:marLeft w:val="0"/>
      <w:marRight w:val="0"/>
      <w:marTop w:val="0"/>
      <w:marBottom w:val="0"/>
      <w:divBdr>
        <w:top w:val="none" w:sz="0" w:space="0" w:color="auto"/>
        <w:left w:val="none" w:sz="0" w:space="0" w:color="auto"/>
        <w:bottom w:val="none" w:sz="0" w:space="0" w:color="auto"/>
        <w:right w:val="none" w:sz="0" w:space="0" w:color="auto"/>
      </w:divBdr>
    </w:div>
    <w:div w:id="280653040">
      <w:bodyDiv w:val="1"/>
      <w:marLeft w:val="0"/>
      <w:marRight w:val="0"/>
      <w:marTop w:val="0"/>
      <w:marBottom w:val="0"/>
      <w:divBdr>
        <w:top w:val="none" w:sz="0" w:space="0" w:color="auto"/>
        <w:left w:val="none" w:sz="0" w:space="0" w:color="auto"/>
        <w:bottom w:val="none" w:sz="0" w:space="0" w:color="auto"/>
        <w:right w:val="none" w:sz="0" w:space="0" w:color="auto"/>
      </w:divBdr>
    </w:div>
    <w:div w:id="282466625">
      <w:bodyDiv w:val="1"/>
      <w:marLeft w:val="0"/>
      <w:marRight w:val="0"/>
      <w:marTop w:val="0"/>
      <w:marBottom w:val="0"/>
      <w:divBdr>
        <w:top w:val="none" w:sz="0" w:space="0" w:color="auto"/>
        <w:left w:val="none" w:sz="0" w:space="0" w:color="auto"/>
        <w:bottom w:val="none" w:sz="0" w:space="0" w:color="auto"/>
        <w:right w:val="none" w:sz="0" w:space="0" w:color="auto"/>
      </w:divBdr>
    </w:div>
    <w:div w:id="284624611">
      <w:bodyDiv w:val="1"/>
      <w:marLeft w:val="0"/>
      <w:marRight w:val="0"/>
      <w:marTop w:val="0"/>
      <w:marBottom w:val="0"/>
      <w:divBdr>
        <w:top w:val="none" w:sz="0" w:space="0" w:color="auto"/>
        <w:left w:val="none" w:sz="0" w:space="0" w:color="auto"/>
        <w:bottom w:val="none" w:sz="0" w:space="0" w:color="auto"/>
        <w:right w:val="none" w:sz="0" w:space="0" w:color="auto"/>
      </w:divBdr>
    </w:div>
    <w:div w:id="285627033">
      <w:bodyDiv w:val="1"/>
      <w:marLeft w:val="0"/>
      <w:marRight w:val="0"/>
      <w:marTop w:val="0"/>
      <w:marBottom w:val="0"/>
      <w:divBdr>
        <w:top w:val="none" w:sz="0" w:space="0" w:color="auto"/>
        <w:left w:val="none" w:sz="0" w:space="0" w:color="auto"/>
        <w:bottom w:val="none" w:sz="0" w:space="0" w:color="auto"/>
        <w:right w:val="none" w:sz="0" w:space="0" w:color="auto"/>
      </w:divBdr>
    </w:div>
    <w:div w:id="293415690">
      <w:bodyDiv w:val="1"/>
      <w:marLeft w:val="0"/>
      <w:marRight w:val="0"/>
      <w:marTop w:val="0"/>
      <w:marBottom w:val="0"/>
      <w:divBdr>
        <w:top w:val="none" w:sz="0" w:space="0" w:color="auto"/>
        <w:left w:val="none" w:sz="0" w:space="0" w:color="auto"/>
        <w:bottom w:val="none" w:sz="0" w:space="0" w:color="auto"/>
        <w:right w:val="none" w:sz="0" w:space="0" w:color="auto"/>
      </w:divBdr>
    </w:div>
    <w:div w:id="296180835">
      <w:bodyDiv w:val="1"/>
      <w:marLeft w:val="0"/>
      <w:marRight w:val="0"/>
      <w:marTop w:val="0"/>
      <w:marBottom w:val="0"/>
      <w:divBdr>
        <w:top w:val="none" w:sz="0" w:space="0" w:color="auto"/>
        <w:left w:val="none" w:sz="0" w:space="0" w:color="auto"/>
        <w:bottom w:val="none" w:sz="0" w:space="0" w:color="auto"/>
        <w:right w:val="none" w:sz="0" w:space="0" w:color="auto"/>
      </w:divBdr>
    </w:div>
    <w:div w:id="299072540">
      <w:bodyDiv w:val="1"/>
      <w:marLeft w:val="0"/>
      <w:marRight w:val="0"/>
      <w:marTop w:val="0"/>
      <w:marBottom w:val="0"/>
      <w:divBdr>
        <w:top w:val="none" w:sz="0" w:space="0" w:color="auto"/>
        <w:left w:val="none" w:sz="0" w:space="0" w:color="auto"/>
        <w:bottom w:val="none" w:sz="0" w:space="0" w:color="auto"/>
        <w:right w:val="none" w:sz="0" w:space="0" w:color="auto"/>
      </w:divBdr>
    </w:div>
    <w:div w:id="300040668">
      <w:bodyDiv w:val="1"/>
      <w:marLeft w:val="0"/>
      <w:marRight w:val="0"/>
      <w:marTop w:val="0"/>
      <w:marBottom w:val="0"/>
      <w:divBdr>
        <w:top w:val="none" w:sz="0" w:space="0" w:color="auto"/>
        <w:left w:val="none" w:sz="0" w:space="0" w:color="auto"/>
        <w:bottom w:val="none" w:sz="0" w:space="0" w:color="auto"/>
        <w:right w:val="none" w:sz="0" w:space="0" w:color="auto"/>
      </w:divBdr>
    </w:div>
    <w:div w:id="300354002">
      <w:bodyDiv w:val="1"/>
      <w:marLeft w:val="0"/>
      <w:marRight w:val="0"/>
      <w:marTop w:val="0"/>
      <w:marBottom w:val="0"/>
      <w:divBdr>
        <w:top w:val="none" w:sz="0" w:space="0" w:color="auto"/>
        <w:left w:val="none" w:sz="0" w:space="0" w:color="auto"/>
        <w:bottom w:val="none" w:sz="0" w:space="0" w:color="auto"/>
        <w:right w:val="none" w:sz="0" w:space="0" w:color="auto"/>
      </w:divBdr>
    </w:div>
    <w:div w:id="302273878">
      <w:bodyDiv w:val="1"/>
      <w:marLeft w:val="0"/>
      <w:marRight w:val="0"/>
      <w:marTop w:val="0"/>
      <w:marBottom w:val="0"/>
      <w:divBdr>
        <w:top w:val="none" w:sz="0" w:space="0" w:color="auto"/>
        <w:left w:val="none" w:sz="0" w:space="0" w:color="auto"/>
        <w:bottom w:val="none" w:sz="0" w:space="0" w:color="auto"/>
        <w:right w:val="none" w:sz="0" w:space="0" w:color="auto"/>
      </w:divBdr>
    </w:div>
    <w:div w:id="303852613">
      <w:bodyDiv w:val="1"/>
      <w:marLeft w:val="0"/>
      <w:marRight w:val="0"/>
      <w:marTop w:val="0"/>
      <w:marBottom w:val="0"/>
      <w:divBdr>
        <w:top w:val="none" w:sz="0" w:space="0" w:color="auto"/>
        <w:left w:val="none" w:sz="0" w:space="0" w:color="auto"/>
        <w:bottom w:val="none" w:sz="0" w:space="0" w:color="auto"/>
        <w:right w:val="none" w:sz="0" w:space="0" w:color="auto"/>
      </w:divBdr>
    </w:div>
    <w:div w:id="305859475">
      <w:bodyDiv w:val="1"/>
      <w:marLeft w:val="0"/>
      <w:marRight w:val="0"/>
      <w:marTop w:val="0"/>
      <w:marBottom w:val="0"/>
      <w:divBdr>
        <w:top w:val="none" w:sz="0" w:space="0" w:color="auto"/>
        <w:left w:val="none" w:sz="0" w:space="0" w:color="auto"/>
        <w:bottom w:val="none" w:sz="0" w:space="0" w:color="auto"/>
        <w:right w:val="none" w:sz="0" w:space="0" w:color="auto"/>
      </w:divBdr>
    </w:div>
    <w:div w:id="307639186">
      <w:bodyDiv w:val="1"/>
      <w:marLeft w:val="0"/>
      <w:marRight w:val="0"/>
      <w:marTop w:val="0"/>
      <w:marBottom w:val="0"/>
      <w:divBdr>
        <w:top w:val="none" w:sz="0" w:space="0" w:color="auto"/>
        <w:left w:val="none" w:sz="0" w:space="0" w:color="auto"/>
        <w:bottom w:val="none" w:sz="0" w:space="0" w:color="auto"/>
        <w:right w:val="none" w:sz="0" w:space="0" w:color="auto"/>
      </w:divBdr>
    </w:div>
    <w:div w:id="309986545">
      <w:bodyDiv w:val="1"/>
      <w:marLeft w:val="0"/>
      <w:marRight w:val="0"/>
      <w:marTop w:val="0"/>
      <w:marBottom w:val="0"/>
      <w:divBdr>
        <w:top w:val="none" w:sz="0" w:space="0" w:color="auto"/>
        <w:left w:val="none" w:sz="0" w:space="0" w:color="auto"/>
        <w:bottom w:val="none" w:sz="0" w:space="0" w:color="auto"/>
        <w:right w:val="none" w:sz="0" w:space="0" w:color="auto"/>
      </w:divBdr>
    </w:div>
    <w:div w:id="311300497">
      <w:bodyDiv w:val="1"/>
      <w:marLeft w:val="0"/>
      <w:marRight w:val="0"/>
      <w:marTop w:val="0"/>
      <w:marBottom w:val="0"/>
      <w:divBdr>
        <w:top w:val="none" w:sz="0" w:space="0" w:color="auto"/>
        <w:left w:val="none" w:sz="0" w:space="0" w:color="auto"/>
        <w:bottom w:val="none" w:sz="0" w:space="0" w:color="auto"/>
        <w:right w:val="none" w:sz="0" w:space="0" w:color="auto"/>
      </w:divBdr>
    </w:div>
    <w:div w:id="312032377">
      <w:bodyDiv w:val="1"/>
      <w:marLeft w:val="0"/>
      <w:marRight w:val="0"/>
      <w:marTop w:val="0"/>
      <w:marBottom w:val="0"/>
      <w:divBdr>
        <w:top w:val="none" w:sz="0" w:space="0" w:color="auto"/>
        <w:left w:val="none" w:sz="0" w:space="0" w:color="auto"/>
        <w:bottom w:val="none" w:sz="0" w:space="0" w:color="auto"/>
        <w:right w:val="none" w:sz="0" w:space="0" w:color="auto"/>
      </w:divBdr>
    </w:div>
    <w:div w:id="316496976">
      <w:bodyDiv w:val="1"/>
      <w:marLeft w:val="0"/>
      <w:marRight w:val="0"/>
      <w:marTop w:val="0"/>
      <w:marBottom w:val="0"/>
      <w:divBdr>
        <w:top w:val="none" w:sz="0" w:space="0" w:color="auto"/>
        <w:left w:val="none" w:sz="0" w:space="0" w:color="auto"/>
        <w:bottom w:val="none" w:sz="0" w:space="0" w:color="auto"/>
        <w:right w:val="none" w:sz="0" w:space="0" w:color="auto"/>
      </w:divBdr>
    </w:div>
    <w:div w:id="317006216">
      <w:bodyDiv w:val="1"/>
      <w:marLeft w:val="0"/>
      <w:marRight w:val="0"/>
      <w:marTop w:val="0"/>
      <w:marBottom w:val="0"/>
      <w:divBdr>
        <w:top w:val="none" w:sz="0" w:space="0" w:color="auto"/>
        <w:left w:val="none" w:sz="0" w:space="0" w:color="auto"/>
        <w:bottom w:val="none" w:sz="0" w:space="0" w:color="auto"/>
        <w:right w:val="none" w:sz="0" w:space="0" w:color="auto"/>
      </w:divBdr>
    </w:div>
    <w:div w:id="321544429">
      <w:bodyDiv w:val="1"/>
      <w:marLeft w:val="0"/>
      <w:marRight w:val="0"/>
      <w:marTop w:val="0"/>
      <w:marBottom w:val="0"/>
      <w:divBdr>
        <w:top w:val="none" w:sz="0" w:space="0" w:color="auto"/>
        <w:left w:val="none" w:sz="0" w:space="0" w:color="auto"/>
        <w:bottom w:val="none" w:sz="0" w:space="0" w:color="auto"/>
        <w:right w:val="none" w:sz="0" w:space="0" w:color="auto"/>
      </w:divBdr>
    </w:div>
    <w:div w:id="321662697">
      <w:bodyDiv w:val="1"/>
      <w:marLeft w:val="0"/>
      <w:marRight w:val="0"/>
      <w:marTop w:val="0"/>
      <w:marBottom w:val="0"/>
      <w:divBdr>
        <w:top w:val="none" w:sz="0" w:space="0" w:color="auto"/>
        <w:left w:val="none" w:sz="0" w:space="0" w:color="auto"/>
        <w:bottom w:val="none" w:sz="0" w:space="0" w:color="auto"/>
        <w:right w:val="none" w:sz="0" w:space="0" w:color="auto"/>
      </w:divBdr>
    </w:div>
    <w:div w:id="326329702">
      <w:bodyDiv w:val="1"/>
      <w:marLeft w:val="0"/>
      <w:marRight w:val="0"/>
      <w:marTop w:val="0"/>
      <w:marBottom w:val="0"/>
      <w:divBdr>
        <w:top w:val="none" w:sz="0" w:space="0" w:color="auto"/>
        <w:left w:val="none" w:sz="0" w:space="0" w:color="auto"/>
        <w:bottom w:val="none" w:sz="0" w:space="0" w:color="auto"/>
        <w:right w:val="none" w:sz="0" w:space="0" w:color="auto"/>
      </w:divBdr>
    </w:div>
    <w:div w:id="329337240">
      <w:bodyDiv w:val="1"/>
      <w:marLeft w:val="0"/>
      <w:marRight w:val="0"/>
      <w:marTop w:val="0"/>
      <w:marBottom w:val="0"/>
      <w:divBdr>
        <w:top w:val="none" w:sz="0" w:space="0" w:color="auto"/>
        <w:left w:val="none" w:sz="0" w:space="0" w:color="auto"/>
        <w:bottom w:val="none" w:sz="0" w:space="0" w:color="auto"/>
        <w:right w:val="none" w:sz="0" w:space="0" w:color="auto"/>
      </w:divBdr>
    </w:div>
    <w:div w:id="330916986">
      <w:bodyDiv w:val="1"/>
      <w:marLeft w:val="0"/>
      <w:marRight w:val="0"/>
      <w:marTop w:val="0"/>
      <w:marBottom w:val="0"/>
      <w:divBdr>
        <w:top w:val="none" w:sz="0" w:space="0" w:color="auto"/>
        <w:left w:val="none" w:sz="0" w:space="0" w:color="auto"/>
        <w:bottom w:val="none" w:sz="0" w:space="0" w:color="auto"/>
        <w:right w:val="none" w:sz="0" w:space="0" w:color="auto"/>
      </w:divBdr>
    </w:div>
    <w:div w:id="335040804">
      <w:bodyDiv w:val="1"/>
      <w:marLeft w:val="0"/>
      <w:marRight w:val="0"/>
      <w:marTop w:val="0"/>
      <w:marBottom w:val="0"/>
      <w:divBdr>
        <w:top w:val="none" w:sz="0" w:space="0" w:color="auto"/>
        <w:left w:val="none" w:sz="0" w:space="0" w:color="auto"/>
        <w:bottom w:val="none" w:sz="0" w:space="0" w:color="auto"/>
        <w:right w:val="none" w:sz="0" w:space="0" w:color="auto"/>
      </w:divBdr>
    </w:div>
    <w:div w:id="337971418">
      <w:bodyDiv w:val="1"/>
      <w:marLeft w:val="0"/>
      <w:marRight w:val="0"/>
      <w:marTop w:val="0"/>
      <w:marBottom w:val="0"/>
      <w:divBdr>
        <w:top w:val="none" w:sz="0" w:space="0" w:color="auto"/>
        <w:left w:val="none" w:sz="0" w:space="0" w:color="auto"/>
        <w:bottom w:val="none" w:sz="0" w:space="0" w:color="auto"/>
        <w:right w:val="none" w:sz="0" w:space="0" w:color="auto"/>
      </w:divBdr>
    </w:div>
    <w:div w:id="347761071">
      <w:bodyDiv w:val="1"/>
      <w:marLeft w:val="0"/>
      <w:marRight w:val="0"/>
      <w:marTop w:val="0"/>
      <w:marBottom w:val="0"/>
      <w:divBdr>
        <w:top w:val="none" w:sz="0" w:space="0" w:color="auto"/>
        <w:left w:val="none" w:sz="0" w:space="0" w:color="auto"/>
        <w:bottom w:val="none" w:sz="0" w:space="0" w:color="auto"/>
        <w:right w:val="none" w:sz="0" w:space="0" w:color="auto"/>
      </w:divBdr>
    </w:div>
    <w:div w:id="348525534">
      <w:bodyDiv w:val="1"/>
      <w:marLeft w:val="0"/>
      <w:marRight w:val="0"/>
      <w:marTop w:val="0"/>
      <w:marBottom w:val="0"/>
      <w:divBdr>
        <w:top w:val="none" w:sz="0" w:space="0" w:color="auto"/>
        <w:left w:val="none" w:sz="0" w:space="0" w:color="auto"/>
        <w:bottom w:val="none" w:sz="0" w:space="0" w:color="auto"/>
        <w:right w:val="none" w:sz="0" w:space="0" w:color="auto"/>
      </w:divBdr>
    </w:div>
    <w:div w:id="355696258">
      <w:bodyDiv w:val="1"/>
      <w:marLeft w:val="0"/>
      <w:marRight w:val="0"/>
      <w:marTop w:val="0"/>
      <w:marBottom w:val="0"/>
      <w:divBdr>
        <w:top w:val="none" w:sz="0" w:space="0" w:color="auto"/>
        <w:left w:val="none" w:sz="0" w:space="0" w:color="auto"/>
        <w:bottom w:val="none" w:sz="0" w:space="0" w:color="auto"/>
        <w:right w:val="none" w:sz="0" w:space="0" w:color="auto"/>
      </w:divBdr>
    </w:div>
    <w:div w:id="356080795">
      <w:bodyDiv w:val="1"/>
      <w:marLeft w:val="0"/>
      <w:marRight w:val="0"/>
      <w:marTop w:val="0"/>
      <w:marBottom w:val="0"/>
      <w:divBdr>
        <w:top w:val="none" w:sz="0" w:space="0" w:color="auto"/>
        <w:left w:val="none" w:sz="0" w:space="0" w:color="auto"/>
        <w:bottom w:val="none" w:sz="0" w:space="0" w:color="auto"/>
        <w:right w:val="none" w:sz="0" w:space="0" w:color="auto"/>
      </w:divBdr>
    </w:div>
    <w:div w:id="357633036">
      <w:bodyDiv w:val="1"/>
      <w:marLeft w:val="0"/>
      <w:marRight w:val="0"/>
      <w:marTop w:val="0"/>
      <w:marBottom w:val="0"/>
      <w:divBdr>
        <w:top w:val="none" w:sz="0" w:space="0" w:color="auto"/>
        <w:left w:val="none" w:sz="0" w:space="0" w:color="auto"/>
        <w:bottom w:val="none" w:sz="0" w:space="0" w:color="auto"/>
        <w:right w:val="none" w:sz="0" w:space="0" w:color="auto"/>
      </w:divBdr>
    </w:div>
    <w:div w:id="362750910">
      <w:bodyDiv w:val="1"/>
      <w:marLeft w:val="0"/>
      <w:marRight w:val="0"/>
      <w:marTop w:val="0"/>
      <w:marBottom w:val="0"/>
      <w:divBdr>
        <w:top w:val="none" w:sz="0" w:space="0" w:color="auto"/>
        <w:left w:val="none" w:sz="0" w:space="0" w:color="auto"/>
        <w:bottom w:val="none" w:sz="0" w:space="0" w:color="auto"/>
        <w:right w:val="none" w:sz="0" w:space="0" w:color="auto"/>
      </w:divBdr>
    </w:div>
    <w:div w:id="363100411">
      <w:bodyDiv w:val="1"/>
      <w:marLeft w:val="0"/>
      <w:marRight w:val="0"/>
      <w:marTop w:val="0"/>
      <w:marBottom w:val="0"/>
      <w:divBdr>
        <w:top w:val="none" w:sz="0" w:space="0" w:color="auto"/>
        <w:left w:val="none" w:sz="0" w:space="0" w:color="auto"/>
        <w:bottom w:val="none" w:sz="0" w:space="0" w:color="auto"/>
        <w:right w:val="none" w:sz="0" w:space="0" w:color="auto"/>
      </w:divBdr>
    </w:div>
    <w:div w:id="373114980">
      <w:bodyDiv w:val="1"/>
      <w:marLeft w:val="0"/>
      <w:marRight w:val="0"/>
      <w:marTop w:val="0"/>
      <w:marBottom w:val="0"/>
      <w:divBdr>
        <w:top w:val="none" w:sz="0" w:space="0" w:color="auto"/>
        <w:left w:val="none" w:sz="0" w:space="0" w:color="auto"/>
        <w:bottom w:val="none" w:sz="0" w:space="0" w:color="auto"/>
        <w:right w:val="none" w:sz="0" w:space="0" w:color="auto"/>
      </w:divBdr>
    </w:div>
    <w:div w:id="377241596">
      <w:bodyDiv w:val="1"/>
      <w:marLeft w:val="0"/>
      <w:marRight w:val="0"/>
      <w:marTop w:val="0"/>
      <w:marBottom w:val="0"/>
      <w:divBdr>
        <w:top w:val="none" w:sz="0" w:space="0" w:color="auto"/>
        <w:left w:val="none" w:sz="0" w:space="0" w:color="auto"/>
        <w:bottom w:val="none" w:sz="0" w:space="0" w:color="auto"/>
        <w:right w:val="none" w:sz="0" w:space="0" w:color="auto"/>
      </w:divBdr>
    </w:div>
    <w:div w:id="379014838">
      <w:bodyDiv w:val="1"/>
      <w:marLeft w:val="0"/>
      <w:marRight w:val="0"/>
      <w:marTop w:val="0"/>
      <w:marBottom w:val="0"/>
      <w:divBdr>
        <w:top w:val="none" w:sz="0" w:space="0" w:color="auto"/>
        <w:left w:val="none" w:sz="0" w:space="0" w:color="auto"/>
        <w:bottom w:val="none" w:sz="0" w:space="0" w:color="auto"/>
        <w:right w:val="none" w:sz="0" w:space="0" w:color="auto"/>
      </w:divBdr>
    </w:div>
    <w:div w:id="379014956">
      <w:bodyDiv w:val="1"/>
      <w:marLeft w:val="0"/>
      <w:marRight w:val="0"/>
      <w:marTop w:val="0"/>
      <w:marBottom w:val="0"/>
      <w:divBdr>
        <w:top w:val="none" w:sz="0" w:space="0" w:color="auto"/>
        <w:left w:val="none" w:sz="0" w:space="0" w:color="auto"/>
        <w:bottom w:val="none" w:sz="0" w:space="0" w:color="auto"/>
        <w:right w:val="none" w:sz="0" w:space="0" w:color="auto"/>
      </w:divBdr>
    </w:div>
    <w:div w:id="380784930">
      <w:bodyDiv w:val="1"/>
      <w:marLeft w:val="0"/>
      <w:marRight w:val="0"/>
      <w:marTop w:val="0"/>
      <w:marBottom w:val="0"/>
      <w:divBdr>
        <w:top w:val="none" w:sz="0" w:space="0" w:color="auto"/>
        <w:left w:val="none" w:sz="0" w:space="0" w:color="auto"/>
        <w:bottom w:val="none" w:sz="0" w:space="0" w:color="auto"/>
        <w:right w:val="none" w:sz="0" w:space="0" w:color="auto"/>
      </w:divBdr>
    </w:div>
    <w:div w:id="382406534">
      <w:bodyDiv w:val="1"/>
      <w:marLeft w:val="0"/>
      <w:marRight w:val="0"/>
      <w:marTop w:val="0"/>
      <w:marBottom w:val="0"/>
      <w:divBdr>
        <w:top w:val="none" w:sz="0" w:space="0" w:color="auto"/>
        <w:left w:val="none" w:sz="0" w:space="0" w:color="auto"/>
        <w:bottom w:val="none" w:sz="0" w:space="0" w:color="auto"/>
        <w:right w:val="none" w:sz="0" w:space="0" w:color="auto"/>
      </w:divBdr>
    </w:div>
    <w:div w:id="383452090">
      <w:bodyDiv w:val="1"/>
      <w:marLeft w:val="0"/>
      <w:marRight w:val="0"/>
      <w:marTop w:val="0"/>
      <w:marBottom w:val="0"/>
      <w:divBdr>
        <w:top w:val="none" w:sz="0" w:space="0" w:color="auto"/>
        <w:left w:val="none" w:sz="0" w:space="0" w:color="auto"/>
        <w:bottom w:val="none" w:sz="0" w:space="0" w:color="auto"/>
        <w:right w:val="none" w:sz="0" w:space="0" w:color="auto"/>
      </w:divBdr>
    </w:div>
    <w:div w:id="391391381">
      <w:bodyDiv w:val="1"/>
      <w:marLeft w:val="0"/>
      <w:marRight w:val="0"/>
      <w:marTop w:val="0"/>
      <w:marBottom w:val="0"/>
      <w:divBdr>
        <w:top w:val="none" w:sz="0" w:space="0" w:color="auto"/>
        <w:left w:val="none" w:sz="0" w:space="0" w:color="auto"/>
        <w:bottom w:val="none" w:sz="0" w:space="0" w:color="auto"/>
        <w:right w:val="none" w:sz="0" w:space="0" w:color="auto"/>
      </w:divBdr>
    </w:div>
    <w:div w:id="393352487">
      <w:bodyDiv w:val="1"/>
      <w:marLeft w:val="0"/>
      <w:marRight w:val="0"/>
      <w:marTop w:val="0"/>
      <w:marBottom w:val="0"/>
      <w:divBdr>
        <w:top w:val="none" w:sz="0" w:space="0" w:color="auto"/>
        <w:left w:val="none" w:sz="0" w:space="0" w:color="auto"/>
        <w:bottom w:val="none" w:sz="0" w:space="0" w:color="auto"/>
        <w:right w:val="none" w:sz="0" w:space="0" w:color="auto"/>
      </w:divBdr>
    </w:div>
    <w:div w:id="394082909">
      <w:bodyDiv w:val="1"/>
      <w:marLeft w:val="0"/>
      <w:marRight w:val="0"/>
      <w:marTop w:val="0"/>
      <w:marBottom w:val="0"/>
      <w:divBdr>
        <w:top w:val="none" w:sz="0" w:space="0" w:color="auto"/>
        <w:left w:val="none" w:sz="0" w:space="0" w:color="auto"/>
        <w:bottom w:val="none" w:sz="0" w:space="0" w:color="auto"/>
        <w:right w:val="none" w:sz="0" w:space="0" w:color="auto"/>
      </w:divBdr>
    </w:div>
    <w:div w:id="395125344">
      <w:bodyDiv w:val="1"/>
      <w:marLeft w:val="0"/>
      <w:marRight w:val="0"/>
      <w:marTop w:val="0"/>
      <w:marBottom w:val="0"/>
      <w:divBdr>
        <w:top w:val="none" w:sz="0" w:space="0" w:color="auto"/>
        <w:left w:val="none" w:sz="0" w:space="0" w:color="auto"/>
        <w:bottom w:val="none" w:sz="0" w:space="0" w:color="auto"/>
        <w:right w:val="none" w:sz="0" w:space="0" w:color="auto"/>
      </w:divBdr>
    </w:div>
    <w:div w:id="396821477">
      <w:bodyDiv w:val="1"/>
      <w:marLeft w:val="0"/>
      <w:marRight w:val="0"/>
      <w:marTop w:val="0"/>
      <w:marBottom w:val="0"/>
      <w:divBdr>
        <w:top w:val="none" w:sz="0" w:space="0" w:color="auto"/>
        <w:left w:val="none" w:sz="0" w:space="0" w:color="auto"/>
        <w:bottom w:val="none" w:sz="0" w:space="0" w:color="auto"/>
        <w:right w:val="none" w:sz="0" w:space="0" w:color="auto"/>
      </w:divBdr>
    </w:div>
    <w:div w:id="398213984">
      <w:bodyDiv w:val="1"/>
      <w:marLeft w:val="0"/>
      <w:marRight w:val="0"/>
      <w:marTop w:val="0"/>
      <w:marBottom w:val="0"/>
      <w:divBdr>
        <w:top w:val="none" w:sz="0" w:space="0" w:color="auto"/>
        <w:left w:val="none" w:sz="0" w:space="0" w:color="auto"/>
        <w:bottom w:val="none" w:sz="0" w:space="0" w:color="auto"/>
        <w:right w:val="none" w:sz="0" w:space="0" w:color="auto"/>
      </w:divBdr>
    </w:div>
    <w:div w:id="403453302">
      <w:bodyDiv w:val="1"/>
      <w:marLeft w:val="0"/>
      <w:marRight w:val="0"/>
      <w:marTop w:val="0"/>
      <w:marBottom w:val="0"/>
      <w:divBdr>
        <w:top w:val="none" w:sz="0" w:space="0" w:color="auto"/>
        <w:left w:val="none" w:sz="0" w:space="0" w:color="auto"/>
        <w:bottom w:val="none" w:sz="0" w:space="0" w:color="auto"/>
        <w:right w:val="none" w:sz="0" w:space="0" w:color="auto"/>
      </w:divBdr>
    </w:div>
    <w:div w:id="405343391">
      <w:bodyDiv w:val="1"/>
      <w:marLeft w:val="0"/>
      <w:marRight w:val="0"/>
      <w:marTop w:val="0"/>
      <w:marBottom w:val="0"/>
      <w:divBdr>
        <w:top w:val="none" w:sz="0" w:space="0" w:color="auto"/>
        <w:left w:val="none" w:sz="0" w:space="0" w:color="auto"/>
        <w:bottom w:val="none" w:sz="0" w:space="0" w:color="auto"/>
        <w:right w:val="none" w:sz="0" w:space="0" w:color="auto"/>
      </w:divBdr>
    </w:div>
    <w:div w:id="405372835">
      <w:bodyDiv w:val="1"/>
      <w:marLeft w:val="0"/>
      <w:marRight w:val="0"/>
      <w:marTop w:val="0"/>
      <w:marBottom w:val="0"/>
      <w:divBdr>
        <w:top w:val="none" w:sz="0" w:space="0" w:color="auto"/>
        <w:left w:val="none" w:sz="0" w:space="0" w:color="auto"/>
        <w:bottom w:val="none" w:sz="0" w:space="0" w:color="auto"/>
        <w:right w:val="none" w:sz="0" w:space="0" w:color="auto"/>
      </w:divBdr>
    </w:div>
    <w:div w:id="409011256">
      <w:bodyDiv w:val="1"/>
      <w:marLeft w:val="0"/>
      <w:marRight w:val="0"/>
      <w:marTop w:val="0"/>
      <w:marBottom w:val="0"/>
      <w:divBdr>
        <w:top w:val="none" w:sz="0" w:space="0" w:color="auto"/>
        <w:left w:val="none" w:sz="0" w:space="0" w:color="auto"/>
        <w:bottom w:val="none" w:sz="0" w:space="0" w:color="auto"/>
        <w:right w:val="none" w:sz="0" w:space="0" w:color="auto"/>
      </w:divBdr>
    </w:div>
    <w:div w:id="414977821">
      <w:bodyDiv w:val="1"/>
      <w:marLeft w:val="0"/>
      <w:marRight w:val="0"/>
      <w:marTop w:val="0"/>
      <w:marBottom w:val="0"/>
      <w:divBdr>
        <w:top w:val="none" w:sz="0" w:space="0" w:color="auto"/>
        <w:left w:val="none" w:sz="0" w:space="0" w:color="auto"/>
        <w:bottom w:val="none" w:sz="0" w:space="0" w:color="auto"/>
        <w:right w:val="none" w:sz="0" w:space="0" w:color="auto"/>
      </w:divBdr>
    </w:div>
    <w:div w:id="415713780">
      <w:bodyDiv w:val="1"/>
      <w:marLeft w:val="0"/>
      <w:marRight w:val="0"/>
      <w:marTop w:val="0"/>
      <w:marBottom w:val="0"/>
      <w:divBdr>
        <w:top w:val="none" w:sz="0" w:space="0" w:color="auto"/>
        <w:left w:val="none" w:sz="0" w:space="0" w:color="auto"/>
        <w:bottom w:val="none" w:sz="0" w:space="0" w:color="auto"/>
        <w:right w:val="none" w:sz="0" w:space="0" w:color="auto"/>
      </w:divBdr>
    </w:div>
    <w:div w:id="418796704">
      <w:bodyDiv w:val="1"/>
      <w:marLeft w:val="0"/>
      <w:marRight w:val="0"/>
      <w:marTop w:val="0"/>
      <w:marBottom w:val="0"/>
      <w:divBdr>
        <w:top w:val="none" w:sz="0" w:space="0" w:color="auto"/>
        <w:left w:val="none" w:sz="0" w:space="0" w:color="auto"/>
        <w:bottom w:val="none" w:sz="0" w:space="0" w:color="auto"/>
        <w:right w:val="none" w:sz="0" w:space="0" w:color="auto"/>
      </w:divBdr>
    </w:div>
    <w:div w:id="419645278">
      <w:bodyDiv w:val="1"/>
      <w:marLeft w:val="0"/>
      <w:marRight w:val="0"/>
      <w:marTop w:val="0"/>
      <w:marBottom w:val="0"/>
      <w:divBdr>
        <w:top w:val="none" w:sz="0" w:space="0" w:color="auto"/>
        <w:left w:val="none" w:sz="0" w:space="0" w:color="auto"/>
        <w:bottom w:val="none" w:sz="0" w:space="0" w:color="auto"/>
        <w:right w:val="none" w:sz="0" w:space="0" w:color="auto"/>
      </w:divBdr>
    </w:div>
    <w:div w:id="422727009">
      <w:bodyDiv w:val="1"/>
      <w:marLeft w:val="0"/>
      <w:marRight w:val="0"/>
      <w:marTop w:val="0"/>
      <w:marBottom w:val="0"/>
      <w:divBdr>
        <w:top w:val="none" w:sz="0" w:space="0" w:color="auto"/>
        <w:left w:val="none" w:sz="0" w:space="0" w:color="auto"/>
        <w:bottom w:val="none" w:sz="0" w:space="0" w:color="auto"/>
        <w:right w:val="none" w:sz="0" w:space="0" w:color="auto"/>
      </w:divBdr>
    </w:div>
    <w:div w:id="424231454">
      <w:bodyDiv w:val="1"/>
      <w:marLeft w:val="0"/>
      <w:marRight w:val="0"/>
      <w:marTop w:val="0"/>
      <w:marBottom w:val="0"/>
      <w:divBdr>
        <w:top w:val="none" w:sz="0" w:space="0" w:color="auto"/>
        <w:left w:val="none" w:sz="0" w:space="0" w:color="auto"/>
        <w:bottom w:val="none" w:sz="0" w:space="0" w:color="auto"/>
        <w:right w:val="none" w:sz="0" w:space="0" w:color="auto"/>
      </w:divBdr>
    </w:div>
    <w:div w:id="426003599">
      <w:bodyDiv w:val="1"/>
      <w:marLeft w:val="0"/>
      <w:marRight w:val="0"/>
      <w:marTop w:val="0"/>
      <w:marBottom w:val="0"/>
      <w:divBdr>
        <w:top w:val="none" w:sz="0" w:space="0" w:color="auto"/>
        <w:left w:val="none" w:sz="0" w:space="0" w:color="auto"/>
        <w:bottom w:val="none" w:sz="0" w:space="0" w:color="auto"/>
        <w:right w:val="none" w:sz="0" w:space="0" w:color="auto"/>
      </w:divBdr>
    </w:div>
    <w:div w:id="426540785">
      <w:bodyDiv w:val="1"/>
      <w:marLeft w:val="0"/>
      <w:marRight w:val="0"/>
      <w:marTop w:val="0"/>
      <w:marBottom w:val="0"/>
      <w:divBdr>
        <w:top w:val="none" w:sz="0" w:space="0" w:color="auto"/>
        <w:left w:val="none" w:sz="0" w:space="0" w:color="auto"/>
        <w:bottom w:val="none" w:sz="0" w:space="0" w:color="auto"/>
        <w:right w:val="none" w:sz="0" w:space="0" w:color="auto"/>
      </w:divBdr>
    </w:div>
    <w:div w:id="426734489">
      <w:bodyDiv w:val="1"/>
      <w:marLeft w:val="0"/>
      <w:marRight w:val="0"/>
      <w:marTop w:val="0"/>
      <w:marBottom w:val="0"/>
      <w:divBdr>
        <w:top w:val="none" w:sz="0" w:space="0" w:color="auto"/>
        <w:left w:val="none" w:sz="0" w:space="0" w:color="auto"/>
        <w:bottom w:val="none" w:sz="0" w:space="0" w:color="auto"/>
        <w:right w:val="none" w:sz="0" w:space="0" w:color="auto"/>
      </w:divBdr>
    </w:div>
    <w:div w:id="431240647">
      <w:bodyDiv w:val="1"/>
      <w:marLeft w:val="0"/>
      <w:marRight w:val="0"/>
      <w:marTop w:val="0"/>
      <w:marBottom w:val="0"/>
      <w:divBdr>
        <w:top w:val="none" w:sz="0" w:space="0" w:color="auto"/>
        <w:left w:val="none" w:sz="0" w:space="0" w:color="auto"/>
        <w:bottom w:val="none" w:sz="0" w:space="0" w:color="auto"/>
        <w:right w:val="none" w:sz="0" w:space="0" w:color="auto"/>
      </w:divBdr>
    </w:div>
    <w:div w:id="441388877">
      <w:bodyDiv w:val="1"/>
      <w:marLeft w:val="0"/>
      <w:marRight w:val="0"/>
      <w:marTop w:val="0"/>
      <w:marBottom w:val="0"/>
      <w:divBdr>
        <w:top w:val="none" w:sz="0" w:space="0" w:color="auto"/>
        <w:left w:val="none" w:sz="0" w:space="0" w:color="auto"/>
        <w:bottom w:val="none" w:sz="0" w:space="0" w:color="auto"/>
        <w:right w:val="none" w:sz="0" w:space="0" w:color="auto"/>
      </w:divBdr>
    </w:div>
    <w:div w:id="441846577">
      <w:bodyDiv w:val="1"/>
      <w:marLeft w:val="0"/>
      <w:marRight w:val="0"/>
      <w:marTop w:val="0"/>
      <w:marBottom w:val="0"/>
      <w:divBdr>
        <w:top w:val="none" w:sz="0" w:space="0" w:color="auto"/>
        <w:left w:val="none" w:sz="0" w:space="0" w:color="auto"/>
        <w:bottom w:val="none" w:sz="0" w:space="0" w:color="auto"/>
        <w:right w:val="none" w:sz="0" w:space="0" w:color="auto"/>
      </w:divBdr>
    </w:div>
    <w:div w:id="442304207">
      <w:bodyDiv w:val="1"/>
      <w:marLeft w:val="0"/>
      <w:marRight w:val="0"/>
      <w:marTop w:val="0"/>
      <w:marBottom w:val="0"/>
      <w:divBdr>
        <w:top w:val="none" w:sz="0" w:space="0" w:color="auto"/>
        <w:left w:val="none" w:sz="0" w:space="0" w:color="auto"/>
        <w:bottom w:val="none" w:sz="0" w:space="0" w:color="auto"/>
        <w:right w:val="none" w:sz="0" w:space="0" w:color="auto"/>
      </w:divBdr>
    </w:div>
    <w:div w:id="445656076">
      <w:bodyDiv w:val="1"/>
      <w:marLeft w:val="0"/>
      <w:marRight w:val="0"/>
      <w:marTop w:val="0"/>
      <w:marBottom w:val="0"/>
      <w:divBdr>
        <w:top w:val="none" w:sz="0" w:space="0" w:color="auto"/>
        <w:left w:val="none" w:sz="0" w:space="0" w:color="auto"/>
        <w:bottom w:val="none" w:sz="0" w:space="0" w:color="auto"/>
        <w:right w:val="none" w:sz="0" w:space="0" w:color="auto"/>
      </w:divBdr>
    </w:div>
    <w:div w:id="450517188">
      <w:bodyDiv w:val="1"/>
      <w:marLeft w:val="0"/>
      <w:marRight w:val="0"/>
      <w:marTop w:val="0"/>
      <w:marBottom w:val="0"/>
      <w:divBdr>
        <w:top w:val="none" w:sz="0" w:space="0" w:color="auto"/>
        <w:left w:val="none" w:sz="0" w:space="0" w:color="auto"/>
        <w:bottom w:val="none" w:sz="0" w:space="0" w:color="auto"/>
        <w:right w:val="none" w:sz="0" w:space="0" w:color="auto"/>
      </w:divBdr>
    </w:div>
    <w:div w:id="451360052">
      <w:bodyDiv w:val="1"/>
      <w:marLeft w:val="0"/>
      <w:marRight w:val="0"/>
      <w:marTop w:val="0"/>
      <w:marBottom w:val="0"/>
      <w:divBdr>
        <w:top w:val="none" w:sz="0" w:space="0" w:color="auto"/>
        <w:left w:val="none" w:sz="0" w:space="0" w:color="auto"/>
        <w:bottom w:val="none" w:sz="0" w:space="0" w:color="auto"/>
        <w:right w:val="none" w:sz="0" w:space="0" w:color="auto"/>
      </w:divBdr>
    </w:div>
    <w:div w:id="454981913">
      <w:bodyDiv w:val="1"/>
      <w:marLeft w:val="0"/>
      <w:marRight w:val="0"/>
      <w:marTop w:val="0"/>
      <w:marBottom w:val="0"/>
      <w:divBdr>
        <w:top w:val="none" w:sz="0" w:space="0" w:color="auto"/>
        <w:left w:val="none" w:sz="0" w:space="0" w:color="auto"/>
        <w:bottom w:val="none" w:sz="0" w:space="0" w:color="auto"/>
        <w:right w:val="none" w:sz="0" w:space="0" w:color="auto"/>
      </w:divBdr>
    </w:div>
    <w:div w:id="465315839">
      <w:bodyDiv w:val="1"/>
      <w:marLeft w:val="0"/>
      <w:marRight w:val="0"/>
      <w:marTop w:val="0"/>
      <w:marBottom w:val="0"/>
      <w:divBdr>
        <w:top w:val="none" w:sz="0" w:space="0" w:color="auto"/>
        <w:left w:val="none" w:sz="0" w:space="0" w:color="auto"/>
        <w:bottom w:val="none" w:sz="0" w:space="0" w:color="auto"/>
        <w:right w:val="none" w:sz="0" w:space="0" w:color="auto"/>
      </w:divBdr>
    </w:div>
    <w:div w:id="466241581">
      <w:bodyDiv w:val="1"/>
      <w:marLeft w:val="0"/>
      <w:marRight w:val="0"/>
      <w:marTop w:val="0"/>
      <w:marBottom w:val="0"/>
      <w:divBdr>
        <w:top w:val="none" w:sz="0" w:space="0" w:color="auto"/>
        <w:left w:val="none" w:sz="0" w:space="0" w:color="auto"/>
        <w:bottom w:val="none" w:sz="0" w:space="0" w:color="auto"/>
        <w:right w:val="none" w:sz="0" w:space="0" w:color="auto"/>
      </w:divBdr>
    </w:div>
    <w:div w:id="469791970">
      <w:bodyDiv w:val="1"/>
      <w:marLeft w:val="0"/>
      <w:marRight w:val="0"/>
      <w:marTop w:val="0"/>
      <w:marBottom w:val="0"/>
      <w:divBdr>
        <w:top w:val="none" w:sz="0" w:space="0" w:color="auto"/>
        <w:left w:val="none" w:sz="0" w:space="0" w:color="auto"/>
        <w:bottom w:val="none" w:sz="0" w:space="0" w:color="auto"/>
        <w:right w:val="none" w:sz="0" w:space="0" w:color="auto"/>
      </w:divBdr>
    </w:div>
    <w:div w:id="474295689">
      <w:bodyDiv w:val="1"/>
      <w:marLeft w:val="0"/>
      <w:marRight w:val="0"/>
      <w:marTop w:val="0"/>
      <w:marBottom w:val="0"/>
      <w:divBdr>
        <w:top w:val="none" w:sz="0" w:space="0" w:color="auto"/>
        <w:left w:val="none" w:sz="0" w:space="0" w:color="auto"/>
        <w:bottom w:val="none" w:sz="0" w:space="0" w:color="auto"/>
        <w:right w:val="none" w:sz="0" w:space="0" w:color="auto"/>
      </w:divBdr>
    </w:div>
    <w:div w:id="485630693">
      <w:bodyDiv w:val="1"/>
      <w:marLeft w:val="0"/>
      <w:marRight w:val="0"/>
      <w:marTop w:val="0"/>
      <w:marBottom w:val="0"/>
      <w:divBdr>
        <w:top w:val="none" w:sz="0" w:space="0" w:color="auto"/>
        <w:left w:val="none" w:sz="0" w:space="0" w:color="auto"/>
        <w:bottom w:val="none" w:sz="0" w:space="0" w:color="auto"/>
        <w:right w:val="none" w:sz="0" w:space="0" w:color="auto"/>
      </w:divBdr>
    </w:div>
    <w:div w:id="489947562">
      <w:bodyDiv w:val="1"/>
      <w:marLeft w:val="0"/>
      <w:marRight w:val="0"/>
      <w:marTop w:val="0"/>
      <w:marBottom w:val="0"/>
      <w:divBdr>
        <w:top w:val="none" w:sz="0" w:space="0" w:color="auto"/>
        <w:left w:val="none" w:sz="0" w:space="0" w:color="auto"/>
        <w:bottom w:val="none" w:sz="0" w:space="0" w:color="auto"/>
        <w:right w:val="none" w:sz="0" w:space="0" w:color="auto"/>
      </w:divBdr>
    </w:div>
    <w:div w:id="491797379">
      <w:bodyDiv w:val="1"/>
      <w:marLeft w:val="0"/>
      <w:marRight w:val="0"/>
      <w:marTop w:val="0"/>
      <w:marBottom w:val="0"/>
      <w:divBdr>
        <w:top w:val="none" w:sz="0" w:space="0" w:color="auto"/>
        <w:left w:val="none" w:sz="0" w:space="0" w:color="auto"/>
        <w:bottom w:val="none" w:sz="0" w:space="0" w:color="auto"/>
        <w:right w:val="none" w:sz="0" w:space="0" w:color="auto"/>
      </w:divBdr>
    </w:div>
    <w:div w:id="493255095">
      <w:bodyDiv w:val="1"/>
      <w:marLeft w:val="0"/>
      <w:marRight w:val="0"/>
      <w:marTop w:val="0"/>
      <w:marBottom w:val="0"/>
      <w:divBdr>
        <w:top w:val="none" w:sz="0" w:space="0" w:color="auto"/>
        <w:left w:val="none" w:sz="0" w:space="0" w:color="auto"/>
        <w:bottom w:val="none" w:sz="0" w:space="0" w:color="auto"/>
        <w:right w:val="none" w:sz="0" w:space="0" w:color="auto"/>
      </w:divBdr>
    </w:div>
    <w:div w:id="493838176">
      <w:bodyDiv w:val="1"/>
      <w:marLeft w:val="0"/>
      <w:marRight w:val="0"/>
      <w:marTop w:val="0"/>
      <w:marBottom w:val="0"/>
      <w:divBdr>
        <w:top w:val="none" w:sz="0" w:space="0" w:color="auto"/>
        <w:left w:val="none" w:sz="0" w:space="0" w:color="auto"/>
        <w:bottom w:val="none" w:sz="0" w:space="0" w:color="auto"/>
        <w:right w:val="none" w:sz="0" w:space="0" w:color="auto"/>
      </w:divBdr>
    </w:div>
    <w:div w:id="498154975">
      <w:bodyDiv w:val="1"/>
      <w:marLeft w:val="0"/>
      <w:marRight w:val="0"/>
      <w:marTop w:val="0"/>
      <w:marBottom w:val="0"/>
      <w:divBdr>
        <w:top w:val="none" w:sz="0" w:space="0" w:color="auto"/>
        <w:left w:val="none" w:sz="0" w:space="0" w:color="auto"/>
        <w:bottom w:val="none" w:sz="0" w:space="0" w:color="auto"/>
        <w:right w:val="none" w:sz="0" w:space="0" w:color="auto"/>
      </w:divBdr>
    </w:div>
    <w:div w:id="499084347">
      <w:bodyDiv w:val="1"/>
      <w:marLeft w:val="0"/>
      <w:marRight w:val="0"/>
      <w:marTop w:val="0"/>
      <w:marBottom w:val="0"/>
      <w:divBdr>
        <w:top w:val="none" w:sz="0" w:space="0" w:color="auto"/>
        <w:left w:val="none" w:sz="0" w:space="0" w:color="auto"/>
        <w:bottom w:val="none" w:sz="0" w:space="0" w:color="auto"/>
        <w:right w:val="none" w:sz="0" w:space="0" w:color="auto"/>
      </w:divBdr>
    </w:div>
    <w:div w:id="503011866">
      <w:bodyDiv w:val="1"/>
      <w:marLeft w:val="0"/>
      <w:marRight w:val="0"/>
      <w:marTop w:val="0"/>
      <w:marBottom w:val="0"/>
      <w:divBdr>
        <w:top w:val="none" w:sz="0" w:space="0" w:color="auto"/>
        <w:left w:val="none" w:sz="0" w:space="0" w:color="auto"/>
        <w:bottom w:val="none" w:sz="0" w:space="0" w:color="auto"/>
        <w:right w:val="none" w:sz="0" w:space="0" w:color="auto"/>
      </w:divBdr>
    </w:div>
    <w:div w:id="506135926">
      <w:bodyDiv w:val="1"/>
      <w:marLeft w:val="0"/>
      <w:marRight w:val="0"/>
      <w:marTop w:val="0"/>
      <w:marBottom w:val="0"/>
      <w:divBdr>
        <w:top w:val="none" w:sz="0" w:space="0" w:color="auto"/>
        <w:left w:val="none" w:sz="0" w:space="0" w:color="auto"/>
        <w:bottom w:val="none" w:sz="0" w:space="0" w:color="auto"/>
        <w:right w:val="none" w:sz="0" w:space="0" w:color="auto"/>
      </w:divBdr>
    </w:div>
    <w:div w:id="508327689">
      <w:bodyDiv w:val="1"/>
      <w:marLeft w:val="0"/>
      <w:marRight w:val="0"/>
      <w:marTop w:val="0"/>
      <w:marBottom w:val="0"/>
      <w:divBdr>
        <w:top w:val="none" w:sz="0" w:space="0" w:color="auto"/>
        <w:left w:val="none" w:sz="0" w:space="0" w:color="auto"/>
        <w:bottom w:val="none" w:sz="0" w:space="0" w:color="auto"/>
        <w:right w:val="none" w:sz="0" w:space="0" w:color="auto"/>
      </w:divBdr>
    </w:div>
    <w:div w:id="513228882">
      <w:bodyDiv w:val="1"/>
      <w:marLeft w:val="0"/>
      <w:marRight w:val="0"/>
      <w:marTop w:val="0"/>
      <w:marBottom w:val="0"/>
      <w:divBdr>
        <w:top w:val="none" w:sz="0" w:space="0" w:color="auto"/>
        <w:left w:val="none" w:sz="0" w:space="0" w:color="auto"/>
        <w:bottom w:val="none" w:sz="0" w:space="0" w:color="auto"/>
        <w:right w:val="none" w:sz="0" w:space="0" w:color="auto"/>
      </w:divBdr>
    </w:div>
    <w:div w:id="513417097">
      <w:bodyDiv w:val="1"/>
      <w:marLeft w:val="0"/>
      <w:marRight w:val="0"/>
      <w:marTop w:val="0"/>
      <w:marBottom w:val="0"/>
      <w:divBdr>
        <w:top w:val="none" w:sz="0" w:space="0" w:color="auto"/>
        <w:left w:val="none" w:sz="0" w:space="0" w:color="auto"/>
        <w:bottom w:val="none" w:sz="0" w:space="0" w:color="auto"/>
        <w:right w:val="none" w:sz="0" w:space="0" w:color="auto"/>
      </w:divBdr>
    </w:div>
    <w:div w:id="513809728">
      <w:bodyDiv w:val="1"/>
      <w:marLeft w:val="0"/>
      <w:marRight w:val="0"/>
      <w:marTop w:val="0"/>
      <w:marBottom w:val="0"/>
      <w:divBdr>
        <w:top w:val="none" w:sz="0" w:space="0" w:color="auto"/>
        <w:left w:val="none" w:sz="0" w:space="0" w:color="auto"/>
        <w:bottom w:val="none" w:sz="0" w:space="0" w:color="auto"/>
        <w:right w:val="none" w:sz="0" w:space="0" w:color="auto"/>
      </w:divBdr>
    </w:div>
    <w:div w:id="516500478">
      <w:bodyDiv w:val="1"/>
      <w:marLeft w:val="0"/>
      <w:marRight w:val="0"/>
      <w:marTop w:val="0"/>
      <w:marBottom w:val="0"/>
      <w:divBdr>
        <w:top w:val="none" w:sz="0" w:space="0" w:color="auto"/>
        <w:left w:val="none" w:sz="0" w:space="0" w:color="auto"/>
        <w:bottom w:val="none" w:sz="0" w:space="0" w:color="auto"/>
        <w:right w:val="none" w:sz="0" w:space="0" w:color="auto"/>
      </w:divBdr>
    </w:div>
    <w:div w:id="520360316">
      <w:bodyDiv w:val="1"/>
      <w:marLeft w:val="0"/>
      <w:marRight w:val="0"/>
      <w:marTop w:val="0"/>
      <w:marBottom w:val="0"/>
      <w:divBdr>
        <w:top w:val="none" w:sz="0" w:space="0" w:color="auto"/>
        <w:left w:val="none" w:sz="0" w:space="0" w:color="auto"/>
        <w:bottom w:val="none" w:sz="0" w:space="0" w:color="auto"/>
        <w:right w:val="none" w:sz="0" w:space="0" w:color="auto"/>
      </w:divBdr>
    </w:div>
    <w:div w:id="529757187">
      <w:bodyDiv w:val="1"/>
      <w:marLeft w:val="0"/>
      <w:marRight w:val="0"/>
      <w:marTop w:val="0"/>
      <w:marBottom w:val="0"/>
      <w:divBdr>
        <w:top w:val="none" w:sz="0" w:space="0" w:color="auto"/>
        <w:left w:val="none" w:sz="0" w:space="0" w:color="auto"/>
        <w:bottom w:val="none" w:sz="0" w:space="0" w:color="auto"/>
        <w:right w:val="none" w:sz="0" w:space="0" w:color="auto"/>
      </w:divBdr>
    </w:div>
    <w:div w:id="533538842">
      <w:bodyDiv w:val="1"/>
      <w:marLeft w:val="0"/>
      <w:marRight w:val="0"/>
      <w:marTop w:val="0"/>
      <w:marBottom w:val="0"/>
      <w:divBdr>
        <w:top w:val="none" w:sz="0" w:space="0" w:color="auto"/>
        <w:left w:val="none" w:sz="0" w:space="0" w:color="auto"/>
        <w:bottom w:val="none" w:sz="0" w:space="0" w:color="auto"/>
        <w:right w:val="none" w:sz="0" w:space="0" w:color="auto"/>
      </w:divBdr>
    </w:div>
    <w:div w:id="534469075">
      <w:bodyDiv w:val="1"/>
      <w:marLeft w:val="0"/>
      <w:marRight w:val="0"/>
      <w:marTop w:val="0"/>
      <w:marBottom w:val="0"/>
      <w:divBdr>
        <w:top w:val="none" w:sz="0" w:space="0" w:color="auto"/>
        <w:left w:val="none" w:sz="0" w:space="0" w:color="auto"/>
        <w:bottom w:val="none" w:sz="0" w:space="0" w:color="auto"/>
        <w:right w:val="none" w:sz="0" w:space="0" w:color="auto"/>
      </w:divBdr>
    </w:div>
    <w:div w:id="535122999">
      <w:bodyDiv w:val="1"/>
      <w:marLeft w:val="0"/>
      <w:marRight w:val="0"/>
      <w:marTop w:val="0"/>
      <w:marBottom w:val="0"/>
      <w:divBdr>
        <w:top w:val="none" w:sz="0" w:space="0" w:color="auto"/>
        <w:left w:val="none" w:sz="0" w:space="0" w:color="auto"/>
        <w:bottom w:val="none" w:sz="0" w:space="0" w:color="auto"/>
        <w:right w:val="none" w:sz="0" w:space="0" w:color="auto"/>
      </w:divBdr>
    </w:div>
    <w:div w:id="539442827">
      <w:bodyDiv w:val="1"/>
      <w:marLeft w:val="0"/>
      <w:marRight w:val="0"/>
      <w:marTop w:val="0"/>
      <w:marBottom w:val="0"/>
      <w:divBdr>
        <w:top w:val="none" w:sz="0" w:space="0" w:color="auto"/>
        <w:left w:val="none" w:sz="0" w:space="0" w:color="auto"/>
        <w:bottom w:val="none" w:sz="0" w:space="0" w:color="auto"/>
        <w:right w:val="none" w:sz="0" w:space="0" w:color="auto"/>
      </w:divBdr>
    </w:div>
    <w:div w:id="542642323">
      <w:bodyDiv w:val="1"/>
      <w:marLeft w:val="0"/>
      <w:marRight w:val="0"/>
      <w:marTop w:val="0"/>
      <w:marBottom w:val="0"/>
      <w:divBdr>
        <w:top w:val="none" w:sz="0" w:space="0" w:color="auto"/>
        <w:left w:val="none" w:sz="0" w:space="0" w:color="auto"/>
        <w:bottom w:val="none" w:sz="0" w:space="0" w:color="auto"/>
        <w:right w:val="none" w:sz="0" w:space="0" w:color="auto"/>
      </w:divBdr>
    </w:div>
    <w:div w:id="543056055">
      <w:bodyDiv w:val="1"/>
      <w:marLeft w:val="0"/>
      <w:marRight w:val="0"/>
      <w:marTop w:val="0"/>
      <w:marBottom w:val="0"/>
      <w:divBdr>
        <w:top w:val="none" w:sz="0" w:space="0" w:color="auto"/>
        <w:left w:val="none" w:sz="0" w:space="0" w:color="auto"/>
        <w:bottom w:val="none" w:sz="0" w:space="0" w:color="auto"/>
        <w:right w:val="none" w:sz="0" w:space="0" w:color="auto"/>
      </w:divBdr>
    </w:div>
    <w:div w:id="545995578">
      <w:bodyDiv w:val="1"/>
      <w:marLeft w:val="0"/>
      <w:marRight w:val="0"/>
      <w:marTop w:val="0"/>
      <w:marBottom w:val="0"/>
      <w:divBdr>
        <w:top w:val="none" w:sz="0" w:space="0" w:color="auto"/>
        <w:left w:val="none" w:sz="0" w:space="0" w:color="auto"/>
        <w:bottom w:val="none" w:sz="0" w:space="0" w:color="auto"/>
        <w:right w:val="none" w:sz="0" w:space="0" w:color="auto"/>
      </w:divBdr>
    </w:div>
    <w:div w:id="548105881">
      <w:bodyDiv w:val="1"/>
      <w:marLeft w:val="0"/>
      <w:marRight w:val="0"/>
      <w:marTop w:val="0"/>
      <w:marBottom w:val="0"/>
      <w:divBdr>
        <w:top w:val="none" w:sz="0" w:space="0" w:color="auto"/>
        <w:left w:val="none" w:sz="0" w:space="0" w:color="auto"/>
        <w:bottom w:val="none" w:sz="0" w:space="0" w:color="auto"/>
        <w:right w:val="none" w:sz="0" w:space="0" w:color="auto"/>
      </w:divBdr>
    </w:div>
    <w:div w:id="556207246">
      <w:bodyDiv w:val="1"/>
      <w:marLeft w:val="0"/>
      <w:marRight w:val="0"/>
      <w:marTop w:val="0"/>
      <w:marBottom w:val="0"/>
      <w:divBdr>
        <w:top w:val="none" w:sz="0" w:space="0" w:color="auto"/>
        <w:left w:val="none" w:sz="0" w:space="0" w:color="auto"/>
        <w:bottom w:val="none" w:sz="0" w:space="0" w:color="auto"/>
        <w:right w:val="none" w:sz="0" w:space="0" w:color="auto"/>
      </w:divBdr>
    </w:div>
    <w:div w:id="558789445">
      <w:bodyDiv w:val="1"/>
      <w:marLeft w:val="0"/>
      <w:marRight w:val="0"/>
      <w:marTop w:val="0"/>
      <w:marBottom w:val="0"/>
      <w:divBdr>
        <w:top w:val="none" w:sz="0" w:space="0" w:color="auto"/>
        <w:left w:val="none" w:sz="0" w:space="0" w:color="auto"/>
        <w:bottom w:val="none" w:sz="0" w:space="0" w:color="auto"/>
        <w:right w:val="none" w:sz="0" w:space="0" w:color="auto"/>
      </w:divBdr>
    </w:div>
    <w:div w:id="562637694">
      <w:bodyDiv w:val="1"/>
      <w:marLeft w:val="0"/>
      <w:marRight w:val="0"/>
      <w:marTop w:val="0"/>
      <w:marBottom w:val="0"/>
      <w:divBdr>
        <w:top w:val="none" w:sz="0" w:space="0" w:color="auto"/>
        <w:left w:val="none" w:sz="0" w:space="0" w:color="auto"/>
        <w:bottom w:val="none" w:sz="0" w:space="0" w:color="auto"/>
        <w:right w:val="none" w:sz="0" w:space="0" w:color="auto"/>
      </w:divBdr>
    </w:div>
    <w:div w:id="563488975">
      <w:bodyDiv w:val="1"/>
      <w:marLeft w:val="0"/>
      <w:marRight w:val="0"/>
      <w:marTop w:val="0"/>
      <w:marBottom w:val="0"/>
      <w:divBdr>
        <w:top w:val="none" w:sz="0" w:space="0" w:color="auto"/>
        <w:left w:val="none" w:sz="0" w:space="0" w:color="auto"/>
        <w:bottom w:val="none" w:sz="0" w:space="0" w:color="auto"/>
        <w:right w:val="none" w:sz="0" w:space="0" w:color="auto"/>
      </w:divBdr>
    </w:div>
    <w:div w:id="563762894">
      <w:bodyDiv w:val="1"/>
      <w:marLeft w:val="0"/>
      <w:marRight w:val="0"/>
      <w:marTop w:val="0"/>
      <w:marBottom w:val="0"/>
      <w:divBdr>
        <w:top w:val="none" w:sz="0" w:space="0" w:color="auto"/>
        <w:left w:val="none" w:sz="0" w:space="0" w:color="auto"/>
        <w:bottom w:val="none" w:sz="0" w:space="0" w:color="auto"/>
        <w:right w:val="none" w:sz="0" w:space="0" w:color="auto"/>
      </w:divBdr>
    </w:div>
    <w:div w:id="574584812">
      <w:bodyDiv w:val="1"/>
      <w:marLeft w:val="0"/>
      <w:marRight w:val="0"/>
      <w:marTop w:val="0"/>
      <w:marBottom w:val="0"/>
      <w:divBdr>
        <w:top w:val="none" w:sz="0" w:space="0" w:color="auto"/>
        <w:left w:val="none" w:sz="0" w:space="0" w:color="auto"/>
        <w:bottom w:val="none" w:sz="0" w:space="0" w:color="auto"/>
        <w:right w:val="none" w:sz="0" w:space="0" w:color="auto"/>
      </w:divBdr>
    </w:div>
    <w:div w:id="579948110">
      <w:bodyDiv w:val="1"/>
      <w:marLeft w:val="0"/>
      <w:marRight w:val="0"/>
      <w:marTop w:val="0"/>
      <w:marBottom w:val="0"/>
      <w:divBdr>
        <w:top w:val="none" w:sz="0" w:space="0" w:color="auto"/>
        <w:left w:val="none" w:sz="0" w:space="0" w:color="auto"/>
        <w:bottom w:val="none" w:sz="0" w:space="0" w:color="auto"/>
        <w:right w:val="none" w:sz="0" w:space="0" w:color="auto"/>
      </w:divBdr>
    </w:div>
    <w:div w:id="581722579">
      <w:bodyDiv w:val="1"/>
      <w:marLeft w:val="0"/>
      <w:marRight w:val="0"/>
      <w:marTop w:val="0"/>
      <w:marBottom w:val="0"/>
      <w:divBdr>
        <w:top w:val="none" w:sz="0" w:space="0" w:color="auto"/>
        <w:left w:val="none" w:sz="0" w:space="0" w:color="auto"/>
        <w:bottom w:val="none" w:sz="0" w:space="0" w:color="auto"/>
        <w:right w:val="none" w:sz="0" w:space="0" w:color="auto"/>
      </w:divBdr>
    </w:div>
    <w:div w:id="581987252">
      <w:bodyDiv w:val="1"/>
      <w:marLeft w:val="0"/>
      <w:marRight w:val="0"/>
      <w:marTop w:val="0"/>
      <w:marBottom w:val="0"/>
      <w:divBdr>
        <w:top w:val="none" w:sz="0" w:space="0" w:color="auto"/>
        <w:left w:val="none" w:sz="0" w:space="0" w:color="auto"/>
        <w:bottom w:val="none" w:sz="0" w:space="0" w:color="auto"/>
        <w:right w:val="none" w:sz="0" w:space="0" w:color="auto"/>
      </w:divBdr>
    </w:div>
    <w:div w:id="582177818">
      <w:bodyDiv w:val="1"/>
      <w:marLeft w:val="0"/>
      <w:marRight w:val="0"/>
      <w:marTop w:val="0"/>
      <w:marBottom w:val="0"/>
      <w:divBdr>
        <w:top w:val="none" w:sz="0" w:space="0" w:color="auto"/>
        <w:left w:val="none" w:sz="0" w:space="0" w:color="auto"/>
        <w:bottom w:val="none" w:sz="0" w:space="0" w:color="auto"/>
        <w:right w:val="none" w:sz="0" w:space="0" w:color="auto"/>
      </w:divBdr>
    </w:div>
    <w:div w:id="584653416">
      <w:bodyDiv w:val="1"/>
      <w:marLeft w:val="0"/>
      <w:marRight w:val="0"/>
      <w:marTop w:val="0"/>
      <w:marBottom w:val="0"/>
      <w:divBdr>
        <w:top w:val="none" w:sz="0" w:space="0" w:color="auto"/>
        <w:left w:val="none" w:sz="0" w:space="0" w:color="auto"/>
        <w:bottom w:val="none" w:sz="0" w:space="0" w:color="auto"/>
        <w:right w:val="none" w:sz="0" w:space="0" w:color="auto"/>
      </w:divBdr>
    </w:div>
    <w:div w:id="589701970">
      <w:bodyDiv w:val="1"/>
      <w:marLeft w:val="0"/>
      <w:marRight w:val="0"/>
      <w:marTop w:val="0"/>
      <w:marBottom w:val="0"/>
      <w:divBdr>
        <w:top w:val="none" w:sz="0" w:space="0" w:color="auto"/>
        <w:left w:val="none" w:sz="0" w:space="0" w:color="auto"/>
        <w:bottom w:val="none" w:sz="0" w:space="0" w:color="auto"/>
        <w:right w:val="none" w:sz="0" w:space="0" w:color="auto"/>
      </w:divBdr>
    </w:div>
    <w:div w:id="591015865">
      <w:bodyDiv w:val="1"/>
      <w:marLeft w:val="0"/>
      <w:marRight w:val="0"/>
      <w:marTop w:val="0"/>
      <w:marBottom w:val="0"/>
      <w:divBdr>
        <w:top w:val="none" w:sz="0" w:space="0" w:color="auto"/>
        <w:left w:val="none" w:sz="0" w:space="0" w:color="auto"/>
        <w:bottom w:val="none" w:sz="0" w:space="0" w:color="auto"/>
        <w:right w:val="none" w:sz="0" w:space="0" w:color="auto"/>
      </w:divBdr>
    </w:div>
    <w:div w:id="591550018">
      <w:bodyDiv w:val="1"/>
      <w:marLeft w:val="0"/>
      <w:marRight w:val="0"/>
      <w:marTop w:val="0"/>
      <w:marBottom w:val="0"/>
      <w:divBdr>
        <w:top w:val="none" w:sz="0" w:space="0" w:color="auto"/>
        <w:left w:val="none" w:sz="0" w:space="0" w:color="auto"/>
        <w:bottom w:val="none" w:sz="0" w:space="0" w:color="auto"/>
        <w:right w:val="none" w:sz="0" w:space="0" w:color="auto"/>
      </w:divBdr>
    </w:div>
    <w:div w:id="591936024">
      <w:bodyDiv w:val="1"/>
      <w:marLeft w:val="0"/>
      <w:marRight w:val="0"/>
      <w:marTop w:val="0"/>
      <w:marBottom w:val="0"/>
      <w:divBdr>
        <w:top w:val="none" w:sz="0" w:space="0" w:color="auto"/>
        <w:left w:val="none" w:sz="0" w:space="0" w:color="auto"/>
        <w:bottom w:val="none" w:sz="0" w:space="0" w:color="auto"/>
        <w:right w:val="none" w:sz="0" w:space="0" w:color="auto"/>
      </w:divBdr>
    </w:div>
    <w:div w:id="592130759">
      <w:bodyDiv w:val="1"/>
      <w:marLeft w:val="0"/>
      <w:marRight w:val="0"/>
      <w:marTop w:val="0"/>
      <w:marBottom w:val="0"/>
      <w:divBdr>
        <w:top w:val="none" w:sz="0" w:space="0" w:color="auto"/>
        <w:left w:val="none" w:sz="0" w:space="0" w:color="auto"/>
        <w:bottom w:val="none" w:sz="0" w:space="0" w:color="auto"/>
        <w:right w:val="none" w:sz="0" w:space="0" w:color="auto"/>
      </w:divBdr>
    </w:div>
    <w:div w:id="596252100">
      <w:bodyDiv w:val="1"/>
      <w:marLeft w:val="0"/>
      <w:marRight w:val="0"/>
      <w:marTop w:val="0"/>
      <w:marBottom w:val="0"/>
      <w:divBdr>
        <w:top w:val="none" w:sz="0" w:space="0" w:color="auto"/>
        <w:left w:val="none" w:sz="0" w:space="0" w:color="auto"/>
        <w:bottom w:val="none" w:sz="0" w:space="0" w:color="auto"/>
        <w:right w:val="none" w:sz="0" w:space="0" w:color="auto"/>
      </w:divBdr>
    </w:div>
    <w:div w:id="596913581">
      <w:bodyDiv w:val="1"/>
      <w:marLeft w:val="0"/>
      <w:marRight w:val="0"/>
      <w:marTop w:val="0"/>
      <w:marBottom w:val="0"/>
      <w:divBdr>
        <w:top w:val="none" w:sz="0" w:space="0" w:color="auto"/>
        <w:left w:val="none" w:sz="0" w:space="0" w:color="auto"/>
        <w:bottom w:val="none" w:sz="0" w:space="0" w:color="auto"/>
        <w:right w:val="none" w:sz="0" w:space="0" w:color="auto"/>
      </w:divBdr>
    </w:div>
    <w:div w:id="600723734">
      <w:bodyDiv w:val="1"/>
      <w:marLeft w:val="0"/>
      <w:marRight w:val="0"/>
      <w:marTop w:val="0"/>
      <w:marBottom w:val="0"/>
      <w:divBdr>
        <w:top w:val="none" w:sz="0" w:space="0" w:color="auto"/>
        <w:left w:val="none" w:sz="0" w:space="0" w:color="auto"/>
        <w:bottom w:val="none" w:sz="0" w:space="0" w:color="auto"/>
        <w:right w:val="none" w:sz="0" w:space="0" w:color="auto"/>
      </w:divBdr>
    </w:div>
    <w:div w:id="602618107">
      <w:bodyDiv w:val="1"/>
      <w:marLeft w:val="0"/>
      <w:marRight w:val="0"/>
      <w:marTop w:val="0"/>
      <w:marBottom w:val="0"/>
      <w:divBdr>
        <w:top w:val="none" w:sz="0" w:space="0" w:color="auto"/>
        <w:left w:val="none" w:sz="0" w:space="0" w:color="auto"/>
        <w:bottom w:val="none" w:sz="0" w:space="0" w:color="auto"/>
        <w:right w:val="none" w:sz="0" w:space="0" w:color="auto"/>
      </w:divBdr>
    </w:div>
    <w:div w:id="604654295">
      <w:bodyDiv w:val="1"/>
      <w:marLeft w:val="0"/>
      <w:marRight w:val="0"/>
      <w:marTop w:val="0"/>
      <w:marBottom w:val="0"/>
      <w:divBdr>
        <w:top w:val="none" w:sz="0" w:space="0" w:color="auto"/>
        <w:left w:val="none" w:sz="0" w:space="0" w:color="auto"/>
        <w:bottom w:val="none" w:sz="0" w:space="0" w:color="auto"/>
        <w:right w:val="none" w:sz="0" w:space="0" w:color="auto"/>
      </w:divBdr>
    </w:div>
    <w:div w:id="605162904">
      <w:bodyDiv w:val="1"/>
      <w:marLeft w:val="0"/>
      <w:marRight w:val="0"/>
      <w:marTop w:val="0"/>
      <w:marBottom w:val="0"/>
      <w:divBdr>
        <w:top w:val="none" w:sz="0" w:space="0" w:color="auto"/>
        <w:left w:val="none" w:sz="0" w:space="0" w:color="auto"/>
        <w:bottom w:val="none" w:sz="0" w:space="0" w:color="auto"/>
        <w:right w:val="none" w:sz="0" w:space="0" w:color="auto"/>
      </w:divBdr>
    </w:div>
    <w:div w:id="605384857">
      <w:bodyDiv w:val="1"/>
      <w:marLeft w:val="0"/>
      <w:marRight w:val="0"/>
      <w:marTop w:val="0"/>
      <w:marBottom w:val="0"/>
      <w:divBdr>
        <w:top w:val="none" w:sz="0" w:space="0" w:color="auto"/>
        <w:left w:val="none" w:sz="0" w:space="0" w:color="auto"/>
        <w:bottom w:val="none" w:sz="0" w:space="0" w:color="auto"/>
        <w:right w:val="none" w:sz="0" w:space="0" w:color="auto"/>
      </w:divBdr>
    </w:div>
    <w:div w:id="611940741">
      <w:bodyDiv w:val="1"/>
      <w:marLeft w:val="0"/>
      <w:marRight w:val="0"/>
      <w:marTop w:val="0"/>
      <w:marBottom w:val="0"/>
      <w:divBdr>
        <w:top w:val="none" w:sz="0" w:space="0" w:color="auto"/>
        <w:left w:val="none" w:sz="0" w:space="0" w:color="auto"/>
        <w:bottom w:val="none" w:sz="0" w:space="0" w:color="auto"/>
        <w:right w:val="none" w:sz="0" w:space="0" w:color="auto"/>
      </w:divBdr>
    </w:div>
    <w:div w:id="613366764">
      <w:bodyDiv w:val="1"/>
      <w:marLeft w:val="0"/>
      <w:marRight w:val="0"/>
      <w:marTop w:val="0"/>
      <w:marBottom w:val="0"/>
      <w:divBdr>
        <w:top w:val="none" w:sz="0" w:space="0" w:color="auto"/>
        <w:left w:val="none" w:sz="0" w:space="0" w:color="auto"/>
        <w:bottom w:val="none" w:sz="0" w:space="0" w:color="auto"/>
        <w:right w:val="none" w:sz="0" w:space="0" w:color="auto"/>
      </w:divBdr>
    </w:div>
    <w:div w:id="613487638">
      <w:bodyDiv w:val="1"/>
      <w:marLeft w:val="0"/>
      <w:marRight w:val="0"/>
      <w:marTop w:val="0"/>
      <w:marBottom w:val="0"/>
      <w:divBdr>
        <w:top w:val="none" w:sz="0" w:space="0" w:color="auto"/>
        <w:left w:val="none" w:sz="0" w:space="0" w:color="auto"/>
        <w:bottom w:val="none" w:sz="0" w:space="0" w:color="auto"/>
        <w:right w:val="none" w:sz="0" w:space="0" w:color="auto"/>
      </w:divBdr>
    </w:div>
    <w:div w:id="614940927">
      <w:bodyDiv w:val="1"/>
      <w:marLeft w:val="0"/>
      <w:marRight w:val="0"/>
      <w:marTop w:val="0"/>
      <w:marBottom w:val="0"/>
      <w:divBdr>
        <w:top w:val="none" w:sz="0" w:space="0" w:color="auto"/>
        <w:left w:val="none" w:sz="0" w:space="0" w:color="auto"/>
        <w:bottom w:val="none" w:sz="0" w:space="0" w:color="auto"/>
        <w:right w:val="none" w:sz="0" w:space="0" w:color="auto"/>
      </w:divBdr>
    </w:div>
    <w:div w:id="623074664">
      <w:bodyDiv w:val="1"/>
      <w:marLeft w:val="0"/>
      <w:marRight w:val="0"/>
      <w:marTop w:val="0"/>
      <w:marBottom w:val="0"/>
      <w:divBdr>
        <w:top w:val="none" w:sz="0" w:space="0" w:color="auto"/>
        <w:left w:val="none" w:sz="0" w:space="0" w:color="auto"/>
        <w:bottom w:val="none" w:sz="0" w:space="0" w:color="auto"/>
        <w:right w:val="none" w:sz="0" w:space="0" w:color="auto"/>
      </w:divBdr>
    </w:div>
    <w:div w:id="623804157">
      <w:bodyDiv w:val="1"/>
      <w:marLeft w:val="0"/>
      <w:marRight w:val="0"/>
      <w:marTop w:val="0"/>
      <w:marBottom w:val="0"/>
      <w:divBdr>
        <w:top w:val="none" w:sz="0" w:space="0" w:color="auto"/>
        <w:left w:val="none" w:sz="0" w:space="0" w:color="auto"/>
        <w:bottom w:val="none" w:sz="0" w:space="0" w:color="auto"/>
        <w:right w:val="none" w:sz="0" w:space="0" w:color="auto"/>
      </w:divBdr>
    </w:div>
    <w:div w:id="624435388">
      <w:bodyDiv w:val="1"/>
      <w:marLeft w:val="0"/>
      <w:marRight w:val="0"/>
      <w:marTop w:val="0"/>
      <w:marBottom w:val="0"/>
      <w:divBdr>
        <w:top w:val="none" w:sz="0" w:space="0" w:color="auto"/>
        <w:left w:val="none" w:sz="0" w:space="0" w:color="auto"/>
        <w:bottom w:val="none" w:sz="0" w:space="0" w:color="auto"/>
        <w:right w:val="none" w:sz="0" w:space="0" w:color="auto"/>
      </w:divBdr>
    </w:div>
    <w:div w:id="626858965">
      <w:bodyDiv w:val="1"/>
      <w:marLeft w:val="0"/>
      <w:marRight w:val="0"/>
      <w:marTop w:val="0"/>
      <w:marBottom w:val="0"/>
      <w:divBdr>
        <w:top w:val="none" w:sz="0" w:space="0" w:color="auto"/>
        <w:left w:val="none" w:sz="0" w:space="0" w:color="auto"/>
        <w:bottom w:val="none" w:sz="0" w:space="0" w:color="auto"/>
        <w:right w:val="none" w:sz="0" w:space="0" w:color="auto"/>
      </w:divBdr>
    </w:div>
    <w:div w:id="627669256">
      <w:bodyDiv w:val="1"/>
      <w:marLeft w:val="0"/>
      <w:marRight w:val="0"/>
      <w:marTop w:val="0"/>
      <w:marBottom w:val="0"/>
      <w:divBdr>
        <w:top w:val="none" w:sz="0" w:space="0" w:color="auto"/>
        <w:left w:val="none" w:sz="0" w:space="0" w:color="auto"/>
        <w:bottom w:val="none" w:sz="0" w:space="0" w:color="auto"/>
        <w:right w:val="none" w:sz="0" w:space="0" w:color="auto"/>
      </w:divBdr>
    </w:div>
    <w:div w:id="631130498">
      <w:bodyDiv w:val="1"/>
      <w:marLeft w:val="0"/>
      <w:marRight w:val="0"/>
      <w:marTop w:val="0"/>
      <w:marBottom w:val="0"/>
      <w:divBdr>
        <w:top w:val="none" w:sz="0" w:space="0" w:color="auto"/>
        <w:left w:val="none" w:sz="0" w:space="0" w:color="auto"/>
        <w:bottom w:val="none" w:sz="0" w:space="0" w:color="auto"/>
        <w:right w:val="none" w:sz="0" w:space="0" w:color="auto"/>
      </w:divBdr>
    </w:div>
    <w:div w:id="632829965">
      <w:bodyDiv w:val="1"/>
      <w:marLeft w:val="0"/>
      <w:marRight w:val="0"/>
      <w:marTop w:val="0"/>
      <w:marBottom w:val="0"/>
      <w:divBdr>
        <w:top w:val="none" w:sz="0" w:space="0" w:color="auto"/>
        <w:left w:val="none" w:sz="0" w:space="0" w:color="auto"/>
        <w:bottom w:val="none" w:sz="0" w:space="0" w:color="auto"/>
        <w:right w:val="none" w:sz="0" w:space="0" w:color="auto"/>
      </w:divBdr>
    </w:div>
    <w:div w:id="634989953">
      <w:bodyDiv w:val="1"/>
      <w:marLeft w:val="0"/>
      <w:marRight w:val="0"/>
      <w:marTop w:val="0"/>
      <w:marBottom w:val="0"/>
      <w:divBdr>
        <w:top w:val="none" w:sz="0" w:space="0" w:color="auto"/>
        <w:left w:val="none" w:sz="0" w:space="0" w:color="auto"/>
        <w:bottom w:val="none" w:sz="0" w:space="0" w:color="auto"/>
        <w:right w:val="none" w:sz="0" w:space="0" w:color="auto"/>
      </w:divBdr>
    </w:div>
    <w:div w:id="635716375">
      <w:bodyDiv w:val="1"/>
      <w:marLeft w:val="0"/>
      <w:marRight w:val="0"/>
      <w:marTop w:val="0"/>
      <w:marBottom w:val="0"/>
      <w:divBdr>
        <w:top w:val="none" w:sz="0" w:space="0" w:color="auto"/>
        <w:left w:val="none" w:sz="0" w:space="0" w:color="auto"/>
        <w:bottom w:val="none" w:sz="0" w:space="0" w:color="auto"/>
        <w:right w:val="none" w:sz="0" w:space="0" w:color="auto"/>
      </w:divBdr>
    </w:div>
    <w:div w:id="636879855">
      <w:bodyDiv w:val="1"/>
      <w:marLeft w:val="0"/>
      <w:marRight w:val="0"/>
      <w:marTop w:val="0"/>
      <w:marBottom w:val="0"/>
      <w:divBdr>
        <w:top w:val="none" w:sz="0" w:space="0" w:color="auto"/>
        <w:left w:val="none" w:sz="0" w:space="0" w:color="auto"/>
        <w:bottom w:val="none" w:sz="0" w:space="0" w:color="auto"/>
        <w:right w:val="none" w:sz="0" w:space="0" w:color="auto"/>
      </w:divBdr>
    </w:div>
    <w:div w:id="646013103">
      <w:bodyDiv w:val="1"/>
      <w:marLeft w:val="0"/>
      <w:marRight w:val="0"/>
      <w:marTop w:val="0"/>
      <w:marBottom w:val="0"/>
      <w:divBdr>
        <w:top w:val="none" w:sz="0" w:space="0" w:color="auto"/>
        <w:left w:val="none" w:sz="0" w:space="0" w:color="auto"/>
        <w:bottom w:val="none" w:sz="0" w:space="0" w:color="auto"/>
        <w:right w:val="none" w:sz="0" w:space="0" w:color="auto"/>
      </w:divBdr>
    </w:div>
    <w:div w:id="648049802">
      <w:bodyDiv w:val="1"/>
      <w:marLeft w:val="0"/>
      <w:marRight w:val="0"/>
      <w:marTop w:val="0"/>
      <w:marBottom w:val="0"/>
      <w:divBdr>
        <w:top w:val="none" w:sz="0" w:space="0" w:color="auto"/>
        <w:left w:val="none" w:sz="0" w:space="0" w:color="auto"/>
        <w:bottom w:val="none" w:sz="0" w:space="0" w:color="auto"/>
        <w:right w:val="none" w:sz="0" w:space="0" w:color="auto"/>
      </w:divBdr>
    </w:div>
    <w:div w:id="648633782">
      <w:bodyDiv w:val="1"/>
      <w:marLeft w:val="0"/>
      <w:marRight w:val="0"/>
      <w:marTop w:val="0"/>
      <w:marBottom w:val="0"/>
      <w:divBdr>
        <w:top w:val="none" w:sz="0" w:space="0" w:color="auto"/>
        <w:left w:val="none" w:sz="0" w:space="0" w:color="auto"/>
        <w:bottom w:val="none" w:sz="0" w:space="0" w:color="auto"/>
        <w:right w:val="none" w:sz="0" w:space="0" w:color="auto"/>
      </w:divBdr>
    </w:div>
    <w:div w:id="648678175">
      <w:bodyDiv w:val="1"/>
      <w:marLeft w:val="0"/>
      <w:marRight w:val="0"/>
      <w:marTop w:val="0"/>
      <w:marBottom w:val="0"/>
      <w:divBdr>
        <w:top w:val="none" w:sz="0" w:space="0" w:color="auto"/>
        <w:left w:val="none" w:sz="0" w:space="0" w:color="auto"/>
        <w:bottom w:val="none" w:sz="0" w:space="0" w:color="auto"/>
        <w:right w:val="none" w:sz="0" w:space="0" w:color="auto"/>
      </w:divBdr>
    </w:div>
    <w:div w:id="651174502">
      <w:bodyDiv w:val="1"/>
      <w:marLeft w:val="0"/>
      <w:marRight w:val="0"/>
      <w:marTop w:val="0"/>
      <w:marBottom w:val="0"/>
      <w:divBdr>
        <w:top w:val="none" w:sz="0" w:space="0" w:color="auto"/>
        <w:left w:val="none" w:sz="0" w:space="0" w:color="auto"/>
        <w:bottom w:val="none" w:sz="0" w:space="0" w:color="auto"/>
        <w:right w:val="none" w:sz="0" w:space="0" w:color="auto"/>
      </w:divBdr>
    </w:div>
    <w:div w:id="661274312">
      <w:bodyDiv w:val="1"/>
      <w:marLeft w:val="0"/>
      <w:marRight w:val="0"/>
      <w:marTop w:val="0"/>
      <w:marBottom w:val="0"/>
      <w:divBdr>
        <w:top w:val="none" w:sz="0" w:space="0" w:color="auto"/>
        <w:left w:val="none" w:sz="0" w:space="0" w:color="auto"/>
        <w:bottom w:val="none" w:sz="0" w:space="0" w:color="auto"/>
        <w:right w:val="none" w:sz="0" w:space="0" w:color="auto"/>
      </w:divBdr>
    </w:div>
    <w:div w:id="661348056">
      <w:bodyDiv w:val="1"/>
      <w:marLeft w:val="0"/>
      <w:marRight w:val="0"/>
      <w:marTop w:val="0"/>
      <w:marBottom w:val="0"/>
      <w:divBdr>
        <w:top w:val="none" w:sz="0" w:space="0" w:color="auto"/>
        <w:left w:val="none" w:sz="0" w:space="0" w:color="auto"/>
        <w:bottom w:val="none" w:sz="0" w:space="0" w:color="auto"/>
        <w:right w:val="none" w:sz="0" w:space="0" w:color="auto"/>
      </w:divBdr>
    </w:div>
    <w:div w:id="669795275">
      <w:bodyDiv w:val="1"/>
      <w:marLeft w:val="0"/>
      <w:marRight w:val="0"/>
      <w:marTop w:val="0"/>
      <w:marBottom w:val="0"/>
      <w:divBdr>
        <w:top w:val="none" w:sz="0" w:space="0" w:color="auto"/>
        <w:left w:val="none" w:sz="0" w:space="0" w:color="auto"/>
        <w:bottom w:val="none" w:sz="0" w:space="0" w:color="auto"/>
        <w:right w:val="none" w:sz="0" w:space="0" w:color="auto"/>
      </w:divBdr>
    </w:div>
    <w:div w:id="672806619">
      <w:bodyDiv w:val="1"/>
      <w:marLeft w:val="0"/>
      <w:marRight w:val="0"/>
      <w:marTop w:val="0"/>
      <w:marBottom w:val="0"/>
      <w:divBdr>
        <w:top w:val="none" w:sz="0" w:space="0" w:color="auto"/>
        <w:left w:val="none" w:sz="0" w:space="0" w:color="auto"/>
        <w:bottom w:val="none" w:sz="0" w:space="0" w:color="auto"/>
        <w:right w:val="none" w:sz="0" w:space="0" w:color="auto"/>
      </w:divBdr>
    </w:div>
    <w:div w:id="673268320">
      <w:bodyDiv w:val="1"/>
      <w:marLeft w:val="0"/>
      <w:marRight w:val="0"/>
      <w:marTop w:val="0"/>
      <w:marBottom w:val="0"/>
      <w:divBdr>
        <w:top w:val="none" w:sz="0" w:space="0" w:color="auto"/>
        <w:left w:val="none" w:sz="0" w:space="0" w:color="auto"/>
        <w:bottom w:val="none" w:sz="0" w:space="0" w:color="auto"/>
        <w:right w:val="none" w:sz="0" w:space="0" w:color="auto"/>
      </w:divBdr>
    </w:div>
    <w:div w:id="677581943">
      <w:bodyDiv w:val="1"/>
      <w:marLeft w:val="0"/>
      <w:marRight w:val="0"/>
      <w:marTop w:val="0"/>
      <w:marBottom w:val="0"/>
      <w:divBdr>
        <w:top w:val="none" w:sz="0" w:space="0" w:color="auto"/>
        <w:left w:val="none" w:sz="0" w:space="0" w:color="auto"/>
        <w:bottom w:val="none" w:sz="0" w:space="0" w:color="auto"/>
        <w:right w:val="none" w:sz="0" w:space="0" w:color="auto"/>
      </w:divBdr>
    </w:div>
    <w:div w:id="680352358">
      <w:bodyDiv w:val="1"/>
      <w:marLeft w:val="0"/>
      <w:marRight w:val="0"/>
      <w:marTop w:val="0"/>
      <w:marBottom w:val="0"/>
      <w:divBdr>
        <w:top w:val="none" w:sz="0" w:space="0" w:color="auto"/>
        <w:left w:val="none" w:sz="0" w:space="0" w:color="auto"/>
        <w:bottom w:val="none" w:sz="0" w:space="0" w:color="auto"/>
        <w:right w:val="none" w:sz="0" w:space="0" w:color="auto"/>
      </w:divBdr>
    </w:div>
    <w:div w:id="681324903">
      <w:bodyDiv w:val="1"/>
      <w:marLeft w:val="0"/>
      <w:marRight w:val="0"/>
      <w:marTop w:val="0"/>
      <w:marBottom w:val="0"/>
      <w:divBdr>
        <w:top w:val="none" w:sz="0" w:space="0" w:color="auto"/>
        <w:left w:val="none" w:sz="0" w:space="0" w:color="auto"/>
        <w:bottom w:val="none" w:sz="0" w:space="0" w:color="auto"/>
        <w:right w:val="none" w:sz="0" w:space="0" w:color="auto"/>
      </w:divBdr>
    </w:div>
    <w:div w:id="682585083">
      <w:bodyDiv w:val="1"/>
      <w:marLeft w:val="0"/>
      <w:marRight w:val="0"/>
      <w:marTop w:val="0"/>
      <w:marBottom w:val="0"/>
      <w:divBdr>
        <w:top w:val="none" w:sz="0" w:space="0" w:color="auto"/>
        <w:left w:val="none" w:sz="0" w:space="0" w:color="auto"/>
        <w:bottom w:val="none" w:sz="0" w:space="0" w:color="auto"/>
        <w:right w:val="none" w:sz="0" w:space="0" w:color="auto"/>
      </w:divBdr>
    </w:div>
    <w:div w:id="685443363">
      <w:bodyDiv w:val="1"/>
      <w:marLeft w:val="0"/>
      <w:marRight w:val="0"/>
      <w:marTop w:val="0"/>
      <w:marBottom w:val="0"/>
      <w:divBdr>
        <w:top w:val="none" w:sz="0" w:space="0" w:color="auto"/>
        <w:left w:val="none" w:sz="0" w:space="0" w:color="auto"/>
        <w:bottom w:val="none" w:sz="0" w:space="0" w:color="auto"/>
        <w:right w:val="none" w:sz="0" w:space="0" w:color="auto"/>
      </w:divBdr>
    </w:div>
    <w:div w:id="688335267">
      <w:bodyDiv w:val="1"/>
      <w:marLeft w:val="0"/>
      <w:marRight w:val="0"/>
      <w:marTop w:val="0"/>
      <w:marBottom w:val="0"/>
      <w:divBdr>
        <w:top w:val="none" w:sz="0" w:space="0" w:color="auto"/>
        <w:left w:val="none" w:sz="0" w:space="0" w:color="auto"/>
        <w:bottom w:val="none" w:sz="0" w:space="0" w:color="auto"/>
        <w:right w:val="none" w:sz="0" w:space="0" w:color="auto"/>
      </w:divBdr>
    </w:div>
    <w:div w:id="689798769">
      <w:bodyDiv w:val="1"/>
      <w:marLeft w:val="0"/>
      <w:marRight w:val="0"/>
      <w:marTop w:val="0"/>
      <w:marBottom w:val="0"/>
      <w:divBdr>
        <w:top w:val="none" w:sz="0" w:space="0" w:color="auto"/>
        <w:left w:val="none" w:sz="0" w:space="0" w:color="auto"/>
        <w:bottom w:val="none" w:sz="0" w:space="0" w:color="auto"/>
        <w:right w:val="none" w:sz="0" w:space="0" w:color="auto"/>
      </w:divBdr>
    </w:div>
    <w:div w:id="693266410">
      <w:bodyDiv w:val="1"/>
      <w:marLeft w:val="0"/>
      <w:marRight w:val="0"/>
      <w:marTop w:val="0"/>
      <w:marBottom w:val="0"/>
      <w:divBdr>
        <w:top w:val="none" w:sz="0" w:space="0" w:color="auto"/>
        <w:left w:val="none" w:sz="0" w:space="0" w:color="auto"/>
        <w:bottom w:val="none" w:sz="0" w:space="0" w:color="auto"/>
        <w:right w:val="none" w:sz="0" w:space="0" w:color="auto"/>
      </w:divBdr>
    </w:div>
    <w:div w:id="701783292">
      <w:bodyDiv w:val="1"/>
      <w:marLeft w:val="0"/>
      <w:marRight w:val="0"/>
      <w:marTop w:val="0"/>
      <w:marBottom w:val="0"/>
      <w:divBdr>
        <w:top w:val="none" w:sz="0" w:space="0" w:color="auto"/>
        <w:left w:val="none" w:sz="0" w:space="0" w:color="auto"/>
        <w:bottom w:val="none" w:sz="0" w:space="0" w:color="auto"/>
        <w:right w:val="none" w:sz="0" w:space="0" w:color="auto"/>
      </w:divBdr>
    </w:div>
    <w:div w:id="704797817">
      <w:bodyDiv w:val="1"/>
      <w:marLeft w:val="0"/>
      <w:marRight w:val="0"/>
      <w:marTop w:val="0"/>
      <w:marBottom w:val="0"/>
      <w:divBdr>
        <w:top w:val="none" w:sz="0" w:space="0" w:color="auto"/>
        <w:left w:val="none" w:sz="0" w:space="0" w:color="auto"/>
        <w:bottom w:val="none" w:sz="0" w:space="0" w:color="auto"/>
        <w:right w:val="none" w:sz="0" w:space="0" w:color="auto"/>
      </w:divBdr>
    </w:div>
    <w:div w:id="705717114">
      <w:bodyDiv w:val="1"/>
      <w:marLeft w:val="0"/>
      <w:marRight w:val="0"/>
      <w:marTop w:val="0"/>
      <w:marBottom w:val="0"/>
      <w:divBdr>
        <w:top w:val="none" w:sz="0" w:space="0" w:color="auto"/>
        <w:left w:val="none" w:sz="0" w:space="0" w:color="auto"/>
        <w:bottom w:val="none" w:sz="0" w:space="0" w:color="auto"/>
        <w:right w:val="none" w:sz="0" w:space="0" w:color="auto"/>
      </w:divBdr>
    </w:div>
    <w:div w:id="707607040">
      <w:bodyDiv w:val="1"/>
      <w:marLeft w:val="0"/>
      <w:marRight w:val="0"/>
      <w:marTop w:val="0"/>
      <w:marBottom w:val="0"/>
      <w:divBdr>
        <w:top w:val="none" w:sz="0" w:space="0" w:color="auto"/>
        <w:left w:val="none" w:sz="0" w:space="0" w:color="auto"/>
        <w:bottom w:val="none" w:sz="0" w:space="0" w:color="auto"/>
        <w:right w:val="none" w:sz="0" w:space="0" w:color="auto"/>
      </w:divBdr>
    </w:div>
    <w:div w:id="711199004">
      <w:bodyDiv w:val="1"/>
      <w:marLeft w:val="0"/>
      <w:marRight w:val="0"/>
      <w:marTop w:val="0"/>
      <w:marBottom w:val="0"/>
      <w:divBdr>
        <w:top w:val="none" w:sz="0" w:space="0" w:color="auto"/>
        <w:left w:val="none" w:sz="0" w:space="0" w:color="auto"/>
        <w:bottom w:val="none" w:sz="0" w:space="0" w:color="auto"/>
        <w:right w:val="none" w:sz="0" w:space="0" w:color="auto"/>
      </w:divBdr>
    </w:div>
    <w:div w:id="712726671">
      <w:bodyDiv w:val="1"/>
      <w:marLeft w:val="0"/>
      <w:marRight w:val="0"/>
      <w:marTop w:val="0"/>
      <w:marBottom w:val="0"/>
      <w:divBdr>
        <w:top w:val="none" w:sz="0" w:space="0" w:color="auto"/>
        <w:left w:val="none" w:sz="0" w:space="0" w:color="auto"/>
        <w:bottom w:val="none" w:sz="0" w:space="0" w:color="auto"/>
        <w:right w:val="none" w:sz="0" w:space="0" w:color="auto"/>
      </w:divBdr>
    </w:div>
    <w:div w:id="722414776">
      <w:bodyDiv w:val="1"/>
      <w:marLeft w:val="0"/>
      <w:marRight w:val="0"/>
      <w:marTop w:val="0"/>
      <w:marBottom w:val="0"/>
      <w:divBdr>
        <w:top w:val="none" w:sz="0" w:space="0" w:color="auto"/>
        <w:left w:val="none" w:sz="0" w:space="0" w:color="auto"/>
        <w:bottom w:val="none" w:sz="0" w:space="0" w:color="auto"/>
        <w:right w:val="none" w:sz="0" w:space="0" w:color="auto"/>
      </w:divBdr>
    </w:div>
    <w:div w:id="724136937">
      <w:bodyDiv w:val="1"/>
      <w:marLeft w:val="0"/>
      <w:marRight w:val="0"/>
      <w:marTop w:val="0"/>
      <w:marBottom w:val="0"/>
      <w:divBdr>
        <w:top w:val="none" w:sz="0" w:space="0" w:color="auto"/>
        <w:left w:val="none" w:sz="0" w:space="0" w:color="auto"/>
        <w:bottom w:val="none" w:sz="0" w:space="0" w:color="auto"/>
        <w:right w:val="none" w:sz="0" w:space="0" w:color="auto"/>
      </w:divBdr>
    </w:div>
    <w:div w:id="727992125">
      <w:bodyDiv w:val="1"/>
      <w:marLeft w:val="0"/>
      <w:marRight w:val="0"/>
      <w:marTop w:val="0"/>
      <w:marBottom w:val="0"/>
      <w:divBdr>
        <w:top w:val="none" w:sz="0" w:space="0" w:color="auto"/>
        <w:left w:val="none" w:sz="0" w:space="0" w:color="auto"/>
        <w:bottom w:val="none" w:sz="0" w:space="0" w:color="auto"/>
        <w:right w:val="none" w:sz="0" w:space="0" w:color="auto"/>
      </w:divBdr>
    </w:div>
    <w:div w:id="728573665">
      <w:bodyDiv w:val="1"/>
      <w:marLeft w:val="0"/>
      <w:marRight w:val="0"/>
      <w:marTop w:val="0"/>
      <w:marBottom w:val="0"/>
      <w:divBdr>
        <w:top w:val="none" w:sz="0" w:space="0" w:color="auto"/>
        <w:left w:val="none" w:sz="0" w:space="0" w:color="auto"/>
        <w:bottom w:val="none" w:sz="0" w:space="0" w:color="auto"/>
        <w:right w:val="none" w:sz="0" w:space="0" w:color="auto"/>
      </w:divBdr>
    </w:div>
    <w:div w:id="728964226">
      <w:bodyDiv w:val="1"/>
      <w:marLeft w:val="0"/>
      <w:marRight w:val="0"/>
      <w:marTop w:val="0"/>
      <w:marBottom w:val="0"/>
      <w:divBdr>
        <w:top w:val="none" w:sz="0" w:space="0" w:color="auto"/>
        <w:left w:val="none" w:sz="0" w:space="0" w:color="auto"/>
        <w:bottom w:val="none" w:sz="0" w:space="0" w:color="auto"/>
        <w:right w:val="none" w:sz="0" w:space="0" w:color="auto"/>
      </w:divBdr>
    </w:div>
    <w:div w:id="731581953">
      <w:bodyDiv w:val="1"/>
      <w:marLeft w:val="0"/>
      <w:marRight w:val="0"/>
      <w:marTop w:val="0"/>
      <w:marBottom w:val="0"/>
      <w:divBdr>
        <w:top w:val="none" w:sz="0" w:space="0" w:color="auto"/>
        <w:left w:val="none" w:sz="0" w:space="0" w:color="auto"/>
        <w:bottom w:val="none" w:sz="0" w:space="0" w:color="auto"/>
        <w:right w:val="none" w:sz="0" w:space="0" w:color="auto"/>
      </w:divBdr>
    </w:div>
    <w:div w:id="733234769">
      <w:bodyDiv w:val="1"/>
      <w:marLeft w:val="0"/>
      <w:marRight w:val="0"/>
      <w:marTop w:val="0"/>
      <w:marBottom w:val="0"/>
      <w:divBdr>
        <w:top w:val="none" w:sz="0" w:space="0" w:color="auto"/>
        <w:left w:val="none" w:sz="0" w:space="0" w:color="auto"/>
        <w:bottom w:val="none" w:sz="0" w:space="0" w:color="auto"/>
        <w:right w:val="none" w:sz="0" w:space="0" w:color="auto"/>
      </w:divBdr>
    </w:div>
    <w:div w:id="734856086">
      <w:bodyDiv w:val="1"/>
      <w:marLeft w:val="0"/>
      <w:marRight w:val="0"/>
      <w:marTop w:val="0"/>
      <w:marBottom w:val="0"/>
      <w:divBdr>
        <w:top w:val="none" w:sz="0" w:space="0" w:color="auto"/>
        <w:left w:val="none" w:sz="0" w:space="0" w:color="auto"/>
        <w:bottom w:val="none" w:sz="0" w:space="0" w:color="auto"/>
        <w:right w:val="none" w:sz="0" w:space="0" w:color="auto"/>
      </w:divBdr>
    </w:div>
    <w:div w:id="736706278">
      <w:bodyDiv w:val="1"/>
      <w:marLeft w:val="0"/>
      <w:marRight w:val="0"/>
      <w:marTop w:val="0"/>
      <w:marBottom w:val="0"/>
      <w:divBdr>
        <w:top w:val="none" w:sz="0" w:space="0" w:color="auto"/>
        <w:left w:val="none" w:sz="0" w:space="0" w:color="auto"/>
        <w:bottom w:val="none" w:sz="0" w:space="0" w:color="auto"/>
        <w:right w:val="none" w:sz="0" w:space="0" w:color="auto"/>
      </w:divBdr>
    </w:div>
    <w:div w:id="739061528">
      <w:bodyDiv w:val="1"/>
      <w:marLeft w:val="0"/>
      <w:marRight w:val="0"/>
      <w:marTop w:val="0"/>
      <w:marBottom w:val="0"/>
      <w:divBdr>
        <w:top w:val="none" w:sz="0" w:space="0" w:color="auto"/>
        <w:left w:val="none" w:sz="0" w:space="0" w:color="auto"/>
        <w:bottom w:val="none" w:sz="0" w:space="0" w:color="auto"/>
        <w:right w:val="none" w:sz="0" w:space="0" w:color="auto"/>
      </w:divBdr>
    </w:div>
    <w:div w:id="742292706">
      <w:bodyDiv w:val="1"/>
      <w:marLeft w:val="0"/>
      <w:marRight w:val="0"/>
      <w:marTop w:val="0"/>
      <w:marBottom w:val="0"/>
      <w:divBdr>
        <w:top w:val="none" w:sz="0" w:space="0" w:color="auto"/>
        <w:left w:val="none" w:sz="0" w:space="0" w:color="auto"/>
        <w:bottom w:val="none" w:sz="0" w:space="0" w:color="auto"/>
        <w:right w:val="none" w:sz="0" w:space="0" w:color="auto"/>
      </w:divBdr>
    </w:div>
    <w:div w:id="748041189">
      <w:bodyDiv w:val="1"/>
      <w:marLeft w:val="0"/>
      <w:marRight w:val="0"/>
      <w:marTop w:val="0"/>
      <w:marBottom w:val="0"/>
      <w:divBdr>
        <w:top w:val="none" w:sz="0" w:space="0" w:color="auto"/>
        <w:left w:val="none" w:sz="0" w:space="0" w:color="auto"/>
        <w:bottom w:val="none" w:sz="0" w:space="0" w:color="auto"/>
        <w:right w:val="none" w:sz="0" w:space="0" w:color="auto"/>
      </w:divBdr>
    </w:div>
    <w:div w:id="748497782">
      <w:bodyDiv w:val="1"/>
      <w:marLeft w:val="0"/>
      <w:marRight w:val="0"/>
      <w:marTop w:val="0"/>
      <w:marBottom w:val="0"/>
      <w:divBdr>
        <w:top w:val="none" w:sz="0" w:space="0" w:color="auto"/>
        <w:left w:val="none" w:sz="0" w:space="0" w:color="auto"/>
        <w:bottom w:val="none" w:sz="0" w:space="0" w:color="auto"/>
        <w:right w:val="none" w:sz="0" w:space="0" w:color="auto"/>
      </w:divBdr>
    </w:div>
    <w:div w:id="750195188">
      <w:bodyDiv w:val="1"/>
      <w:marLeft w:val="0"/>
      <w:marRight w:val="0"/>
      <w:marTop w:val="0"/>
      <w:marBottom w:val="0"/>
      <w:divBdr>
        <w:top w:val="none" w:sz="0" w:space="0" w:color="auto"/>
        <w:left w:val="none" w:sz="0" w:space="0" w:color="auto"/>
        <w:bottom w:val="none" w:sz="0" w:space="0" w:color="auto"/>
        <w:right w:val="none" w:sz="0" w:space="0" w:color="auto"/>
      </w:divBdr>
    </w:div>
    <w:div w:id="751854427">
      <w:bodyDiv w:val="1"/>
      <w:marLeft w:val="0"/>
      <w:marRight w:val="0"/>
      <w:marTop w:val="0"/>
      <w:marBottom w:val="0"/>
      <w:divBdr>
        <w:top w:val="none" w:sz="0" w:space="0" w:color="auto"/>
        <w:left w:val="none" w:sz="0" w:space="0" w:color="auto"/>
        <w:bottom w:val="none" w:sz="0" w:space="0" w:color="auto"/>
        <w:right w:val="none" w:sz="0" w:space="0" w:color="auto"/>
      </w:divBdr>
    </w:div>
    <w:div w:id="759368796">
      <w:bodyDiv w:val="1"/>
      <w:marLeft w:val="0"/>
      <w:marRight w:val="0"/>
      <w:marTop w:val="0"/>
      <w:marBottom w:val="0"/>
      <w:divBdr>
        <w:top w:val="none" w:sz="0" w:space="0" w:color="auto"/>
        <w:left w:val="none" w:sz="0" w:space="0" w:color="auto"/>
        <w:bottom w:val="none" w:sz="0" w:space="0" w:color="auto"/>
        <w:right w:val="none" w:sz="0" w:space="0" w:color="auto"/>
      </w:divBdr>
    </w:div>
    <w:div w:id="759566836">
      <w:bodyDiv w:val="1"/>
      <w:marLeft w:val="0"/>
      <w:marRight w:val="0"/>
      <w:marTop w:val="0"/>
      <w:marBottom w:val="0"/>
      <w:divBdr>
        <w:top w:val="none" w:sz="0" w:space="0" w:color="auto"/>
        <w:left w:val="none" w:sz="0" w:space="0" w:color="auto"/>
        <w:bottom w:val="none" w:sz="0" w:space="0" w:color="auto"/>
        <w:right w:val="none" w:sz="0" w:space="0" w:color="auto"/>
      </w:divBdr>
    </w:div>
    <w:div w:id="760223987">
      <w:bodyDiv w:val="1"/>
      <w:marLeft w:val="0"/>
      <w:marRight w:val="0"/>
      <w:marTop w:val="0"/>
      <w:marBottom w:val="0"/>
      <w:divBdr>
        <w:top w:val="none" w:sz="0" w:space="0" w:color="auto"/>
        <w:left w:val="none" w:sz="0" w:space="0" w:color="auto"/>
        <w:bottom w:val="none" w:sz="0" w:space="0" w:color="auto"/>
        <w:right w:val="none" w:sz="0" w:space="0" w:color="auto"/>
      </w:divBdr>
    </w:div>
    <w:div w:id="762068030">
      <w:bodyDiv w:val="1"/>
      <w:marLeft w:val="0"/>
      <w:marRight w:val="0"/>
      <w:marTop w:val="0"/>
      <w:marBottom w:val="0"/>
      <w:divBdr>
        <w:top w:val="none" w:sz="0" w:space="0" w:color="auto"/>
        <w:left w:val="none" w:sz="0" w:space="0" w:color="auto"/>
        <w:bottom w:val="none" w:sz="0" w:space="0" w:color="auto"/>
        <w:right w:val="none" w:sz="0" w:space="0" w:color="auto"/>
      </w:divBdr>
    </w:div>
    <w:div w:id="768620855">
      <w:bodyDiv w:val="1"/>
      <w:marLeft w:val="0"/>
      <w:marRight w:val="0"/>
      <w:marTop w:val="0"/>
      <w:marBottom w:val="0"/>
      <w:divBdr>
        <w:top w:val="none" w:sz="0" w:space="0" w:color="auto"/>
        <w:left w:val="none" w:sz="0" w:space="0" w:color="auto"/>
        <w:bottom w:val="none" w:sz="0" w:space="0" w:color="auto"/>
        <w:right w:val="none" w:sz="0" w:space="0" w:color="auto"/>
      </w:divBdr>
    </w:div>
    <w:div w:id="769161545">
      <w:bodyDiv w:val="1"/>
      <w:marLeft w:val="0"/>
      <w:marRight w:val="0"/>
      <w:marTop w:val="0"/>
      <w:marBottom w:val="0"/>
      <w:divBdr>
        <w:top w:val="none" w:sz="0" w:space="0" w:color="auto"/>
        <w:left w:val="none" w:sz="0" w:space="0" w:color="auto"/>
        <w:bottom w:val="none" w:sz="0" w:space="0" w:color="auto"/>
        <w:right w:val="none" w:sz="0" w:space="0" w:color="auto"/>
      </w:divBdr>
    </w:div>
    <w:div w:id="770316028">
      <w:bodyDiv w:val="1"/>
      <w:marLeft w:val="0"/>
      <w:marRight w:val="0"/>
      <w:marTop w:val="0"/>
      <w:marBottom w:val="0"/>
      <w:divBdr>
        <w:top w:val="none" w:sz="0" w:space="0" w:color="auto"/>
        <w:left w:val="none" w:sz="0" w:space="0" w:color="auto"/>
        <w:bottom w:val="none" w:sz="0" w:space="0" w:color="auto"/>
        <w:right w:val="none" w:sz="0" w:space="0" w:color="auto"/>
      </w:divBdr>
    </w:div>
    <w:div w:id="771317800">
      <w:bodyDiv w:val="1"/>
      <w:marLeft w:val="0"/>
      <w:marRight w:val="0"/>
      <w:marTop w:val="0"/>
      <w:marBottom w:val="0"/>
      <w:divBdr>
        <w:top w:val="none" w:sz="0" w:space="0" w:color="auto"/>
        <w:left w:val="none" w:sz="0" w:space="0" w:color="auto"/>
        <w:bottom w:val="none" w:sz="0" w:space="0" w:color="auto"/>
        <w:right w:val="none" w:sz="0" w:space="0" w:color="auto"/>
      </w:divBdr>
    </w:div>
    <w:div w:id="774010817">
      <w:bodyDiv w:val="1"/>
      <w:marLeft w:val="0"/>
      <w:marRight w:val="0"/>
      <w:marTop w:val="0"/>
      <w:marBottom w:val="0"/>
      <w:divBdr>
        <w:top w:val="none" w:sz="0" w:space="0" w:color="auto"/>
        <w:left w:val="none" w:sz="0" w:space="0" w:color="auto"/>
        <w:bottom w:val="none" w:sz="0" w:space="0" w:color="auto"/>
        <w:right w:val="none" w:sz="0" w:space="0" w:color="auto"/>
      </w:divBdr>
    </w:div>
    <w:div w:id="777872610">
      <w:bodyDiv w:val="1"/>
      <w:marLeft w:val="0"/>
      <w:marRight w:val="0"/>
      <w:marTop w:val="0"/>
      <w:marBottom w:val="0"/>
      <w:divBdr>
        <w:top w:val="none" w:sz="0" w:space="0" w:color="auto"/>
        <w:left w:val="none" w:sz="0" w:space="0" w:color="auto"/>
        <w:bottom w:val="none" w:sz="0" w:space="0" w:color="auto"/>
        <w:right w:val="none" w:sz="0" w:space="0" w:color="auto"/>
      </w:divBdr>
    </w:div>
    <w:div w:id="783035645">
      <w:bodyDiv w:val="1"/>
      <w:marLeft w:val="0"/>
      <w:marRight w:val="0"/>
      <w:marTop w:val="0"/>
      <w:marBottom w:val="0"/>
      <w:divBdr>
        <w:top w:val="none" w:sz="0" w:space="0" w:color="auto"/>
        <w:left w:val="none" w:sz="0" w:space="0" w:color="auto"/>
        <w:bottom w:val="none" w:sz="0" w:space="0" w:color="auto"/>
        <w:right w:val="none" w:sz="0" w:space="0" w:color="auto"/>
      </w:divBdr>
    </w:div>
    <w:div w:id="783307826">
      <w:bodyDiv w:val="1"/>
      <w:marLeft w:val="0"/>
      <w:marRight w:val="0"/>
      <w:marTop w:val="0"/>
      <w:marBottom w:val="0"/>
      <w:divBdr>
        <w:top w:val="none" w:sz="0" w:space="0" w:color="auto"/>
        <w:left w:val="none" w:sz="0" w:space="0" w:color="auto"/>
        <w:bottom w:val="none" w:sz="0" w:space="0" w:color="auto"/>
        <w:right w:val="none" w:sz="0" w:space="0" w:color="auto"/>
      </w:divBdr>
    </w:div>
    <w:div w:id="788013098">
      <w:bodyDiv w:val="1"/>
      <w:marLeft w:val="0"/>
      <w:marRight w:val="0"/>
      <w:marTop w:val="0"/>
      <w:marBottom w:val="0"/>
      <w:divBdr>
        <w:top w:val="none" w:sz="0" w:space="0" w:color="auto"/>
        <w:left w:val="none" w:sz="0" w:space="0" w:color="auto"/>
        <w:bottom w:val="none" w:sz="0" w:space="0" w:color="auto"/>
        <w:right w:val="none" w:sz="0" w:space="0" w:color="auto"/>
      </w:divBdr>
    </w:div>
    <w:div w:id="789084107">
      <w:bodyDiv w:val="1"/>
      <w:marLeft w:val="0"/>
      <w:marRight w:val="0"/>
      <w:marTop w:val="0"/>
      <w:marBottom w:val="0"/>
      <w:divBdr>
        <w:top w:val="none" w:sz="0" w:space="0" w:color="auto"/>
        <w:left w:val="none" w:sz="0" w:space="0" w:color="auto"/>
        <w:bottom w:val="none" w:sz="0" w:space="0" w:color="auto"/>
        <w:right w:val="none" w:sz="0" w:space="0" w:color="auto"/>
      </w:divBdr>
    </w:div>
    <w:div w:id="794760250">
      <w:bodyDiv w:val="1"/>
      <w:marLeft w:val="0"/>
      <w:marRight w:val="0"/>
      <w:marTop w:val="0"/>
      <w:marBottom w:val="0"/>
      <w:divBdr>
        <w:top w:val="none" w:sz="0" w:space="0" w:color="auto"/>
        <w:left w:val="none" w:sz="0" w:space="0" w:color="auto"/>
        <w:bottom w:val="none" w:sz="0" w:space="0" w:color="auto"/>
        <w:right w:val="none" w:sz="0" w:space="0" w:color="auto"/>
      </w:divBdr>
    </w:div>
    <w:div w:id="795679203">
      <w:bodyDiv w:val="1"/>
      <w:marLeft w:val="0"/>
      <w:marRight w:val="0"/>
      <w:marTop w:val="0"/>
      <w:marBottom w:val="0"/>
      <w:divBdr>
        <w:top w:val="none" w:sz="0" w:space="0" w:color="auto"/>
        <w:left w:val="none" w:sz="0" w:space="0" w:color="auto"/>
        <w:bottom w:val="none" w:sz="0" w:space="0" w:color="auto"/>
        <w:right w:val="none" w:sz="0" w:space="0" w:color="auto"/>
      </w:divBdr>
    </w:div>
    <w:div w:id="796752650">
      <w:bodyDiv w:val="1"/>
      <w:marLeft w:val="0"/>
      <w:marRight w:val="0"/>
      <w:marTop w:val="0"/>
      <w:marBottom w:val="0"/>
      <w:divBdr>
        <w:top w:val="none" w:sz="0" w:space="0" w:color="auto"/>
        <w:left w:val="none" w:sz="0" w:space="0" w:color="auto"/>
        <w:bottom w:val="none" w:sz="0" w:space="0" w:color="auto"/>
        <w:right w:val="none" w:sz="0" w:space="0" w:color="auto"/>
      </w:divBdr>
    </w:div>
    <w:div w:id="800927362">
      <w:bodyDiv w:val="1"/>
      <w:marLeft w:val="0"/>
      <w:marRight w:val="0"/>
      <w:marTop w:val="0"/>
      <w:marBottom w:val="0"/>
      <w:divBdr>
        <w:top w:val="none" w:sz="0" w:space="0" w:color="auto"/>
        <w:left w:val="none" w:sz="0" w:space="0" w:color="auto"/>
        <w:bottom w:val="none" w:sz="0" w:space="0" w:color="auto"/>
        <w:right w:val="none" w:sz="0" w:space="0" w:color="auto"/>
      </w:divBdr>
    </w:div>
    <w:div w:id="801733788">
      <w:bodyDiv w:val="1"/>
      <w:marLeft w:val="0"/>
      <w:marRight w:val="0"/>
      <w:marTop w:val="0"/>
      <w:marBottom w:val="0"/>
      <w:divBdr>
        <w:top w:val="none" w:sz="0" w:space="0" w:color="auto"/>
        <w:left w:val="none" w:sz="0" w:space="0" w:color="auto"/>
        <w:bottom w:val="none" w:sz="0" w:space="0" w:color="auto"/>
        <w:right w:val="none" w:sz="0" w:space="0" w:color="auto"/>
      </w:divBdr>
    </w:div>
    <w:div w:id="807361790">
      <w:bodyDiv w:val="1"/>
      <w:marLeft w:val="0"/>
      <w:marRight w:val="0"/>
      <w:marTop w:val="0"/>
      <w:marBottom w:val="0"/>
      <w:divBdr>
        <w:top w:val="none" w:sz="0" w:space="0" w:color="auto"/>
        <w:left w:val="none" w:sz="0" w:space="0" w:color="auto"/>
        <w:bottom w:val="none" w:sz="0" w:space="0" w:color="auto"/>
        <w:right w:val="none" w:sz="0" w:space="0" w:color="auto"/>
      </w:divBdr>
    </w:div>
    <w:div w:id="808210973">
      <w:bodyDiv w:val="1"/>
      <w:marLeft w:val="0"/>
      <w:marRight w:val="0"/>
      <w:marTop w:val="0"/>
      <w:marBottom w:val="0"/>
      <w:divBdr>
        <w:top w:val="none" w:sz="0" w:space="0" w:color="auto"/>
        <w:left w:val="none" w:sz="0" w:space="0" w:color="auto"/>
        <w:bottom w:val="none" w:sz="0" w:space="0" w:color="auto"/>
        <w:right w:val="none" w:sz="0" w:space="0" w:color="auto"/>
      </w:divBdr>
    </w:div>
    <w:div w:id="815030968">
      <w:bodyDiv w:val="1"/>
      <w:marLeft w:val="0"/>
      <w:marRight w:val="0"/>
      <w:marTop w:val="0"/>
      <w:marBottom w:val="0"/>
      <w:divBdr>
        <w:top w:val="none" w:sz="0" w:space="0" w:color="auto"/>
        <w:left w:val="none" w:sz="0" w:space="0" w:color="auto"/>
        <w:bottom w:val="none" w:sz="0" w:space="0" w:color="auto"/>
        <w:right w:val="none" w:sz="0" w:space="0" w:color="auto"/>
      </w:divBdr>
    </w:div>
    <w:div w:id="816727381">
      <w:bodyDiv w:val="1"/>
      <w:marLeft w:val="0"/>
      <w:marRight w:val="0"/>
      <w:marTop w:val="0"/>
      <w:marBottom w:val="0"/>
      <w:divBdr>
        <w:top w:val="none" w:sz="0" w:space="0" w:color="auto"/>
        <w:left w:val="none" w:sz="0" w:space="0" w:color="auto"/>
        <w:bottom w:val="none" w:sz="0" w:space="0" w:color="auto"/>
        <w:right w:val="none" w:sz="0" w:space="0" w:color="auto"/>
      </w:divBdr>
    </w:div>
    <w:div w:id="818502753">
      <w:bodyDiv w:val="1"/>
      <w:marLeft w:val="0"/>
      <w:marRight w:val="0"/>
      <w:marTop w:val="0"/>
      <w:marBottom w:val="0"/>
      <w:divBdr>
        <w:top w:val="none" w:sz="0" w:space="0" w:color="auto"/>
        <w:left w:val="none" w:sz="0" w:space="0" w:color="auto"/>
        <w:bottom w:val="none" w:sz="0" w:space="0" w:color="auto"/>
        <w:right w:val="none" w:sz="0" w:space="0" w:color="auto"/>
      </w:divBdr>
    </w:div>
    <w:div w:id="819493023">
      <w:bodyDiv w:val="1"/>
      <w:marLeft w:val="0"/>
      <w:marRight w:val="0"/>
      <w:marTop w:val="0"/>
      <w:marBottom w:val="0"/>
      <w:divBdr>
        <w:top w:val="none" w:sz="0" w:space="0" w:color="auto"/>
        <w:left w:val="none" w:sz="0" w:space="0" w:color="auto"/>
        <w:bottom w:val="none" w:sz="0" w:space="0" w:color="auto"/>
        <w:right w:val="none" w:sz="0" w:space="0" w:color="auto"/>
      </w:divBdr>
    </w:div>
    <w:div w:id="827407337">
      <w:bodyDiv w:val="1"/>
      <w:marLeft w:val="0"/>
      <w:marRight w:val="0"/>
      <w:marTop w:val="0"/>
      <w:marBottom w:val="0"/>
      <w:divBdr>
        <w:top w:val="none" w:sz="0" w:space="0" w:color="auto"/>
        <w:left w:val="none" w:sz="0" w:space="0" w:color="auto"/>
        <w:bottom w:val="none" w:sz="0" w:space="0" w:color="auto"/>
        <w:right w:val="none" w:sz="0" w:space="0" w:color="auto"/>
      </w:divBdr>
    </w:div>
    <w:div w:id="828062534">
      <w:bodyDiv w:val="1"/>
      <w:marLeft w:val="0"/>
      <w:marRight w:val="0"/>
      <w:marTop w:val="0"/>
      <w:marBottom w:val="0"/>
      <w:divBdr>
        <w:top w:val="none" w:sz="0" w:space="0" w:color="auto"/>
        <w:left w:val="none" w:sz="0" w:space="0" w:color="auto"/>
        <w:bottom w:val="none" w:sz="0" w:space="0" w:color="auto"/>
        <w:right w:val="none" w:sz="0" w:space="0" w:color="auto"/>
      </w:divBdr>
    </w:div>
    <w:div w:id="830874139">
      <w:bodyDiv w:val="1"/>
      <w:marLeft w:val="0"/>
      <w:marRight w:val="0"/>
      <w:marTop w:val="0"/>
      <w:marBottom w:val="0"/>
      <w:divBdr>
        <w:top w:val="none" w:sz="0" w:space="0" w:color="auto"/>
        <w:left w:val="none" w:sz="0" w:space="0" w:color="auto"/>
        <w:bottom w:val="none" w:sz="0" w:space="0" w:color="auto"/>
        <w:right w:val="none" w:sz="0" w:space="0" w:color="auto"/>
      </w:divBdr>
    </w:div>
    <w:div w:id="835992925">
      <w:bodyDiv w:val="1"/>
      <w:marLeft w:val="0"/>
      <w:marRight w:val="0"/>
      <w:marTop w:val="0"/>
      <w:marBottom w:val="0"/>
      <w:divBdr>
        <w:top w:val="none" w:sz="0" w:space="0" w:color="auto"/>
        <w:left w:val="none" w:sz="0" w:space="0" w:color="auto"/>
        <w:bottom w:val="none" w:sz="0" w:space="0" w:color="auto"/>
        <w:right w:val="none" w:sz="0" w:space="0" w:color="auto"/>
      </w:divBdr>
    </w:div>
    <w:div w:id="840779906">
      <w:bodyDiv w:val="1"/>
      <w:marLeft w:val="0"/>
      <w:marRight w:val="0"/>
      <w:marTop w:val="0"/>
      <w:marBottom w:val="0"/>
      <w:divBdr>
        <w:top w:val="none" w:sz="0" w:space="0" w:color="auto"/>
        <w:left w:val="none" w:sz="0" w:space="0" w:color="auto"/>
        <w:bottom w:val="none" w:sz="0" w:space="0" w:color="auto"/>
        <w:right w:val="none" w:sz="0" w:space="0" w:color="auto"/>
      </w:divBdr>
    </w:div>
    <w:div w:id="841313942">
      <w:bodyDiv w:val="1"/>
      <w:marLeft w:val="0"/>
      <w:marRight w:val="0"/>
      <w:marTop w:val="0"/>
      <w:marBottom w:val="0"/>
      <w:divBdr>
        <w:top w:val="none" w:sz="0" w:space="0" w:color="auto"/>
        <w:left w:val="none" w:sz="0" w:space="0" w:color="auto"/>
        <w:bottom w:val="none" w:sz="0" w:space="0" w:color="auto"/>
        <w:right w:val="none" w:sz="0" w:space="0" w:color="auto"/>
      </w:divBdr>
    </w:div>
    <w:div w:id="843396929">
      <w:bodyDiv w:val="1"/>
      <w:marLeft w:val="0"/>
      <w:marRight w:val="0"/>
      <w:marTop w:val="0"/>
      <w:marBottom w:val="0"/>
      <w:divBdr>
        <w:top w:val="none" w:sz="0" w:space="0" w:color="auto"/>
        <w:left w:val="none" w:sz="0" w:space="0" w:color="auto"/>
        <w:bottom w:val="none" w:sz="0" w:space="0" w:color="auto"/>
        <w:right w:val="none" w:sz="0" w:space="0" w:color="auto"/>
      </w:divBdr>
    </w:div>
    <w:div w:id="855507470">
      <w:bodyDiv w:val="1"/>
      <w:marLeft w:val="0"/>
      <w:marRight w:val="0"/>
      <w:marTop w:val="0"/>
      <w:marBottom w:val="0"/>
      <w:divBdr>
        <w:top w:val="none" w:sz="0" w:space="0" w:color="auto"/>
        <w:left w:val="none" w:sz="0" w:space="0" w:color="auto"/>
        <w:bottom w:val="none" w:sz="0" w:space="0" w:color="auto"/>
        <w:right w:val="none" w:sz="0" w:space="0" w:color="auto"/>
      </w:divBdr>
    </w:div>
    <w:div w:id="857815165">
      <w:bodyDiv w:val="1"/>
      <w:marLeft w:val="0"/>
      <w:marRight w:val="0"/>
      <w:marTop w:val="0"/>
      <w:marBottom w:val="0"/>
      <w:divBdr>
        <w:top w:val="none" w:sz="0" w:space="0" w:color="auto"/>
        <w:left w:val="none" w:sz="0" w:space="0" w:color="auto"/>
        <w:bottom w:val="none" w:sz="0" w:space="0" w:color="auto"/>
        <w:right w:val="none" w:sz="0" w:space="0" w:color="auto"/>
      </w:divBdr>
    </w:div>
    <w:div w:id="866142669">
      <w:bodyDiv w:val="1"/>
      <w:marLeft w:val="0"/>
      <w:marRight w:val="0"/>
      <w:marTop w:val="0"/>
      <w:marBottom w:val="0"/>
      <w:divBdr>
        <w:top w:val="none" w:sz="0" w:space="0" w:color="auto"/>
        <w:left w:val="none" w:sz="0" w:space="0" w:color="auto"/>
        <w:bottom w:val="none" w:sz="0" w:space="0" w:color="auto"/>
        <w:right w:val="none" w:sz="0" w:space="0" w:color="auto"/>
      </w:divBdr>
    </w:div>
    <w:div w:id="869801294">
      <w:bodyDiv w:val="1"/>
      <w:marLeft w:val="0"/>
      <w:marRight w:val="0"/>
      <w:marTop w:val="0"/>
      <w:marBottom w:val="0"/>
      <w:divBdr>
        <w:top w:val="none" w:sz="0" w:space="0" w:color="auto"/>
        <w:left w:val="none" w:sz="0" w:space="0" w:color="auto"/>
        <w:bottom w:val="none" w:sz="0" w:space="0" w:color="auto"/>
        <w:right w:val="none" w:sz="0" w:space="0" w:color="auto"/>
      </w:divBdr>
    </w:div>
    <w:div w:id="871307229">
      <w:bodyDiv w:val="1"/>
      <w:marLeft w:val="0"/>
      <w:marRight w:val="0"/>
      <w:marTop w:val="0"/>
      <w:marBottom w:val="0"/>
      <w:divBdr>
        <w:top w:val="none" w:sz="0" w:space="0" w:color="auto"/>
        <w:left w:val="none" w:sz="0" w:space="0" w:color="auto"/>
        <w:bottom w:val="none" w:sz="0" w:space="0" w:color="auto"/>
        <w:right w:val="none" w:sz="0" w:space="0" w:color="auto"/>
      </w:divBdr>
    </w:div>
    <w:div w:id="873074473">
      <w:bodyDiv w:val="1"/>
      <w:marLeft w:val="0"/>
      <w:marRight w:val="0"/>
      <w:marTop w:val="0"/>
      <w:marBottom w:val="0"/>
      <w:divBdr>
        <w:top w:val="none" w:sz="0" w:space="0" w:color="auto"/>
        <w:left w:val="none" w:sz="0" w:space="0" w:color="auto"/>
        <w:bottom w:val="none" w:sz="0" w:space="0" w:color="auto"/>
        <w:right w:val="none" w:sz="0" w:space="0" w:color="auto"/>
      </w:divBdr>
    </w:div>
    <w:div w:id="875658414">
      <w:bodyDiv w:val="1"/>
      <w:marLeft w:val="0"/>
      <w:marRight w:val="0"/>
      <w:marTop w:val="0"/>
      <w:marBottom w:val="0"/>
      <w:divBdr>
        <w:top w:val="none" w:sz="0" w:space="0" w:color="auto"/>
        <w:left w:val="none" w:sz="0" w:space="0" w:color="auto"/>
        <w:bottom w:val="none" w:sz="0" w:space="0" w:color="auto"/>
        <w:right w:val="none" w:sz="0" w:space="0" w:color="auto"/>
      </w:divBdr>
    </w:div>
    <w:div w:id="876549574">
      <w:bodyDiv w:val="1"/>
      <w:marLeft w:val="0"/>
      <w:marRight w:val="0"/>
      <w:marTop w:val="0"/>
      <w:marBottom w:val="0"/>
      <w:divBdr>
        <w:top w:val="none" w:sz="0" w:space="0" w:color="auto"/>
        <w:left w:val="none" w:sz="0" w:space="0" w:color="auto"/>
        <w:bottom w:val="none" w:sz="0" w:space="0" w:color="auto"/>
        <w:right w:val="none" w:sz="0" w:space="0" w:color="auto"/>
      </w:divBdr>
    </w:div>
    <w:div w:id="879322331">
      <w:bodyDiv w:val="1"/>
      <w:marLeft w:val="0"/>
      <w:marRight w:val="0"/>
      <w:marTop w:val="0"/>
      <w:marBottom w:val="0"/>
      <w:divBdr>
        <w:top w:val="none" w:sz="0" w:space="0" w:color="auto"/>
        <w:left w:val="none" w:sz="0" w:space="0" w:color="auto"/>
        <w:bottom w:val="none" w:sz="0" w:space="0" w:color="auto"/>
        <w:right w:val="none" w:sz="0" w:space="0" w:color="auto"/>
      </w:divBdr>
    </w:div>
    <w:div w:id="880096513">
      <w:bodyDiv w:val="1"/>
      <w:marLeft w:val="0"/>
      <w:marRight w:val="0"/>
      <w:marTop w:val="0"/>
      <w:marBottom w:val="0"/>
      <w:divBdr>
        <w:top w:val="none" w:sz="0" w:space="0" w:color="auto"/>
        <w:left w:val="none" w:sz="0" w:space="0" w:color="auto"/>
        <w:bottom w:val="none" w:sz="0" w:space="0" w:color="auto"/>
        <w:right w:val="none" w:sz="0" w:space="0" w:color="auto"/>
      </w:divBdr>
    </w:div>
    <w:div w:id="880482949">
      <w:bodyDiv w:val="1"/>
      <w:marLeft w:val="0"/>
      <w:marRight w:val="0"/>
      <w:marTop w:val="0"/>
      <w:marBottom w:val="0"/>
      <w:divBdr>
        <w:top w:val="none" w:sz="0" w:space="0" w:color="auto"/>
        <w:left w:val="none" w:sz="0" w:space="0" w:color="auto"/>
        <w:bottom w:val="none" w:sz="0" w:space="0" w:color="auto"/>
        <w:right w:val="none" w:sz="0" w:space="0" w:color="auto"/>
      </w:divBdr>
    </w:div>
    <w:div w:id="881478179">
      <w:bodyDiv w:val="1"/>
      <w:marLeft w:val="0"/>
      <w:marRight w:val="0"/>
      <w:marTop w:val="0"/>
      <w:marBottom w:val="0"/>
      <w:divBdr>
        <w:top w:val="none" w:sz="0" w:space="0" w:color="auto"/>
        <w:left w:val="none" w:sz="0" w:space="0" w:color="auto"/>
        <w:bottom w:val="none" w:sz="0" w:space="0" w:color="auto"/>
        <w:right w:val="none" w:sz="0" w:space="0" w:color="auto"/>
      </w:divBdr>
    </w:div>
    <w:div w:id="882058034">
      <w:bodyDiv w:val="1"/>
      <w:marLeft w:val="0"/>
      <w:marRight w:val="0"/>
      <w:marTop w:val="0"/>
      <w:marBottom w:val="0"/>
      <w:divBdr>
        <w:top w:val="none" w:sz="0" w:space="0" w:color="auto"/>
        <w:left w:val="none" w:sz="0" w:space="0" w:color="auto"/>
        <w:bottom w:val="none" w:sz="0" w:space="0" w:color="auto"/>
        <w:right w:val="none" w:sz="0" w:space="0" w:color="auto"/>
      </w:divBdr>
    </w:div>
    <w:div w:id="882324868">
      <w:bodyDiv w:val="1"/>
      <w:marLeft w:val="0"/>
      <w:marRight w:val="0"/>
      <w:marTop w:val="0"/>
      <w:marBottom w:val="0"/>
      <w:divBdr>
        <w:top w:val="none" w:sz="0" w:space="0" w:color="auto"/>
        <w:left w:val="none" w:sz="0" w:space="0" w:color="auto"/>
        <w:bottom w:val="none" w:sz="0" w:space="0" w:color="auto"/>
        <w:right w:val="none" w:sz="0" w:space="0" w:color="auto"/>
      </w:divBdr>
    </w:div>
    <w:div w:id="883179623">
      <w:bodyDiv w:val="1"/>
      <w:marLeft w:val="0"/>
      <w:marRight w:val="0"/>
      <w:marTop w:val="0"/>
      <w:marBottom w:val="0"/>
      <w:divBdr>
        <w:top w:val="none" w:sz="0" w:space="0" w:color="auto"/>
        <w:left w:val="none" w:sz="0" w:space="0" w:color="auto"/>
        <w:bottom w:val="none" w:sz="0" w:space="0" w:color="auto"/>
        <w:right w:val="none" w:sz="0" w:space="0" w:color="auto"/>
      </w:divBdr>
    </w:div>
    <w:div w:id="887763779">
      <w:bodyDiv w:val="1"/>
      <w:marLeft w:val="0"/>
      <w:marRight w:val="0"/>
      <w:marTop w:val="0"/>
      <w:marBottom w:val="0"/>
      <w:divBdr>
        <w:top w:val="none" w:sz="0" w:space="0" w:color="auto"/>
        <w:left w:val="none" w:sz="0" w:space="0" w:color="auto"/>
        <w:bottom w:val="none" w:sz="0" w:space="0" w:color="auto"/>
        <w:right w:val="none" w:sz="0" w:space="0" w:color="auto"/>
      </w:divBdr>
    </w:div>
    <w:div w:id="888877559">
      <w:bodyDiv w:val="1"/>
      <w:marLeft w:val="0"/>
      <w:marRight w:val="0"/>
      <w:marTop w:val="0"/>
      <w:marBottom w:val="0"/>
      <w:divBdr>
        <w:top w:val="none" w:sz="0" w:space="0" w:color="auto"/>
        <w:left w:val="none" w:sz="0" w:space="0" w:color="auto"/>
        <w:bottom w:val="none" w:sz="0" w:space="0" w:color="auto"/>
        <w:right w:val="none" w:sz="0" w:space="0" w:color="auto"/>
      </w:divBdr>
    </w:div>
    <w:div w:id="891968405">
      <w:bodyDiv w:val="1"/>
      <w:marLeft w:val="0"/>
      <w:marRight w:val="0"/>
      <w:marTop w:val="0"/>
      <w:marBottom w:val="0"/>
      <w:divBdr>
        <w:top w:val="none" w:sz="0" w:space="0" w:color="auto"/>
        <w:left w:val="none" w:sz="0" w:space="0" w:color="auto"/>
        <w:bottom w:val="none" w:sz="0" w:space="0" w:color="auto"/>
        <w:right w:val="none" w:sz="0" w:space="0" w:color="auto"/>
      </w:divBdr>
    </w:div>
    <w:div w:id="896360109">
      <w:bodyDiv w:val="1"/>
      <w:marLeft w:val="0"/>
      <w:marRight w:val="0"/>
      <w:marTop w:val="0"/>
      <w:marBottom w:val="0"/>
      <w:divBdr>
        <w:top w:val="none" w:sz="0" w:space="0" w:color="auto"/>
        <w:left w:val="none" w:sz="0" w:space="0" w:color="auto"/>
        <w:bottom w:val="none" w:sz="0" w:space="0" w:color="auto"/>
        <w:right w:val="none" w:sz="0" w:space="0" w:color="auto"/>
      </w:divBdr>
    </w:div>
    <w:div w:id="899481814">
      <w:bodyDiv w:val="1"/>
      <w:marLeft w:val="0"/>
      <w:marRight w:val="0"/>
      <w:marTop w:val="0"/>
      <w:marBottom w:val="0"/>
      <w:divBdr>
        <w:top w:val="none" w:sz="0" w:space="0" w:color="auto"/>
        <w:left w:val="none" w:sz="0" w:space="0" w:color="auto"/>
        <w:bottom w:val="none" w:sz="0" w:space="0" w:color="auto"/>
        <w:right w:val="none" w:sz="0" w:space="0" w:color="auto"/>
      </w:divBdr>
    </w:div>
    <w:div w:id="902105639">
      <w:bodyDiv w:val="1"/>
      <w:marLeft w:val="0"/>
      <w:marRight w:val="0"/>
      <w:marTop w:val="0"/>
      <w:marBottom w:val="0"/>
      <w:divBdr>
        <w:top w:val="none" w:sz="0" w:space="0" w:color="auto"/>
        <w:left w:val="none" w:sz="0" w:space="0" w:color="auto"/>
        <w:bottom w:val="none" w:sz="0" w:space="0" w:color="auto"/>
        <w:right w:val="none" w:sz="0" w:space="0" w:color="auto"/>
      </w:divBdr>
    </w:div>
    <w:div w:id="902452673">
      <w:bodyDiv w:val="1"/>
      <w:marLeft w:val="0"/>
      <w:marRight w:val="0"/>
      <w:marTop w:val="0"/>
      <w:marBottom w:val="0"/>
      <w:divBdr>
        <w:top w:val="none" w:sz="0" w:space="0" w:color="auto"/>
        <w:left w:val="none" w:sz="0" w:space="0" w:color="auto"/>
        <w:bottom w:val="none" w:sz="0" w:space="0" w:color="auto"/>
        <w:right w:val="none" w:sz="0" w:space="0" w:color="auto"/>
      </w:divBdr>
    </w:div>
    <w:div w:id="904334133">
      <w:bodyDiv w:val="1"/>
      <w:marLeft w:val="0"/>
      <w:marRight w:val="0"/>
      <w:marTop w:val="0"/>
      <w:marBottom w:val="0"/>
      <w:divBdr>
        <w:top w:val="none" w:sz="0" w:space="0" w:color="auto"/>
        <w:left w:val="none" w:sz="0" w:space="0" w:color="auto"/>
        <w:bottom w:val="none" w:sz="0" w:space="0" w:color="auto"/>
        <w:right w:val="none" w:sz="0" w:space="0" w:color="auto"/>
      </w:divBdr>
    </w:div>
    <w:div w:id="910195570">
      <w:bodyDiv w:val="1"/>
      <w:marLeft w:val="0"/>
      <w:marRight w:val="0"/>
      <w:marTop w:val="0"/>
      <w:marBottom w:val="0"/>
      <w:divBdr>
        <w:top w:val="none" w:sz="0" w:space="0" w:color="auto"/>
        <w:left w:val="none" w:sz="0" w:space="0" w:color="auto"/>
        <w:bottom w:val="none" w:sz="0" w:space="0" w:color="auto"/>
        <w:right w:val="none" w:sz="0" w:space="0" w:color="auto"/>
      </w:divBdr>
    </w:div>
    <w:div w:id="912855930">
      <w:bodyDiv w:val="1"/>
      <w:marLeft w:val="0"/>
      <w:marRight w:val="0"/>
      <w:marTop w:val="0"/>
      <w:marBottom w:val="0"/>
      <w:divBdr>
        <w:top w:val="none" w:sz="0" w:space="0" w:color="auto"/>
        <w:left w:val="none" w:sz="0" w:space="0" w:color="auto"/>
        <w:bottom w:val="none" w:sz="0" w:space="0" w:color="auto"/>
        <w:right w:val="none" w:sz="0" w:space="0" w:color="auto"/>
      </w:divBdr>
    </w:div>
    <w:div w:id="914778053">
      <w:bodyDiv w:val="1"/>
      <w:marLeft w:val="0"/>
      <w:marRight w:val="0"/>
      <w:marTop w:val="0"/>
      <w:marBottom w:val="0"/>
      <w:divBdr>
        <w:top w:val="none" w:sz="0" w:space="0" w:color="auto"/>
        <w:left w:val="none" w:sz="0" w:space="0" w:color="auto"/>
        <w:bottom w:val="none" w:sz="0" w:space="0" w:color="auto"/>
        <w:right w:val="none" w:sz="0" w:space="0" w:color="auto"/>
      </w:divBdr>
    </w:div>
    <w:div w:id="916591019">
      <w:bodyDiv w:val="1"/>
      <w:marLeft w:val="0"/>
      <w:marRight w:val="0"/>
      <w:marTop w:val="0"/>
      <w:marBottom w:val="0"/>
      <w:divBdr>
        <w:top w:val="none" w:sz="0" w:space="0" w:color="auto"/>
        <w:left w:val="none" w:sz="0" w:space="0" w:color="auto"/>
        <w:bottom w:val="none" w:sz="0" w:space="0" w:color="auto"/>
        <w:right w:val="none" w:sz="0" w:space="0" w:color="auto"/>
      </w:divBdr>
    </w:div>
    <w:div w:id="916936974">
      <w:bodyDiv w:val="1"/>
      <w:marLeft w:val="0"/>
      <w:marRight w:val="0"/>
      <w:marTop w:val="0"/>
      <w:marBottom w:val="0"/>
      <w:divBdr>
        <w:top w:val="none" w:sz="0" w:space="0" w:color="auto"/>
        <w:left w:val="none" w:sz="0" w:space="0" w:color="auto"/>
        <w:bottom w:val="none" w:sz="0" w:space="0" w:color="auto"/>
        <w:right w:val="none" w:sz="0" w:space="0" w:color="auto"/>
      </w:divBdr>
    </w:div>
    <w:div w:id="920720553">
      <w:bodyDiv w:val="1"/>
      <w:marLeft w:val="0"/>
      <w:marRight w:val="0"/>
      <w:marTop w:val="0"/>
      <w:marBottom w:val="0"/>
      <w:divBdr>
        <w:top w:val="none" w:sz="0" w:space="0" w:color="auto"/>
        <w:left w:val="none" w:sz="0" w:space="0" w:color="auto"/>
        <w:bottom w:val="none" w:sz="0" w:space="0" w:color="auto"/>
        <w:right w:val="none" w:sz="0" w:space="0" w:color="auto"/>
      </w:divBdr>
    </w:div>
    <w:div w:id="920943701">
      <w:bodyDiv w:val="1"/>
      <w:marLeft w:val="0"/>
      <w:marRight w:val="0"/>
      <w:marTop w:val="0"/>
      <w:marBottom w:val="0"/>
      <w:divBdr>
        <w:top w:val="none" w:sz="0" w:space="0" w:color="auto"/>
        <w:left w:val="none" w:sz="0" w:space="0" w:color="auto"/>
        <w:bottom w:val="none" w:sz="0" w:space="0" w:color="auto"/>
        <w:right w:val="none" w:sz="0" w:space="0" w:color="auto"/>
      </w:divBdr>
    </w:div>
    <w:div w:id="928319313">
      <w:bodyDiv w:val="1"/>
      <w:marLeft w:val="0"/>
      <w:marRight w:val="0"/>
      <w:marTop w:val="0"/>
      <w:marBottom w:val="0"/>
      <w:divBdr>
        <w:top w:val="none" w:sz="0" w:space="0" w:color="auto"/>
        <w:left w:val="none" w:sz="0" w:space="0" w:color="auto"/>
        <w:bottom w:val="none" w:sz="0" w:space="0" w:color="auto"/>
        <w:right w:val="none" w:sz="0" w:space="0" w:color="auto"/>
      </w:divBdr>
    </w:div>
    <w:div w:id="928586036">
      <w:bodyDiv w:val="1"/>
      <w:marLeft w:val="0"/>
      <w:marRight w:val="0"/>
      <w:marTop w:val="0"/>
      <w:marBottom w:val="0"/>
      <w:divBdr>
        <w:top w:val="none" w:sz="0" w:space="0" w:color="auto"/>
        <w:left w:val="none" w:sz="0" w:space="0" w:color="auto"/>
        <w:bottom w:val="none" w:sz="0" w:space="0" w:color="auto"/>
        <w:right w:val="none" w:sz="0" w:space="0" w:color="auto"/>
      </w:divBdr>
    </w:div>
    <w:div w:id="932009127">
      <w:bodyDiv w:val="1"/>
      <w:marLeft w:val="0"/>
      <w:marRight w:val="0"/>
      <w:marTop w:val="0"/>
      <w:marBottom w:val="0"/>
      <w:divBdr>
        <w:top w:val="none" w:sz="0" w:space="0" w:color="auto"/>
        <w:left w:val="none" w:sz="0" w:space="0" w:color="auto"/>
        <w:bottom w:val="none" w:sz="0" w:space="0" w:color="auto"/>
        <w:right w:val="none" w:sz="0" w:space="0" w:color="auto"/>
      </w:divBdr>
    </w:div>
    <w:div w:id="941647254">
      <w:bodyDiv w:val="1"/>
      <w:marLeft w:val="0"/>
      <w:marRight w:val="0"/>
      <w:marTop w:val="0"/>
      <w:marBottom w:val="0"/>
      <w:divBdr>
        <w:top w:val="none" w:sz="0" w:space="0" w:color="auto"/>
        <w:left w:val="none" w:sz="0" w:space="0" w:color="auto"/>
        <w:bottom w:val="none" w:sz="0" w:space="0" w:color="auto"/>
        <w:right w:val="none" w:sz="0" w:space="0" w:color="auto"/>
      </w:divBdr>
    </w:div>
    <w:div w:id="943154496">
      <w:bodyDiv w:val="1"/>
      <w:marLeft w:val="0"/>
      <w:marRight w:val="0"/>
      <w:marTop w:val="0"/>
      <w:marBottom w:val="0"/>
      <w:divBdr>
        <w:top w:val="none" w:sz="0" w:space="0" w:color="auto"/>
        <w:left w:val="none" w:sz="0" w:space="0" w:color="auto"/>
        <w:bottom w:val="none" w:sz="0" w:space="0" w:color="auto"/>
        <w:right w:val="none" w:sz="0" w:space="0" w:color="auto"/>
      </w:divBdr>
    </w:div>
    <w:div w:id="949238144">
      <w:bodyDiv w:val="1"/>
      <w:marLeft w:val="0"/>
      <w:marRight w:val="0"/>
      <w:marTop w:val="0"/>
      <w:marBottom w:val="0"/>
      <w:divBdr>
        <w:top w:val="none" w:sz="0" w:space="0" w:color="auto"/>
        <w:left w:val="none" w:sz="0" w:space="0" w:color="auto"/>
        <w:bottom w:val="none" w:sz="0" w:space="0" w:color="auto"/>
        <w:right w:val="none" w:sz="0" w:space="0" w:color="auto"/>
      </w:divBdr>
    </w:div>
    <w:div w:id="950743376">
      <w:bodyDiv w:val="1"/>
      <w:marLeft w:val="0"/>
      <w:marRight w:val="0"/>
      <w:marTop w:val="0"/>
      <w:marBottom w:val="0"/>
      <w:divBdr>
        <w:top w:val="none" w:sz="0" w:space="0" w:color="auto"/>
        <w:left w:val="none" w:sz="0" w:space="0" w:color="auto"/>
        <w:bottom w:val="none" w:sz="0" w:space="0" w:color="auto"/>
        <w:right w:val="none" w:sz="0" w:space="0" w:color="auto"/>
      </w:divBdr>
    </w:div>
    <w:div w:id="950893213">
      <w:bodyDiv w:val="1"/>
      <w:marLeft w:val="0"/>
      <w:marRight w:val="0"/>
      <w:marTop w:val="0"/>
      <w:marBottom w:val="0"/>
      <w:divBdr>
        <w:top w:val="none" w:sz="0" w:space="0" w:color="auto"/>
        <w:left w:val="none" w:sz="0" w:space="0" w:color="auto"/>
        <w:bottom w:val="none" w:sz="0" w:space="0" w:color="auto"/>
        <w:right w:val="none" w:sz="0" w:space="0" w:color="auto"/>
      </w:divBdr>
    </w:div>
    <w:div w:id="957032525">
      <w:bodyDiv w:val="1"/>
      <w:marLeft w:val="0"/>
      <w:marRight w:val="0"/>
      <w:marTop w:val="0"/>
      <w:marBottom w:val="0"/>
      <w:divBdr>
        <w:top w:val="none" w:sz="0" w:space="0" w:color="auto"/>
        <w:left w:val="none" w:sz="0" w:space="0" w:color="auto"/>
        <w:bottom w:val="none" w:sz="0" w:space="0" w:color="auto"/>
        <w:right w:val="none" w:sz="0" w:space="0" w:color="auto"/>
      </w:divBdr>
    </w:div>
    <w:div w:id="957416853">
      <w:bodyDiv w:val="1"/>
      <w:marLeft w:val="0"/>
      <w:marRight w:val="0"/>
      <w:marTop w:val="0"/>
      <w:marBottom w:val="0"/>
      <w:divBdr>
        <w:top w:val="none" w:sz="0" w:space="0" w:color="auto"/>
        <w:left w:val="none" w:sz="0" w:space="0" w:color="auto"/>
        <w:bottom w:val="none" w:sz="0" w:space="0" w:color="auto"/>
        <w:right w:val="none" w:sz="0" w:space="0" w:color="auto"/>
      </w:divBdr>
    </w:div>
    <w:div w:id="957876305">
      <w:bodyDiv w:val="1"/>
      <w:marLeft w:val="0"/>
      <w:marRight w:val="0"/>
      <w:marTop w:val="0"/>
      <w:marBottom w:val="0"/>
      <w:divBdr>
        <w:top w:val="none" w:sz="0" w:space="0" w:color="auto"/>
        <w:left w:val="none" w:sz="0" w:space="0" w:color="auto"/>
        <w:bottom w:val="none" w:sz="0" w:space="0" w:color="auto"/>
        <w:right w:val="none" w:sz="0" w:space="0" w:color="auto"/>
      </w:divBdr>
    </w:div>
    <w:div w:id="957956634">
      <w:bodyDiv w:val="1"/>
      <w:marLeft w:val="0"/>
      <w:marRight w:val="0"/>
      <w:marTop w:val="0"/>
      <w:marBottom w:val="0"/>
      <w:divBdr>
        <w:top w:val="none" w:sz="0" w:space="0" w:color="auto"/>
        <w:left w:val="none" w:sz="0" w:space="0" w:color="auto"/>
        <w:bottom w:val="none" w:sz="0" w:space="0" w:color="auto"/>
        <w:right w:val="none" w:sz="0" w:space="0" w:color="auto"/>
      </w:divBdr>
    </w:div>
    <w:div w:id="959339481">
      <w:bodyDiv w:val="1"/>
      <w:marLeft w:val="0"/>
      <w:marRight w:val="0"/>
      <w:marTop w:val="0"/>
      <w:marBottom w:val="0"/>
      <w:divBdr>
        <w:top w:val="none" w:sz="0" w:space="0" w:color="auto"/>
        <w:left w:val="none" w:sz="0" w:space="0" w:color="auto"/>
        <w:bottom w:val="none" w:sz="0" w:space="0" w:color="auto"/>
        <w:right w:val="none" w:sz="0" w:space="0" w:color="auto"/>
      </w:divBdr>
    </w:div>
    <w:div w:id="960842660">
      <w:bodyDiv w:val="1"/>
      <w:marLeft w:val="0"/>
      <w:marRight w:val="0"/>
      <w:marTop w:val="0"/>
      <w:marBottom w:val="0"/>
      <w:divBdr>
        <w:top w:val="none" w:sz="0" w:space="0" w:color="auto"/>
        <w:left w:val="none" w:sz="0" w:space="0" w:color="auto"/>
        <w:bottom w:val="none" w:sz="0" w:space="0" w:color="auto"/>
        <w:right w:val="none" w:sz="0" w:space="0" w:color="auto"/>
      </w:divBdr>
    </w:div>
    <w:div w:id="961154239">
      <w:bodyDiv w:val="1"/>
      <w:marLeft w:val="0"/>
      <w:marRight w:val="0"/>
      <w:marTop w:val="0"/>
      <w:marBottom w:val="0"/>
      <w:divBdr>
        <w:top w:val="none" w:sz="0" w:space="0" w:color="auto"/>
        <w:left w:val="none" w:sz="0" w:space="0" w:color="auto"/>
        <w:bottom w:val="none" w:sz="0" w:space="0" w:color="auto"/>
        <w:right w:val="none" w:sz="0" w:space="0" w:color="auto"/>
      </w:divBdr>
    </w:div>
    <w:div w:id="967903898">
      <w:bodyDiv w:val="1"/>
      <w:marLeft w:val="0"/>
      <w:marRight w:val="0"/>
      <w:marTop w:val="0"/>
      <w:marBottom w:val="0"/>
      <w:divBdr>
        <w:top w:val="none" w:sz="0" w:space="0" w:color="auto"/>
        <w:left w:val="none" w:sz="0" w:space="0" w:color="auto"/>
        <w:bottom w:val="none" w:sz="0" w:space="0" w:color="auto"/>
        <w:right w:val="none" w:sz="0" w:space="0" w:color="auto"/>
      </w:divBdr>
    </w:div>
    <w:div w:id="970862920">
      <w:bodyDiv w:val="1"/>
      <w:marLeft w:val="0"/>
      <w:marRight w:val="0"/>
      <w:marTop w:val="0"/>
      <w:marBottom w:val="0"/>
      <w:divBdr>
        <w:top w:val="none" w:sz="0" w:space="0" w:color="auto"/>
        <w:left w:val="none" w:sz="0" w:space="0" w:color="auto"/>
        <w:bottom w:val="none" w:sz="0" w:space="0" w:color="auto"/>
        <w:right w:val="none" w:sz="0" w:space="0" w:color="auto"/>
      </w:divBdr>
    </w:div>
    <w:div w:id="971641094">
      <w:bodyDiv w:val="1"/>
      <w:marLeft w:val="0"/>
      <w:marRight w:val="0"/>
      <w:marTop w:val="0"/>
      <w:marBottom w:val="0"/>
      <w:divBdr>
        <w:top w:val="none" w:sz="0" w:space="0" w:color="auto"/>
        <w:left w:val="none" w:sz="0" w:space="0" w:color="auto"/>
        <w:bottom w:val="none" w:sz="0" w:space="0" w:color="auto"/>
        <w:right w:val="none" w:sz="0" w:space="0" w:color="auto"/>
      </w:divBdr>
    </w:div>
    <w:div w:id="974062661">
      <w:bodyDiv w:val="1"/>
      <w:marLeft w:val="0"/>
      <w:marRight w:val="0"/>
      <w:marTop w:val="0"/>
      <w:marBottom w:val="0"/>
      <w:divBdr>
        <w:top w:val="none" w:sz="0" w:space="0" w:color="auto"/>
        <w:left w:val="none" w:sz="0" w:space="0" w:color="auto"/>
        <w:bottom w:val="none" w:sz="0" w:space="0" w:color="auto"/>
        <w:right w:val="none" w:sz="0" w:space="0" w:color="auto"/>
      </w:divBdr>
    </w:div>
    <w:div w:id="978416193">
      <w:bodyDiv w:val="1"/>
      <w:marLeft w:val="0"/>
      <w:marRight w:val="0"/>
      <w:marTop w:val="0"/>
      <w:marBottom w:val="0"/>
      <w:divBdr>
        <w:top w:val="none" w:sz="0" w:space="0" w:color="auto"/>
        <w:left w:val="none" w:sz="0" w:space="0" w:color="auto"/>
        <w:bottom w:val="none" w:sz="0" w:space="0" w:color="auto"/>
        <w:right w:val="none" w:sz="0" w:space="0" w:color="auto"/>
      </w:divBdr>
    </w:div>
    <w:div w:id="981273995">
      <w:bodyDiv w:val="1"/>
      <w:marLeft w:val="0"/>
      <w:marRight w:val="0"/>
      <w:marTop w:val="0"/>
      <w:marBottom w:val="0"/>
      <w:divBdr>
        <w:top w:val="none" w:sz="0" w:space="0" w:color="auto"/>
        <w:left w:val="none" w:sz="0" w:space="0" w:color="auto"/>
        <w:bottom w:val="none" w:sz="0" w:space="0" w:color="auto"/>
        <w:right w:val="none" w:sz="0" w:space="0" w:color="auto"/>
      </w:divBdr>
    </w:div>
    <w:div w:id="982081411">
      <w:bodyDiv w:val="1"/>
      <w:marLeft w:val="0"/>
      <w:marRight w:val="0"/>
      <w:marTop w:val="0"/>
      <w:marBottom w:val="0"/>
      <w:divBdr>
        <w:top w:val="none" w:sz="0" w:space="0" w:color="auto"/>
        <w:left w:val="none" w:sz="0" w:space="0" w:color="auto"/>
        <w:bottom w:val="none" w:sz="0" w:space="0" w:color="auto"/>
        <w:right w:val="none" w:sz="0" w:space="0" w:color="auto"/>
      </w:divBdr>
    </w:div>
    <w:div w:id="982277098">
      <w:bodyDiv w:val="1"/>
      <w:marLeft w:val="0"/>
      <w:marRight w:val="0"/>
      <w:marTop w:val="0"/>
      <w:marBottom w:val="0"/>
      <w:divBdr>
        <w:top w:val="none" w:sz="0" w:space="0" w:color="auto"/>
        <w:left w:val="none" w:sz="0" w:space="0" w:color="auto"/>
        <w:bottom w:val="none" w:sz="0" w:space="0" w:color="auto"/>
        <w:right w:val="none" w:sz="0" w:space="0" w:color="auto"/>
      </w:divBdr>
    </w:div>
    <w:div w:id="984089004">
      <w:bodyDiv w:val="1"/>
      <w:marLeft w:val="0"/>
      <w:marRight w:val="0"/>
      <w:marTop w:val="0"/>
      <w:marBottom w:val="0"/>
      <w:divBdr>
        <w:top w:val="none" w:sz="0" w:space="0" w:color="auto"/>
        <w:left w:val="none" w:sz="0" w:space="0" w:color="auto"/>
        <w:bottom w:val="none" w:sz="0" w:space="0" w:color="auto"/>
        <w:right w:val="none" w:sz="0" w:space="0" w:color="auto"/>
      </w:divBdr>
    </w:div>
    <w:div w:id="986475339">
      <w:bodyDiv w:val="1"/>
      <w:marLeft w:val="0"/>
      <w:marRight w:val="0"/>
      <w:marTop w:val="0"/>
      <w:marBottom w:val="0"/>
      <w:divBdr>
        <w:top w:val="none" w:sz="0" w:space="0" w:color="auto"/>
        <w:left w:val="none" w:sz="0" w:space="0" w:color="auto"/>
        <w:bottom w:val="none" w:sz="0" w:space="0" w:color="auto"/>
        <w:right w:val="none" w:sz="0" w:space="0" w:color="auto"/>
      </w:divBdr>
    </w:div>
    <w:div w:id="989092518">
      <w:bodyDiv w:val="1"/>
      <w:marLeft w:val="0"/>
      <w:marRight w:val="0"/>
      <w:marTop w:val="0"/>
      <w:marBottom w:val="0"/>
      <w:divBdr>
        <w:top w:val="none" w:sz="0" w:space="0" w:color="auto"/>
        <w:left w:val="none" w:sz="0" w:space="0" w:color="auto"/>
        <w:bottom w:val="none" w:sz="0" w:space="0" w:color="auto"/>
        <w:right w:val="none" w:sz="0" w:space="0" w:color="auto"/>
      </w:divBdr>
    </w:div>
    <w:div w:id="991641288">
      <w:bodyDiv w:val="1"/>
      <w:marLeft w:val="0"/>
      <w:marRight w:val="0"/>
      <w:marTop w:val="0"/>
      <w:marBottom w:val="0"/>
      <w:divBdr>
        <w:top w:val="none" w:sz="0" w:space="0" w:color="auto"/>
        <w:left w:val="none" w:sz="0" w:space="0" w:color="auto"/>
        <w:bottom w:val="none" w:sz="0" w:space="0" w:color="auto"/>
        <w:right w:val="none" w:sz="0" w:space="0" w:color="auto"/>
      </w:divBdr>
    </w:div>
    <w:div w:id="991830507">
      <w:bodyDiv w:val="1"/>
      <w:marLeft w:val="0"/>
      <w:marRight w:val="0"/>
      <w:marTop w:val="0"/>
      <w:marBottom w:val="0"/>
      <w:divBdr>
        <w:top w:val="none" w:sz="0" w:space="0" w:color="auto"/>
        <w:left w:val="none" w:sz="0" w:space="0" w:color="auto"/>
        <w:bottom w:val="none" w:sz="0" w:space="0" w:color="auto"/>
        <w:right w:val="none" w:sz="0" w:space="0" w:color="auto"/>
      </w:divBdr>
    </w:div>
    <w:div w:id="994070943">
      <w:bodyDiv w:val="1"/>
      <w:marLeft w:val="0"/>
      <w:marRight w:val="0"/>
      <w:marTop w:val="0"/>
      <w:marBottom w:val="0"/>
      <w:divBdr>
        <w:top w:val="none" w:sz="0" w:space="0" w:color="auto"/>
        <w:left w:val="none" w:sz="0" w:space="0" w:color="auto"/>
        <w:bottom w:val="none" w:sz="0" w:space="0" w:color="auto"/>
        <w:right w:val="none" w:sz="0" w:space="0" w:color="auto"/>
      </w:divBdr>
    </w:div>
    <w:div w:id="996573056">
      <w:bodyDiv w:val="1"/>
      <w:marLeft w:val="0"/>
      <w:marRight w:val="0"/>
      <w:marTop w:val="0"/>
      <w:marBottom w:val="0"/>
      <w:divBdr>
        <w:top w:val="none" w:sz="0" w:space="0" w:color="auto"/>
        <w:left w:val="none" w:sz="0" w:space="0" w:color="auto"/>
        <w:bottom w:val="none" w:sz="0" w:space="0" w:color="auto"/>
        <w:right w:val="none" w:sz="0" w:space="0" w:color="auto"/>
      </w:divBdr>
    </w:div>
    <w:div w:id="1000158958">
      <w:bodyDiv w:val="1"/>
      <w:marLeft w:val="0"/>
      <w:marRight w:val="0"/>
      <w:marTop w:val="0"/>
      <w:marBottom w:val="0"/>
      <w:divBdr>
        <w:top w:val="none" w:sz="0" w:space="0" w:color="auto"/>
        <w:left w:val="none" w:sz="0" w:space="0" w:color="auto"/>
        <w:bottom w:val="none" w:sz="0" w:space="0" w:color="auto"/>
        <w:right w:val="none" w:sz="0" w:space="0" w:color="auto"/>
      </w:divBdr>
    </w:div>
    <w:div w:id="1003052456">
      <w:bodyDiv w:val="1"/>
      <w:marLeft w:val="0"/>
      <w:marRight w:val="0"/>
      <w:marTop w:val="0"/>
      <w:marBottom w:val="0"/>
      <w:divBdr>
        <w:top w:val="none" w:sz="0" w:space="0" w:color="auto"/>
        <w:left w:val="none" w:sz="0" w:space="0" w:color="auto"/>
        <w:bottom w:val="none" w:sz="0" w:space="0" w:color="auto"/>
        <w:right w:val="none" w:sz="0" w:space="0" w:color="auto"/>
      </w:divBdr>
    </w:div>
    <w:div w:id="1004744437">
      <w:bodyDiv w:val="1"/>
      <w:marLeft w:val="0"/>
      <w:marRight w:val="0"/>
      <w:marTop w:val="0"/>
      <w:marBottom w:val="0"/>
      <w:divBdr>
        <w:top w:val="none" w:sz="0" w:space="0" w:color="auto"/>
        <w:left w:val="none" w:sz="0" w:space="0" w:color="auto"/>
        <w:bottom w:val="none" w:sz="0" w:space="0" w:color="auto"/>
        <w:right w:val="none" w:sz="0" w:space="0" w:color="auto"/>
      </w:divBdr>
    </w:div>
    <w:div w:id="1006399359">
      <w:bodyDiv w:val="1"/>
      <w:marLeft w:val="0"/>
      <w:marRight w:val="0"/>
      <w:marTop w:val="0"/>
      <w:marBottom w:val="0"/>
      <w:divBdr>
        <w:top w:val="none" w:sz="0" w:space="0" w:color="auto"/>
        <w:left w:val="none" w:sz="0" w:space="0" w:color="auto"/>
        <w:bottom w:val="none" w:sz="0" w:space="0" w:color="auto"/>
        <w:right w:val="none" w:sz="0" w:space="0" w:color="auto"/>
      </w:divBdr>
    </w:div>
    <w:div w:id="1009017172">
      <w:bodyDiv w:val="1"/>
      <w:marLeft w:val="0"/>
      <w:marRight w:val="0"/>
      <w:marTop w:val="0"/>
      <w:marBottom w:val="0"/>
      <w:divBdr>
        <w:top w:val="none" w:sz="0" w:space="0" w:color="auto"/>
        <w:left w:val="none" w:sz="0" w:space="0" w:color="auto"/>
        <w:bottom w:val="none" w:sz="0" w:space="0" w:color="auto"/>
        <w:right w:val="none" w:sz="0" w:space="0" w:color="auto"/>
      </w:divBdr>
    </w:div>
    <w:div w:id="1010840184">
      <w:bodyDiv w:val="1"/>
      <w:marLeft w:val="0"/>
      <w:marRight w:val="0"/>
      <w:marTop w:val="0"/>
      <w:marBottom w:val="0"/>
      <w:divBdr>
        <w:top w:val="none" w:sz="0" w:space="0" w:color="auto"/>
        <w:left w:val="none" w:sz="0" w:space="0" w:color="auto"/>
        <w:bottom w:val="none" w:sz="0" w:space="0" w:color="auto"/>
        <w:right w:val="none" w:sz="0" w:space="0" w:color="auto"/>
      </w:divBdr>
    </w:div>
    <w:div w:id="1014265939">
      <w:bodyDiv w:val="1"/>
      <w:marLeft w:val="0"/>
      <w:marRight w:val="0"/>
      <w:marTop w:val="0"/>
      <w:marBottom w:val="0"/>
      <w:divBdr>
        <w:top w:val="none" w:sz="0" w:space="0" w:color="auto"/>
        <w:left w:val="none" w:sz="0" w:space="0" w:color="auto"/>
        <w:bottom w:val="none" w:sz="0" w:space="0" w:color="auto"/>
        <w:right w:val="none" w:sz="0" w:space="0" w:color="auto"/>
      </w:divBdr>
    </w:div>
    <w:div w:id="1016465715">
      <w:bodyDiv w:val="1"/>
      <w:marLeft w:val="0"/>
      <w:marRight w:val="0"/>
      <w:marTop w:val="0"/>
      <w:marBottom w:val="0"/>
      <w:divBdr>
        <w:top w:val="none" w:sz="0" w:space="0" w:color="auto"/>
        <w:left w:val="none" w:sz="0" w:space="0" w:color="auto"/>
        <w:bottom w:val="none" w:sz="0" w:space="0" w:color="auto"/>
        <w:right w:val="none" w:sz="0" w:space="0" w:color="auto"/>
      </w:divBdr>
    </w:div>
    <w:div w:id="1016808071">
      <w:bodyDiv w:val="1"/>
      <w:marLeft w:val="0"/>
      <w:marRight w:val="0"/>
      <w:marTop w:val="0"/>
      <w:marBottom w:val="0"/>
      <w:divBdr>
        <w:top w:val="none" w:sz="0" w:space="0" w:color="auto"/>
        <w:left w:val="none" w:sz="0" w:space="0" w:color="auto"/>
        <w:bottom w:val="none" w:sz="0" w:space="0" w:color="auto"/>
        <w:right w:val="none" w:sz="0" w:space="0" w:color="auto"/>
      </w:divBdr>
    </w:div>
    <w:div w:id="1018390285">
      <w:bodyDiv w:val="1"/>
      <w:marLeft w:val="0"/>
      <w:marRight w:val="0"/>
      <w:marTop w:val="0"/>
      <w:marBottom w:val="0"/>
      <w:divBdr>
        <w:top w:val="none" w:sz="0" w:space="0" w:color="auto"/>
        <w:left w:val="none" w:sz="0" w:space="0" w:color="auto"/>
        <w:bottom w:val="none" w:sz="0" w:space="0" w:color="auto"/>
        <w:right w:val="none" w:sz="0" w:space="0" w:color="auto"/>
      </w:divBdr>
    </w:div>
    <w:div w:id="1022128358">
      <w:bodyDiv w:val="1"/>
      <w:marLeft w:val="0"/>
      <w:marRight w:val="0"/>
      <w:marTop w:val="0"/>
      <w:marBottom w:val="0"/>
      <w:divBdr>
        <w:top w:val="none" w:sz="0" w:space="0" w:color="auto"/>
        <w:left w:val="none" w:sz="0" w:space="0" w:color="auto"/>
        <w:bottom w:val="none" w:sz="0" w:space="0" w:color="auto"/>
        <w:right w:val="none" w:sz="0" w:space="0" w:color="auto"/>
      </w:divBdr>
    </w:div>
    <w:div w:id="1022516881">
      <w:bodyDiv w:val="1"/>
      <w:marLeft w:val="0"/>
      <w:marRight w:val="0"/>
      <w:marTop w:val="0"/>
      <w:marBottom w:val="0"/>
      <w:divBdr>
        <w:top w:val="none" w:sz="0" w:space="0" w:color="auto"/>
        <w:left w:val="none" w:sz="0" w:space="0" w:color="auto"/>
        <w:bottom w:val="none" w:sz="0" w:space="0" w:color="auto"/>
        <w:right w:val="none" w:sz="0" w:space="0" w:color="auto"/>
      </w:divBdr>
    </w:div>
    <w:div w:id="1024937179">
      <w:bodyDiv w:val="1"/>
      <w:marLeft w:val="0"/>
      <w:marRight w:val="0"/>
      <w:marTop w:val="0"/>
      <w:marBottom w:val="0"/>
      <w:divBdr>
        <w:top w:val="none" w:sz="0" w:space="0" w:color="auto"/>
        <w:left w:val="none" w:sz="0" w:space="0" w:color="auto"/>
        <w:bottom w:val="none" w:sz="0" w:space="0" w:color="auto"/>
        <w:right w:val="none" w:sz="0" w:space="0" w:color="auto"/>
      </w:divBdr>
    </w:div>
    <w:div w:id="1026443212">
      <w:bodyDiv w:val="1"/>
      <w:marLeft w:val="0"/>
      <w:marRight w:val="0"/>
      <w:marTop w:val="0"/>
      <w:marBottom w:val="0"/>
      <w:divBdr>
        <w:top w:val="none" w:sz="0" w:space="0" w:color="auto"/>
        <w:left w:val="none" w:sz="0" w:space="0" w:color="auto"/>
        <w:bottom w:val="none" w:sz="0" w:space="0" w:color="auto"/>
        <w:right w:val="none" w:sz="0" w:space="0" w:color="auto"/>
      </w:divBdr>
    </w:div>
    <w:div w:id="1027171529">
      <w:bodyDiv w:val="1"/>
      <w:marLeft w:val="0"/>
      <w:marRight w:val="0"/>
      <w:marTop w:val="0"/>
      <w:marBottom w:val="0"/>
      <w:divBdr>
        <w:top w:val="none" w:sz="0" w:space="0" w:color="auto"/>
        <w:left w:val="none" w:sz="0" w:space="0" w:color="auto"/>
        <w:bottom w:val="none" w:sz="0" w:space="0" w:color="auto"/>
        <w:right w:val="none" w:sz="0" w:space="0" w:color="auto"/>
      </w:divBdr>
    </w:div>
    <w:div w:id="1034044299">
      <w:bodyDiv w:val="1"/>
      <w:marLeft w:val="0"/>
      <w:marRight w:val="0"/>
      <w:marTop w:val="0"/>
      <w:marBottom w:val="0"/>
      <w:divBdr>
        <w:top w:val="none" w:sz="0" w:space="0" w:color="auto"/>
        <w:left w:val="none" w:sz="0" w:space="0" w:color="auto"/>
        <w:bottom w:val="none" w:sz="0" w:space="0" w:color="auto"/>
        <w:right w:val="none" w:sz="0" w:space="0" w:color="auto"/>
      </w:divBdr>
    </w:div>
    <w:div w:id="1035077487">
      <w:bodyDiv w:val="1"/>
      <w:marLeft w:val="0"/>
      <w:marRight w:val="0"/>
      <w:marTop w:val="0"/>
      <w:marBottom w:val="0"/>
      <w:divBdr>
        <w:top w:val="none" w:sz="0" w:space="0" w:color="auto"/>
        <w:left w:val="none" w:sz="0" w:space="0" w:color="auto"/>
        <w:bottom w:val="none" w:sz="0" w:space="0" w:color="auto"/>
        <w:right w:val="none" w:sz="0" w:space="0" w:color="auto"/>
      </w:divBdr>
    </w:div>
    <w:div w:id="1035352700">
      <w:bodyDiv w:val="1"/>
      <w:marLeft w:val="0"/>
      <w:marRight w:val="0"/>
      <w:marTop w:val="0"/>
      <w:marBottom w:val="0"/>
      <w:divBdr>
        <w:top w:val="none" w:sz="0" w:space="0" w:color="auto"/>
        <w:left w:val="none" w:sz="0" w:space="0" w:color="auto"/>
        <w:bottom w:val="none" w:sz="0" w:space="0" w:color="auto"/>
        <w:right w:val="none" w:sz="0" w:space="0" w:color="auto"/>
      </w:divBdr>
    </w:div>
    <w:div w:id="1042747982">
      <w:bodyDiv w:val="1"/>
      <w:marLeft w:val="0"/>
      <w:marRight w:val="0"/>
      <w:marTop w:val="0"/>
      <w:marBottom w:val="0"/>
      <w:divBdr>
        <w:top w:val="none" w:sz="0" w:space="0" w:color="auto"/>
        <w:left w:val="none" w:sz="0" w:space="0" w:color="auto"/>
        <w:bottom w:val="none" w:sz="0" w:space="0" w:color="auto"/>
        <w:right w:val="none" w:sz="0" w:space="0" w:color="auto"/>
      </w:divBdr>
    </w:div>
    <w:div w:id="1044603635">
      <w:bodyDiv w:val="1"/>
      <w:marLeft w:val="0"/>
      <w:marRight w:val="0"/>
      <w:marTop w:val="0"/>
      <w:marBottom w:val="0"/>
      <w:divBdr>
        <w:top w:val="none" w:sz="0" w:space="0" w:color="auto"/>
        <w:left w:val="none" w:sz="0" w:space="0" w:color="auto"/>
        <w:bottom w:val="none" w:sz="0" w:space="0" w:color="auto"/>
        <w:right w:val="none" w:sz="0" w:space="0" w:color="auto"/>
      </w:divBdr>
    </w:div>
    <w:div w:id="1054084202">
      <w:bodyDiv w:val="1"/>
      <w:marLeft w:val="0"/>
      <w:marRight w:val="0"/>
      <w:marTop w:val="0"/>
      <w:marBottom w:val="0"/>
      <w:divBdr>
        <w:top w:val="none" w:sz="0" w:space="0" w:color="auto"/>
        <w:left w:val="none" w:sz="0" w:space="0" w:color="auto"/>
        <w:bottom w:val="none" w:sz="0" w:space="0" w:color="auto"/>
        <w:right w:val="none" w:sz="0" w:space="0" w:color="auto"/>
      </w:divBdr>
    </w:div>
    <w:div w:id="1056783643">
      <w:bodyDiv w:val="1"/>
      <w:marLeft w:val="0"/>
      <w:marRight w:val="0"/>
      <w:marTop w:val="0"/>
      <w:marBottom w:val="0"/>
      <w:divBdr>
        <w:top w:val="none" w:sz="0" w:space="0" w:color="auto"/>
        <w:left w:val="none" w:sz="0" w:space="0" w:color="auto"/>
        <w:bottom w:val="none" w:sz="0" w:space="0" w:color="auto"/>
        <w:right w:val="none" w:sz="0" w:space="0" w:color="auto"/>
      </w:divBdr>
    </w:div>
    <w:div w:id="1057320408">
      <w:bodyDiv w:val="1"/>
      <w:marLeft w:val="0"/>
      <w:marRight w:val="0"/>
      <w:marTop w:val="0"/>
      <w:marBottom w:val="0"/>
      <w:divBdr>
        <w:top w:val="none" w:sz="0" w:space="0" w:color="auto"/>
        <w:left w:val="none" w:sz="0" w:space="0" w:color="auto"/>
        <w:bottom w:val="none" w:sz="0" w:space="0" w:color="auto"/>
        <w:right w:val="none" w:sz="0" w:space="0" w:color="auto"/>
      </w:divBdr>
    </w:div>
    <w:div w:id="1059591115">
      <w:bodyDiv w:val="1"/>
      <w:marLeft w:val="0"/>
      <w:marRight w:val="0"/>
      <w:marTop w:val="0"/>
      <w:marBottom w:val="0"/>
      <w:divBdr>
        <w:top w:val="none" w:sz="0" w:space="0" w:color="auto"/>
        <w:left w:val="none" w:sz="0" w:space="0" w:color="auto"/>
        <w:bottom w:val="none" w:sz="0" w:space="0" w:color="auto"/>
        <w:right w:val="none" w:sz="0" w:space="0" w:color="auto"/>
      </w:divBdr>
    </w:div>
    <w:div w:id="1061712415">
      <w:bodyDiv w:val="1"/>
      <w:marLeft w:val="0"/>
      <w:marRight w:val="0"/>
      <w:marTop w:val="0"/>
      <w:marBottom w:val="0"/>
      <w:divBdr>
        <w:top w:val="none" w:sz="0" w:space="0" w:color="auto"/>
        <w:left w:val="none" w:sz="0" w:space="0" w:color="auto"/>
        <w:bottom w:val="none" w:sz="0" w:space="0" w:color="auto"/>
        <w:right w:val="none" w:sz="0" w:space="0" w:color="auto"/>
      </w:divBdr>
    </w:div>
    <w:div w:id="1067679390">
      <w:bodyDiv w:val="1"/>
      <w:marLeft w:val="0"/>
      <w:marRight w:val="0"/>
      <w:marTop w:val="0"/>
      <w:marBottom w:val="0"/>
      <w:divBdr>
        <w:top w:val="none" w:sz="0" w:space="0" w:color="auto"/>
        <w:left w:val="none" w:sz="0" w:space="0" w:color="auto"/>
        <w:bottom w:val="none" w:sz="0" w:space="0" w:color="auto"/>
        <w:right w:val="none" w:sz="0" w:space="0" w:color="auto"/>
      </w:divBdr>
    </w:div>
    <w:div w:id="1070420338">
      <w:bodyDiv w:val="1"/>
      <w:marLeft w:val="0"/>
      <w:marRight w:val="0"/>
      <w:marTop w:val="0"/>
      <w:marBottom w:val="0"/>
      <w:divBdr>
        <w:top w:val="none" w:sz="0" w:space="0" w:color="auto"/>
        <w:left w:val="none" w:sz="0" w:space="0" w:color="auto"/>
        <w:bottom w:val="none" w:sz="0" w:space="0" w:color="auto"/>
        <w:right w:val="none" w:sz="0" w:space="0" w:color="auto"/>
      </w:divBdr>
    </w:div>
    <w:div w:id="1080179357">
      <w:bodyDiv w:val="1"/>
      <w:marLeft w:val="0"/>
      <w:marRight w:val="0"/>
      <w:marTop w:val="0"/>
      <w:marBottom w:val="0"/>
      <w:divBdr>
        <w:top w:val="none" w:sz="0" w:space="0" w:color="auto"/>
        <w:left w:val="none" w:sz="0" w:space="0" w:color="auto"/>
        <w:bottom w:val="none" w:sz="0" w:space="0" w:color="auto"/>
        <w:right w:val="none" w:sz="0" w:space="0" w:color="auto"/>
      </w:divBdr>
    </w:div>
    <w:div w:id="1080252748">
      <w:bodyDiv w:val="1"/>
      <w:marLeft w:val="0"/>
      <w:marRight w:val="0"/>
      <w:marTop w:val="0"/>
      <w:marBottom w:val="0"/>
      <w:divBdr>
        <w:top w:val="none" w:sz="0" w:space="0" w:color="auto"/>
        <w:left w:val="none" w:sz="0" w:space="0" w:color="auto"/>
        <w:bottom w:val="none" w:sz="0" w:space="0" w:color="auto"/>
        <w:right w:val="none" w:sz="0" w:space="0" w:color="auto"/>
      </w:divBdr>
    </w:div>
    <w:div w:id="1081802840">
      <w:bodyDiv w:val="1"/>
      <w:marLeft w:val="0"/>
      <w:marRight w:val="0"/>
      <w:marTop w:val="0"/>
      <w:marBottom w:val="0"/>
      <w:divBdr>
        <w:top w:val="none" w:sz="0" w:space="0" w:color="auto"/>
        <w:left w:val="none" w:sz="0" w:space="0" w:color="auto"/>
        <w:bottom w:val="none" w:sz="0" w:space="0" w:color="auto"/>
        <w:right w:val="none" w:sz="0" w:space="0" w:color="auto"/>
      </w:divBdr>
    </w:div>
    <w:div w:id="1090469177">
      <w:bodyDiv w:val="1"/>
      <w:marLeft w:val="0"/>
      <w:marRight w:val="0"/>
      <w:marTop w:val="0"/>
      <w:marBottom w:val="0"/>
      <w:divBdr>
        <w:top w:val="none" w:sz="0" w:space="0" w:color="auto"/>
        <w:left w:val="none" w:sz="0" w:space="0" w:color="auto"/>
        <w:bottom w:val="none" w:sz="0" w:space="0" w:color="auto"/>
        <w:right w:val="none" w:sz="0" w:space="0" w:color="auto"/>
      </w:divBdr>
    </w:div>
    <w:div w:id="1096026083">
      <w:bodyDiv w:val="1"/>
      <w:marLeft w:val="0"/>
      <w:marRight w:val="0"/>
      <w:marTop w:val="0"/>
      <w:marBottom w:val="0"/>
      <w:divBdr>
        <w:top w:val="none" w:sz="0" w:space="0" w:color="auto"/>
        <w:left w:val="none" w:sz="0" w:space="0" w:color="auto"/>
        <w:bottom w:val="none" w:sz="0" w:space="0" w:color="auto"/>
        <w:right w:val="none" w:sz="0" w:space="0" w:color="auto"/>
      </w:divBdr>
    </w:div>
    <w:div w:id="1096631059">
      <w:bodyDiv w:val="1"/>
      <w:marLeft w:val="0"/>
      <w:marRight w:val="0"/>
      <w:marTop w:val="0"/>
      <w:marBottom w:val="0"/>
      <w:divBdr>
        <w:top w:val="none" w:sz="0" w:space="0" w:color="auto"/>
        <w:left w:val="none" w:sz="0" w:space="0" w:color="auto"/>
        <w:bottom w:val="none" w:sz="0" w:space="0" w:color="auto"/>
        <w:right w:val="none" w:sz="0" w:space="0" w:color="auto"/>
      </w:divBdr>
    </w:div>
    <w:div w:id="1099256862">
      <w:bodyDiv w:val="1"/>
      <w:marLeft w:val="0"/>
      <w:marRight w:val="0"/>
      <w:marTop w:val="0"/>
      <w:marBottom w:val="0"/>
      <w:divBdr>
        <w:top w:val="none" w:sz="0" w:space="0" w:color="auto"/>
        <w:left w:val="none" w:sz="0" w:space="0" w:color="auto"/>
        <w:bottom w:val="none" w:sz="0" w:space="0" w:color="auto"/>
        <w:right w:val="none" w:sz="0" w:space="0" w:color="auto"/>
      </w:divBdr>
    </w:div>
    <w:div w:id="1101418369">
      <w:bodyDiv w:val="1"/>
      <w:marLeft w:val="0"/>
      <w:marRight w:val="0"/>
      <w:marTop w:val="0"/>
      <w:marBottom w:val="0"/>
      <w:divBdr>
        <w:top w:val="none" w:sz="0" w:space="0" w:color="auto"/>
        <w:left w:val="none" w:sz="0" w:space="0" w:color="auto"/>
        <w:bottom w:val="none" w:sz="0" w:space="0" w:color="auto"/>
        <w:right w:val="none" w:sz="0" w:space="0" w:color="auto"/>
      </w:divBdr>
    </w:div>
    <w:div w:id="1102459428">
      <w:bodyDiv w:val="1"/>
      <w:marLeft w:val="0"/>
      <w:marRight w:val="0"/>
      <w:marTop w:val="0"/>
      <w:marBottom w:val="0"/>
      <w:divBdr>
        <w:top w:val="none" w:sz="0" w:space="0" w:color="auto"/>
        <w:left w:val="none" w:sz="0" w:space="0" w:color="auto"/>
        <w:bottom w:val="none" w:sz="0" w:space="0" w:color="auto"/>
        <w:right w:val="none" w:sz="0" w:space="0" w:color="auto"/>
      </w:divBdr>
    </w:div>
    <w:div w:id="1103110802">
      <w:bodyDiv w:val="1"/>
      <w:marLeft w:val="0"/>
      <w:marRight w:val="0"/>
      <w:marTop w:val="0"/>
      <w:marBottom w:val="0"/>
      <w:divBdr>
        <w:top w:val="none" w:sz="0" w:space="0" w:color="auto"/>
        <w:left w:val="none" w:sz="0" w:space="0" w:color="auto"/>
        <w:bottom w:val="none" w:sz="0" w:space="0" w:color="auto"/>
        <w:right w:val="none" w:sz="0" w:space="0" w:color="auto"/>
      </w:divBdr>
    </w:div>
    <w:div w:id="1116605857">
      <w:bodyDiv w:val="1"/>
      <w:marLeft w:val="0"/>
      <w:marRight w:val="0"/>
      <w:marTop w:val="0"/>
      <w:marBottom w:val="0"/>
      <w:divBdr>
        <w:top w:val="none" w:sz="0" w:space="0" w:color="auto"/>
        <w:left w:val="none" w:sz="0" w:space="0" w:color="auto"/>
        <w:bottom w:val="none" w:sz="0" w:space="0" w:color="auto"/>
        <w:right w:val="none" w:sz="0" w:space="0" w:color="auto"/>
      </w:divBdr>
    </w:div>
    <w:div w:id="1116799403">
      <w:bodyDiv w:val="1"/>
      <w:marLeft w:val="0"/>
      <w:marRight w:val="0"/>
      <w:marTop w:val="0"/>
      <w:marBottom w:val="0"/>
      <w:divBdr>
        <w:top w:val="none" w:sz="0" w:space="0" w:color="auto"/>
        <w:left w:val="none" w:sz="0" w:space="0" w:color="auto"/>
        <w:bottom w:val="none" w:sz="0" w:space="0" w:color="auto"/>
        <w:right w:val="none" w:sz="0" w:space="0" w:color="auto"/>
      </w:divBdr>
    </w:div>
    <w:div w:id="1124277075">
      <w:bodyDiv w:val="1"/>
      <w:marLeft w:val="0"/>
      <w:marRight w:val="0"/>
      <w:marTop w:val="0"/>
      <w:marBottom w:val="0"/>
      <w:divBdr>
        <w:top w:val="none" w:sz="0" w:space="0" w:color="auto"/>
        <w:left w:val="none" w:sz="0" w:space="0" w:color="auto"/>
        <w:bottom w:val="none" w:sz="0" w:space="0" w:color="auto"/>
        <w:right w:val="none" w:sz="0" w:space="0" w:color="auto"/>
      </w:divBdr>
    </w:div>
    <w:div w:id="1124545967">
      <w:bodyDiv w:val="1"/>
      <w:marLeft w:val="0"/>
      <w:marRight w:val="0"/>
      <w:marTop w:val="0"/>
      <w:marBottom w:val="0"/>
      <w:divBdr>
        <w:top w:val="none" w:sz="0" w:space="0" w:color="auto"/>
        <w:left w:val="none" w:sz="0" w:space="0" w:color="auto"/>
        <w:bottom w:val="none" w:sz="0" w:space="0" w:color="auto"/>
        <w:right w:val="none" w:sz="0" w:space="0" w:color="auto"/>
      </w:divBdr>
    </w:div>
    <w:div w:id="1125078238">
      <w:bodyDiv w:val="1"/>
      <w:marLeft w:val="0"/>
      <w:marRight w:val="0"/>
      <w:marTop w:val="0"/>
      <w:marBottom w:val="0"/>
      <w:divBdr>
        <w:top w:val="none" w:sz="0" w:space="0" w:color="auto"/>
        <w:left w:val="none" w:sz="0" w:space="0" w:color="auto"/>
        <w:bottom w:val="none" w:sz="0" w:space="0" w:color="auto"/>
        <w:right w:val="none" w:sz="0" w:space="0" w:color="auto"/>
      </w:divBdr>
    </w:div>
    <w:div w:id="1125349271">
      <w:bodyDiv w:val="1"/>
      <w:marLeft w:val="0"/>
      <w:marRight w:val="0"/>
      <w:marTop w:val="0"/>
      <w:marBottom w:val="0"/>
      <w:divBdr>
        <w:top w:val="none" w:sz="0" w:space="0" w:color="auto"/>
        <w:left w:val="none" w:sz="0" w:space="0" w:color="auto"/>
        <w:bottom w:val="none" w:sz="0" w:space="0" w:color="auto"/>
        <w:right w:val="none" w:sz="0" w:space="0" w:color="auto"/>
      </w:divBdr>
    </w:div>
    <w:div w:id="1127621234">
      <w:bodyDiv w:val="1"/>
      <w:marLeft w:val="0"/>
      <w:marRight w:val="0"/>
      <w:marTop w:val="0"/>
      <w:marBottom w:val="0"/>
      <w:divBdr>
        <w:top w:val="none" w:sz="0" w:space="0" w:color="auto"/>
        <w:left w:val="none" w:sz="0" w:space="0" w:color="auto"/>
        <w:bottom w:val="none" w:sz="0" w:space="0" w:color="auto"/>
        <w:right w:val="none" w:sz="0" w:space="0" w:color="auto"/>
      </w:divBdr>
    </w:div>
    <w:div w:id="1130249817">
      <w:bodyDiv w:val="1"/>
      <w:marLeft w:val="0"/>
      <w:marRight w:val="0"/>
      <w:marTop w:val="0"/>
      <w:marBottom w:val="0"/>
      <w:divBdr>
        <w:top w:val="none" w:sz="0" w:space="0" w:color="auto"/>
        <w:left w:val="none" w:sz="0" w:space="0" w:color="auto"/>
        <w:bottom w:val="none" w:sz="0" w:space="0" w:color="auto"/>
        <w:right w:val="none" w:sz="0" w:space="0" w:color="auto"/>
      </w:divBdr>
    </w:div>
    <w:div w:id="1133986996">
      <w:bodyDiv w:val="1"/>
      <w:marLeft w:val="0"/>
      <w:marRight w:val="0"/>
      <w:marTop w:val="0"/>
      <w:marBottom w:val="0"/>
      <w:divBdr>
        <w:top w:val="none" w:sz="0" w:space="0" w:color="auto"/>
        <w:left w:val="none" w:sz="0" w:space="0" w:color="auto"/>
        <w:bottom w:val="none" w:sz="0" w:space="0" w:color="auto"/>
        <w:right w:val="none" w:sz="0" w:space="0" w:color="auto"/>
      </w:divBdr>
    </w:div>
    <w:div w:id="1141459310">
      <w:bodyDiv w:val="1"/>
      <w:marLeft w:val="0"/>
      <w:marRight w:val="0"/>
      <w:marTop w:val="0"/>
      <w:marBottom w:val="0"/>
      <w:divBdr>
        <w:top w:val="none" w:sz="0" w:space="0" w:color="auto"/>
        <w:left w:val="none" w:sz="0" w:space="0" w:color="auto"/>
        <w:bottom w:val="none" w:sz="0" w:space="0" w:color="auto"/>
        <w:right w:val="none" w:sz="0" w:space="0" w:color="auto"/>
      </w:divBdr>
    </w:div>
    <w:div w:id="1143037084">
      <w:bodyDiv w:val="1"/>
      <w:marLeft w:val="0"/>
      <w:marRight w:val="0"/>
      <w:marTop w:val="0"/>
      <w:marBottom w:val="0"/>
      <w:divBdr>
        <w:top w:val="none" w:sz="0" w:space="0" w:color="auto"/>
        <w:left w:val="none" w:sz="0" w:space="0" w:color="auto"/>
        <w:bottom w:val="none" w:sz="0" w:space="0" w:color="auto"/>
        <w:right w:val="none" w:sz="0" w:space="0" w:color="auto"/>
      </w:divBdr>
    </w:div>
    <w:div w:id="1144157651">
      <w:bodyDiv w:val="1"/>
      <w:marLeft w:val="0"/>
      <w:marRight w:val="0"/>
      <w:marTop w:val="0"/>
      <w:marBottom w:val="0"/>
      <w:divBdr>
        <w:top w:val="none" w:sz="0" w:space="0" w:color="auto"/>
        <w:left w:val="none" w:sz="0" w:space="0" w:color="auto"/>
        <w:bottom w:val="none" w:sz="0" w:space="0" w:color="auto"/>
        <w:right w:val="none" w:sz="0" w:space="0" w:color="auto"/>
      </w:divBdr>
    </w:div>
    <w:div w:id="1147168690">
      <w:bodyDiv w:val="1"/>
      <w:marLeft w:val="0"/>
      <w:marRight w:val="0"/>
      <w:marTop w:val="0"/>
      <w:marBottom w:val="0"/>
      <w:divBdr>
        <w:top w:val="none" w:sz="0" w:space="0" w:color="auto"/>
        <w:left w:val="none" w:sz="0" w:space="0" w:color="auto"/>
        <w:bottom w:val="none" w:sz="0" w:space="0" w:color="auto"/>
        <w:right w:val="none" w:sz="0" w:space="0" w:color="auto"/>
      </w:divBdr>
    </w:div>
    <w:div w:id="1152255916">
      <w:bodyDiv w:val="1"/>
      <w:marLeft w:val="0"/>
      <w:marRight w:val="0"/>
      <w:marTop w:val="0"/>
      <w:marBottom w:val="0"/>
      <w:divBdr>
        <w:top w:val="none" w:sz="0" w:space="0" w:color="auto"/>
        <w:left w:val="none" w:sz="0" w:space="0" w:color="auto"/>
        <w:bottom w:val="none" w:sz="0" w:space="0" w:color="auto"/>
        <w:right w:val="none" w:sz="0" w:space="0" w:color="auto"/>
      </w:divBdr>
    </w:div>
    <w:div w:id="1158575696">
      <w:bodyDiv w:val="1"/>
      <w:marLeft w:val="0"/>
      <w:marRight w:val="0"/>
      <w:marTop w:val="0"/>
      <w:marBottom w:val="0"/>
      <w:divBdr>
        <w:top w:val="none" w:sz="0" w:space="0" w:color="auto"/>
        <w:left w:val="none" w:sz="0" w:space="0" w:color="auto"/>
        <w:bottom w:val="none" w:sz="0" w:space="0" w:color="auto"/>
        <w:right w:val="none" w:sz="0" w:space="0" w:color="auto"/>
      </w:divBdr>
    </w:div>
    <w:div w:id="1162086415">
      <w:bodyDiv w:val="1"/>
      <w:marLeft w:val="0"/>
      <w:marRight w:val="0"/>
      <w:marTop w:val="0"/>
      <w:marBottom w:val="0"/>
      <w:divBdr>
        <w:top w:val="none" w:sz="0" w:space="0" w:color="auto"/>
        <w:left w:val="none" w:sz="0" w:space="0" w:color="auto"/>
        <w:bottom w:val="none" w:sz="0" w:space="0" w:color="auto"/>
        <w:right w:val="none" w:sz="0" w:space="0" w:color="auto"/>
      </w:divBdr>
    </w:div>
    <w:div w:id="1169324042">
      <w:bodyDiv w:val="1"/>
      <w:marLeft w:val="0"/>
      <w:marRight w:val="0"/>
      <w:marTop w:val="0"/>
      <w:marBottom w:val="0"/>
      <w:divBdr>
        <w:top w:val="none" w:sz="0" w:space="0" w:color="auto"/>
        <w:left w:val="none" w:sz="0" w:space="0" w:color="auto"/>
        <w:bottom w:val="none" w:sz="0" w:space="0" w:color="auto"/>
        <w:right w:val="none" w:sz="0" w:space="0" w:color="auto"/>
      </w:divBdr>
    </w:div>
    <w:div w:id="1170294403">
      <w:bodyDiv w:val="1"/>
      <w:marLeft w:val="0"/>
      <w:marRight w:val="0"/>
      <w:marTop w:val="0"/>
      <w:marBottom w:val="0"/>
      <w:divBdr>
        <w:top w:val="none" w:sz="0" w:space="0" w:color="auto"/>
        <w:left w:val="none" w:sz="0" w:space="0" w:color="auto"/>
        <w:bottom w:val="none" w:sz="0" w:space="0" w:color="auto"/>
        <w:right w:val="none" w:sz="0" w:space="0" w:color="auto"/>
      </w:divBdr>
    </w:div>
    <w:div w:id="1176379363">
      <w:bodyDiv w:val="1"/>
      <w:marLeft w:val="0"/>
      <w:marRight w:val="0"/>
      <w:marTop w:val="0"/>
      <w:marBottom w:val="0"/>
      <w:divBdr>
        <w:top w:val="none" w:sz="0" w:space="0" w:color="auto"/>
        <w:left w:val="none" w:sz="0" w:space="0" w:color="auto"/>
        <w:bottom w:val="none" w:sz="0" w:space="0" w:color="auto"/>
        <w:right w:val="none" w:sz="0" w:space="0" w:color="auto"/>
      </w:divBdr>
    </w:div>
    <w:div w:id="1177302680">
      <w:bodyDiv w:val="1"/>
      <w:marLeft w:val="0"/>
      <w:marRight w:val="0"/>
      <w:marTop w:val="0"/>
      <w:marBottom w:val="0"/>
      <w:divBdr>
        <w:top w:val="none" w:sz="0" w:space="0" w:color="auto"/>
        <w:left w:val="none" w:sz="0" w:space="0" w:color="auto"/>
        <w:bottom w:val="none" w:sz="0" w:space="0" w:color="auto"/>
        <w:right w:val="none" w:sz="0" w:space="0" w:color="auto"/>
      </w:divBdr>
    </w:div>
    <w:div w:id="1178352430">
      <w:bodyDiv w:val="1"/>
      <w:marLeft w:val="0"/>
      <w:marRight w:val="0"/>
      <w:marTop w:val="0"/>
      <w:marBottom w:val="0"/>
      <w:divBdr>
        <w:top w:val="none" w:sz="0" w:space="0" w:color="auto"/>
        <w:left w:val="none" w:sz="0" w:space="0" w:color="auto"/>
        <w:bottom w:val="none" w:sz="0" w:space="0" w:color="auto"/>
        <w:right w:val="none" w:sz="0" w:space="0" w:color="auto"/>
      </w:divBdr>
    </w:div>
    <w:div w:id="1181696911">
      <w:bodyDiv w:val="1"/>
      <w:marLeft w:val="0"/>
      <w:marRight w:val="0"/>
      <w:marTop w:val="0"/>
      <w:marBottom w:val="0"/>
      <w:divBdr>
        <w:top w:val="none" w:sz="0" w:space="0" w:color="auto"/>
        <w:left w:val="none" w:sz="0" w:space="0" w:color="auto"/>
        <w:bottom w:val="none" w:sz="0" w:space="0" w:color="auto"/>
        <w:right w:val="none" w:sz="0" w:space="0" w:color="auto"/>
      </w:divBdr>
    </w:div>
    <w:div w:id="1187985322">
      <w:bodyDiv w:val="1"/>
      <w:marLeft w:val="0"/>
      <w:marRight w:val="0"/>
      <w:marTop w:val="0"/>
      <w:marBottom w:val="0"/>
      <w:divBdr>
        <w:top w:val="none" w:sz="0" w:space="0" w:color="auto"/>
        <w:left w:val="none" w:sz="0" w:space="0" w:color="auto"/>
        <w:bottom w:val="none" w:sz="0" w:space="0" w:color="auto"/>
        <w:right w:val="none" w:sz="0" w:space="0" w:color="auto"/>
      </w:divBdr>
    </w:div>
    <w:div w:id="1189371264">
      <w:bodyDiv w:val="1"/>
      <w:marLeft w:val="0"/>
      <w:marRight w:val="0"/>
      <w:marTop w:val="0"/>
      <w:marBottom w:val="0"/>
      <w:divBdr>
        <w:top w:val="none" w:sz="0" w:space="0" w:color="auto"/>
        <w:left w:val="none" w:sz="0" w:space="0" w:color="auto"/>
        <w:bottom w:val="none" w:sz="0" w:space="0" w:color="auto"/>
        <w:right w:val="none" w:sz="0" w:space="0" w:color="auto"/>
      </w:divBdr>
    </w:div>
    <w:div w:id="1189488110">
      <w:bodyDiv w:val="1"/>
      <w:marLeft w:val="0"/>
      <w:marRight w:val="0"/>
      <w:marTop w:val="0"/>
      <w:marBottom w:val="0"/>
      <w:divBdr>
        <w:top w:val="none" w:sz="0" w:space="0" w:color="auto"/>
        <w:left w:val="none" w:sz="0" w:space="0" w:color="auto"/>
        <w:bottom w:val="none" w:sz="0" w:space="0" w:color="auto"/>
        <w:right w:val="none" w:sz="0" w:space="0" w:color="auto"/>
      </w:divBdr>
    </w:div>
    <w:div w:id="1192769446">
      <w:bodyDiv w:val="1"/>
      <w:marLeft w:val="0"/>
      <w:marRight w:val="0"/>
      <w:marTop w:val="0"/>
      <w:marBottom w:val="0"/>
      <w:divBdr>
        <w:top w:val="none" w:sz="0" w:space="0" w:color="auto"/>
        <w:left w:val="none" w:sz="0" w:space="0" w:color="auto"/>
        <w:bottom w:val="none" w:sz="0" w:space="0" w:color="auto"/>
        <w:right w:val="none" w:sz="0" w:space="0" w:color="auto"/>
      </w:divBdr>
    </w:div>
    <w:div w:id="1193764337">
      <w:bodyDiv w:val="1"/>
      <w:marLeft w:val="0"/>
      <w:marRight w:val="0"/>
      <w:marTop w:val="0"/>
      <w:marBottom w:val="0"/>
      <w:divBdr>
        <w:top w:val="none" w:sz="0" w:space="0" w:color="auto"/>
        <w:left w:val="none" w:sz="0" w:space="0" w:color="auto"/>
        <w:bottom w:val="none" w:sz="0" w:space="0" w:color="auto"/>
        <w:right w:val="none" w:sz="0" w:space="0" w:color="auto"/>
      </w:divBdr>
    </w:div>
    <w:div w:id="1196580247">
      <w:bodyDiv w:val="1"/>
      <w:marLeft w:val="0"/>
      <w:marRight w:val="0"/>
      <w:marTop w:val="0"/>
      <w:marBottom w:val="0"/>
      <w:divBdr>
        <w:top w:val="none" w:sz="0" w:space="0" w:color="auto"/>
        <w:left w:val="none" w:sz="0" w:space="0" w:color="auto"/>
        <w:bottom w:val="none" w:sz="0" w:space="0" w:color="auto"/>
        <w:right w:val="none" w:sz="0" w:space="0" w:color="auto"/>
      </w:divBdr>
    </w:div>
    <w:div w:id="1209685588">
      <w:bodyDiv w:val="1"/>
      <w:marLeft w:val="0"/>
      <w:marRight w:val="0"/>
      <w:marTop w:val="0"/>
      <w:marBottom w:val="0"/>
      <w:divBdr>
        <w:top w:val="none" w:sz="0" w:space="0" w:color="auto"/>
        <w:left w:val="none" w:sz="0" w:space="0" w:color="auto"/>
        <w:bottom w:val="none" w:sz="0" w:space="0" w:color="auto"/>
        <w:right w:val="none" w:sz="0" w:space="0" w:color="auto"/>
      </w:divBdr>
    </w:div>
    <w:div w:id="1210918269">
      <w:bodyDiv w:val="1"/>
      <w:marLeft w:val="0"/>
      <w:marRight w:val="0"/>
      <w:marTop w:val="0"/>
      <w:marBottom w:val="0"/>
      <w:divBdr>
        <w:top w:val="none" w:sz="0" w:space="0" w:color="auto"/>
        <w:left w:val="none" w:sz="0" w:space="0" w:color="auto"/>
        <w:bottom w:val="none" w:sz="0" w:space="0" w:color="auto"/>
        <w:right w:val="none" w:sz="0" w:space="0" w:color="auto"/>
      </w:divBdr>
    </w:div>
    <w:div w:id="1215585215">
      <w:bodyDiv w:val="1"/>
      <w:marLeft w:val="0"/>
      <w:marRight w:val="0"/>
      <w:marTop w:val="0"/>
      <w:marBottom w:val="0"/>
      <w:divBdr>
        <w:top w:val="none" w:sz="0" w:space="0" w:color="auto"/>
        <w:left w:val="none" w:sz="0" w:space="0" w:color="auto"/>
        <w:bottom w:val="none" w:sz="0" w:space="0" w:color="auto"/>
        <w:right w:val="none" w:sz="0" w:space="0" w:color="auto"/>
      </w:divBdr>
    </w:div>
    <w:div w:id="1216576768">
      <w:bodyDiv w:val="1"/>
      <w:marLeft w:val="0"/>
      <w:marRight w:val="0"/>
      <w:marTop w:val="0"/>
      <w:marBottom w:val="0"/>
      <w:divBdr>
        <w:top w:val="none" w:sz="0" w:space="0" w:color="auto"/>
        <w:left w:val="none" w:sz="0" w:space="0" w:color="auto"/>
        <w:bottom w:val="none" w:sz="0" w:space="0" w:color="auto"/>
        <w:right w:val="none" w:sz="0" w:space="0" w:color="auto"/>
      </w:divBdr>
    </w:div>
    <w:div w:id="1217161455">
      <w:bodyDiv w:val="1"/>
      <w:marLeft w:val="0"/>
      <w:marRight w:val="0"/>
      <w:marTop w:val="0"/>
      <w:marBottom w:val="0"/>
      <w:divBdr>
        <w:top w:val="none" w:sz="0" w:space="0" w:color="auto"/>
        <w:left w:val="none" w:sz="0" w:space="0" w:color="auto"/>
        <w:bottom w:val="none" w:sz="0" w:space="0" w:color="auto"/>
        <w:right w:val="none" w:sz="0" w:space="0" w:color="auto"/>
      </w:divBdr>
    </w:div>
    <w:div w:id="1220902447">
      <w:bodyDiv w:val="1"/>
      <w:marLeft w:val="0"/>
      <w:marRight w:val="0"/>
      <w:marTop w:val="0"/>
      <w:marBottom w:val="0"/>
      <w:divBdr>
        <w:top w:val="none" w:sz="0" w:space="0" w:color="auto"/>
        <w:left w:val="none" w:sz="0" w:space="0" w:color="auto"/>
        <w:bottom w:val="none" w:sz="0" w:space="0" w:color="auto"/>
        <w:right w:val="none" w:sz="0" w:space="0" w:color="auto"/>
      </w:divBdr>
    </w:div>
    <w:div w:id="1232543822">
      <w:bodyDiv w:val="1"/>
      <w:marLeft w:val="0"/>
      <w:marRight w:val="0"/>
      <w:marTop w:val="0"/>
      <w:marBottom w:val="0"/>
      <w:divBdr>
        <w:top w:val="none" w:sz="0" w:space="0" w:color="auto"/>
        <w:left w:val="none" w:sz="0" w:space="0" w:color="auto"/>
        <w:bottom w:val="none" w:sz="0" w:space="0" w:color="auto"/>
        <w:right w:val="none" w:sz="0" w:space="0" w:color="auto"/>
      </w:divBdr>
    </w:div>
    <w:div w:id="1233009985">
      <w:bodyDiv w:val="1"/>
      <w:marLeft w:val="0"/>
      <w:marRight w:val="0"/>
      <w:marTop w:val="0"/>
      <w:marBottom w:val="0"/>
      <w:divBdr>
        <w:top w:val="none" w:sz="0" w:space="0" w:color="auto"/>
        <w:left w:val="none" w:sz="0" w:space="0" w:color="auto"/>
        <w:bottom w:val="none" w:sz="0" w:space="0" w:color="auto"/>
        <w:right w:val="none" w:sz="0" w:space="0" w:color="auto"/>
      </w:divBdr>
    </w:div>
    <w:div w:id="1234509322">
      <w:bodyDiv w:val="1"/>
      <w:marLeft w:val="0"/>
      <w:marRight w:val="0"/>
      <w:marTop w:val="0"/>
      <w:marBottom w:val="0"/>
      <w:divBdr>
        <w:top w:val="none" w:sz="0" w:space="0" w:color="auto"/>
        <w:left w:val="none" w:sz="0" w:space="0" w:color="auto"/>
        <w:bottom w:val="none" w:sz="0" w:space="0" w:color="auto"/>
        <w:right w:val="none" w:sz="0" w:space="0" w:color="auto"/>
      </w:divBdr>
    </w:div>
    <w:div w:id="1239367049">
      <w:bodyDiv w:val="1"/>
      <w:marLeft w:val="0"/>
      <w:marRight w:val="0"/>
      <w:marTop w:val="0"/>
      <w:marBottom w:val="0"/>
      <w:divBdr>
        <w:top w:val="none" w:sz="0" w:space="0" w:color="auto"/>
        <w:left w:val="none" w:sz="0" w:space="0" w:color="auto"/>
        <w:bottom w:val="none" w:sz="0" w:space="0" w:color="auto"/>
        <w:right w:val="none" w:sz="0" w:space="0" w:color="auto"/>
      </w:divBdr>
    </w:div>
    <w:div w:id="1240948577">
      <w:bodyDiv w:val="1"/>
      <w:marLeft w:val="0"/>
      <w:marRight w:val="0"/>
      <w:marTop w:val="0"/>
      <w:marBottom w:val="0"/>
      <w:divBdr>
        <w:top w:val="none" w:sz="0" w:space="0" w:color="auto"/>
        <w:left w:val="none" w:sz="0" w:space="0" w:color="auto"/>
        <w:bottom w:val="none" w:sz="0" w:space="0" w:color="auto"/>
        <w:right w:val="none" w:sz="0" w:space="0" w:color="auto"/>
      </w:divBdr>
    </w:div>
    <w:div w:id="1241864090">
      <w:bodyDiv w:val="1"/>
      <w:marLeft w:val="0"/>
      <w:marRight w:val="0"/>
      <w:marTop w:val="0"/>
      <w:marBottom w:val="0"/>
      <w:divBdr>
        <w:top w:val="none" w:sz="0" w:space="0" w:color="auto"/>
        <w:left w:val="none" w:sz="0" w:space="0" w:color="auto"/>
        <w:bottom w:val="none" w:sz="0" w:space="0" w:color="auto"/>
        <w:right w:val="none" w:sz="0" w:space="0" w:color="auto"/>
      </w:divBdr>
    </w:div>
    <w:div w:id="1242763424">
      <w:bodyDiv w:val="1"/>
      <w:marLeft w:val="0"/>
      <w:marRight w:val="0"/>
      <w:marTop w:val="0"/>
      <w:marBottom w:val="0"/>
      <w:divBdr>
        <w:top w:val="none" w:sz="0" w:space="0" w:color="auto"/>
        <w:left w:val="none" w:sz="0" w:space="0" w:color="auto"/>
        <w:bottom w:val="none" w:sz="0" w:space="0" w:color="auto"/>
        <w:right w:val="none" w:sz="0" w:space="0" w:color="auto"/>
      </w:divBdr>
    </w:div>
    <w:div w:id="1244874226">
      <w:bodyDiv w:val="1"/>
      <w:marLeft w:val="0"/>
      <w:marRight w:val="0"/>
      <w:marTop w:val="0"/>
      <w:marBottom w:val="0"/>
      <w:divBdr>
        <w:top w:val="none" w:sz="0" w:space="0" w:color="auto"/>
        <w:left w:val="none" w:sz="0" w:space="0" w:color="auto"/>
        <w:bottom w:val="none" w:sz="0" w:space="0" w:color="auto"/>
        <w:right w:val="none" w:sz="0" w:space="0" w:color="auto"/>
      </w:divBdr>
    </w:div>
    <w:div w:id="1245144294">
      <w:bodyDiv w:val="1"/>
      <w:marLeft w:val="0"/>
      <w:marRight w:val="0"/>
      <w:marTop w:val="0"/>
      <w:marBottom w:val="0"/>
      <w:divBdr>
        <w:top w:val="none" w:sz="0" w:space="0" w:color="auto"/>
        <w:left w:val="none" w:sz="0" w:space="0" w:color="auto"/>
        <w:bottom w:val="none" w:sz="0" w:space="0" w:color="auto"/>
        <w:right w:val="none" w:sz="0" w:space="0" w:color="auto"/>
      </w:divBdr>
    </w:div>
    <w:div w:id="1245527829">
      <w:bodyDiv w:val="1"/>
      <w:marLeft w:val="0"/>
      <w:marRight w:val="0"/>
      <w:marTop w:val="0"/>
      <w:marBottom w:val="0"/>
      <w:divBdr>
        <w:top w:val="none" w:sz="0" w:space="0" w:color="auto"/>
        <w:left w:val="none" w:sz="0" w:space="0" w:color="auto"/>
        <w:bottom w:val="none" w:sz="0" w:space="0" w:color="auto"/>
        <w:right w:val="none" w:sz="0" w:space="0" w:color="auto"/>
      </w:divBdr>
    </w:div>
    <w:div w:id="1248416706">
      <w:bodyDiv w:val="1"/>
      <w:marLeft w:val="0"/>
      <w:marRight w:val="0"/>
      <w:marTop w:val="0"/>
      <w:marBottom w:val="0"/>
      <w:divBdr>
        <w:top w:val="none" w:sz="0" w:space="0" w:color="auto"/>
        <w:left w:val="none" w:sz="0" w:space="0" w:color="auto"/>
        <w:bottom w:val="none" w:sz="0" w:space="0" w:color="auto"/>
        <w:right w:val="none" w:sz="0" w:space="0" w:color="auto"/>
      </w:divBdr>
    </w:div>
    <w:div w:id="1254775375">
      <w:bodyDiv w:val="1"/>
      <w:marLeft w:val="0"/>
      <w:marRight w:val="0"/>
      <w:marTop w:val="0"/>
      <w:marBottom w:val="0"/>
      <w:divBdr>
        <w:top w:val="none" w:sz="0" w:space="0" w:color="auto"/>
        <w:left w:val="none" w:sz="0" w:space="0" w:color="auto"/>
        <w:bottom w:val="none" w:sz="0" w:space="0" w:color="auto"/>
        <w:right w:val="none" w:sz="0" w:space="0" w:color="auto"/>
      </w:divBdr>
    </w:div>
    <w:div w:id="1264728162">
      <w:bodyDiv w:val="1"/>
      <w:marLeft w:val="0"/>
      <w:marRight w:val="0"/>
      <w:marTop w:val="0"/>
      <w:marBottom w:val="0"/>
      <w:divBdr>
        <w:top w:val="none" w:sz="0" w:space="0" w:color="auto"/>
        <w:left w:val="none" w:sz="0" w:space="0" w:color="auto"/>
        <w:bottom w:val="none" w:sz="0" w:space="0" w:color="auto"/>
        <w:right w:val="none" w:sz="0" w:space="0" w:color="auto"/>
      </w:divBdr>
    </w:div>
    <w:div w:id="1264806767">
      <w:bodyDiv w:val="1"/>
      <w:marLeft w:val="0"/>
      <w:marRight w:val="0"/>
      <w:marTop w:val="0"/>
      <w:marBottom w:val="0"/>
      <w:divBdr>
        <w:top w:val="none" w:sz="0" w:space="0" w:color="auto"/>
        <w:left w:val="none" w:sz="0" w:space="0" w:color="auto"/>
        <w:bottom w:val="none" w:sz="0" w:space="0" w:color="auto"/>
        <w:right w:val="none" w:sz="0" w:space="0" w:color="auto"/>
      </w:divBdr>
    </w:div>
    <w:div w:id="1270940111">
      <w:bodyDiv w:val="1"/>
      <w:marLeft w:val="0"/>
      <w:marRight w:val="0"/>
      <w:marTop w:val="0"/>
      <w:marBottom w:val="0"/>
      <w:divBdr>
        <w:top w:val="none" w:sz="0" w:space="0" w:color="auto"/>
        <w:left w:val="none" w:sz="0" w:space="0" w:color="auto"/>
        <w:bottom w:val="none" w:sz="0" w:space="0" w:color="auto"/>
        <w:right w:val="none" w:sz="0" w:space="0" w:color="auto"/>
      </w:divBdr>
    </w:div>
    <w:div w:id="1272786962">
      <w:bodyDiv w:val="1"/>
      <w:marLeft w:val="0"/>
      <w:marRight w:val="0"/>
      <w:marTop w:val="0"/>
      <w:marBottom w:val="0"/>
      <w:divBdr>
        <w:top w:val="none" w:sz="0" w:space="0" w:color="auto"/>
        <w:left w:val="none" w:sz="0" w:space="0" w:color="auto"/>
        <w:bottom w:val="none" w:sz="0" w:space="0" w:color="auto"/>
        <w:right w:val="none" w:sz="0" w:space="0" w:color="auto"/>
      </w:divBdr>
    </w:div>
    <w:div w:id="1278098889">
      <w:bodyDiv w:val="1"/>
      <w:marLeft w:val="0"/>
      <w:marRight w:val="0"/>
      <w:marTop w:val="0"/>
      <w:marBottom w:val="0"/>
      <w:divBdr>
        <w:top w:val="none" w:sz="0" w:space="0" w:color="auto"/>
        <w:left w:val="none" w:sz="0" w:space="0" w:color="auto"/>
        <w:bottom w:val="none" w:sz="0" w:space="0" w:color="auto"/>
        <w:right w:val="none" w:sz="0" w:space="0" w:color="auto"/>
      </w:divBdr>
    </w:div>
    <w:div w:id="1280142898">
      <w:bodyDiv w:val="1"/>
      <w:marLeft w:val="0"/>
      <w:marRight w:val="0"/>
      <w:marTop w:val="0"/>
      <w:marBottom w:val="0"/>
      <w:divBdr>
        <w:top w:val="none" w:sz="0" w:space="0" w:color="auto"/>
        <w:left w:val="none" w:sz="0" w:space="0" w:color="auto"/>
        <w:bottom w:val="none" w:sz="0" w:space="0" w:color="auto"/>
        <w:right w:val="none" w:sz="0" w:space="0" w:color="auto"/>
      </w:divBdr>
    </w:div>
    <w:div w:id="1280382245">
      <w:bodyDiv w:val="1"/>
      <w:marLeft w:val="0"/>
      <w:marRight w:val="0"/>
      <w:marTop w:val="0"/>
      <w:marBottom w:val="0"/>
      <w:divBdr>
        <w:top w:val="none" w:sz="0" w:space="0" w:color="auto"/>
        <w:left w:val="none" w:sz="0" w:space="0" w:color="auto"/>
        <w:bottom w:val="none" w:sz="0" w:space="0" w:color="auto"/>
        <w:right w:val="none" w:sz="0" w:space="0" w:color="auto"/>
      </w:divBdr>
    </w:div>
    <w:div w:id="1285308762">
      <w:bodyDiv w:val="1"/>
      <w:marLeft w:val="0"/>
      <w:marRight w:val="0"/>
      <w:marTop w:val="0"/>
      <w:marBottom w:val="0"/>
      <w:divBdr>
        <w:top w:val="none" w:sz="0" w:space="0" w:color="auto"/>
        <w:left w:val="none" w:sz="0" w:space="0" w:color="auto"/>
        <w:bottom w:val="none" w:sz="0" w:space="0" w:color="auto"/>
        <w:right w:val="none" w:sz="0" w:space="0" w:color="auto"/>
      </w:divBdr>
    </w:div>
    <w:div w:id="1286424871">
      <w:bodyDiv w:val="1"/>
      <w:marLeft w:val="0"/>
      <w:marRight w:val="0"/>
      <w:marTop w:val="0"/>
      <w:marBottom w:val="0"/>
      <w:divBdr>
        <w:top w:val="none" w:sz="0" w:space="0" w:color="auto"/>
        <w:left w:val="none" w:sz="0" w:space="0" w:color="auto"/>
        <w:bottom w:val="none" w:sz="0" w:space="0" w:color="auto"/>
        <w:right w:val="none" w:sz="0" w:space="0" w:color="auto"/>
      </w:divBdr>
    </w:div>
    <w:div w:id="1288855625">
      <w:bodyDiv w:val="1"/>
      <w:marLeft w:val="0"/>
      <w:marRight w:val="0"/>
      <w:marTop w:val="0"/>
      <w:marBottom w:val="0"/>
      <w:divBdr>
        <w:top w:val="none" w:sz="0" w:space="0" w:color="auto"/>
        <w:left w:val="none" w:sz="0" w:space="0" w:color="auto"/>
        <w:bottom w:val="none" w:sz="0" w:space="0" w:color="auto"/>
        <w:right w:val="none" w:sz="0" w:space="0" w:color="auto"/>
      </w:divBdr>
    </w:div>
    <w:div w:id="1291741638">
      <w:bodyDiv w:val="1"/>
      <w:marLeft w:val="0"/>
      <w:marRight w:val="0"/>
      <w:marTop w:val="0"/>
      <w:marBottom w:val="0"/>
      <w:divBdr>
        <w:top w:val="none" w:sz="0" w:space="0" w:color="auto"/>
        <w:left w:val="none" w:sz="0" w:space="0" w:color="auto"/>
        <w:bottom w:val="none" w:sz="0" w:space="0" w:color="auto"/>
        <w:right w:val="none" w:sz="0" w:space="0" w:color="auto"/>
      </w:divBdr>
    </w:div>
    <w:div w:id="1292861035">
      <w:bodyDiv w:val="1"/>
      <w:marLeft w:val="0"/>
      <w:marRight w:val="0"/>
      <w:marTop w:val="0"/>
      <w:marBottom w:val="0"/>
      <w:divBdr>
        <w:top w:val="none" w:sz="0" w:space="0" w:color="auto"/>
        <w:left w:val="none" w:sz="0" w:space="0" w:color="auto"/>
        <w:bottom w:val="none" w:sz="0" w:space="0" w:color="auto"/>
        <w:right w:val="none" w:sz="0" w:space="0" w:color="auto"/>
      </w:divBdr>
    </w:div>
    <w:div w:id="1293294832">
      <w:bodyDiv w:val="1"/>
      <w:marLeft w:val="0"/>
      <w:marRight w:val="0"/>
      <w:marTop w:val="0"/>
      <w:marBottom w:val="0"/>
      <w:divBdr>
        <w:top w:val="none" w:sz="0" w:space="0" w:color="auto"/>
        <w:left w:val="none" w:sz="0" w:space="0" w:color="auto"/>
        <w:bottom w:val="none" w:sz="0" w:space="0" w:color="auto"/>
        <w:right w:val="none" w:sz="0" w:space="0" w:color="auto"/>
      </w:divBdr>
    </w:div>
    <w:div w:id="1298296616">
      <w:bodyDiv w:val="1"/>
      <w:marLeft w:val="0"/>
      <w:marRight w:val="0"/>
      <w:marTop w:val="0"/>
      <w:marBottom w:val="0"/>
      <w:divBdr>
        <w:top w:val="none" w:sz="0" w:space="0" w:color="auto"/>
        <w:left w:val="none" w:sz="0" w:space="0" w:color="auto"/>
        <w:bottom w:val="none" w:sz="0" w:space="0" w:color="auto"/>
        <w:right w:val="none" w:sz="0" w:space="0" w:color="auto"/>
      </w:divBdr>
    </w:div>
    <w:div w:id="1299460180">
      <w:bodyDiv w:val="1"/>
      <w:marLeft w:val="0"/>
      <w:marRight w:val="0"/>
      <w:marTop w:val="0"/>
      <w:marBottom w:val="0"/>
      <w:divBdr>
        <w:top w:val="none" w:sz="0" w:space="0" w:color="auto"/>
        <w:left w:val="none" w:sz="0" w:space="0" w:color="auto"/>
        <w:bottom w:val="none" w:sz="0" w:space="0" w:color="auto"/>
        <w:right w:val="none" w:sz="0" w:space="0" w:color="auto"/>
      </w:divBdr>
    </w:div>
    <w:div w:id="1303736686">
      <w:bodyDiv w:val="1"/>
      <w:marLeft w:val="0"/>
      <w:marRight w:val="0"/>
      <w:marTop w:val="0"/>
      <w:marBottom w:val="0"/>
      <w:divBdr>
        <w:top w:val="none" w:sz="0" w:space="0" w:color="auto"/>
        <w:left w:val="none" w:sz="0" w:space="0" w:color="auto"/>
        <w:bottom w:val="none" w:sz="0" w:space="0" w:color="auto"/>
        <w:right w:val="none" w:sz="0" w:space="0" w:color="auto"/>
      </w:divBdr>
    </w:div>
    <w:div w:id="1315336596">
      <w:bodyDiv w:val="1"/>
      <w:marLeft w:val="0"/>
      <w:marRight w:val="0"/>
      <w:marTop w:val="0"/>
      <w:marBottom w:val="0"/>
      <w:divBdr>
        <w:top w:val="none" w:sz="0" w:space="0" w:color="auto"/>
        <w:left w:val="none" w:sz="0" w:space="0" w:color="auto"/>
        <w:bottom w:val="none" w:sz="0" w:space="0" w:color="auto"/>
        <w:right w:val="none" w:sz="0" w:space="0" w:color="auto"/>
      </w:divBdr>
    </w:div>
    <w:div w:id="1322654510">
      <w:bodyDiv w:val="1"/>
      <w:marLeft w:val="0"/>
      <w:marRight w:val="0"/>
      <w:marTop w:val="0"/>
      <w:marBottom w:val="0"/>
      <w:divBdr>
        <w:top w:val="none" w:sz="0" w:space="0" w:color="auto"/>
        <w:left w:val="none" w:sz="0" w:space="0" w:color="auto"/>
        <w:bottom w:val="none" w:sz="0" w:space="0" w:color="auto"/>
        <w:right w:val="none" w:sz="0" w:space="0" w:color="auto"/>
      </w:divBdr>
    </w:div>
    <w:div w:id="1333601693">
      <w:bodyDiv w:val="1"/>
      <w:marLeft w:val="0"/>
      <w:marRight w:val="0"/>
      <w:marTop w:val="0"/>
      <w:marBottom w:val="0"/>
      <w:divBdr>
        <w:top w:val="none" w:sz="0" w:space="0" w:color="auto"/>
        <w:left w:val="none" w:sz="0" w:space="0" w:color="auto"/>
        <w:bottom w:val="none" w:sz="0" w:space="0" w:color="auto"/>
        <w:right w:val="none" w:sz="0" w:space="0" w:color="auto"/>
      </w:divBdr>
    </w:div>
    <w:div w:id="1339767791">
      <w:bodyDiv w:val="1"/>
      <w:marLeft w:val="0"/>
      <w:marRight w:val="0"/>
      <w:marTop w:val="0"/>
      <w:marBottom w:val="0"/>
      <w:divBdr>
        <w:top w:val="none" w:sz="0" w:space="0" w:color="auto"/>
        <w:left w:val="none" w:sz="0" w:space="0" w:color="auto"/>
        <w:bottom w:val="none" w:sz="0" w:space="0" w:color="auto"/>
        <w:right w:val="none" w:sz="0" w:space="0" w:color="auto"/>
      </w:divBdr>
    </w:div>
    <w:div w:id="1340616079">
      <w:bodyDiv w:val="1"/>
      <w:marLeft w:val="0"/>
      <w:marRight w:val="0"/>
      <w:marTop w:val="0"/>
      <w:marBottom w:val="0"/>
      <w:divBdr>
        <w:top w:val="none" w:sz="0" w:space="0" w:color="auto"/>
        <w:left w:val="none" w:sz="0" w:space="0" w:color="auto"/>
        <w:bottom w:val="none" w:sz="0" w:space="0" w:color="auto"/>
        <w:right w:val="none" w:sz="0" w:space="0" w:color="auto"/>
      </w:divBdr>
    </w:div>
    <w:div w:id="1345939488">
      <w:bodyDiv w:val="1"/>
      <w:marLeft w:val="0"/>
      <w:marRight w:val="0"/>
      <w:marTop w:val="0"/>
      <w:marBottom w:val="0"/>
      <w:divBdr>
        <w:top w:val="none" w:sz="0" w:space="0" w:color="auto"/>
        <w:left w:val="none" w:sz="0" w:space="0" w:color="auto"/>
        <w:bottom w:val="none" w:sz="0" w:space="0" w:color="auto"/>
        <w:right w:val="none" w:sz="0" w:space="0" w:color="auto"/>
      </w:divBdr>
    </w:div>
    <w:div w:id="1347944612">
      <w:bodyDiv w:val="1"/>
      <w:marLeft w:val="0"/>
      <w:marRight w:val="0"/>
      <w:marTop w:val="0"/>
      <w:marBottom w:val="0"/>
      <w:divBdr>
        <w:top w:val="none" w:sz="0" w:space="0" w:color="auto"/>
        <w:left w:val="none" w:sz="0" w:space="0" w:color="auto"/>
        <w:bottom w:val="none" w:sz="0" w:space="0" w:color="auto"/>
        <w:right w:val="none" w:sz="0" w:space="0" w:color="auto"/>
      </w:divBdr>
    </w:div>
    <w:div w:id="1350373892">
      <w:bodyDiv w:val="1"/>
      <w:marLeft w:val="0"/>
      <w:marRight w:val="0"/>
      <w:marTop w:val="0"/>
      <w:marBottom w:val="0"/>
      <w:divBdr>
        <w:top w:val="none" w:sz="0" w:space="0" w:color="auto"/>
        <w:left w:val="none" w:sz="0" w:space="0" w:color="auto"/>
        <w:bottom w:val="none" w:sz="0" w:space="0" w:color="auto"/>
        <w:right w:val="none" w:sz="0" w:space="0" w:color="auto"/>
      </w:divBdr>
    </w:div>
    <w:div w:id="1352490649">
      <w:bodyDiv w:val="1"/>
      <w:marLeft w:val="0"/>
      <w:marRight w:val="0"/>
      <w:marTop w:val="0"/>
      <w:marBottom w:val="0"/>
      <w:divBdr>
        <w:top w:val="none" w:sz="0" w:space="0" w:color="auto"/>
        <w:left w:val="none" w:sz="0" w:space="0" w:color="auto"/>
        <w:bottom w:val="none" w:sz="0" w:space="0" w:color="auto"/>
        <w:right w:val="none" w:sz="0" w:space="0" w:color="auto"/>
      </w:divBdr>
    </w:div>
    <w:div w:id="1352682142">
      <w:bodyDiv w:val="1"/>
      <w:marLeft w:val="0"/>
      <w:marRight w:val="0"/>
      <w:marTop w:val="0"/>
      <w:marBottom w:val="0"/>
      <w:divBdr>
        <w:top w:val="none" w:sz="0" w:space="0" w:color="auto"/>
        <w:left w:val="none" w:sz="0" w:space="0" w:color="auto"/>
        <w:bottom w:val="none" w:sz="0" w:space="0" w:color="auto"/>
        <w:right w:val="none" w:sz="0" w:space="0" w:color="auto"/>
      </w:divBdr>
    </w:div>
    <w:div w:id="1356812182">
      <w:bodyDiv w:val="1"/>
      <w:marLeft w:val="0"/>
      <w:marRight w:val="0"/>
      <w:marTop w:val="0"/>
      <w:marBottom w:val="0"/>
      <w:divBdr>
        <w:top w:val="none" w:sz="0" w:space="0" w:color="auto"/>
        <w:left w:val="none" w:sz="0" w:space="0" w:color="auto"/>
        <w:bottom w:val="none" w:sz="0" w:space="0" w:color="auto"/>
        <w:right w:val="none" w:sz="0" w:space="0" w:color="auto"/>
      </w:divBdr>
    </w:div>
    <w:div w:id="1362197524">
      <w:bodyDiv w:val="1"/>
      <w:marLeft w:val="0"/>
      <w:marRight w:val="0"/>
      <w:marTop w:val="0"/>
      <w:marBottom w:val="0"/>
      <w:divBdr>
        <w:top w:val="none" w:sz="0" w:space="0" w:color="auto"/>
        <w:left w:val="none" w:sz="0" w:space="0" w:color="auto"/>
        <w:bottom w:val="none" w:sz="0" w:space="0" w:color="auto"/>
        <w:right w:val="none" w:sz="0" w:space="0" w:color="auto"/>
      </w:divBdr>
    </w:div>
    <w:div w:id="1362517167">
      <w:bodyDiv w:val="1"/>
      <w:marLeft w:val="0"/>
      <w:marRight w:val="0"/>
      <w:marTop w:val="0"/>
      <w:marBottom w:val="0"/>
      <w:divBdr>
        <w:top w:val="none" w:sz="0" w:space="0" w:color="auto"/>
        <w:left w:val="none" w:sz="0" w:space="0" w:color="auto"/>
        <w:bottom w:val="none" w:sz="0" w:space="0" w:color="auto"/>
        <w:right w:val="none" w:sz="0" w:space="0" w:color="auto"/>
      </w:divBdr>
    </w:div>
    <w:div w:id="1363046042">
      <w:bodyDiv w:val="1"/>
      <w:marLeft w:val="0"/>
      <w:marRight w:val="0"/>
      <w:marTop w:val="0"/>
      <w:marBottom w:val="0"/>
      <w:divBdr>
        <w:top w:val="none" w:sz="0" w:space="0" w:color="auto"/>
        <w:left w:val="none" w:sz="0" w:space="0" w:color="auto"/>
        <w:bottom w:val="none" w:sz="0" w:space="0" w:color="auto"/>
        <w:right w:val="none" w:sz="0" w:space="0" w:color="auto"/>
      </w:divBdr>
    </w:div>
    <w:div w:id="1363048776">
      <w:bodyDiv w:val="1"/>
      <w:marLeft w:val="0"/>
      <w:marRight w:val="0"/>
      <w:marTop w:val="0"/>
      <w:marBottom w:val="0"/>
      <w:divBdr>
        <w:top w:val="none" w:sz="0" w:space="0" w:color="auto"/>
        <w:left w:val="none" w:sz="0" w:space="0" w:color="auto"/>
        <w:bottom w:val="none" w:sz="0" w:space="0" w:color="auto"/>
        <w:right w:val="none" w:sz="0" w:space="0" w:color="auto"/>
      </w:divBdr>
    </w:div>
    <w:div w:id="1364356690">
      <w:bodyDiv w:val="1"/>
      <w:marLeft w:val="0"/>
      <w:marRight w:val="0"/>
      <w:marTop w:val="0"/>
      <w:marBottom w:val="0"/>
      <w:divBdr>
        <w:top w:val="none" w:sz="0" w:space="0" w:color="auto"/>
        <w:left w:val="none" w:sz="0" w:space="0" w:color="auto"/>
        <w:bottom w:val="none" w:sz="0" w:space="0" w:color="auto"/>
        <w:right w:val="none" w:sz="0" w:space="0" w:color="auto"/>
      </w:divBdr>
    </w:div>
    <w:div w:id="1366754054">
      <w:bodyDiv w:val="1"/>
      <w:marLeft w:val="0"/>
      <w:marRight w:val="0"/>
      <w:marTop w:val="0"/>
      <w:marBottom w:val="0"/>
      <w:divBdr>
        <w:top w:val="none" w:sz="0" w:space="0" w:color="auto"/>
        <w:left w:val="none" w:sz="0" w:space="0" w:color="auto"/>
        <w:bottom w:val="none" w:sz="0" w:space="0" w:color="auto"/>
        <w:right w:val="none" w:sz="0" w:space="0" w:color="auto"/>
      </w:divBdr>
    </w:div>
    <w:div w:id="1376463092">
      <w:bodyDiv w:val="1"/>
      <w:marLeft w:val="0"/>
      <w:marRight w:val="0"/>
      <w:marTop w:val="0"/>
      <w:marBottom w:val="0"/>
      <w:divBdr>
        <w:top w:val="none" w:sz="0" w:space="0" w:color="auto"/>
        <w:left w:val="none" w:sz="0" w:space="0" w:color="auto"/>
        <w:bottom w:val="none" w:sz="0" w:space="0" w:color="auto"/>
        <w:right w:val="none" w:sz="0" w:space="0" w:color="auto"/>
      </w:divBdr>
    </w:div>
    <w:div w:id="1376656481">
      <w:bodyDiv w:val="1"/>
      <w:marLeft w:val="0"/>
      <w:marRight w:val="0"/>
      <w:marTop w:val="0"/>
      <w:marBottom w:val="0"/>
      <w:divBdr>
        <w:top w:val="none" w:sz="0" w:space="0" w:color="auto"/>
        <w:left w:val="none" w:sz="0" w:space="0" w:color="auto"/>
        <w:bottom w:val="none" w:sz="0" w:space="0" w:color="auto"/>
        <w:right w:val="none" w:sz="0" w:space="0" w:color="auto"/>
      </w:divBdr>
    </w:div>
    <w:div w:id="1377125513">
      <w:bodyDiv w:val="1"/>
      <w:marLeft w:val="0"/>
      <w:marRight w:val="0"/>
      <w:marTop w:val="0"/>
      <w:marBottom w:val="0"/>
      <w:divBdr>
        <w:top w:val="none" w:sz="0" w:space="0" w:color="auto"/>
        <w:left w:val="none" w:sz="0" w:space="0" w:color="auto"/>
        <w:bottom w:val="none" w:sz="0" w:space="0" w:color="auto"/>
        <w:right w:val="none" w:sz="0" w:space="0" w:color="auto"/>
      </w:divBdr>
    </w:div>
    <w:div w:id="1377241501">
      <w:bodyDiv w:val="1"/>
      <w:marLeft w:val="0"/>
      <w:marRight w:val="0"/>
      <w:marTop w:val="0"/>
      <w:marBottom w:val="0"/>
      <w:divBdr>
        <w:top w:val="none" w:sz="0" w:space="0" w:color="auto"/>
        <w:left w:val="none" w:sz="0" w:space="0" w:color="auto"/>
        <w:bottom w:val="none" w:sz="0" w:space="0" w:color="auto"/>
        <w:right w:val="none" w:sz="0" w:space="0" w:color="auto"/>
      </w:divBdr>
    </w:div>
    <w:div w:id="1379935953">
      <w:bodyDiv w:val="1"/>
      <w:marLeft w:val="0"/>
      <w:marRight w:val="0"/>
      <w:marTop w:val="0"/>
      <w:marBottom w:val="0"/>
      <w:divBdr>
        <w:top w:val="none" w:sz="0" w:space="0" w:color="auto"/>
        <w:left w:val="none" w:sz="0" w:space="0" w:color="auto"/>
        <w:bottom w:val="none" w:sz="0" w:space="0" w:color="auto"/>
        <w:right w:val="none" w:sz="0" w:space="0" w:color="auto"/>
      </w:divBdr>
    </w:div>
    <w:div w:id="1383674714">
      <w:bodyDiv w:val="1"/>
      <w:marLeft w:val="0"/>
      <w:marRight w:val="0"/>
      <w:marTop w:val="0"/>
      <w:marBottom w:val="0"/>
      <w:divBdr>
        <w:top w:val="none" w:sz="0" w:space="0" w:color="auto"/>
        <w:left w:val="none" w:sz="0" w:space="0" w:color="auto"/>
        <w:bottom w:val="none" w:sz="0" w:space="0" w:color="auto"/>
        <w:right w:val="none" w:sz="0" w:space="0" w:color="auto"/>
      </w:divBdr>
    </w:div>
    <w:div w:id="1386492344">
      <w:bodyDiv w:val="1"/>
      <w:marLeft w:val="0"/>
      <w:marRight w:val="0"/>
      <w:marTop w:val="0"/>
      <w:marBottom w:val="0"/>
      <w:divBdr>
        <w:top w:val="none" w:sz="0" w:space="0" w:color="auto"/>
        <w:left w:val="none" w:sz="0" w:space="0" w:color="auto"/>
        <w:bottom w:val="none" w:sz="0" w:space="0" w:color="auto"/>
        <w:right w:val="none" w:sz="0" w:space="0" w:color="auto"/>
      </w:divBdr>
    </w:div>
    <w:div w:id="1387140842">
      <w:bodyDiv w:val="1"/>
      <w:marLeft w:val="0"/>
      <w:marRight w:val="0"/>
      <w:marTop w:val="0"/>
      <w:marBottom w:val="0"/>
      <w:divBdr>
        <w:top w:val="none" w:sz="0" w:space="0" w:color="auto"/>
        <w:left w:val="none" w:sz="0" w:space="0" w:color="auto"/>
        <w:bottom w:val="none" w:sz="0" w:space="0" w:color="auto"/>
        <w:right w:val="none" w:sz="0" w:space="0" w:color="auto"/>
      </w:divBdr>
    </w:div>
    <w:div w:id="1391032453">
      <w:bodyDiv w:val="1"/>
      <w:marLeft w:val="0"/>
      <w:marRight w:val="0"/>
      <w:marTop w:val="0"/>
      <w:marBottom w:val="0"/>
      <w:divBdr>
        <w:top w:val="none" w:sz="0" w:space="0" w:color="auto"/>
        <w:left w:val="none" w:sz="0" w:space="0" w:color="auto"/>
        <w:bottom w:val="none" w:sz="0" w:space="0" w:color="auto"/>
        <w:right w:val="none" w:sz="0" w:space="0" w:color="auto"/>
      </w:divBdr>
    </w:div>
    <w:div w:id="1393389818">
      <w:bodyDiv w:val="1"/>
      <w:marLeft w:val="0"/>
      <w:marRight w:val="0"/>
      <w:marTop w:val="0"/>
      <w:marBottom w:val="0"/>
      <w:divBdr>
        <w:top w:val="none" w:sz="0" w:space="0" w:color="auto"/>
        <w:left w:val="none" w:sz="0" w:space="0" w:color="auto"/>
        <w:bottom w:val="none" w:sz="0" w:space="0" w:color="auto"/>
        <w:right w:val="none" w:sz="0" w:space="0" w:color="auto"/>
      </w:divBdr>
    </w:div>
    <w:div w:id="1396391619">
      <w:bodyDiv w:val="1"/>
      <w:marLeft w:val="0"/>
      <w:marRight w:val="0"/>
      <w:marTop w:val="0"/>
      <w:marBottom w:val="0"/>
      <w:divBdr>
        <w:top w:val="none" w:sz="0" w:space="0" w:color="auto"/>
        <w:left w:val="none" w:sz="0" w:space="0" w:color="auto"/>
        <w:bottom w:val="none" w:sz="0" w:space="0" w:color="auto"/>
        <w:right w:val="none" w:sz="0" w:space="0" w:color="auto"/>
      </w:divBdr>
    </w:div>
    <w:div w:id="1397509634">
      <w:bodyDiv w:val="1"/>
      <w:marLeft w:val="0"/>
      <w:marRight w:val="0"/>
      <w:marTop w:val="0"/>
      <w:marBottom w:val="0"/>
      <w:divBdr>
        <w:top w:val="none" w:sz="0" w:space="0" w:color="auto"/>
        <w:left w:val="none" w:sz="0" w:space="0" w:color="auto"/>
        <w:bottom w:val="none" w:sz="0" w:space="0" w:color="auto"/>
        <w:right w:val="none" w:sz="0" w:space="0" w:color="auto"/>
      </w:divBdr>
    </w:div>
    <w:div w:id="1399403533">
      <w:bodyDiv w:val="1"/>
      <w:marLeft w:val="0"/>
      <w:marRight w:val="0"/>
      <w:marTop w:val="0"/>
      <w:marBottom w:val="0"/>
      <w:divBdr>
        <w:top w:val="none" w:sz="0" w:space="0" w:color="auto"/>
        <w:left w:val="none" w:sz="0" w:space="0" w:color="auto"/>
        <w:bottom w:val="none" w:sz="0" w:space="0" w:color="auto"/>
        <w:right w:val="none" w:sz="0" w:space="0" w:color="auto"/>
      </w:divBdr>
    </w:div>
    <w:div w:id="1400397529">
      <w:bodyDiv w:val="1"/>
      <w:marLeft w:val="0"/>
      <w:marRight w:val="0"/>
      <w:marTop w:val="0"/>
      <w:marBottom w:val="0"/>
      <w:divBdr>
        <w:top w:val="none" w:sz="0" w:space="0" w:color="auto"/>
        <w:left w:val="none" w:sz="0" w:space="0" w:color="auto"/>
        <w:bottom w:val="none" w:sz="0" w:space="0" w:color="auto"/>
        <w:right w:val="none" w:sz="0" w:space="0" w:color="auto"/>
      </w:divBdr>
    </w:div>
    <w:div w:id="1402823295">
      <w:bodyDiv w:val="1"/>
      <w:marLeft w:val="0"/>
      <w:marRight w:val="0"/>
      <w:marTop w:val="0"/>
      <w:marBottom w:val="0"/>
      <w:divBdr>
        <w:top w:val="none" w:sz="0" w:space="0" w:color="auto"/>
        <w:left w:val="none" w:sz="0" w:space="0" w:color="auto"/>
        <w:bottom w:val="none" w:sz="0" w:space="0" w:color="auto"/>
        <w:right w:val="none" w:sz="0" w:space="0" w:color="auto"/>
      </w:divBdr>
    </w:div>
    <w:div w:id="1402829954">
      <w:bodyDiv w:val="1"/>
      <w:marLeft w:val="0"/>
      <w:marRight w:val="0"/>
      <w:marTop w:val="0"/>
      <w:marBottom w:val="0"/>
      <w:divBdr>
        <w:top w:val="none" w:sz="0" w:space="0" w:color="auto"/>
        <w:left w:val="none" w:sz="0" w:space="0" w:color="auto"/>
        <w:bottom w:val="none" w:sz="0" w:space="0" w:color="auto"/>
        <w:right w:val="none" w:sz="0" w:space="0" w:color="auto"/>
      </w:divBdr>
    </w:div>
    <w:div w:id="1417089993">
      <w:bodyDiv w:val="1"/>
      <w:marLeft w:val="0"/>
      <w:marRight w:val="0"/>
      <w:marTop w:val="0"/>
      <w:marBottom w:val="0"/>
      <w:divBdr>
        <w:top w:val="none" w:sz="0" w:space="0" w:color="auto"/>
        <w:left w:val="none" w:sz="0" w:space="0" w:color="auto"/>
        <w:bottom w:val="none" w:sz="0" w:space="0" w:color="auto"/>
        <w:right w:val="none" w:sz="0" w:space="0" w:color="auto"/>
      </w:divBdr>
    </w:div>
    <w:div w:id="1420251187">
      <w:bodyDiv w:val="1"/>
      <w:marLeft w:val="0"/>
      <w:marRight w:val="0"/>
      <w:marTop w:val="0"/>
      <w:marBottom w:val="0"/>
      <w:divBdr>
        <w:top w:val="none" w:sz="0" w:space="0" w:color="auto"/>
        <w:left w:val="none" w:sz="0" w:space="0" w:color="auto"/>
        <w:bottom w:val="none" w:sz="0" w:space="0" w:color="auto"/>
        <w:right w:val="none" w:sz="0" w:space="0" w:color="auto"/>
      </w:divBdr>
    </w:div>
    <w:div w:id="1420830035">
      <w:bodyDiv w:val="1"/>
      <w:marLeft w:val="0"/>
      <w:marRight w:val="0"/>
      <w:marTop w:val="0"/>
      <w:marBottom w:val="0"/>
      <w:divBdr>
        <w:top w:val="none" w:sz="0" w:space="0" w:color="auto"/>
        <w:left w:val="none" w:sz="0" w:space="0" w:color="auto"/>
        <w:bottom w:val="none" w:sz="0" w:space="0" w:color="auto"/>
        <w:right w:val="none" w:sz="0" w:space="0" w:color="auto"/>
      </w:divBdr>
    </w:div>
    <w:div w:id="1423137431">
      <w:bodyDiv w:val="1"/>
      <w:marLeft w:val="0"/>
      <w:marRight w:val="0"/>
      <w:marTop w:val="0"/>
      <w:marBottom w:val="0"/>
      <w:divBdr>
        <w:top w:val="none" w:sz="0" w:space="0" w:color="auto"/>
        <w:left w:val="none" w:sz="0" w:space="0" w:color="auto"/>
        <w:bottom w:val="none" w:sz="0" w:space="0" w:color="auto"/>
        <w:right w:val="none" w:sz="0" w:space="0" w:color="auto"/>
      </w:divBdr>
    </w:div>
    <w:div w:id="1423718341">
      <w:bodyDiv w:val="1"/>
      <w:marLeft w:val="0"/>
      <w:marRight w:val="0"/>
      <w:marTop w:val="0"/>
      <w:marBottom w:val="0"/>
      <w:divBdr>
        <w:top w:val="none" w:sz="0" w:space="0" w:color="auto"/>
        <w:left w:val="none" w:sz="0" w:space="0" w:color="auto"/>
        <w:bottom w:val="none" w:sz="0" w:space="0" w:color="auto"/>
        <w:right w:val="none" w:sz="0" w:space="0" w:color="auto"/>
      </w:divBdr>
    </w:div>
    <w:div w:id="1427380312">
      <w:bodyDiv w:val="1"/>
      <w:marLeft w:val="0"/>
      <w:marRight w:val="0"/>
      <w:marTop w:val="0"/>
      <w:marBottom w:val="0"/>
      <w:divBdr>
        <w:top w:val="none" w:sz="0" w:space="0" w:color="auto"/>
        <w:left w:val="none" w:sz="0" w:space="0" w:color="auto"/>
        <w:bottom w:val="none" w:sz="0" w:space="0" w:color="auto"/>
        <w:right w:val="none" w:sz="0" w:space="0" w:color="auto"/>
      </w:divBdr>
    </w:div>
    <w:div w:id="1428237207">
      <w:bodyDiv w:val="1"/>
      <w:marLeft w:val="0"/>
      <w:marRight w:val="0"/>
      <w:marTop w:val="0"/>
      <w:marBottom w:val="0"/>
      <w:divBdr>
        <w:top w:val="none" w:sz="0" w:space="0" w:color="auto"/>
        <w:left w:val="none" w:sz="0" w:space="0" w:color="auto"/>
        <w:bottom w:val="none" w:sz="0" w:space="0" w:color="auto"/>
        <w:right w:val="none" w:sz="0" w:space="0" w:color="auto"/>
      </w:divBdr>
    </w:div>
    <w:div w:id="1432168218">
      <w:bodyDiv w:val="1"/>
      <w:marLeft w:val="0"/>
      <w:marRight w:val="0"/>
      <w:marTop w:val="0"/>
      <w:marBottom w:val="0"/>
      <w:divBdr>
        <w:top w:val="none" w:sz="0" w:space="0" w:color="auto"/>
        <w:left w:val="none" w:sz="0" w:space="0" w:color="auto"/>
        <w:bottom w:val="none" w:sz="0" w:space="0" w:color="auto"/>
        <w:right w:val="none" w:sz="0" w:space="0" w:color="auto"/>
      </w:divBdr>
    </w:div>
    <w:div w:id="1432511496">
      <w:bodyDiv w:val="1"/>
      <w:marLeft w:val="0"/>
      <w:marRight w:val="0"/>
      <w:marTop w:val="0"/>
      <w:marBottom w:val="0"/>
      <w:divBdr>
        <w:top w:val="none" w:sz="0" w:space="0" w:color="auto"/>
        <w:left w:val="none" w:sz="0" w:space="0" w:color="auto"/>
        <w:bottom w:val="none" w:sz="0" w:space="0" w:color="auto"/>
        <w:right w:val="none" w:sz="0" w:space="0" w:color="auto"/>
      </w:divBdr>
    </w:div>
    <w:div w:id="1433819438">
      <w:bodyDiv w:val="1"/>
      <w:marLeft w:val="0"/>
      <w:marRight w:val="0"/>
      <w:marTop w:val="0"/>
      <w:marBottom w:val="0"/>
      <w:divBdr>
        <w:top w:val="none" w:sz="0" w:space="0" w:color="auto"/>
        <w:left w:val="none" w:sz="0" w:space="0" w:color="auto"/>
        <w:bottom w:val="none" w:sz="0" w:space="0" w:color="auto"/>
        <w:right w:val="none" w:sz="0" w:space="0" w:color="auto"/>
      </w:divBdr>
    </w:div>
    <w:div w:id="1436903180">
      <w:bodyDiv w:val="1"/>
      <w:marLeft w:val="0"/>
      <w:marRight w:val="0"/>
      <w:marTop w:val="0"/>
      <w:marBottom w:val="0"/>
      <w:divBdr>
        <w:top w:val="none" w:sz="0" w:space="0" w:color="auto"/>
        <w:left w:val="none" w:sz="0" w:space="0" w:color="auto"/>
        <w:bottom w:val="none" w:sz="0" w:space="0" w:color="auto"/>
        <w:right w:val="none" w:sz="0" w:space="0" w:color="auto"/>
      </w:divBdr>
    </w:div>
    <w:div w:id="1440105335">
      <w:bodyDiv w:val="1"/>
      <w:marLeft w:val="0"/>
      <w:marRight w:val="0"/>
      <w:marTop w:val="0"/>
      <w:marBottom w:val="0"/>
      <w:divBdr>
        <w:top w:val="none" w:sz="0" w:space="0" w:color="auto"/>
        <w:left w:val="none" w:sz="0" w:space="0" w:color="auto"/>
        <w:bottom w:val="none" w:sz="0" w:space="0" w:color="auto"/>
        <w:right w:val="none" w:sz="0" w:space="0" w:color="auto"/>
      </w:divBdr>
    </w:div>
    <w:div w:id="1440639060">
      <w:bodyDiv w:val="1"/>
      <w:marLeft w:val="0"/>
      <w:marRight w:val="0"/>
      <w:marTop w:val="0"/>
      <w:marBottom w:val="0"/>
      <w:divBdr>
        <w:top w:val="none" w:sz="0" w:space="0" w:color="auto"/>
        <w:left w:val="none" w:sz="0" w:space="0" w:color="auto"/>
        <w:bottom w:val="none" w:sz="0" w:space="0" w:color="auto"/>
        <w:right w:val="none" w:sz="0" w:space="0" w:color="auto"/>
      </w:divBdr>
    </w:div>
    <w:div w:id="1441296023">
      <w:bodyDiv w:val="1"/>
      <w:marLeft w:val="0"/>
      <w:marRight w:val="0"/>
      <w:marTop w:val="0"/>
      <w:marBottom w:val="0"/>
      <w:divBdr>
        <w:top w:val="none" w:sz="0" w:space="0" w:color="auto"/>
        <w:left w:val="none" w:sz="0" w:space="0" w:color="auto"/>
        <w:bottom w:val="none" w:sz="0" w:space="0" w:color="auto"/>
        <w:right w:val="none" w:sz="0" w:space="0" w:color="auto"/>
      </w:divBdr>
    </w:div>
    <w:div w:id="1442721847">
      <w:bodyDiv w:val="1"/>
      <w:marLeft w:val="0"/>
      <w:marRight w:val="0"/>
      <w:marTop w:val="0"/>
      <w:marBottom w:val="0"/>
      <w:divBdr>
        <w:top w:val="none" w:sz="0" w:space="0" w:color="auto"/>
        <w:left w:val="none" w:sz="0" w:space="0" w:color="auto"/>
        <w:bottom w:val="none" w:sz="0" w:space="0" w:color="auto"/>
        <w:right w:val="none" w:sz="0" w:space="0" w:color="auto"/>
      </w:divBdr>
    </w:div>
    <w:div w:id="1443723349">
      <w:bodyDiv w:val="1"/>
      <w:marLeft w:val="0"/>
      <w:marRight w:val="0"/>
      <w:marTop w:val="0"/>
      <w:marBottom w:val="0"/>
      <w:divBdr>
        <w:top w:val="none" w:sz="0" w:space="0" w:color="auto"/>
        <w:left w:val="none" w:sz="0" w:space="0" w:color="auto"/>
        <w:bottom w:val="none" w:sz="0" w:space="0" w:color="auto"/>
        <w:right w:val="none" w:sz="0" w:space="0" w:color="auto"/>
      </w:divBdr>
    </w:div>
    <w:div w:id="1445223485">
      <w:bodyDiv w:val="1"/>
      <w:marLeft w:val="0"/>
      <w:marRight w:val="0"/>
      <w:marTop w:val="0"/>
      <w:marBottom w:val="0"/>
      <w:divBdr>
        <w:top w:val="none" w:sz="0" w:space="0" w:color="auto"/>
        <w:left w:val="none" w:sz="0" w:space="0" w:color="auto"/>
        <w:bottom w:val="none" w:sz="0" w:space="0" w:color="auto"/>
        <w:right w:val="none" w:sz="0" w:space="0" w:color="auto"/>
      </w:divBdr>
    </w:div>
    <w:div w:id="1447625849">
      <w:bodyDiv w:val="1"/>
      <w:marLeft w:val="0"/>
      <w:marRight w:val="0"/>
      <w:marTop w:val="0"/>
      <w:marBottom w:val="0"/>
      <w:divBdr>
        <w:top w:val="none" w:sz="0" w:space="0" w:color="auto"/>
        <w:left w:val="none" w:sz="0" w:space="0" w:color="auto"/>
        <w:bottom w:val="none" w:sz="0" w:space="0" w:color="auto"/>
        <w:right w:val="none" w:sz="0" w:space="0" w:color="auto"/>
      </w:divBdr>
    </w:div>
    <w:div w:id="1447695548">
      <w:bodyDiv w:val="1"/>
      <w:marLeft w:val="0"/>
      <w:marRight w:val="0"/>
      <w:marTop w:val="0"/>
      <w:marBottom w:val="0"/>
      <w:divBdr>
        <w:top w:val="none" w:sz="0" w:space="0" w:color="auto"/>
        <w:left w:val="none" w:sz="0" w:space="0" w:color="auto"/>
        <w:bottom w:val="none" w:sz="0" w:space="0" w:color="auto"/>
        <w:right w:val="none" w:sz="0" w:space="0" w:color="auto"/>
      </w:divBdr>
    </w:div>
    <w:div w:id="1454710757">
      <w:bodyDiv w:val="1"/>
      <w:marLeft w:val="0"/>
      <w:marRight w:val="0"/>
      <w:marTop w:val="0"/>
      <w:marBottom w:val="0"/>
      <w:divBdr>
        <w:top w:val="none" w:sz="0" w:space="0" w:color="auto"/>
        <w:left w:val="none" w:sz="0" w:space="0" w:color="auto"/>
        <w:bottom w:val="none" w:sz="0" w:space="0" w:color="auto"/>
        <w:right w:val="none" w:sz="0" w:space="0" w:color="auto"/>
      </w:divBdr>
    </w:div>
    <w:div w:id="1464074499">
      <w:bodyDiv w:val="1"/>
      <w:marLeft w:val="0"/>
      <w:marRight w:val="0"/>
      <w:marTop w:val="0"/>
      <w:marBottom w:val="0"/>
      <w:divBdr>
        <w:top w:val="none" w:sz="0" w:space="0" w:color="auto"/>
        <w:left w:val="none" w:sz="0" w:space="0" w:color="auto"/>
        <w:bottom w:val="none" w:sz="0" w:space="0" w:color="auto"/>
        <w:right w:val="none" w:sz="0" w:space="0" w:color="auto"/>
      </w:divBdr>
    </w:div>
    <w:div w:id="1464737342">
      <w:bodyDiv w:val="1"/>
      <w:marLeft w:val="0"/>
      <w:marRight w:val="0"/>
      <w:marTop w:val="0"/>
      <w:marBottom w:val="0"/>
      <w:divBdr>
        <w:top w:val="none" w:sz="0" w:space="0" w:color="auto"/>
        <w:left w:val="none" w:sz="0" w:space="0" w:color="auto"/>
        <w:bottom w:val="none" w:sz="0" w:space="0" w:color="auto"/>
        <w:right w:val="none" w:sz="0" w:space="0" w:color="auto"/>
      </w:divBdr>
    </w:div>
    <w:div w:id="1470129971">
      <w:bodyDiv w:val="1"/>
      <w:marLeft w:val="0"/>
      <w:marRight w:val="0"/>
      <w:marTop w:val="0"/>
      <w:marBottom w:val="0"/>
      <w:divBdr>
        <w:top w:val="none" w:sz="0" w:space="0" w:color="auto"/>
        <w:left w:val="none" w:sz="0" w:space="0" w:color="auto"/>
        <w:bottom w:val="none" w:sz="0" w:space="0" w:color="auto"/>
        <w:right w:val="none" w:sz="0" w:space="0" w:color="auto"/>
      </w:divBdr>
    </w:div>
    <w:div w:id="1470433910">
      <w:bodyDiv w:val="1"/>
      <w:marLeft w:val="0"/>
      <w:marRight w:val="0"/>
      <w:marTop w:val="0"/>
      <w:marBottom w:val="0"/>
      <w:divBdr>
        <w:top w:val="none" w:sz="0" w:space="0" w:color="auto"/>
        <w:left w:val="none" w:sz="0" w:space="0" w:color="auto"/>
        <w:bottom w:val="none" w:sz="0" w:space="0" w:color="auto"/>
        <w:right w:val="none" w:sz="0" w:space="0" w:color="auto"/>
      </w:divBdr>
    </w:div>
    <w:div w:id="1472626348">
      <w:bodyDiv w:val="1"/>
      <w:marLeft w:val="0"/>
      <w:marRight w:val="0"/>
      <w:marTop w:val="0"/>
      <w:marBottom w:val="0"/>
      <w:divBdr>
        <w:top w:val="none" w:sz="0" w:space="0" w:color="auto"/>
        <w:left w:val="none" w:sz="0" w:space="0" w:color="auto"/>
        <w:bottom w:val="none" w:sz="0" w:space="0" w:color="auto"/>
        <w:right w:val="none" w:sz="0" w:space="0" w:color="auto"/>
      </w:divBdr>
    </w:div>
    <w:div w:id="1474299185">
      <w:bodyDiv w:val="1"/>
      <w:marLeft w:val="0"/>
      <w:marRight w:val="0"/>
      <w:marTop w:val="0"/>
      <w:marBottom w:val="0"/>
      <w:divBdr>
        <w:top w:val="none" w:sz="0" w:space="0" w:color="auto"/>
        <w:left w:val="none" w:sz="0" w:space="0" w:color="auto"/>
        <w:bottom w:val="none" w:sz="0" w:space="0" w:color="auto"/>
        <w:right w:val="none" w:sz="0" w:space="0" w:color="auto"/>
      </w:divBdr>
    </w:div>
    <w:div w:id="1476290335">
      <w:bodyDiv w:val="1"/>
      <w:marLeft w:val="0"/>
      <w:marRight w:val="0"/>
      <w:marTop w:val="0"/>
      <w:marBottom w:val="0"/>
      <w:divBdr>
        <w:top w:val="none" w:sz="0" w:space="0" w:color="auto"/>
        <w:left w:val="none" w:sz="0" w:space="0" w:color="auto"/>
        <w:bottom w:val="none" w:sz="0" w:space="0" w:color="auto"/>
        <w:right w:val="none" w:sz="0" w:space="0" w:color="auto"/>
      </w:divBdr>
    </w:div>
    <w:div w:id="1477912118">
      <w:bodyDiv w:val="1"/>
      <w:marLeft w:val="0"/>
      <w:marRight w:val="0"/>
      <w:marTop w:val="0"/>
      <w:marBottom w:val="0"/>
      <w:divBdr>
        <w:top w:val="none" w:sz="0" w:space="0" w:color="auto"/>
        <w:left w:val="none" w:sz="0" w:space="0" w:color="auto"/>
        <w:bottom w:val="none" w:sz="0" w:space="0" w:color="auto"/>
        <w:right w:val="none" w:sz="0" w:space="0" w:color="auto"/>
      </w:divBdr>
    </w:div>
    <w:div w:id="1479958027">
      <w:bodyDiv w:val="1"/>
      <w:marLeft w:val="0"/>
      <w:marRight w:val="0"/>
      <w:marTop w:val="0"/>
      <w:marBottom w:val="0"/>
      <w:divBdr>
        <w:top w:val="none" w:sz="0" w:space="0" w:color="auto"/>
        <w:left w:val="none" w:sz="0" w:space="0" w:color="auto"/>
        <w:bottom w:val="none" w:sz="0" w:space="0" w:color="auto"/>
        <w:right w:val="none" w:sz="0" w:space="0" w:color="auto"/>
      </w:divBdr>
    </w:div>
    <w:div w:id="1486698329">
      <w:bodyDiv w:val="1"/>
      <w:marLeft w:val="0"/>
      <w:marRight w:val="0"/>
      <w:marTop w:val="0"/>
      <w:marBottom w:val="0"/>
      <w:divBdr>
        <w:top w:val="none" w:sz="0" w:space="0" w:color="auto"/>
        <w:left w:val="none" w:sz="0" w:space="0" w:color="auto"/>
        <w:bottom w:val="none" w:sz="0" w:space="0" w:color="auto"/>
        <w:right w:val="none" w:sz="0" w:space="0" w:color="auto"/>
      </w:divBdr>
    </w:div>
    <w:div w:id="1487698901">
      <w:bodyDiv w:val="1"/>
      <w:marLeft w:val="0"/>
      <w:marRight w:val="0"/>
      <w:marTop w:val="0"/>
      <w:marBottom w:val="0"/>
      <w:divBdr>
        <w:top w:val="none" w:sz="0" w:space="0" w:color="auto"/>
        <w:left w:val="none" w:sz="0" w:space="0" w:color="auto"/>
        <w:bottom w:val="none" w:sz="0" w:space="0" w:color="auto"/>
        <w:right w:val="none" w:sz="0" w:space="0" w:color="auto"/>
      </w:divBdr>
    </w:div>
    <w:div w:id="1489781869">
      <w:bodyDiv w:val="1"/>
      <w:marLeft w:val="0"/>
      <w:marRight w:val="0"/>
      <w:marTop w:val="0"/>
      <w:marBottom w:val="0"/>
      <w:divBdr>
        <w:top w:val="none" w:sz="0" w:space="0" w:color="auto"/>
        <w:left w:val="none" w:sz="0" w:space="0" w:color="auto"/>
        <w:bottom w:val="none" w:sz="0" w:space="0" w:color="auto"/>
        <w:right w:val="none" w:sz="0" w:space="0" w:color="auto"/>
      </w:divBdr>
    </w:div>
    <w:div w:id="1493568727">
      <w:bodyDiv w:val="1"/>
      <w:marLeft w:val="0"/>
      <w:marRight w:val="0"/>
      <w:marTop w:val="0"/>
      <w:marBottom w:val="0"/>
      <w:divBdr>
        <w:top w:val="none" w:sz="0" w:space="0" w:color="auto"/>
        <w:left w:val="none" w:sz="0" w:space="0" w:color="auto"/>
        <w:bottom w:val="none" w:sz="0" w:space="0" w:color="auto"/>
        <w:right w:val="none" w:sz="0" w:space="0" w:color="auto"/>
      </w:divBdr>
    </w:div>
    <w:div w:id="1498495191">
      <w:bodyDiv w:val="1"/>
      <w:marLeft w:val="0"/>
      <w:marRight w:val="0"/>
      <w:marTop w:val="0"/>
      <w:marBottom w:val="0"/>
      <w:divBdr>
        <w:top w:val="none" w:sz="0" w:space="0" w:color="auto"/>
        <w:left w:val="none" w:sz="0" w:space="0" w:color="auto"/>
        <w:bottom w:val="none" w:sz="0" w:space="0" w:color="auto"/>
        <w:right w:val="none" w:sz="0" w:space="0" w:color="auto"/>
      </w:divBdr>
    </w:div>
    <w:div w:id="1504320672">
      <w:bodyDiv w:val="1"/>
      <w:marLeft w:val="0"/>
      <w:marRight w:val="0"/>
      <w:marTop w:val="0"/>
      <w:marBottom w:val="0"/>
      <w:divBdr>
        <w:top w:val="none" w:sz="0" w:space="0" w:color="auto"/>
        <w:left w:val="none" w:sz="0" w:space="0" w:color="auto"/>
        <w:bottom w:val="none" w:sz="0" w:space="0" w:color="auto"/>
        <w:right w:val="none" w:sz="0" w:space="0" w:color="auto"/>
      </w:divBdr>
    </w:div>
    <w:div w:id="1505239970">
      <w:bodyDiv w:val="1"/>
      <w:marLeft w:val="0"/>
      <w:marRight w:val="0"/>
      <w:marTop w:val="0"/>
      <w:marBottom w:val="0"/>
      <w:divBdr>
        <w:top w:val="none" w:sz="0" w:space="0" w:color="auto"/>
        <w:left w:val="none" w:sz="0" w:space="0" w:color="auto"/>
        <w:bottom w:val="none" w:sz="0" w:space="0" w:color="auto"/>
        <w:right w:val="none" w:sz="0" w:space="0" w:color="auto"/>
      </w:divBdr>
    </w:div>
    <w:div w:id="1506020987">
      <w:bodyDiv w:val="1"/>
      <w:marLeft w:val="0"/>
      <w:marRight w:val="0"/>
      <w:marTop w:val="0"/>
      <w:marBottom w:val="0"/>
      <w:divBdr>
        <w:top w:val="none" w:sz="0" w:space="0" w:color="auto"/>
        <w:left w:val="none" w:sz="0" w:space="0" w:color="auto"/>
        <w:bottom w:val="none" w:sz="0" w:space="0" w:color="auto"/>
        <w:right w:val="none" w:sz="0" w:space="0" w:color="auto"/>
      </w:divBdr>
    </w:div>
    <w:div w:id="1506432109">
      <w:bodyDiv w:val="1"/>
      <w:marLeft w:val="0"/>
      <w:marRight w:val="0"/>
      <w:marTop w:val="0"/>
      <w:marBottom w:val="0"/>
      <w:divBdr>
        <w:top w:val="none" w:sz="0" w:space="0" w:color="auto"/>
        <w:left w:val="none" w:sz="0" w:space="0" w:color="auto"/>
        <w:bottom w:val="none" w:sz="0" w:space="0" w:color="auto"/>
        <w:right w:val="none" w:sz="0" w:space="0" w:color="auto"/>
      </w:divBdr>
    </w:div>
    <w:div w:id="1507549604">
      <w:bodyDiv w:val="1"/>
      <w:marLeft w:val="0"/>
      <w:marRight w:val="0"/>
      <w:marTop w:val="0"/>
      <w:marBottom w:val="0"/>
      <w:divBdr>
        <w:top w:val="none" w:sz="0" w:space="0" w:color="auto"/>
        <w:left w:val="none" w:sz="0" w:space="0" w:color="auto"/>
        <w:bottom w:val="none" w:sz="0" w:space="0" w:color="auto"/>
        <w:right w:val="none" w:sz="0" w:space="0" w:color="auto"/>
      </w:divBdr>
    </w:div>
    <w:div w:id="1507592563">
      <w:bodyDiv w:val="1"/>
      <w:marLeft w:val="0"/>
      <w:marRight w:val="0"/>
      <w:marTop w:val="0"/>
      <w:marBottom w:val="0"/>
      <w:divBdr>
        <w:top w:val="none" w:sz="0" w:space="0" w:color="auto"/>
        <w:left w:val="none" w:sz="0" w:space="0" w:color="auto"/>
        <w:bottom w:val="none" w:sz="0" w:space="0" w:color="auto"/>
        <w:right w:val="none" w:sz="0" w:space="0" w:color="auto"/>
      </w:divBdr>
    </w:div>
    <w:div w:id="1509565307">
      <w:bodyDiv w:val="1"/>
      <w:marLeft w:val="0"/>
      <w:marRight w:val="0"/>
      <w:marTop w:val="0"/>
      <w:marBottom w:val="0"/>
      <w:divBdr>
        <w:top w:val="none" w:sz="0" w:space="0" w:color="auto"/>
        <w:left w:val="none" w:sz="0" w:space="0" w:color="auto"/>
        <w:bottom w:val="none" w:sz="0" w:space="0" w:color="auto"/>
        <w:right w:val="none" w:sz="0" w:space="0" w:color="auto"/>
      </w:divBdr>
    </w:div>
    <w:div w:id="1509712314">
      <w:bodyDiv w:val="1"/>
      <w:marLeft w:val="0"/>
      <w:marRight w:val="0"/>
      <w:marTop w:val="0"/>
      <w:marBottom w:val="0"/>
      <w:divBdr>
        <w:top w:val="none" w:sz="0" w:space="0" w:color="auto"/>
        <w:left w:val="none" w:sz="0" w:space="0" w:color="auto"/>
        <w:bottom w:val="none" w:sz="0" w:space="0" w:color="auto"/>
        <w:right w:val="none" w:sz="0" w:space="0" w:color="auto"/>
      </w:divBdr>
    </w:div>
    <w:div w:id="1510488138">
      <w:bodyDiv w:val="1"/>
      <w:marLeft w:val="0"/>
      <w:marRight w:val="0"/>
      <w:marTop w:val="0"/>
      <w:marBottom w:val="0"/>
      <w:divBdr>
        <w:top w:val="none" w:sz="0" w:space="0" w:color="auto"/>
        <w:left w:val="none" w:sz="0" w:space="0" w:color="auto"/>
        <w:bottom w:val="none" w:sz="0" w:space="0" w:color="auto"/>
        <w:right w:val="none" w:sz="0" w:space="0" w:color="auto"/>
      </w:divBdr>
    </w:div>
    <w:div w:id="1512332458">
      <w:bodyDiv w:val="1"/>
      <w:marLeft w:val="0"/>
      <w:marRight w:val="0"/>
      <w:marTop w:val="0"/>
      <w:marBottom w:val="0"/>
      <w:divBdr>
        <w:top w:val="none" w:sz="0" w:space="0" w:color="auto"/>
        <w:left w:val="none" w:sz="0" w:space="0" w:color="auto"/>
        <w:bottom w:val="none" w:sz="0" w:space="0" w:color="auto"/>
        <w:right w:val="none" w:sz="0" w:space="0" w:color="auto"/>
      </w:divBdr>
    </w:div>
    <w:div w:id="1512375041">
      <w:bodyDiv w:val="1"/>
      <w:marLeft w:val="0"/>
      <w:marRight w:val="0"/>
      <w:marTop w:val="0"/>
      <w:marBottom w:val="0"/>
      <w:divBdr>
        <w:top w:val="none" w:sz="0" w:space="0" w:color="auto"/>
        <w:left w:val="none" w:sz="0" w:space="0" w:color="auto"/>
        <w:bottom w:val="none" w:sz="0" w:space="0" w:color="auto"/>
        <w:right w:val="none" w:sz="0" w:space="0" w:color="auto"/>
      </w:divBdr>
    </w:div>
    <w:div w:id="1512448081">
      <w:bodyDiv w:val="1"/>
      <w:marLeft w:val="0"/>
      <w:marRight w:val="0"/>
      <w:marTop w:val="0"/>
      <w:marBottom w:val="0"/>
      <w:divBdr>
        <w:top w:val="none" w:sz="0" w:space="0" w:color="auto"/>
        <w:left w:val="none" w:sz="0" w:space="0" w:color="auto"/>
        <w:bottom w:val="none" w:sz="0" w:space="0" w:color="auto"/>
        <w:right w:val="none" w:sz="0" w:space="0" w:color="auto"/>
      </w:divBdr>
    </w:div>
    <w:div w:id="1516265991">
      <w:bodyDiv w:val="1"/>
      <w:marLeft w:val="0"/>
      <w:marRight w:val="0"/>
      <w:marTop w:val="0"/>
      <w:marBottom w:val="0"/>
      <w:divBdr>
        <w:top w:val="none" w:sz="0" w:space="0" w:color="auto"/>
        <w:left w:val="none" w:sz="0" w:space="0" w:color="auto"/>
        <w:bottom w:val="none" w:sz="0" w:space="0" w:color="auto"/>
        <w:right w:val="none" w:sz="0" w:space="0" w:color="auto"/>
      </w:divBdr>
    </w:div>
    <w:div w:id="1516848175">
      <w:bodyDiv w:val="1"/>
      <w:marLeft w:val="0"/>
      <w:marRight w:val="0"/>
      <w:marTop w:val="0"/>
      <w:marBottom w:val="0"/>
      <w:divBdr>
        <w:top w:val="none" w:sz="0" w:space="0" w:color="auto"/>
        <w:left w:val="none" w:sz="0" w:space="0" w:color="auto"/>
        <w:bottom w:val="none" w:sz="0" w:space="0" w:color="auto"/>
        <w:right w:val="none" w:sz="0" w:space="0" w:color="auto"/>
      </w:divBdr>
    </w:div>
    <w:div w:id="1517501228">
      <w:bodyDiv w:val="1"/>
      <w:marLeft w:val="0"/>
      <w:marRight w:val="0"/>
      <w:marTop w:val="0"/>
      <w:marBottom w:val="0"/>
      <w:divBdr>
        <w:top w:val="none" w:sz="0" w:space="0" w:color="auto"/>
        <w:left w:val="none" w:sz="0" w:space="0" w:color="auto"/>
        <w:bottom w:val="none" w:sz="0" w:space="0" w:color="auto"/>
        <w:right w:val="none" w:sz="0" w:space="0" w:color="auto"/>
      </w:divBdr>
    </w:div>
    <w:div w:id="1522357206">
      <w:bodyDiv w:val="1"/>
      <w:marLeft w:val="0"/>
      <w:marRight w:val="0"/>
      <w:marTop w:val="0"/>
      <w:marBottom w:val="0"/>
      <w:divBdr>
        <w:top w:val="none" w:sz="0" w:space="0" w:color="auto"/>
        <w:left w:val="none" w:sz="0" w:space="0" w:color="auto"/>
        <w:bottom w:val="none" w:sz="0" w:space="0" w:color="auto"/>
        <w:right w:val="none" w:sz="0" w:space="0" w:color="auto"/>
      </w:divBdr>
    </w:div>
    <w:div w:id="1523860701">
      <w:bodyDiv w:val="1"/>
      <w:marLeft w:val="0"/>
      <w:marRight w:val="0"/>
      <w:marTop w:val="0"/>
      <w:marBottom w:val="0"/>
      <w:divBdr>
        <w:top w:val="none" w:sz="0" w:space="0" w:color="auto"/>
        <w:left w:val="none" w:sz="0" w:space="0" w:color="auto"/>
        <w:bottom w:val="none" w:sz="0" w:space="0" w:color="auto"/>
        <w:right w:val="none" w:sz="0" w:space="0" w:color="auto"/>
      </w:divBdr>
    </w:div>
    <w:div w:id="1533490448">
      <w:bodyDiv w:val="1"/>
      <w:marLeft w:val="0"/>
      <w:marRight w:val="0"/>
      <w:marTop w:val="0"/>
      <w:marBottom w:val="0"/>
      <w:divBdr>
        <w:top w:val="none" w:sz="0" w:space="0" w:color="auto"/>
        <w:left w:val="none" w:sz="0" w:space="0" w:color="auto"/>
        <w:bottom w:val="none" w:sz="0" w:space="0" w:color="auto"/>
        <w:right w:val="none" w:sz="0" w:space="0" w:color="auto"/>
      </w:divBdr>
    </w:div>
    <w:div w:id="1534491531">
      <w:bodyDiv w:val="1"/>
      <w:marLeft w:val="0"/>
      <w:marRight w:val="0"/>
      <w:marTop w:val="0"/>
      <w:marBottom w:val="0"/>
      <w:divBdr>
        <w:top w:val="none" w:sz="0" w:space="0" w:color="auto"/>
        <w:left w:val="none" w:sz="0" w:space="0" w:color="auto"/>
        <w:bottom w:val="none" w:sz="0" w:space="0" w:color="auto"/>
        <w:right w:val="none" w:sz="0" w:space="0" w:color="auto"/>
      </w:divBdr>
    </w:div>
    <w:div w:id="1535264657">
      <w:bodyDiv w:val="1"/>
      <w:marLeft w:val="0"/>
      <w:marRight w:val="0"/>
      <w:marTop w:val="0"/>
      <w:marBottom w:val="0"/>
      <w:divBdr>
        <w:top w:val="none" w:sz="0" w:space="0" w:color="auto"/>
        <w:left w:val="none" w:sz="0" w:space="0" w:color="auto"/>
        <w:bottom w:val="none" w:sz="0" w:space="0" w:color="auto"/>
        <w:right w:val="none" w:sz="0" w:space="0" w:color="auto"/>
      </w:divBdr>
    </w:div>
    <w:div w:id="1535848710">
      <w:bodyDiv w:val="1"/>
      <w:marLeft w:val="0"/>
      <w:marRight w:val="0"/>
      <w:marTop w:val="0"/>
      <w:marBottom w:val="0"/>
      <w:divBdr>
        <w:top w:val="none" w:sz="0" w:space="0" w:color="auto"/>
        <w:left w:val="none" w:sz="0" w:space="0" w:color="auto"/>
        <w:bottom w:val="none" w:sz="0" w:space="0" w:color="auto"/>
        <w:right w:val="none" w:sz="0" w:space="0" w:color="auto"/>
      </w:divBdr>
    </w:div>
    <w:div w:id="1536383064">
      <w:bodyDiv w:val="1"/>
      <w:marLeft w:val="0"/>
      <w:marRight w:val="0"/>
      <w:marTop w:val="0"/>
      <w:marBottom w:val="0"/>
      <w:divBdr>
        <w:top w:val="none" w:sz="0" w:space="0" w:color="auto"/>
        <w:left w:val="none" w:sz="0" w:space="0" w:color="auto"/>
        <w:bottom w:val="none" w:sz="0" w:space="0" w:color="auto"/>
        <w:right w:val="none" w:sz="0" w:space="0" w:color="auto"/>
      </w:divBdr>
    </w:div>
    <w:div w:id="1538202427">
      <w:bodyDiv w:val="1"/>
      <w:marLeft w:val="0"/>
      <w:marRight w:val="0"/>
      <w:marTop w:val="0"/>
      <w:marBottom w:val="0"/>
      <w:divBdr>
        <w:top w:val="none" w:sz="0" w:space="0" w:color="auto"/>
        <w:left w:val="none" w:sz="0" w:space="0" w:color="auto"/>
        <w:bottom w:val="none" w:sz="0" w:space="0" w:color="auto"/>
        <w:right w:val="none" w:sz="0" w:space="0" w:color="auto"/>
      </w:divBdr>
    </w:div>
    <w:div w:id="1539464869">
      <w:bodyDiv w:val="1"/>
      <w:marLeft w:val="0"/>
      <w:marRight w:val="0"/>
      <w:marTop w:val="0"/>
      <w:marBottom w:val="0"/>
      <w:divBdr>
        <w:top w:val="none" w:sz="0" w:space="0" w:color="auto"/>
        <w:left w:val="none" w:sz="0" w:space="0" w:color="auto"/>
        <w:bottom w:val="none" w:sz="0" w:space="0" w:color="auto"/>
        <w:right w:val="none" w:sz="0" w:space="0" w:color="auto"/>
      </w:divBdr>
    </w:div>
    <w:div w:id="1540703097">
      <w:bodyDiv w:val="1"/>
      <w:marLeft w:val="0"/>
      <w:marRight w:val="0"/>
      <w:marTop w:val="0"/>
      <w:marBottom w:val="0"/>
      <w:divBdr>
        <w:top w:val="none" w:sz="0" w:space="0" w:color="auto"/>
        <w:left w:val="none" w:sz="0" w:space="0" w:color="auto"/>
        <w:bottom w:val="none" w:sz="0" w:space="0" w:color="auto"/>
        <w:right w:val="none" w:sz="0" w:space="0" w:color="auto"/>
      </w:divBdr>
    </w:div>
    <w:div w:id="1543636876">
      <w:bodyDiv w:val="1"/>
      <w:marLeft w:val="0"/>
      <w:marRight w:val="0"/>
      <w:marTop w:val="0"/>
      <w:marBottom w:val="0"/>
      <w:divBdr>
        <w:top w:val="none" w:sz="0" w:space="0" w:color="auto"/>
        <w:left w:val="none" w:sz="0" w:space="0" w:color="auto"/>
        <w:bottom w:val="none" w:sz="0" w:space="0" w:color="auto"/>
        <w:right w:val="none" w:sz="0" w:space="0" w:color="auto"/>
      </w:divBdr>
    </w:div>
    <w:div w:id="1547643106">
      <w:bodyDiv w:val="1"/>
      <w:marLeft w:val="0"/>
      <w:marRight w:val="0"/>
      <w:marTop w:val="0"/>
      <w:marBottom w:val="0"/>
      <w:divBdr>
        <w:top w:val="none" w:sz="0" w:space="0" w:color="auto"/>
        <w:left w:val="none" w:sz="0" w:space="0" w:color="auto"/>
        <w:bottom w:val="none" w:sz="0" w:space="0" w:color="auto"/>
        <w:right w:val="none" w:sz="0" w:space="0" w:color="auto"/>
      </w:divBdr>
    </w:div>
    <w:div w:id="1553469110">
      <w:bodyDiv w:val="1"/>
      <w:marLeft w:val="0"/>
      <w:marRight w:val="0"/>
      <w:marTop w:val="0"/>
      <w:marBottom w:val="0"/>
      <w:divBdr>
        <w:top w:val="none" w:sz="0" w:space="0" w:color="auto"/>
        <w:left w:val="none" w:sz="0" w:space="0" w:color="auto"/>
        <w:bottom w:val="none" w:sz="0" w:space="0" w:color="auto"/>
        <w:right w:val="none" w:sz="0" w:space="0" w:color="auto"/>
      </w:divBdr>
    </w:div>
    <w:div w:id="1554192712">
      <w:bodyDiv w:val="1"/>
      <w:marLeft w:val="0"/>
      <w:marRight w:val="0"/>
      <w:marTop w:val="0"/>
      <w:marBottom w:val="0"/>
      <w:divBdr>
        <w:top w:val="none" w:sz="0" w:space="0" w:color="auto"/>
        <w:left w:val="none" w:sz="0" w:space="0" w:color="auto"/>
        <w:bottom w:val="none" w:sz="0" w:space="0" w:color="auto"/>
        <w:right w:val="none" w:sz="0" w:space="0" w:color="auto"/>
      </w:divBdr>
    </w:div>
    <w:div w:id="1557619499">
      <w:bodyDiv w:val="1"/>
      <w:marLeft w:val="0"/>
      <w:marRight w:val="0"/>
      <w:marTop w:val="0"/>
      <w:marBottom w:val="0"/>
      <w:divBdr>
        <w:top w:val="none" w:sz="0" w:space="0" w:color="auto"/>
        <w:left w:val="none" w:sz="0" w:space="0" w:color="auto"/>
        <w:bottom w:val="none" w:sz="0" w:space="0" w:color="auto"/>
        <w:right w:val="none" w:sz="0" w:space="0" w:color="auto"/>
      </w:divBdr>
    </w:div>
    <w:div w:id="1560482213">
      <w:bodyDiv w:val="1"/>
      <w:marLeft w:val="0"/>
      <w:marRight w:val="0"/>
      <w:marTop w:val="0"/>
      <w:marBottom w:val="0"/>
      <w:divBdr>
        <w:top w:val="none" w:sz="0" w:space="0" w:color="auto"/>
        <w:left w:val="none" w:sz="0" w:space="0" w:color="auto"/>
        <w:bottom w:val="none" w:sz="0" w:space="0" w:color="auto"/>
        <w:right w:val="none" w:sz="0" w:space="0" w:color="auto"/>
      </w:divBdr>
    </w:div>
    <w:div w:id="1563832677">
      <w:bodyDiv w:val="1"/>
      <w:marLeft w:val="0"/>
      <w:marRight w:val="0"/>
      <w:marTop w:val="0"/>
      <w:marBottom w:val="0"/>
      <w:divBdr>
        <w:top w:val="none" w:sz="0" w:space="0" w:color="auto"/>
        <w:left w:val="none" w:sz="0" w:space="0" w:color="auto"/>
        <w:bottom w:val="none" w:sz="0" w:space="0" w:color="auto"/>
        <w:right w:val="none" w:sz="0" w:space="0" w:color="auto"/>
      </w:divBdr>
    </w:div>
    <w:div w:id="1571766782">
      <w:bodyDiv w:val="1"/>
      <w:marLeft w:val="0"/>
      <w:marRight w:val="0"/>
      <w:marTop w:val="0"/>
      <w:marBottom w:val="0"/>
      <w:divBdr>
        <w:top w:val="none" w:sz="0" w:space="0" w:color="auto"/>
        <w:left w:val="none" w:sz="0" w:space="0" w:color="auto"/>
        <w:bottom w:val="none" w:sz="0" w:space="0" w:color="auto"/>
        <w:right w:val="none" w:sz="0" w:space="0" w:color="auto"/>
      </w:divBdr>
    </w:div>
    <w:div w:id="1572736169">
      <w:bodyDiv w:val="1"/>
      <w:marLeft w:val="0"/>
      <w:marRight w:val="0"/>
      <w:marTop w:val="0"/>
      <w:marBottom w:val="0"/>
      <w:divBdr>
        <w:top w:val="none" w:sz="0" w:space="0" w:color="auto"/>
        <w:left w:val="none" w:sz="0" w:space="0" w:color="auto"/>
        <w:bottom w:val="none" w:sz="0" w:space="0" w:color="auto"/>
        <w:right w:val="none" w:sz="0" w:space="0" w:color="auto"/>
      </w:divBdr>
    </w:div>
    <w:div w:id="1574272610">
      <w:bodyDiv w:val="1"/>
      <w:marLeft w:val="0"/>
      <w:marRight w:val="0"/>
      <w:marTop w:val="0"/>
      <w:marBottom w:val="0"/>
      <w:divBdr>
        <w:top w:val="none" w:sz="0" w:space="0" w:color="auto"/>
        <w:left w:val="none" w:sz="0" w:space="0" w:color="auto"/>
        <w:bottom w:val="none" w:sz="0" w:space="0" w:color="auto"/>
        <w:right w:val="none" w:sz="0" w:space="0" w:color="auto"/>
      </w:divBdr>
    </w:div>
    <w:div w:id="1575239580">
      <w:bodyDiv w:val="1"/>
      <w:marLeft w:val="0"/>
      <w:marRight w:val="0"/>
      <w:marTop w:val="0"/>
      <w:marBottom w:val="0"/>
      <w:divBdr>
        <w:top w:val="none" w:sz="0" w:space="0" w:color="auto"/>
        <w:left w:val="none" w:sz="0" w:space="0" w:color="auto"/>
        <w:bottom w:val="none" w:sz="0" w:space="0" w:color="auto"/>
        <w:right w:val="none" w:sz="0" w:space="0" w:color="auto"/>
      </w:divBdr>
    </w:div>
    <w:div w:id="1576893287">
      <w:bodyDiv w:val="1"/>
      <w:marLeft w:val="0"/>
      <w:marRight w:val="0"/>
      <w:marTop w:val="0"/>
      <w:marBottom w:val="0"/>
      <w:divBdr>
        <w:top w:val="none" w:sz="0" w:space="0" w:color="auto"/>
        <w:left w:val="none" w:sz="0" w:space="0" w:color="auto"/>
        <w:bottom w:val="none" w:sz="0" w:space="0" w:color="auto"/>
        <w:right w:val="none" w:sz="0" w:space="0" w:color="auto"/>
      </w:divBdr>
    </w:div>
    <w:div w:id="1577981977">
      <w:bodyDiv w:val="1"/>
      <w:marLeft w:val="0"/>
      <w:marRight w:val="0"/>
      <w:marTop w:val="0"/>
      <w:marBottom w:val="0"/>
      <w:divBdr>
        <w:top w:val="none" w:sz="0" w:space="0" w:color="auto"/>
        <w:left w:val="none" w:sz="0" w:space="0" w:color="auto"/>
        <w:bottom w:val="none" w:sz="0" w:space="0" w:color="auto"/>
        <w:right w:val="none" w:sz="0" w:space="0" w:color="auto"/>
      </w:divBdr>
    </w:div>
    <w:div w:id="1578437440">
      <w:bodyDiv w:val="1"/>
      <w:marLeft w:val="0"/>
      <w:marRight w:val="0"/>
      <w:marTop w:val="0"/>
      <w:marBottom w:val="0"/>
      <w:divBdr>
        <w:top w:val="none" w:sz="0" w:space="0" w:color="auto"/>
        <w:left w:val="none" w:sz="0" w:space="0" w:color="auto"/>
        <w:bottom w:val="none" w:sz="0" w:space="0" w:color="auto"/>
        <w:right w:val="none" w:sz="0" w:space="0" w:color="auto"/>
      </w:divBdr>
    </w:div>
    <w:div w:id="1581789346">
      <w:bodyDiv w:val="1"/>
      <w:marLeft w:val="0"/>
      <w:marRight w:val="0"/>
      <w:marTop w:val="0"/>
      <w:marBottom w:val="0"/>
      <w:divBdr>
        <w:top w:val="none" w:sz="0" w:space="0" w:color="auto"/>
        <w:left w:val="none" w:sz="0" w:space="0" w:color="auto"/>
        <w:bottom w:val="none" w:sz="0" w:space="0" w:color="auto"/>
        <w:right w:val="none" w:sz="0" w:space="0" w:color="auto"/>
      </w:divBdr>
    </w:div>
    <w:div w:id="1584802121">
      <w:bodyDiv w:val="1"/>
      <w:marLeft w:val="0"/>
      <w:marRight w:val="0"/>
      <w:marTop w:val="0"/>
      <w:marBottom w:val="0"/>
      <w:divBdr>
        <w:top w:val="none" w:sz="0" w:space="0" w:color="auto"/>
        <w:left w:val="none" w:sz="0" w:space="0" w:color="auto"/>
        <w:bottom w:val="none" w:sz="0" w:space="0" w:color="auto"/>
        <w:right w:val="none" w:sz="0" w:space="0" w:color="auto"/>
      </w:divBdr>
    </w:div>
    <w:div w:id="1587617150">
      <w:bodyDiv w:val="1"/>
      <w:marLeft w:val="0"/>
      <w:marRight w:val="0"/>
      <w:marTop w:val="0"/>
      <w:marBottom w:val="0"/>
      <w:divBdr>
        <w:top w:val="none" w:sz="0" w:space="0" w:color="auto"/>
        <w:left w:val="none" w:sz="0" w:space="0" w:color="auto"/>
        <w:bottom w:val="none" w:sz="0" w:space="0" w:color="auto"/>
        <w:right w:val="none" w:sz="0" w:space="0" w:color="auto"/>
      </w:divBdr>
    </w:div>
    <w:div w:id="1590962723">
      <w:bodyDiv w:val="1"/>
      <w:marLeft w:val="0"/>
      <w:marRight w:val="0"/>
      <w:marTop w:val="0"/>
      <w:marBottom w:val="0"/>
      <w:divBdr>
        <w:top w:val="none" w:sz="0" w:space="0" w:color="auto"/>
        <w:left w:val="none" w:sz="0" w:space="0" w:color="auto"/>
        <w:bottom w:val="none" w:sz="0" w:space="0" w:color="auto"/>
        <w:right w:val="none" w:sz="0" w:space="0" w:color="auto"/>
      </w:divBdr>
    </w:div>
    <w:div w:id="1593585554">
      <w:bodyDiv w:val="1"/>
      <w:marLeft w:val="0"/>
      <w:marRight w:val="0"/>
      <w:marTop w:val="0"/>
      <w:marBottom w:val="0"/>
      <w:divBdr>
        <w:top w:val="none" w:sz="0" w:space="0" w:color="auto"/>
        <w:left w:val="none" w:sz="0" w:space="0" w:color="auto"/>
        <w:bottom w:val="none" w:sz="0" w:space="0" w:color="auto"/>
        <w:right w:val="none" w:sz="0" w:space="0" w:color="auto"/>
      </w:divBdr>
    </w:div>
    <w:div w:id="1595164164">
      <w:bodyDiv w:val="1"/>
      <w:marLeft w:val="0"/>
      <w:marRight w:val="0"/>
      <w:marTop w:val="0"/>
      <w:marBottom w:val="0"/>
      <w:divBdr>
        <w:top w:val="none" w:sz="0" w:space="0" w:color="auto"/>
        <w:left w:val="none" w:sz="0" w:space="0" w:color="auto"/>
        <w:bottom w:val="none" w:sz="0" w:space="0" w:color="auto"/>
        <w:right w:val="none" w:sz="0" w:space="0" w:color="auto"/>
      </w:divBdr>
    </w:div>
    <w:div w:id="1596669869">
      <w:bodyDiv w:val="1"/>
      <w:marLeft w:val="0"/>
      <w:marRight w:val="0"/>
      <w:marTop w:val="0"/>
      <w:marBottom w:val="0"/>
      <w:divBdr>
        <w:top w:val="none" w:sz="0" w:space="0" w:color="auto"/>
        <w:left w:val="none" w:sz="0" w:space="0" w:color="auto"/>
        <w:bottom w:val="none" w:sz="0" w:space="0" w:color="auto"/>
        <w:right w:val="none" w:sz="0" w:space="0" w:color="auto"/>
      </w:divBdr>
    </w:div>
    <w:div w:id="1600915261">
      <w:bodyDiv w:val="1"/>
      <w:marLeft w:val="0"/>
      <w:marRight w:val="0"/>
      <w:marTop w:val="0"/>
      <w:marBottom w:val="0"/>
      <w:divBdr>
        <w:top w:val="none" w:sz="0" w:space="0" w:color="auto"/>
        <w:left w:val="none" w:sz="0" w:space="0" w:color="auto"/>
        <w:bottom w:val="none" w:sz="0" w:space="0" w:color="auto"/>
        <w:right w:val="none" w:sz="0" w:space="0" w:color="auto"/>
      </w:divBdr>
    </w:div>
    <w:div w:id="1602641291">
      <w:bodyDiv w:val="1"/>
      <w:marLeft w:val="0"/>
      <w:marRight w:val="0"/>
      <w:marTop w:val="0"/>
      <w:marBottom w:val="0"/>
      <w:divBdr>
        <w:top w:val="none" w:sz="0" w:space="0" w:color="auto"/>
        <w:left w:val="none" w:sz="0" w:space="0" w:color="auto"/>
        <w:bottom w:val="none" w:sz="0" w:space="0" w:color="auto"/>
        <w:right w:val="none" w:sz="0" w:space="0" w:color="auto"/>
      </w:divBdr>
    </w:div>
    <w:div w:id="1606423456">
      <w:bodyDiv w:val="1"/>
      <w:marLeft w:val="0"/>
      <w:marRight w:val="0"/>
      <w:marTop w:val="0"/>
      <w:marBottom w:val="0"/>
      <w:divBdr>
        <w:top w:val="none" w:sz="0" w:space="0" w:color="auto"/>
        <w:left w:val="none" w:sz="0" w:space="0" w:color="auto"/>
        <w:bottom w:val="none" w:sz="0" w:space="0" w:color="auto"/>
        <w:right w:val="none" w:sz="0" w:space="0" w:color="auto"/>
      </w:divBdr>
    </w:div>
    <w:div w:id="1606956664">
      <w:bodyDiv w:val="1"/>
      <w:marLeft w:val="0"/>
      <w:marRight w:val="0"/>
      <w:marTop w:val="0"/>
      <w:marBottom w:val="0"/>
      <w:divBdr>
        <w:top w:val="none" w:sz="0" w:space="0" w:color="auto"/>
        <w:left w:val="none" w:sz="0" w:space="0" w:color="auto"/>
        <w:bottom w:val="none" w:sz="0" w:space="0" w:color="auto"/>
        <w:right w:val="none" w:sz="0" w:space="0" w:color="auto"/>
      </w:divBdr>
    </w:div>
    <w:div w:id="1609508081">
      <w:bodyDiv w:val="1"/>
      <w:marLeft w:val="0"/>
      <w:marRight w:val="0"/>
      <w:marTop w:val="0"/>
      <w:marBottom w:val="0"/>
      <w:divBdr>
        <w:top w:val="none" w:sz="0" w:space="0" w:color="auto"/>
        <w:left w:val="none" w:sz="0" w:space="0" w:color="auto"/>
        <w:bottom w:val="none" w:sz="0" w:space="0" w:color="auto"/>
        <w:right w:val="none" w:sz="0" w:space="0" w:color="auto"/>
      </w:divBdr>
    </w:div>
    <w:div w:id="1609701596">
      <w:bodyDiv w:val="1"/>
      <w:marLeft w:val="0"/>
      <w:marRight w:val="0"/>
      <w:marTop w:val="0"/>
      <w:marBottom w:val="0"/>
      <w:divBdr>
        <w:top w:val="none" w:sz="0" w:space="0" w:color="auto"/>
        <w:left w:val="none" w:sz="0" w:space="0" w:color="auto"/>
        <w:bottom w:val="none" w:sz="0" w:space="0" w:color="auto"/>
        <w:right w:val="none" w:sz="0" w:space="0" w:color="auto"/>
      </w:divBdr>
    </w:div>
    <w:div w:id="1610312765">
      <w:bodyDiv w:val="1"/>
      <w:marLeft w:val="0"/>
      <w:marRight w:val="0"/>
      <w:marTop w:val="0"/>
      <w:marBottom w:val="0"/>
      <w:divBdr>
        <w:top w:val="none" w:sz="0" w:space="0" w:color="auto"/>
        <w:left w:val="none" w:sz="0" w:space="0" w:color="auto"/>
        <w:bottom w:val="none" w:sz="0" w:space="0" w:color="auto"/>
        <w:right w:val="none" w:sz="0" w:space="0" w:color="auto"/>
      </w:divBdr>
    </w:div>
    <w:div w:id="1610353917">
      <w:bodyDiv w:val="1"/>
      <w:marLeft w:val="0"/>
      <w:marRight w:val="0"/>
      <w:marTop w:val="0"/>
      <w:marBottom w:val="0"/>
      <w:divBdr>
        <w:top w:val="none" w:sz="0" w:space="0" w:color="auto"/>
        <w:left w:val="none" w:sz="0" w:space="0" w:color="auto"/>
        <w:bottom w:val="none" w:sz="0" w:space="0" w:color="auto"/>
        <w:right w:val="none" w:sz="0" w:space="0" w:color="auto"/>
      </w:divBdr>
    </w:div>
    <w:div w:id="1610889551">
      <w:bodyDiv w:val="1"/>
      <w:marLeft w:val="0"/>
      <w:marRight w:val="0"/>
      <w:marTop w:val="0"/>
      <w:marBottom w:val="0"/>
      <w:divBdr>
        <w:top w:val="none" w:sz="0" w:space="0" w:color="auto"/>
        <w:left w:val="none" w:sz="0" w:space="0" w:color="auto"/>
        <w:bottom w:val="none" w:sz="0" w:space="0" w:color="auto"/>
        <w:right w:val="none" w:sz="0" w:space="0" w:color="auto"/>
      </w:divBdr>
    </w:div>
    <w:div w:id="1615673092">
      <w:bodyDiv w:val="1"/>
      <w:marLeft w:val="0"/>
      <w:marRight w:val="0"/>
      <w:marTop w:val="0"/>
      <w:marBottom w:val="0"/>
      <w:divBdr>
        <w:top w:val="none" w:sz="0" w:space="0" w:color="auto"/>
        <w:left w:val="none" w:sz="0" w:space="0" w:color="auto"/>
        <w:bottom w:val="none" w:sz="0" w:space="0" w:color="auto"/>
        <w:right w:val="none" w:sz="0" w:space="0" w:color="auto"/>
      </w:divBdr>
    </w:div>
    <w:div w:id="1615743161">
      <w:bodyDiv w:val="1"/>
      <w:marLeft w:val="0"/>
      <w:marRight w:val="0"/>
      <w:marTop w:val="0"/>
      <w:marBottom w:val="0"/>
      <w:divBdr>
        <w:top w:val="none" w:sz="0" w:space="0" w:color="auto"/>
        <w:left w:val="none" w:sz="0" w:space="0" w:color="auto"/>
        <w:bottom w:val="none" w:sz="0" w:space="0" w:color="auto"/>
        <w:right w:val="none" w:sz="0" w:space="0" w:color="auto"/>
      </w:divBdr>
    </w:div>
    <w:div w:id="1618025487">
      <w:bodyDiv w:val="1"/>
      <w:marLeft w:val="0"/>
      <w:marRight w:val="0"/>
      <w:marTop w:val="0"/>
      <w:marBottom w:val="0"/>
      <w:divBdr>
        <w:top w:val="none" w:sz="0" w:space="0" w:color="auto"/>
        <w:left w:val="none" w:sz="0" w:space="0" w:color="auto"/>
        <w:bottom w:val="none" w:sz="0" w:space="0" w:color="auto"/>
        <w:right w:val="none" w:sz="0" w:space="0" w:color="auto"/>
      </w:divBdr>
    </w:div>
    <w:div w:id="1619526038">
      <w:bodyDiv w:val="1"/>
      <w:marLeft w:val="0"/>
      <w:marRight w:val="0"/>
      <w:marTop w:val="0"/>
      <w:marBottom w:val="0"/>
      <w:divBdr>
        <w:top w:val="none" w:sz="0" w:space="0" w:color="auto"/>
        <w:left w:val="none" w:sz="0" w:space="0" w:color="auto"/>
        <w:bottom w:val="none" w:sz="0" w:space="0" w:color="auto"/>
        <w:right w:val="none" w:sz="0" w:space="0" w:color="auto"/>
      </w:divBdr>
    </w:div>
    <w:div w:id="1620451940">
      <w:bodyDiv w:val="1"/>
      <w:marLeft w:val="0"/>
      <w:marRight w:val="0"/>
      <w:marTop w:val="0"/>
      <w:marBottom w:val="0"/>
      <w:divBdr>
        <w:top w:val="none" w:sz="0" w:space="0" w:color="auto"/>
        <w:left w:val="none" w:sz="0" w:space="0" w:color="auto"/>
        <w:bottom w:val="none" w:sz="0" w:space="0" w:color="auto"/>
        <w:right w:val="none" w:sz="0" w:space="0" w:color="auto"/>
      </w:divBdr>
    </w:div>
    <w:div w:id="1620985641">
      <w:bodyDiv w:val="1"/>
      <w:marLeft w:val="0"/>
      <w:marRight w:val="0"/>
      <w:marTop w:val="0"/>
      <w:marBottom w:val="0"/>
      <w:divBdr>
        <w:top w:val="none" w:sz="0" w:space="0" w:color="auto"/>
        <w:left w:val="none" w:sz="0" w:space="0" w:color="auto"/>
        <w:bottom w:val="none" w:sz="0" w:space="0" w:color="auto"/>
        <w:right w:val="none" w:sz="0" w:space="0" w:color="auto"/>
      </w:divBdr>
    </w:div>
    <w:div w:id="1624463474">
      <w:bodyDiv w:val="1"/>
      <w:marLeft w:val="0"/>
      <w:marRight w:val="0"/>
      <w:marTop w:val="0"/>
      <w:marBottom w:val="0"/>
      <w:divBdr>
        <w:top w:val="none" w:sz="0" w:space="0" w:color="auto"/>
        <w:left w:val="none" w:sz="0" w:space="0" w:color="auto"/>
        <w:bottom w:val="none" w:sz="0" w:space="0" w:color="auto"/>
        <w:right w:val="none" w:sz="0" w:space="0" w:color="auto"/>
      </w:divBdr>
    </w:div>
    <w:div w:id="1624653592">
      <w:bodyDiv w:val="1"/>
      <w:marLeft w:val="0"/>
      <w:marRight w:val="0"/>
      <w:marTop w:val="0"/>
      <w:marBottom w:val="0"/>
      <w:divBdr>
        <w:top w:val="none" w:sz="0" w:space="0" w:color="auto"/>
        <w:left w:val="none" w:sz="0" w:space="0" w:color="auto"/>
        <w:bottom w:val="none" w:sz="0" w:space="0" w:color="auto"/>
        <w:right w:val="none" w:sz="0" w:space="0" w:color="auto"/>
      </w:divBdr>
    </w:div>
    <w:div w:id="1625694127">
      <w:bodyDiv w:val="1"/>
      <w:marLeft w:val="0"/>
      <w:marRight w:val="0"/>
      <w:marTop w:val="0"/>
      <w:marBottom w:val="0"/>
      <w:divBdr>
        <w:top w:val="none" w:sz="0" w:space="0" w:color="auto"/>
        <w:left w:val="none" w:sz="0" w:space="0" w:color="auto"/>
        <w:bottom w:val="none" w:sz="0" w:space="0" w:color="auto"/>
        <w:right w:val="none" w:sz="0" w:space="0" w:color="auto"/>
      </w:divBdr>
    </w:div>
    <w:div w:id="1628462480">
      <w:bodyDiv w:val="1"/>
      <w:marLeft w:val="0"/>
      <w:marRight w:val="0"/>
      <w:marTop w:val="0"/>
      <w:marBottom w:val="0"/>
      <w:divBdr>
        <w:top w:val="none" w:sz="0" w:space="0" w:color="auto"/>
        <w:left w:val="none" w:sz="0" w:space="0" w:color="auto"/>
        <w:bottom w:val="none" w:sz="0" w:space="0" w:color="auto"/>
        <w:right w:val="none" w:sz="0" w:space="0" w:color="auto"/>
      </w:divBdr>
    </w:div>
    <w:div w:id="1645114246">
      <w:bodyDiv w:val="1"/>
      <w:marLeft w:val="0"/>
      <w:marRight w:val="0"/>
      <w:marTop w:val="0"/>
      <w:marBottom w:val="0"/>
      <w:divBdr>
        <w:top w:val="none" w:sz="0" w:space="0" w:color="auto"/>
        <w:left w:val="none" w:sz="0" w:space="0" w:color="auto"/>
        <w:bottom w:val="none" w:sz="0" w:space="0" w:color="auto"/>
        <w:right w:val="none" w:sz="0" w:space="0" w:color="auto"/>
      </w:divBdr>
    </w:div>
    <w:div w:id="1648391279">
      <w:bodyDiv w:val="1"/>
      <w:marLeft w:val="0"/>
      <w:marRight w:val="0"/>
      <w:marTop w:val="0"/>
      <w:marBottom w:val="0"/>
      <w:divBdr>
        <w:top w:val="none" w:sz="0" w:space="0" w:color="auto"/>
        <w:left w:val="none" w:sz="0" w:space="0" w:color="auto"/>
        <w:bottom w:val="none" w:sz="0" w:space="0" w:color="auto"/>
        <w:right w:val="none" w:sz="0" w:space="0" w:color="auto"/>
      </w:divBdr>
    </w:div>
    <w:div w:id="1655335745">
      <w:bodyDiv w:val="1"/>
      <w:marLeft w:val="0"/>
      <w:marRight w:val="0"/>
      <w:marTop w:val="0"/>
      <w:marBottom w:val="0"/>
      <w:divBdr>
        <w:top w:val="none" w:sz="0" w:space="0" w:color="auto"/>
        <w:left w:val="none" w:sz="0" w:space="0" w:color="auto"/>
        <w:bottom w:val="none" w:sz="0" w:space="0" w:color="auto"/>
        <w:right w:val="none" w:sz="0" w:space="0" w:color="auto"/>
      </w:divBdr>
    </w:div>
    <w:div w:id="1655376142">
      <w:bodyDiv w:val="1"/>
      <w:marLeft w:val="0"/>
      <w:marRight w:val="0"/>
      <w:marTop w:val="0"/>
      <w:marBottom w:val="0"/>
      <w:divBdr>
        <w:top w:val="none" w:sz="0" w:space="0" w:color="auto"/>
        <w:left w:val="none" w:sz="0" w:space="0" w:color="auto"/>
        <w:bottom w:val="none" w:sz="0" w:space="0" w:color="auto"/>
        <w:right w:val="none" w:sz="0" w:space="0" w:color="auto"/>
      </w:divBdr>
    </w:div>
    <w:div w:id="1662075443">
      <w:bodyDiv w:val="1"/>
      <w:marLeft w:val="0"/>
      <w:marRight w:val="0"/>
      <w:marTop w:val="0"/>
      <w:marBottom w:val="0"/>
      <w:divBdr>
        <w:top w:val="none" w:sz="0" w:space="0" w:color="auto"/>
        <w:left w:val="none" w:sz="0" w:space="0" w:color="auto"/>
        <w:bottom w:val="none" w:sz="0" w:space="0" w:color="auto"/>
        <w:right w:val="none" w:sz="0" w:space="0" w:color="auto"/>
      </w:divBdr>
    </w:div>
    <w:div w:id="1663922635">
      <w:bodyDiv w:val="1"/>
      <w:marLeft w:val="0"/>
      <w:marRight w:val="0"/>
      <w:marTop w:val="0"/>
      <w:marBottom w:val="0"/>
      <w:divBdr>
        <w:top w:val="none" w:sz="0" w:space="0" w:color="auto"/>
        <w:left w:val="none" w:sz="0" w:space="0" w:color="auto"/>
        <w:bottom w:val="none" w:sz="0" w:space="0" w:color="auto"/>
        <w:right w:val="none" w:sz="0" w:space="0" w:color="auto"/>
      </w:divBdr>
    </w:div>
    <w:div w:id="1663973448">
      <w:bodyDiv w:val="1"/>
      <w:marLeft w:val="0"/>
      <w:marRight w:val="0"/>
      <w:marTop w:val="0"/>
      <w:marBottom w:val="0"/>
      <w:divBdr>
        <w:top w:val="none" w:sz="0" w:space="0" w:color="auto"/>
        <w:left w:val="none" w:sz="0" w:space="0" w:color="auto"/>
        <w:bottom w:val="none" w:sz="0" w:space="0" w:color="auto"/>
        <w:right w:val="none" w:sz="0" w:space="0" w:color="auto"/>
      </w:divBdr>
    </w:div>
    <w:div w:id="1665892285">
      <w:bodyDiv w:val="1"/>
      <w:marLeft w:val="0"/>
      <w:marRight w:val="0"/>
      <w:marTop w:val="0"/>
      <w:marBottom w:val="0"/>
      <w:divBdr>
        <w:top w:val="none" w:sz="0" w:space="0" w:color="auto"/>
        <w:left w:val="none" w:sz="0" w:space="0" w:color="auto"/>
        <w:bottom w:val="none" w:sz="0" w:space="0" w:color="auto"/>
        <w:right w:val="none" w:sz="0" w:space="0" w:color="auto"/>
      </w:divBdr>
    </w:div>
    <w:div w:id="1666467722">
      <w:bodyDiv w:val="1"/>
      <w:marLeft w:val="0"/>
      <w:marRight w:val="0"/>
      <w:marTop w:val="0"/>
      <w:marBottom w:val="0"/>
      <w:divBdr>
        <w:top w:val="none" w:sz="0" w:space="0" w:color="auto"/>
        <w:left w:val="none" w:sz="0" w:space="0" w:color="auto"/>
        <w:bottom w:val="none" w:sz="0" w:space="0" w:color="auto"/>
        <w:right w:val="none" w:sz="0" w:space="0" w:color="auto"/>
      </w:divBdr>
    </w:div>
    <w:div w:id="1667632662">
      <w:bodyDiv w:val="1"/>
      <w:marLeft w:val="0"/>
      <w:marRight w:val="0"/>
      <w:marTop w:val="0"/>
      <w:marBottom w:val="0"/>
      <w:divBdr>
        <w:top w:val="none" w:sz="0" w:space="0" w:color="auto"/>
        <w:left w:val="none" w:sz="0" w:space="0" w:color="auto"/>
        <w:bottom w:val="none" w:sz="0" w:space="0" w:color="auto"/>
        <w:right w:val="none" w:sz="0" w:space="0" w:color="auto"/>
      </w:divBdr>
    </w:div>
    <w:div w:id="1668634686">
      <w:bodyDiv w:val="1"/>
      <w:marLeft w:val="0"/>
      <w:marRight w:val="0"/>
      <w:marTop w:val="0"/>
      <w:marBottom w:val="0"/>
      <w:divBdr>
        <w:top w:val="none" w:sz="0" w:space="0" w:color="auto"/>
        <w:left w:val="none" w:sz="0" w:space="0" w:color="auto"/>
        <w:bottom w:val="none" w:sz="0" w:space="0" w:color="auto"/>
        <w:right w:val="none" w:sz="0" w:space="0" w:color="auto"/>
      </w:divBdr>
    </w:div>
    <w:div w:id="1670407261">
      <w:bodyDiv w:val="1"/>
      <w:marLeft w:val="0"/>
      <w:marRight w:val="0"/>
      <w:marTop w:val="0"/>
      <w:marBottom w:val="0"/>
      <w:divBdr>
        <w:top w:val="none" w:sz="0" w:space="0" w:color="auto"/>
        <w:left w:val="none" w:sz="0" w:space="0" w:color="auto"/>
        <w:bottom w:val="none" w:sz="0" w:space="0" w:color="auto"/>
        <w:right w:val="none" w:sz="0" w:space="0" w:color="auto"/>
      </w:divBdr>
    </w:div>
    <w:div w:id="1672640914">
      <w:bodyDiv w:val="1"/>
      <w:marLeft w:val="0"/>
      <w:marRight w:val="0"/>
      <w:marTop w:val="0"/>
      <w:marBottom w:val="0"/>
      <w:divBdr>
        <w:top w:val="none" w:sz="0" w:space="0" w:color="auto"/>
        <w:left w:val="none" w:sz="0" w:space="0" w:color="auto"/>
        <w:bottom w:val="none" w:sz="0" w:space="0" w:color="auto"/>
        <w:right w:val="none" w:sz="0" w:space="0" w:color="auto"/>
      </w:divBdr>
    </w:div>
    <w:div w:id="1675063542">
      <w:bodyDiv w:val="1"/>
      <w:marLeft w:val="0"/>
      <w:marRight w:val="0"/>
      <w:marTop w:val="0"/>
      <w:marBottom w:val="0"/>
      <w:divBdr>
        <w:top w:val="none" w:sz="0" w:space="0" w:color="auto"/>
        <w:left w:val="none" w:sz="0" w:space="0" w:color="auto"/>
        <w:bottom w:val="none" w:sz="0" w:space="0" w:color="auto"/>
        <w:right w:val="none" w:sz="0" w:space="0" w:color="auto"/>
      </w:divBdr>
    </w:div>
    <w:div w:id="1678531566">
      <w:bodyDiv w:val="1"/>
      <w:marLeft w:val="0"/>
      <w:marRight w:val="0"/>
      <w:marTop w:val="0"/>
      <w:marBottom w:val="0"/>
      <w:divBdr>
        <w:top w:val="none" w:sz="0" w:space="0" w:color="auto"/>
        <w:left w:val="none" w:sz="0" w:space="0" w:color="auto"/>
        <w:bottom w:val="none" w:sz="0" w:space="0" w:color="auto"/>
        <w:right w:val="none" w:sz="0" w:space="0" w:color="auto"/>
      </w:divBdr>
    </w:div>
    <w:div w:id="1680421829">
      <w:bodyDiv w:val="1"/>
      <w:marLeft w:val="0"/>
      <w:marRight w:val="0"/>
      <w:marTop w:val="0"/>
      <w:marBottom w:val="0"/>
      <w:divBdr>
        <w:top w:val="none" w:sz="0" w:space="0" w:color="auto"/>
        <w:left w:val="none" w:sz="0" w:space="0" w:color="auto"/>
        <w:bottom w:val="none" w:sz="0" w:space="0" w:color="auto"/>
        <w:right w:val="none" w:sz="0" w:space="0" w:color="auto"/>
      </w:divBdr>
    </w:div>
    <w:div w:id="1683971223">
      <w:bodyDiv w:val="1"/>
      <w:marLeft w:val="0"/>
      <w:marRight w:val="0"/>
      <w:marTop w:val="0"/>
      <w:marBottom w:val="0"/>
      <w:divBdr>
        <w:top w:val="none" w:sz="0" w:space="0" w:color="auto"/>
        <w:left w:val="none" w:sz="0" w:space="0" w:color="auto"/>
        <w:bottom w:val="none" w:sz="0" w:space="0" w:color="auto"/>
        <w:right w:val="none" w:sz="0" w:space="0" w:color="auto"/>
      </w:divBdr>
    </w:div>
    <w:div w:id="1688406673">
      <w:bodyDiv w:val="1"/>
      <w:marLeft w:val="0"/>
      <w:marRight w:val="0"/>
      <w:marTop w:val="0"/>
      <w:marBottom w:val="0"/>
      <w:divBdr>
        <w:top w:val="none" w:sz="0" w:space="0" w:color="auto"/>
        <w:left w:val="none" w:sz="0" w:space="0" w:color="auto"/>
        <w:bottom w:val="none" w:sz="0" w:space="0" w:color="auto"/>
        <w:right w:val="none" w:sz="0" w:space="0" w:color="auto"/>
      </w:divBdr>
    </w:div>
    <w:div w:id="1689942213">
      <w:bodyDiv w:val="1"/>
      <w:marLeft w:val="0"/>
      <w:marRight w:val="0"/>
      <w:marTop w:val="0"/>
      <w:marBottom w:val="0"/>
      <w:divBdr>
        <w:top w:val="none" w:sz="0" w:space="0" w:color="auto"/>
        <w:left w:val="none" w:sz="0" w:space="0" w:color="auto"/>
        <w:bottom w:val="none" w:sz="0" w:space="0" w:color="auto"/>
        <w:right w:val="none" w:sz="0" w:space="0" w:color="auto"/>
      </w:divBdr>
    </w:div>
    <w:div w:id="1691030114">
      <w:bodyDiv w:val="1"/>
      <w:marLeft w:val="0"/>
      <w:marRight w:val="0"/>
      <w:marTop w:val="0"/>
      <w:marBottom w:val="0"/>
      <w:divBdr>
        <w:top w:val="none" w:sz="0" w:space="0" w:color="auto"/>
        <w:left w:val="none" w:sz="0" w:space="0" w:color="auto"/>
        <w:bottom w:val="none" w:sz="0" w:space="0" w:color="auto"/>
        <w:right w:val="none" w:sz="0" w:space="0" w:color="auto"/>
      </w:divBdr>
    </w:div>
    <w:div w:id="1700155758">
      <w:bodyDiv w:val="1"/>
      <w:marLeft w:val="0"/>
      <w:marRight w:val="0"/>
      <w:marTop w:val="0"/>
      <w:marBottom w:val="0"/>
      <w:divBdr>
        <w:top w:val="none" w:sz="0" w:space="0" w:color="auto"/>
        <w:left w:val="none" w:sz="0" w:space="0" w:color="auto"/>
        <w:bottom w:val="none" w:sz="0" w:space="0" w:color="auto"/>
        <w:right w:val="none" w:sz="0" w:space="0" w:color="auto"/>
      </w:divBdr>
    </w:div>
    <w:div w:id="1700280358">
      <w:bodyDiv w:val="1"/>
      <w:marLeft w:val="0"/>
      <w:marRight w:val="0"/>
      <w:marTop w:val="0"/>
      <w:marBottom w:val="0"/>
      <w:divBdr>
        <w:top w:val="none" w:sz="0" w:space="0" w:color="auto"/>
        <w:left w:val="none" w:sz="0" w:space="0" w:color="auto"/>
        <w:bottom w:val="none" w:sz="0" w:space="0" w:color="auto"/>
        <w:right w:val="none" w:sz="0" w:space="0" w:color="auto"/>
      </w:divBdr>
    </w:div>
    <w:div w:id="1703168816">
      <w:bodyDiv w:val="1"/>
      <w:marLeft w:val="0"/>
      <w:marRight w:val="0"/>
      <w:marTop w:val="0"/>
      <w:marBottom w:val="0"/>
      <w:divBdr>
        <w:top w:val="none" w:sz="0" w:space="0" w:color="auto"/>
        <w:left w:val="none" w:sz="0" w:space="0" w:color="auto"/>
        <w:bottom w:val="none" w:sz="0" w:space="0" w:color="auto"/>
        <w:right w:val="none" w:sz="0" w:space="0" w:color="auto"/>
      </w:divBdr>
    </w:div>
    <w:div w:id="1705597494">
      <w:bodyDiv w:val="1"/>
      <w:marLeft w:val="0"/>
      <w:marRight w:val="0"/>
      <w:marTop w:val="0"/>
      <w:marBottom w:val="0"/>
      <w:divBdr>
        <w:top w:val="none" w:sz="0" w:space="0" w:color="auto"/>
        <w:left w:val="none" w:sz="0" w:space="0" w:color="auto"/>
        <w:bottom w:val="none" w:sz="0" w:space="0" w:color="auto"/>
        <w:right w:val="none" w:sz="0" w:space="0" w:color="auto"/>
      </w:divBdr>
    </w:div>
    <w:div w:id="1705905747">
      <w:bodyDiv w:val="1"/>
      <w:marLeft w:val="0"/>
      <w:marRight w:val="0"/>
      <w:marTop w:val="0"/>
      <w:marBottom w:val="0"/>
      <w:divBdr>
        <w:top w:val="none" w:sz="0" w:space="0" w:color="auto"/>
        <w:left w:val="none" w:sz="0" w:space="0" w:color="auto"/>
        <w:bottom w:val="none" w:sz="0" w:space="0" w:color="auto"/>
        <w:right w:val="none" w:sz="0" w:space="0" w:color="auto"/>
      </w:divBdr>
    </w:div>
    <w:div w:id="1706251026">
      <w:bodyDiv w:val="1"/>
      <w:marLeft w:val="0"/>
      <w:marRight w:val="0"/>
      <w:marTop w:val="0"/>
      <w:marBottom w:val="0"/>
      <w:divBdr>
        <w:top w:val="none" w:sz="0" w:space="0" w:color="auto"/>
        <w:left w:val="none" w:sz="0" w:space="0" w:color="auto"/>
        <w:bottom w:val="none" w:sz="0" w:space="0" w:color="auto"/>
        <w:right w:val="none" w:sz="0" w:space="0" w:color="auto"/>
      </w:divBdr>
    </w:div>
    <w:div w:id="1711031609">
      <w:bodyDiv w:val="1"/>
      <w:marLeft w:val="0"/>
      <w:marRight w:val="0"/>
      <w:marTop w:val="0"/>
      <w:marBottom w:val="0"/>
      <w:divBdr>
        <w:top w:val="none" w:sz="0" w:space="0" w:color="auto"/>
        <w:left w:val="none" w:sz="0" w:space="0" w:color="auto"/>
        <w:bottom w:val="none" w:sz="0" w:space="0" w:color="auto"/>
        <w:right w:val="none" w:sz="0" w:space="0" w:color="auto"/>
      </w:divBdr>
    </w:div>
    <w:div w:id="1711496751">
      <w:bodyDiv w:val="1"/>
      <w:marLeft w:val="0"/>
      <w:marRight w:val="0"/>
      <w:marTop w:val="0"/>
      <w:marBottom w:val="0"/>
      <w:divBdr>
        <w:top w:val="none" w:sz="0" w:space="0" w:color="auto"/>
        <w:left w:val="none" w:sz="0" w:space="0" w:color="auto"/>
        <w:bottom w:val="none" w:sz="0" w:space="0" w:color="auto"/>
        <w:right w:val="none" w:sz="0" w:space="0" w:color="auto"/>
      </w:divBdr>
    </w:div>
    <w:div w:id="1712224299">
      <w:bodyDiv w:val="1"/>
      <w:marLeft w:val="0"/>
      <w:marRight w:val="0"/>
      <w:marTop w:val="0"/>
      <w:marBottom w:val="0"/>
      <w:divBdr>
        <w:top w:val="none" w:sz="0" w:space="0" w:color="auto"/>
        <w:left w:val="none" w:sz="0" w:space="0" w:color="auto"/>
        <w:bottom w:val="none" w:sz="0" w:space="0" w:color="auto"/>
        <w:right w:val="none" w:sz="0" w:space="0" w:color="auto"/>
      </w:divBdr>
    </w:div>
    <w:div w:id="1714114049">
      <w:bodyDiv w:val="1"/>
      <w:marLeft w:val="0"/>
      <w:marRight w:val="0"/>
      <w:marTop w:val="0"/>
      <w:marBottom w:val="0"/>
      <w:divBdr>
        <w:top w:val="none" w:sz="0" w:space="0" w:color="auto"/>
        <w:left w:val="none" w:sz="0" w:space="0" w:color="auto"/>
        <w:bottom w:val="none" w:sz="0" w:space="0" w:color="auto"/>
        <w:right w:val="none" w:sz="0" w:space="0" w:color="auto"/>
      </w:divBdr>
    </w:div>
    <w:div w:id="1714383915">
      <w:bodyDiv w:val="1"/>
      <w:marLeft w:val="0"/>
      <w:marRight w:val="0"/>
      <w:marTop w:val="0"/>
      <w:marBottom w:val="0"/>
      <w:divBdr>
        <w:top w:val="none" w:sz="0" w:space="0" w:color="auto"/>
        <w:left w:val="none" w:sz="0" w:space="0" w:color="auto"/>
        <w:bottom w:val="none" w:sz="0" w:space="0" w:color="auto"/>
        <w:right w:val="none" w:sz="0" w:space="0" w:color="auto"/>
      </w:divBdr>
    </w:div>
    <w:div w:id="1724215902">
      <w:bodyDiv w:val="1"/>
      <w:marLeft w:val="0"/>
      <w:marRight w:val="0"/>
      <w:marTop w:val="0"/>
      <w:marBottom w:val="0"/>
      <w:divBdr>
        <w:top w:val="none" w:sz="0" w:space="0" w:color="auto"/>
        <w:left w:val="none" w:sz="0" w:space="0" w:color="auto"/>
        <w:bottom w:val="none" w:sz="0" w:space="0" w:color="auto"/>
        <w:right w:val="none" w:sz="0" w:space="0" w:color="auto"/>
      </w:divBdr>
    </w:div>
    <w:div w:id="1724330813">
      <w:bodyDiv w:val="1"/>
      <w:marLeft w:val="0"/>
      <w:marRight w:val="0"/>
      <w:marTop w:val="0"/>
      <w:marBottom w:val="0"/>
      <w:divBdr>
        <w:top w:val="none" w:sz="0" w:space="0" w:color="auto"/>
        <w:left w:val="none" w:sz="0" w:space="0" w:color="auto"/>
        <w:bottom w:val="none" w:sz="0" w:space="0" w:color="auto"/>
        <w:right w:val="none" w:sz="0" w:space="0" w:color="auto"/>
      </w:divBdr>
    </w:div>
    <w:div w:id="1725173277">
      <w:bodyDiv w:val="1"/>
      <w:marLeft w:val="0"/>
      <w:marRight w:val="0"/>
      <w:marTop w:val="0"/>
      <w:marBottom w:val="0"/>
      <w:divBdr>
        <w:top w:val="none" w:sz="0" w:space="0" w:color="auto"/>
        <w:left w:val="none" w:sz="0" w:space="0" w:color="auto"/>
        <w:bottom w:val="none" w:sz="0" w:space="0" w:color="auto"/>
        <w:right w:val="none" w:sz="0" w:space="0" w:color="auto"/>
      </w:divBdr>
    </w:div>
    <w:div w:id="1725333285">
      <w:bodyDiv w:val="1"/>
      <w:marLeft w:val="0"/>
      <w:marRight w:val="0"/>
      <w:marTop w:val="0"/>
      <w:marBottom w:val="0"/>
      <w:divBdr>
        <w:top w:val="none" w:sz="0" w:space="0" w:color="auto"/>
        <w:left w:val="none" w:sz="0" w:space="0" w:color="auto"/>
        <w:bottom w:val="none" w:sz="0" w:space="0" w:color="auto"/>
        <w:right w:val="none" w:sz="0" w:space="0" w:color="auto"/>
      </w:divBdr>
    </w:div>
    <w:div w:id="1725912739">
      <w:bodyDiv w:val="1"/>
      <w:marLeft w:val="0"/>
      <w:marRight w:val="0"/>
      <w:marTop w:val="0"/>
      <w:marBottom w:val="0"/>
      <w:divBdr>
        <w:top w:val="none" w:sz="0" w:space="0" w:color="auto"/>
        <w:left w:val="none" w:sz="0" w:space="0" w:color="auto"/>
        <w:bottom w:val="none" w:sz="0" w:space="0" w:color="auto"/>
        <w:right w:val="none" w:sz="0" w:space="0" w:color="auto"/>
      </w:divBdr>
    </w:div>
    <w:div w:id="1728603107">
      <w:bodyDiv w:val="1"/>
      <w:marLeft w:val="0"/>
      <w:marRight w:val="0"/>
      <w:marTop w:val="0"/>
      <w:marBottom w:val="0"/>
      <w:divBdr>
        <w:top w:val="none" w:sz="0" w:space="0" w:color="auto"/>
        <w:left w:val="none" w:sz="0" w:space="0" w:color="auto"/>
        <w:bottom w:val="none" w:sz="0" w:space="0" w:color="auto"/>
        <w:right w:val="none" w:sz="0" w:space="0" w:color="auto"/>
      </w:divBdr>
    </w:div>
    <w:div w:id="1733431471">
      <w:bodyDiv w:val="1"/>
      <w:marLeft w:val="0"/>
      <w:marRight w:val="0"/>
      <w:marTop w:val="0"/>
      <w:marBottom w:val="0"/>
      <w:divBdr>
        <w:top w:val="none" w:sz="0" w:space="0" w:color="auto"/>
        <w:left w:val="none" w:sz="0" w:space="0" w:color="auto"/>
        <w:bottom w:val="none" w:sz="0" w:space="0" w:color="auto"/>
        <w:right w:val="none" w:sz="0" w:space="0" w:color="auto"/>
      </w:divBdr>
    </w:div>
    <w:div w:id="1736585899">
      <w:bodyDiv w:val="1"/>
      <w:marLeft w:val="0"/>
      <w:marRight w:val="0"/>
      <w:marTop w:val="0"/>
      <w:marBottom w:val="0"/>
      <w:divBdr>
        <w:top w:val="none" w:sz="0" w:space="0" w:color="auto"/>
        <w:left w:val="none" w:sz="0" w:space="0" w:color="auto"/>
        <w:bottom w:val="none" w:sz="0" w:space="0" w:color="auto"/>
        <w:right w:val="none" w:sz="0" w:space="0" w:color="auto"/>
      </w:divBdr>
    </w:div>
    <w:div w:id="1736775466">
      <w:bodyDiv w:val="1"/>
      <w:marLeft w:val="0"/>
      <w:marRight w:val="0"/>
      <w:marTop w:val="0"/>
      <w:marBottom w:val="0"/>
      <w:divBdr>
        <w:top w:val="none" w:sz="0" w:space="0" w:color="auto"/>
        <w:left w:val="none" w:sz="0" w:space="0" w:color="auto"/>
        <w:bottom w:val="none" w:sz="0" w:space="0" w:color="auto"/>
        <w:right w:val="none" w:sz="0" w:space="0" w:color="auto"/>
      </w:divBdr>
    </w:div>
    <w:div w:id="1738019316">
      <w:bodyDiv w:val="1"/>
      <w:marLeft w:val="0"/>
      <w:marRight w:val="0"/>
      <w:marTop w:val="0"/>
      <w:marBottom w:val="0"/>
      <w:divBdr>
        <w:top w:val="none" w:sz="0" w:space="0" w:color="auto"/>
        <w:left w:val="none" w:sz="0" w:space="0" w:color="auto"/>
        <w:bottom w:val="none" w:sz="0" w:space="0" w:color="auto"/>
        <w:right w:val="none" w:sz="0" w:space="0" w:color="auto"/>
      </w:divBdr>
    </w:div>
    <w:div w:id="1741634333">
      <w:bodyDiv w:val="1"/>
      <w:marLeft w:val="0"/>
      <w:marRight w:val="0"/>
      <w:marTop w:val="0"/>
      <w:marBottom w:val="0"/>
      <w:divBdr>
        <w:top w:val="none" w:sz="0" w:space="0" w:color="auto"/>
        <w:left w:val="none" w:sz="0" w:space="0" w:color="auto"/>
        <w:bottom w:val="none" w:sz="0" w:space="0" w:color="auto"/>
        <w:right w:val="none" w:sz="0" w:space="0" w:color="auto"/>
      </w:divBdr>
    </w:div>
    <w:div w:id="1742634163">
      <w:bodyDiv w:val="1"/>
      <w:marLeft w:val="0"/>
      <w:marRight w:val="0"/>
      <w:marTop w:val="0"/>
      <w:marBottom w:val="0"/>
      <w:divBdr>
        <w:top w:val="none" w:sz="0" w:space="0" w:color="auto"/>
        <w:left w:val="none" w:sz="0" w:space="0" w:color="auto"/>
        <w:bottom w:val="none" w:sz="0" w:space="0" w:color="auto"/>
        <w:right w:val="none" w:sz="0" w:space="0" w:color="auto"/>
      </w:divBdr>
    </w:div>
    <w:div w:id="1744718288">
      <w:bodyDiv w:val="1"/>
      <w:marLeft w:val="0"/>
      <w:marRight w:val="0"/>
      <w:marTop w:val="0"/>
      <w:marBottom w:val="0"/>
      <w:divBdr>
        <w:top w:val="none" w:sz="0" w:space="0" w:color="auto"/>
        <w:left w:val="none" w:sz="0" w:space="0" w:color="auto"/>
        <w:bottom w:val="none" w:sz="0" w:space="0" w:color="auto"/>
        <w:right w:val="none" w:sz="0" w:space="0" w:color="auto"/>
      </w:divBdr>
    </w:div>
    <w:div w:id="1745757352">
      <w:bodyDiv w:val="1"/>
      <w:marLeft w:val="0"/>
      <w:marRight w:val="0"/>
      <w:marTop w:val="0"/>
      <w:marBottom w:val="0"/>
      <w:divBdr>
        <w:top w:val="none" w:sz="0" w:space="0" w:color="auto"/>
        <w:left w:val="none" w:sz="0" w:space="0" w:color="auto"/>
        <w:bottom w:val="none" w:sz="0" w:space="0" w:color="auto"/>
        <w:right w:val="none" w:sz="0" w:space="0" w:color="auto"/>
      </w:divBdr>
    </w:div>
    <w:div w:id="1747680103">
      <w:bodyDiv w:val="1"/>
      <w:marLeft w:val="0"/>
      <w:marRight w:val="0"/>
      <w:marTop w:val="0"/>
      <w:marBottom w:val="0"/>
      <w:divBdr>
        <w:top w:val="none" w:sz="0" w:space="0" w:color="auto"/>
        <w:left w:val="none" w:sz="0" w:space="0" w:color="auto"/>
        <w:bottom w:val="none" w:sz="0" w:space="0" w:color="auto"/>
        <w:right w:val="none" w:sz="0" w:space="0" w:color="auto"/>
      </w:divBdr>
    </w:div>
    <w:div w:id="1747800533">
      <w:bodyDiv w:val="1"/>
      <w:marLeft w:val="0"/>
      <w:marRight w:val="0"/>
      <w:marTop w:val="0"/>
      <w:marBottom w:val="0"/>
      <w:divBdr>
        <w:top w:val="none" w:sz="0" w:space="0" w:color="auto"/>
        <w:left w:val="none" w:sz="0" w:space="0" w:color="auto"/>
        <w:bottom w:val="none" w:sz="0" w:space="0" w:color="auto"/>
        <w:right w:val="none" w:sz="0" w:space="0" w:color="auto"/>
      </w:divBdr>
    </w:div>
    <w:div w:id="1750150660">
      <w:bodyDiv w:val="1"/>
      <w:marLeft w:val="0"/>
      <w:marRight w:val="0"/>
      <w:marTop w:val="0"/>
      <w:marBottom w:val="0"/>
      <w:divBdr>
        <w:top w:val="none" w:sz="0" w:space="0" w:color="auto"/>
        <w:left w:val="none" w:sz="0" w:space="0" w:color="auto"/>
        <w:bottom w:val="none" w:sz="0" w:space="0" w:color="auto"/>
        <w:right w:val="none" w:sz="0" w:space="0" w:color="auto"/>
      </w:divBdr>
    </w:div>
    <w:div w:id="1751003546">
      <w:bodyDiv w:val="1"/>
      <w:marLeft w:val="0"/>
      <w:marRight w:val="0"/>
      <w:marTop w:val="0"/>
      <w:marBottom w:val="0"/>
      <w:divBdr>
        <w:top w:val="none" w:sz="0" w:space="0" w:color="auto"/>
        <w:left w:val="none" w:sz="0" w:space="0" w:color="auto"/>
        <w:bottom w:val="none" w:sz="0" w:space="0" w:color="auto"/>
        <w:right w:val="none" w:sz="0" w:space="0" w:color="auto"/>
      </w:divBdr>
    </w:div>
    <w:div w:id="1751535782">
      <w:bodyDiv w:val="1"/>
      <w:marLeft w:val="0"/>
      <w:marRight w:val="0"/>
      <w:marTop w:val="0"/>
      <w:marBottom w:val="0"/>
      <w:divBdr>
        <w:top w:val="none" w:sz="0" w:space="0" w:color="auto"/>
        <w:left w:val="none" w:sz="0" w:space="0" w:color="auto"/>
        <w:bottom w:val="none" w:sz="0" w:space="0" w:color="auto"/>
        <w:right w:val="none" w:sz="0" w:space="0" w:color="auto"/>
      </w:divBdr>
    </w:div>
    <w:div w:id="1756366889">
      <w:bodyDiv w:val="1"/>
      <w:marLeft w:val="0"/>
      <w:marRight w:val="0"/>
      <w:marTop w:val="0"/>
      <w:marBottom w:val="0"/>
      <w:divBdr>
        <w:top w:val="none" w:sz="0" w:space="0" w:color="auto"/>
        <w:left w:val="none" w:sz="0" w:space="0" w:color="auto"/>
        <w:bottom w:val="none" w:sz="0" w:space="0" w:color="auto"/>
        <w:right w:val="none" w:sz="0" w:space="0" w:color="auto"/>
      </w:divBdr>
    </w:div>
    <w:div w:id="1760560427">
      <w:bodyDiv w:val="1"/>
      <w:marLeft w:val="0"/>
      <w:marRight w:val="0"/>
      <w:marTop w:val="0"/>
      <w:marBottom w:val="0"/>
      <w:divBdr>
        <w:top w:val="none" w:sz="0" w:space="0" w:color="auto"/>
        <w:left w:val="none" w:sz="0" w:space="0" w:color="auto"/>
        <w:bottom w:val="none" w:sz="0" w:space="0" w:color="auto"/>
        <w:right w:val="none" w:sz="0" w:space="0" w:color="auto"/>
      </w:divBdr>
    </w:div>
    <w:div w:id="1760635020">
      <w:bodyDiv w:val="1"/>
      <w:marLeft w:val="0"/>
      <w:marRight w:val="0"/>
      <w:marTop w:val="0"/>
      <w:marBottom w:val="0"/>
      <w:divBdr>
        <w:top w:val="none" w:sz="0" w:space="0" w:color="auto"/>
        <w:left w:val="none" w:sz="0" w:space="0" w:color="auto"/>
        <w:bottom w:val="none" w:sz="0" w:space="0" w:color="auto"/>
        <w:right w:val="none" w:sz="0" w:space="0" w:color="auto"/>
      </w:divBdr>
    </w:div>
    <w:div w:id="1764498032">
      <w:bodyDiv w:val="1"/>
      <w:marLeft w:val="0"/>
      <w:marRight w:val="0"/>
      <w:marTop w:val="0"/>
      <w:marBottom w:val="0"/>
      <w:divBdr>
        <w:top w:val="none" w:sz="0" w:space="0" w:color="auto"/>
        <w:left w:val="none" w:sz="0" w:space="0" w:color="auto"/>
        <w:bottom w:val="none" w:sz="0" w:space="0" w:color="auto"/>
        <w:right w:val="none" w:sz="0" w:space="0" w:color="auto"/>
      </w:divBdr>
    </w:div>
    <w:div w:id="1769613570">
      <w:bodyDiv w:val="1"/>
      <w:marLeft w:val="0"/>
      <w:marRight w:val="0"/>
      <w:marTop w:val="0"/>
      <w:marBottom w:val="0"/>
      <w:divBdr>
        <w:top w:val="none" w:sz="0" w:space="0" w:color="auto"/>
        <w:left w:val="none" w:sz="0" w:space="0" w:color="auto"/>
        <w:bottom w:val="none" w:sz="0" w:space="0" w:color="auto"/>
        <w:right w:val="none" w:sz="0" w:space="0" w:color="auto"/>
      </w:divBdr>
    </w:div>
    <w:div w:id="1771507673">
      <w:bodyDiv w:val="1"/>
      <w:marLeft w:val="0"/>
      <w:marRight w:val="0"/>
      <w:marTop w:val="0"/>
      <w:marBottom w:val="0"/>
      <w:divBdr>
        <w:top w:val="none" w:sz="0" w:space="0" w:color="auto"/>
        <w:left w:val="none" w:sz="0" w:space="0" w:color="auto"/>
        <w:bottom w:val="none" w:sz="0" w:space="0" w:color="auto"/>
        <w:right w:val="none" w:sz="0" w:space="0" w:color="auto"/>
      </w:divBdr>
    </w:div>
    <w:div w:id="1773932455">
      <w:bodyDiv w:val="1"/>
      <w:marLeft w:val="0"/>
      <w:marRight w:val="0"/>
      <w:marTop w:val="0"/>
      <w:marBottom w:val="0"/>
      <w:divBdr>
        <w:top w:val="none" w:sz="0" w:space="0" w:color="auto"/>
        <w:left w:val="none" w:sz="0" w:space="0" w:color="auto"/>
        <w:bottom w:val="none" w:sz="0" w:space="0" w:color="auto"/>
        <w:right w:val="none" w:sz="0" w:space="0" w:color="auto"/>
      </w:divBdr>
    </w:div>
    <w:div w:id="1775900936">
      <w:bodyDiv w:val="1"/>
      <w:marLeft w:val="0"/>
      <w:marRight w:val="0"/>
      <w:marTop w:val="0"/>
      <w:marBottom w:val="0"/>
      <w:divBdr>
        <w:top w:val="none" w:sz="0" w:space="0" w:color="auto"/>
        <w:left w:val="none" w:sz="0" w:space="0" w:color="auto"/>
        <w:bottom w:val="none" w:sz="0" w:space="0" w:color="auto"/>
        <w:right w:val="none" w:sz="0" w:space="0" w:color="auto"/>
      </w:divBdr>
    </w:div>
    <w:div w:id="1781485655">
      <w:bodyDiv w:val="1"/>
      <w:marLeft w:val="0"/>
      <w:marRight w:val="0"/>
      <w:marTop w:val="0"/>
      <w:marBottom w:val="0"/>
      <w:divBdr>
        <w:top w:val="none" w:sz="0" w:space="0" w:color="auto"/>
        <w:left w:val="none" w:sz="0" w:space="0" w:color="auto"/>
        <w:bottom w:val="none" w:sz="0" w:space="0" w:color="auto"/>
        <w:right w:val="none" w:sz="0" w:space="0" w:color="auto"/>
      </w:divBdr>
    </w:div>
    <w:div w:id="1782913721">
      <w:bodyDiv w:val="1"/>
      <w:marLeft w:val="0"/>
      <w:marRight w:val="0"/>
      <w:marTop w:val="0"/>
      <w:marBottom w:val="0"/>
      <w:divBdr>
        <w:top w:val="none" w:sz="0" w:space="0" w:color="auto"/>
        <w:left w:val="none" w:sz="0" w:space="0" w:color="auto"/>
        <w:bottom w:val="none" w:sz="0" w:space="0" w:color="auto"/>
        <w:right w:val="none" w:sz="0" w:space="0" w:color="auto"/>
      </w:divBdr>
    </w:div>
    <w:div w:id="1787431062">
      <w:bodyDiv w:val="1"/>
      <w:marLeft w:val="0"/>
      <w:marRight w:val="0"/>
      <w:marTop w:val="0"/>
      <w:marBottom w:val="0"/>
      <w:divBdr>
        <w:top w:val="none" w:sz="0" w:space="0" w:color="auto"/>
        <w:left w:val="none" w:sz="0" w:space="0" w:color="auto"/>
        <w:bottom w:val="none" w:sz="0" w:space="0" w:color="auto"/>
        <w:right w:val="none" w:sz="0" w:space="0" w:color="auto"/>
      </w:divBdr>
    </w:div>
    <w:div w:id="1787845102">
      <w:bodyDiv w:val="1"/>
      <w:marLeft w:val="0"/>
      <w:marRight w:val="0"/>
      <w:marTop w:val="0"/>
      <w:marBottom w:val="0"/>
      <w:divBdr>
        <w:top w:val="none" w:sz="0" w:space="0" w:color="auto"/>
        <w:left w:val="none" w:sz="0" w:space="0" w:color="auto"/>
        <w:bottom w:val="none" w:sz="0" w:space="0" w:color="auto"/>
        <w:right w:val="none" w:sz="0" w:space="0" w:color="auto"/>
      </w:divBdr>
    </w:div>
    <w:div w:id="1788621945">
      <w:bodyDiv w:val="1"/>
      <w:marLeft w:val="0"/>
      <w:marRight w:val="0"/>
      <w:marTop w:val="0"/>
      <w:marBottom w:val="0"/>
      <w:divBdr>
        <w:top w:val="none" w:sz="0" w:space="0" w:color="auto"/>
        <w:left w:val="none" w:sz="0" w:space="0" w:color="auto"/>
        <w:bottom w:val="none" w:sz="0" w:space="0" w:color="auto"/>
        <w:right w:val="none" w:sz="0" w:space="0" w:color="auto"/>
      </w:divBdr>
    </w:div>
    <w:div w:id="1790509565">
      <w:bodyDiv w:val="1"/>
      <w:marLeft w:val="0"/>
      <w:marRight w:val="0"/>
      <w:marTop w:val="0"/>
      <w:marBottom w:val="0"/>
      <w:divBdr>
        <w:top w:val="none" w:sz="0" w:space="0" w:color="auto"/>
        <w:left w:val="none" w:sz="0" w:space="0" w:color="auto"/>
        <w:bottom w:val="none" w:sz="0" w:space="0" w:color="auto"/>
        <w:right w:val="none" w:sz="0" w:space="0" w:color="auto"/>
      </w:divBdr>
    </w:div>
    <w:div w:id="1790857415">
      <w:bodyDiv w:val="1"/>
      <w:marLeft w:val="0"/>
      <w:marRight w:val="0"/>
      <w:marTop w:val="0"/>
      <w:marBottom w:val="0"/>
      <w:divBdr>
        <w:top w:val="none" w:sz="0" w:space="0" w:color="auto"/>
        <w:left w:val="none" w:sz="0" w:space="0" w:color="auto"/>
        <w:bottom w:val="none" w:sz="0" w:space="0" w:color="auto"/>
        <w:right w:val="none" w:sz="0" w:space="0" w:color="auto"/>
      </w:divBdr>
    </w:div>
    <w:div w:id="1791703670">
      <w:bodyDiv w:val="1"/>
      <w:marLeft w:val="0"/>
      <w:marRight w:val="0"/>
      <w:marTop w:val="0"/>
      <w:marBottom w:val="0"/>
      <w:divBdr>
        <w:top w:val="none" w:sz="0" w:space="0" w:color="auto"/>
        <w:left w:val="none" w:sz="0" w:space="0" w:color="auto"/>
        <w:bottom w:val="none" w:sz="0" w:space="0" w:color="auto"/>
        <w:right w:val="none" w:sz="0" w:space="0" w:color="auto"/>
      </w:divBdr>
    </w:div>
    <w:div w:id="1792243062">
      <w:bodyDiv w:val="1"/>
      <w:marLeft w:val="0"/>
      <w:marRight w:val="0"/>
      <w:marTop w:val="0"/>
      <w:marBottom w:val="0"/>
      <w:divBdr>
        <w:top w:val="none" w:sz="0" w:space="0" w:color="auto"/>
        <w:left w:val="none" w:sz="0" w:space="0" w:color="auto"/>
        <w:bottom w:val="none" w:sz="0" w:space="0" w:color="auto"/>
        <w:right w:val="none" w:sz="0" w:space="0" w:color="auto"/>
      </w:divBdr>
    </w:div>
    <w:div w:id="1793162330">
      <w:bodyDiv w:val="1"/>
      <w:marLeft w:val="0"/>
      <w:marRight w:val="0"/>
      <w:marTop w:val="0"/>
      <w:marBottom w:val="0"/>
      <w:divBdr>
        <w:top w:val="none" w:sz="0" w:space="0" w:color="auto"/>
        <w:left w:val="none" w:sz="0" w:space="0" w:color="auto"/>
        <w:bottom w:val="none" w:sz="0" w:space="0" w:color="auto"/>
        <w:right w:val="none" w:sz="0" w:space="0" w:color="auto"/>
      </w:divBdr>
    </w:div>
    <w:div w:id="1796220272">
      <w:bodyDiv w:val="1"/>
      <w:marLeft w:val="0"/>
      <w:marRight w:val="0"/>
      <w:marTop w:val="0"/>
      <w:marBottom w:val="0"/>
      <w:divBdr>
        <w:top w:val="none" w:sz="0" w:space="0" w:color="auto"/>
        <w:left w:val="none" w:sz="0" w:space="0" w:color="auto"/>
        <w:bottom w:val="none" w:sz="0" w:space="0" w:color="auto"/>
        <w:right w:val="none" w:sz="0" w:space="0" w:color="auto"/>
      </w:divBdr>
    </w:div>
    <w:div w:id="1797723223">
      <w:bodyDiv w:val="1"/>
      <w:marLeft w:val="0"/>
      <w:marRight w:val="0"/>
      <w:marTop w:val="0"/>
      <w:marBottom w:val="0"/>
      <w:divBdr>
        <w:top w:val="none" w:sz="0" w:space="0" w:color="auto"/>
        <w:left w:val="none" w:sz="0" w:space="0" w:color="auto"/>
        <w:bottom w:val="none" w:sz="0" w:space="0" w:color="auto"/>
        <w:right w:val="none" w:sz="0" w:space="0" w:color="auto"/>
      </w:divBdr>
    </w:div>
    <w:div w:id="1800415841">
      <w:bodyDiv w:val="1"/>
      <w:marLeft w:val="0"/>
      <w:marRight w:val="0"/>
      <w:marTop w:val="0"/>
      <w:marBottom w:val="0"/>
      <w:divBdr>
        <w:top w:val="none" w:sz="0" w:space="0" w:color="auto"/>
        <w:left w:val="none" w:sz="0" w:space="0" w:color="auto"/>
        <w:bottom w:val="none" w:sz="0" w:space="0" w:color="auto"/>
        <w:right w:val="none" w:sz="0" w:space="0" w:color="auto"/>
      </w:divBdr>
    </w:div>
    <w:div w:id="1800800808">
      <w:bodyDiv w:val="1"/>
      <w:marLeft w:val="0"/>
      <w:marRight w:val="0"/>
      <w:marTop w:val="0"/>
      <w:marBottom w:val="0"/>
      <w:divBdr>
        <w:top w:val="none" w:sz="0" w:space="0" w:color="auto"/>
        <w:left w:val="none" w:sz="0" w:space="0" w:color="auto"/>
        <w:bottom w:val="none" w:sz="0" w:space="0" w:color="auto"/>
        <w:right w:val="none" w:sz="0" w:space="0" w:color="auto"/>
      </w:divBdr>
    </w:div>
    <w:div w:id="1808620788">
      <w:bodyDiv w:val="1"/>
      <w:marLeft w:val="0"/>
      <w:marRight w:val="0"/>
      <w:marTop w:val="0"/>
      <w:marBottom w:val="0"/>
      <w:divBdr>
        <w:top w:val="none" w:sz="0" w:space="0" w:color="auto"/>
        <w:left w:val="none" w:sz="0" w:space="0" w:color="auto"/>
        <w:bottom w:val="none" w:sz="0" w:space="0" w:color="auto"/>
        <w:right w:val="none" w:sz="0" w:space="0" w:color="auto"/>
      </w:divBdr>
    </w:div>
    <w:div w:id="1809781844">
      <w:bodyDiv w:val="1"/>
      <w:marLeft w:val="0"/>
      <w:marRight w:val="0"/>
      <w:marTop w:val="0"/>
      <w:marBottom w:val="0"/>
      <w:divBdr>
        <w:top w:val="none" w:sz="0" w:space="0" w:color="auto"/>
        <w:left w:val="none" w:sz="0" w:space="0" w:color="auto"/>
        <w:bottom w:val="none" w:sz="0" w:space="0" w:color="auto"/>
        <w:right w:val="none" w:sz="0" w:space="0" w:color="auto"/>
      </w:divBdr>
    </w:div>
    <w:div w:id="1811052538">
      <w:bodyDiv w:val="1"/>
      <w:marLeft w:val="0"/>
      <w:marRight w:val="0"/>
      <w:marTop w:val="0"/>
      <w:marBottom w:val="0"/>
      <w:divBdr>
        <w:top w:val="none" w:sz="0" w:space="0" w:color="auto"/>
        <w:left w:val="none" w:sz="0" w:space="0" w:color="auto"/>
        <w:bottom w:val="none" w:sz="0" w:space="0" w:color="auto"/>
        <w:right w:val="none" w:sz="0" w:space="0" w:color="auto"/>
      </w:divBdr>
    </w:div>
    <w:div w:id="1818065529">
      <w:bodyDiv w:val="1"/>
      <w:marLeft w:val="0"/>
      <w:marRight w:val="0"/>
      <w:marTop w:val="0"/>
      <w:marBottom w:val="0"/>
      <w:divBdr>
        <w:top w:val="none" w:sz="0" w:space="0" w:color="auto"/>
        <w:left w:val="none" w:sz="0" w:space="0" w:color="auto"/>
        <w:bottom w:val="none" w:sz="0" w:space="0" w:color="auto"/>
        <w:right w:val="none" w:sz="0" w:space="0" w:color="auto"/>
      </w:divBdr>
    </w:div>
    <w:div w:id="1824545582">
      <w:bodyDiv w:val="1"/>
      <w:marLeft w:val="0"/>
      <w:marRight w:val="0"/>
      <w:marTop w:val="0"/>
      <w:marBottom w:val="0"/>
      <w:divBdr>
        <w:top w:val="none" w:sz="0" w:space="0" w:color="auto"/>
        <w:left w:val="none" w:sz="0" w:space="0" w:color="auto"/>
        <w:bottom w:val="none" w:sz="0" w:space="0" w:color="auto"/>
        <w:right w:val="none" w:sz="0" w:space="0" w:color="auto"/>
      </w:divBdr>
    </w:div>
    <w:div w:id="1827550710">
      <w:bodyDiv w:val="1"/>
      <w:marLeft w:val="0"/>
      <w:marRight w:val="0"/>
      <w:marTop w:val="0"/>
      <w:marBottom w:val="0"/>
      <w:divBdr>
        <w:top w:val="none" w:sz="0" w:space="0" w:color="auto"/>
        <w:left w:val="none" w:sz="0" w:space="0" w:color="auto"/>
        <w:bottom w:val="none" w:sz="0" w:space="0" w:color="auto"/>
        <w:right w:val="none" w:sz="0" w:space="0" w:color="auto"/>
      </w:divBdr>
    </w:div>
    <w:div w:id="1827740248">
      <w:bodyDiv w:val="1"/>
      <w:marLeft w:val="0"/>
      <w:marRight w:val="0"/>
      <w:marTop w:val="0"/>
      <w:marBottom w:val="0"/>
      <w:divBdr>
        <w:top w:val="none" w:sz="0" w:space="0" w:color="auto"/>
        <w:left w:val="none" w:sz="0" w:space="0" w:color="auto"/>
        <w:bottom w:val="none" w:sz="0" w:space="0" w:color="auto"/>
        <w:right w:val="none" w:sz="0" w:space="0" w:color="auto"/>
      </w:divBdr>
    </w:div>
    <w:div w:id="1827742964">
      <w:bodyDiv w:val="1"/>
      <w:marLeft w:val="0"/>
      <w:marRight w:val="0"/>
      <w:marTop w:val="0"/>
      <w:marBottom w:val="0"/>
      <w:divBdr>
        <w:top w:val="none" w:sz="0" w:space="0" w:color="auto"/>
        <w:left w:val="none" w:sz="0" w:space="0" w:color="auto"/>
        <w:bottom w:val="none" w:sz="0" w:space="0" w:color="auto"/>
        <w:right w:val="none" w:sz="0" w:space="0" w:color="auto"/>
      </w:divBdr>
    </w:div>
    <w:div w:id="1830948893">
      <w:bodyDiv w:val="1"/>
      <w:marLeft w:val="0"/>
      <w:marRight w:val="0"/>
      <w:marTop w:val="0"/>
      <w:marBottom w:val="0"/>
      <w:divBdr>
        <w:top w:val="none" w:sz="0" w:space="0" w:color="auto"/>
        <w:left w:val="none" w:sz="0" w:space="0" w:color="auto"/>
        <w:bottom w:val="none" w:sz="0" w:space="0" w:color="auto"/>
        <w:right w:val="none" w:sz="0" w:space="0" w:color="auto"/>
      </w:divBdr>
    </w:div>
    <w:div w:id="1831602015">
      <w:bodyDiv w:val="1"/>
      <w:marLeft w:val="0"/>
      <w:marRight w:val="0"/>
      <w:marTop w:val="0"/>
      <w:marBottom w:val="0"/>
      <w:divBdr>
        <w:top w:val="none" w:sz="0" w:space="0" w:color="auto"/>
        <w:left w:val="none" w:sz="0" w:space="0" w:color="auto"/>
        <w:bottom w:val="none" w:sz="0" w:space="0" w:color="auto"/>
        <w:right w:val="none" w:sz="0" w:space="0" w:color="auto"/>
      </w:divBdr>
    </w:div>
    <w:div w:id="1832939227">
      <w:bodyDiv w:val="1"/>
      <w:marLeft w:val="0"/>
      <w:marRight w:val="0"/>
      <w:marTop w:val="0"/>
      <w:marBottom w:val="0"/>
      <w:divBdr>
        <w:top w:val="none" w:sz="0" w:space="0" w:color="auto"/>
        <w:left w:val="none" w:sz="0" w:space="0" w:color="auto"/>
        <w:bottom w:val="none" w:sz="0" w:space="0" w:color="auto"/>
        <w:right w:val="none" w:sz="0" w:space="0" w:color="auto"/>
      </w:divBdr>
    </w:div>
    <w:div w:id="1833447437">
      <w:bodyDiv w:val="1"/>
      <w:marLeft w:val="0"/>
      <w:marRight w:val="0"/>
      <w:marTop w:val="0"/>
      <w:marBottom w:val="0"/>
      <w:divBdr>
        <w:top w:val="none" w:sz="0" w:space="0" w:color="auto"/>
        <w:left w:val="none" w:sz="0" w:space="0" w:color="auto"/>
        <w:bottom w:val="none" w:sz="0" w:space="0" w:color="auto"/>
        <w:right w:val="none" w:sz="0" w:space="0" w:color="auto"/>
      </w:divBdr>
    </w:div>
    <w:div w:id="1835296853">
      <w:bodyDiv w:val="1"/>
      <w:marLeft w:val="0"/>
      <w:marRight w:val="0"/>
      <w:marTop w:val="0"/>
      <w:marBottom w:val="0"/>
      <w:divBdr>
        <w:top w:val="none" w:sz="0" w:space="0" w:color="auto"/>
        <w:left w:val="none" w:sz="0" w:space="0" w:color="auto"/>
        <w:bottom w:val="none" w:sz="0" w:space="0" w:color="auto"/>
        <w:right w:val="none" w:sz="0" w:space="0" w:color="auto"/>
      </w:divBdr>
    </w:div>
    <w:div w:id="1835680887">
      <w:bodyDiv w:val="1"/>
      <w:marLeft w:val="0"/>
      <w:marRight w:val="0"/>
      <w:marTop w:val="0"/>
      <w:marBottom w:val="0"/>
      <w:divBdr>
        <w:top w:val="none" w:sz="0" w:space="0" w:color="auto"/>
        <w:left w:val="none" w:sz="0" w:space="0" w:color="auto"/>
        <w:bottom w:val="none" w:sz="0" w:space="0" w:color="auto"/>
        <w:right w:val="none" w:sz="0" w:space="0" w:color="auto"/>
      </w:divBdr>
    </w:div>
    <w:div w:id="1835995482">
      <w:bodyDiv w:val="1"/>
      <w:marLeft w:val="0"/>
      <w:marRight w:val="0"/>
      <w:marTop w:val="0"/>
      <w:marBottom w:val="0"/>
      <w:divBdr>
        <w:top w:val="none" w:sz="0" w:space="0" w:color="auto"/>
        <w:left w:val="none" w:sz="0" w:space="0" w:color="auto"/>
        <w:bottom w:val="none" w:sz="0" w:space="0" w:color="auto"/>
        <w:right w:val="none" w:sz="0" w:space="0" w:color="auto"/>
      </w:divBdr>
    </w:div>
    <w:div w:id="1840196692">
      <w:bodyDiv w:val="1"/>
      <w:marLeft w:val="0"/>
      <w:marRight w:val="0"/>
      <w:marTop w:val="0"/>
      <w:marBottom w:val="0"/>
      <w:divBdr>
        <w:top w:val="none" w:sz="0" w:space="0" w:color="auto"/>
        <w:left w:val="none" w:sz="0" w:space="0" w:color="auto"/>
        <w:bottom w:val="none" w:sz="0" w:space="0" w:color="auto"/>
        <w:right w:val="none" w:sz="0" w:space="0" w:color="auto"/>
      </w:divBdr>
    </w:div>
    <w:div w:id="1845514326">
      <w:bodyDiv w:val="1"/>
      <w:marLeft w:val="0"/>
      <w:marRight w:val="0"/>
      <w:marTop w:val="0"/>
      <w:marBottom w:val="0"/>
      <w:divBdr>
        <w:top w:val="none" w:sz="0" w:space="0" w:color="auto"/>
        <w:left w:val="none" w:sz="0" w:space="0" w:color="auto"/>
        <w:bottom w:val="none" w:sz="0" w:space="0" w:color="auto"/>
        <w:right w:val="none" w:sz="0" w:space="0" w:color="auto"/>
      </w:divBdr>
    </w:div>
    <w:div w:id="1847213334">
      <w:bodyDiv w:val="1"/>
      <w:marLeft w:val="0"/>
      <w:marRight w:val="0"/>
      <w:marTop w:val="0"/>
      <w:marBottom w:val="0"/>
      <w:divBdr>
        <w:top w:val="none" w:sz="0" w:space="0" w:color="auto"/>
        <w:left w:val="none" w:sz="0" w:space="0" w:color="auto"/>
        <w:bottom w:val="none" w:sz="0" w:space="0" w:color="auto"/>
        <w:right w:val="none" w:sz="0" w:space="0" w:color="auto"/>
      </w:divBdr>
    </w:div>
    <w:div w:id="1848783810">
      <w:bodyDiv w:val="1"/>
      <w:marLeft w:val="0"/>
      <w:marRight w:val="0"/>
      <w:marTop w:val="0"/>
      <w:marBottom w:val="0"/>
      <w:divBdr>
        <w:top w:val="none" w:sz="0" w:space="0" w:color="auto"/>
        <w:left w:val="none" w:sz="0" w:space="0" w:color="auto"/>
        <w:bottom w:val="none" w:sz="0" w:space="0" w:color="auto"/>
        <w:right w:val="none" w:sz="0" w:space="0" w:color="auto"/>
      </w:divBdr>
    </w:div>
    <w:div w:id="1849830980">
      <w:bodyDiv w:val="1"/>
      <w:marLeft w:val="0"/>
      <w:marRight w:val="0"/>
      <w:marTop w:val="0"/>
      <w:marBottom w:val="0"/>
      <w:divBdr>
        <w:top w:val="none" w:sz="0" w:space="0" w:color="auto"/>
        <w:left w:val="none" w:sz="0" w:space="0" w:color="auto"/>
        <w:bottom w:val="none" w:sz="0" w:space="0" w:color="auto"/>
        <w:right w:val="none" w:sz="0" w:space="0" w:color="auto"/>
      </w:divBdr>
    </w:div>
    <w:div w:id="1856727423">
      <w:bodyDiv w:val="1"/>
      <w:marLeft w:val="0"/>
      <w:marRight w:val="0"/>
      <w:marTop w:val="0"/>
      <w:marBottom w:val="0"/>
      <w:divBdr>
        <w:top w:val="none" w:sz="0" w:space="0" w:color="auto"/>
        <w:left w:val="none" w:sz="0" w:space="0" w:color="auto"/>
        <w:bottom w:val="none" w:sz="0" w:space="0" w:color="auto"/>
        <w:right w:val="none" w:sz="0" w:space="0" w:color="auto"/>
      </w:divBdr>
    </w:div>
    <w:div w:id="1870071663">
      <w:bodyDiv w:val="1"/>
      <w:marLeft w:val="0"/>
      <w:marRight w:val="0"/>
      <w:marTop w:val="0"/>
      <w:marBottom w:val="0"/>
      <w:divBdr>
        <w:top w:val="none" w:sz="0" w:space="0" w:color="auto"/>
        <w:left w:val="none" w:sz="0" w:space="0" w:color="auto"/>
        <w:bottom w:val="none" w:sz="0" w:space="0" w:color="auto"/>
        <w:right w:val="none" w:sz="0" w:space="0" w:color="auto"/>
      </w:divBdr>
    </w:div>
    <w:div w:id="1873229767">
      <w:bodyDiv w:val="1"/>
      <w:marLeft w:val="0"/>
      <w:marRight w:val="0"/>
      <w:marTop w:val="0"/>
      <w:marBottom w:val="0"/>
      <w:divBdr>
        <w:top w:val="none" w:sz="0" w:space="0" w:color="auto"/>
        <w:left w:val="none" w:sz="0" w:space="0" w:color="auto"/>
        <w:bottom w:val="none" w:sz="0" w:space="0" w:color="auto"/>
        <w:right w:val="none" w:sz="0" w:space="0" w:color="auto"/>
      </w:divBdr>
    </w:div>
    <w:div w:id="1877769199">
      <w:bodyDiv w:val="1"/>
      <w:marLeft w:val="0"/>
      <w:marRight w:val="0"/>
      <w:marTop w:val="0"/>
      <w:marBottom w:val="0"/>
      <w:divBdr>
        <w:top w:val="none" w:sz="0" w:space="0" w:color="auto"/>
        <w:left w:val="none" w:sz="0" w:space="0" w:color="auto"/>
        <w:bottom w:val="none" w:sz="0" w:space="0" w:color="auto"/>
        <w:right w:val="none" w:sz="0" w:space="0" w:color="auto"/>
      </w:divBdr>
    </w:div>
    <w:div w:id="1878156491">
      <w:bodyDiv w:val="1"/>
      <w:marLeft w:val="0"/>
      <w:marRight w:val="0"/>
      <w:marTop w:val="0"/>
      <w:marBottom w:val="0"/>
      <w:divBdr>
        <w:top w:val="none" w:sz="0" w:space="0" w:color="auto"/>
        <w:left w:val="none" w:sz="0" w:space="0" w:color="auto"/>
        <w:bottom w:val="none" w:sz="0" w:space="0" w:color="auto"/>
        <w:right w:val="none" w:sz="0" w:space="0" w:color="auto"/>
      </w:divBdr>
    </w:div>
    <w:div w:id="1878202829">
      <w:bodyDiv w:val="1"/>
      <w:marLeft w:val="0"/>
      <w:marRight w:val="0"/>
      <w:marTop w:val="0"/>
      <w:marBottom w:val="0"/>
      <w:divBdr>
        <w:top w:val="none" w:sz="0" w:space="0" w:color="auto"/>
        <w:left w:val="none" w:sz="0" w:space="0" w:color="auto"/>
        <w:bottom w:val="none" w:sz="0" w:space="0" w:color="auto"/>
        <w:right w:val="none" w:sz="0" w:space="0" w:color="auto"/>
      </w:divBdr>
    </w:div>
    <w:div w:id="1894849057">
      <w:bodyDiv w:val="1"/>
      <w:marLeft w:val="0"/>
      <w:marRight w:val="0"/>
      <w:marTop w:val="0"/>
      <w:marBottom w:val="0"/>
      <w:divBdr>
        <w:top w:val="none" w:sz="0" w:space="0" w:color="auto"/>
        <w:left w:val="none" w:sz="0" w:space="0" w:color="auto"/>
        <w:bottom w:val="none" w:sz="0" w:space="0" w:color="auto"/>
        <w:right w:val="none" w:sz="0" w:space="0" w:color="auto"/>
      </w:divBdr>
    </w:div>
    <w:div w:id="1897162171">
      <w:bodyDiv w:val="1"/>
      <w:marLeft w:val="0"/>
      <w:marRight w:val="0"/>
      <w:marTop w:val="0"/>
      <w:marBottom w:val="0"/>
      <w:divBdr>
        <w:top w:val="none" w:sz="0" w:space="0" w:color="auto"/>
        <w:left w:val="none" w:sz="0" w:space="0" w:color="auto"/>
        <w:bottom w:val="none" w:sz="0" w:space="0" w:color="auto"/>
        <w:right w:val="none" w:sz="0" w:space="0" w:color="auto"/>
      </w:divBdr>
    </w:div>
    <w:div w:id="1897472627">
      <w:bodyDiv w:val="1"/>
      <w:marLeft w:val="0"/>
      <w:marRight w:val="0"/>
      <w:marTop w:val="0"/>
      <w:marBottom w:val="0"/>
      <w:divBdr>
        <w:top w:val="none" w:sz="0" w:space="0" w:color="auto"/>
        <w:left w:val="none" w:sz="0" w:space="0" w:color="auto"/>
        <w:bottom w:val="none" w:sz="0" w:space="0" w:color="auto"/>
        <w:right w:val="none" w:sz="0" w:space="0" w:color="auto"/>
      </w:divBdr>
    </w:div>
    <w:div w:id="1900633208">
      <w:bodyDiv w:val="1"/>
      <w:marLeft w:val="0"/>
      <w:marRight w:val="0"/>
      <w:marTop w:val="0"/>
      <w:marBottom w:val="0"/>
      <w:divBdr>
        <w:top w:val="none" w:sz="0" w:space="0" w:color="auto"/>
        <w:left w:val="none" w:sz="0" w:space="0" w:color="auto"/>
        <w:bottom w:val="none" w:sz="0" w:space="0" w:color="auto"/>
        <w:right w:val="none" w:sz="0" w:space="0" w:color="auto"/>
      </w:divBdr>
    </w:div>
    <w:div w:id="1902251366">
      <w:bodyDiv w:val="1"/>
      <w:marLeft w:val="0"/>
      <w:marRight w:val="0"/>
      <w:marTop w:val="0"/>
      <w:marBottom w:val="0"/>
      <w:divBdr>
        <w:top w:val="none" w:sz="0" w:space="0" w:color="auto"/>
        <w:left w:val="none" w:sz="0" w:space="0" w:color="auto"/>
        <w:bottom w:val="none" w:sz="0" w:space="0" w:color="auto"/>
        <w:right w:val="none" w:sz="0" w:space="0" w:color="auto"/>
      </w:divBdr>
    </w:div>
    <w:div w:id="1908296465">
      <w:bodyDiv w:val="1"/>
      <w:marLeft w:val="0"/>
      <w:marRight w:val="0"/>
      <w:marTop w:val="0"/>
      <w:marBottom w:val="0"/>
      <w:divBdr>
        <w:top w:val="none" w:sz="0" w:space="0" w:color="auto"/>
        <w:left w:val="none" w:sz="0" w:space="0" w:color="auto"/>
        <w:bottom w:val="none" w:sz="0" w:space="0" w:color="auto"/>
        <w:right w:val="none" w:sz="0" w:space="0" w:color="auto"/>
      </w:divBdr>
    </w:div>
    <w:div w:id="1908608876">
      <w:bodyDiv w:val="1"/>
      <w:marLeft w:val="0"/>
      <w:marRight w:val="0"/>
      <w:marTop w:val="0"/>
      <w:marBottom w:val="0"/>
      <w:divBdr>
        <w:top w:val="none" w:sz="0" w:space="0" w:color="auto"/>
        <w:left w:val="none" w:sz="0" w:space="0" w:color="auto"/>
        <w:bottom w:val="none" w:sz="0" w:space="0" w:color="auto"/>
        <w:right w:val="none" w:sz="0" w:space="0" w:color="auto"/>
      </w:divBdr>
    </w:div>
    <w:div w:id="1909150558">
      <w:bodyDiv w:val="1"/>
      <w:marLeft w:val="0"/>
      <w:marRight w:val="0"/>
      <w:marTop w:val="0"/>
      <w:marBottom w:val="0"/>
      <w:divBdr>
        <w:top w:val="none" w:sz="0" w:space="0" w:color="auto"/>
        <w:left w:val="none" w:sz="0" w:space="0" w:color="auto"/>
        <w:bottom w:val="none" w:sz="0" w:space="0" w:color="auto"/>
        <w:right w:val="none" w:sz="0" w:space="0" w:color="auto"/>
      </w:divBdr>
    </w:div>
    <w:div w:id="1910649041">
      <w:bodyDiv w:val="1"/>
      <w:marLeft w:val="0"/>
      <w:marRight w:val="0"/>
      <w:marTop w:val="0"/>
      <w:marBottom w:val="0"/>
      <w:divBdr>
        <w:top w:val="none" w:sz="0" w:space="0" w:color="auto"/>
        <w:left w:val="none" w:sz="0" w:space="0" w:color="auto"/>
        <w:bottom w:val="none" w:sz="0" w:space="0" w:color="auto"/>
        <w:right w:val="none" w:sz="0" w:space="0" w:color="auto"/>
      </w:divBdr>
    </w:div>
    <w:div w:id="1912040009">
      <w:bodyDiv w:val="1"/>
      <w:marLeft w:val="0"/>
      <w:marRight w:val="0"/>
      <w:marTop w:val="0"/>
      <w:marBottom w:val="0"/>
      <w:divBdr>
        <w:top w:val="none" w:sz="0" w:space="0" w:color="auto"/>
        <w:left w:val="none" w:sz="0" w:space="0" w:color="auto"/>
        <w:bottom w:val="none" w:sz="0" w:space="0" w:color="auto"/>
        <w:right w:val="none" w:sz="0" w:space="0" w:color="auto"/>
      </w:divBdr>
    </w:div>
    <w:div w:id="1912419636">
      <w:bodyDiv w:val="1"/>
      <w:marLeft w:val="0"/>
      <w:marRight w:val="0"/>
      <w:marTop w:val="0"/>
      <w:marBottom w:val="0"/>
      <w:divBdr>
        <w:top w:val="none" w:sz="0" w:space="0" w:color="auto"/>
        <w:left w:val="none" w:sz="0" w:space="0" w:color="auto"/>
        <w:bottom w:val="none" w:sz="0" w:space="0" w:color="auto"/>
        <w:right w:val="none" w:sz="0" w:space="0" w:color="auto"/>
      </w:divBdr>
    </w:div>
    <w:div w:id="1915775867">
      <w:bodyDiv w:val="1"/>
      <w:marLeft w:val="0"/>
      <w:marRight w:val="0"/>
      <w:marTop w:val="0"/>
      <w:marBottom w:val="0"/>
      <w:divBdr>
        <w:top w:val="none" w:sz="0" w:space="0" w:color="auto"/>
        <w:left w:val="none" w:sz="0" w:space="0" w:color="auto"/>
        <w:bottom w:val="none" w:sz="0" w:space="0" w:color="auto"/>
        <w:right w:val="none" w:sz="0" w:space="0" w:color="auto"/>
      </w:divBdr>
    </w:div>
    <w:div w:id="1918392992">
      <w:bodyDiv w:val="1"/>
      <w:marLeft w:val="0"/>
      <w:marRight w:val="0"/>
      <w:marTop w:val="0"/>
      <w:marBottom w:val="0"/>
      <w:divBdr>
        <w:top w:val="none" w:sz="0" w:space="0" w:color="auto"/>
        <w:left w:val="none" w:sz="0" w:space="0" w:color="auto"/>
        <w:bottom w:val="none" w:sz="0" w:space="0" w:color="auto"/>
        <w:right w:val="none" w:sz="0" w:space="0" w:color="auto"/>
      </w:divBdr>
    </w:div>
    <w:div w:id="1922130621">
      <w:bodyDiv w:val="1"/>
      <w:marLeft w:val="0"/>
      <w:marRight w:val="0"/>
      <w:marTop w:val="0"/>
      <w:marBottom w:val="0"/>
      <w:divBdr>
        <w:top w:val="none" w:sz="0" w:space="0" w:color="auto"/>
        <w:left w:val="none" w:sz="0" w:space="0" w:color="auto"/>
        <w:bottom w:val="none" w:sz="0" w:space="0" w:color="auto"/>
        <w:right w:val="none" w:sz="0" w:space="0" w:color="auto"/>
      </w:divBdr>
    </w:div>
    <w:div w:id="1922369923">
      <w:bodyDiv w:val="1"/>
      <w:marLeft w:val="0"/>
      <w:marRight w:val="0"/>
      <w:marTop w:val="0"/>
      <w:marBottom w:val="0"/>
      <w:divBdr>
        <w:top w:val="none" w:sz="0" w:space="0" w:color="auto"/>
        <w:left w:val="none" w:sz="0" w:space="0" w:color="auto"/>
        <w:bottom w:val="none" w:sz="0" w:space="0" w:color="auto"/>
        <w:right w:val="none" w:sz="0" w:space="0" w:color="auto"/>
      </w:divBdr>
    </w:div>
    <w:div w:id="1925720690">
      <w:bodyDiv w:val="1"/>
      <w:marLeft w:val="0"/>
      <w:marRight w:val="0"/>
      <w:marTop w:val="0"/>
      <w:marBottom w:val="0"/>
      <w:divBdr>
        <w:top w:val="none" w:sz="0" w:space="0" w:color="auto"/>
        <w:left w:val="none" w:sz="0" w:space="0" w:color="auto"/>
        <w:bottom w:val="none" w:sz="0" w:space="0" w:color="auto"/>
        <w:right w:val="none" w:sz="0" w:space="0" w:color="auto"/>
      </w:divBdr>
    </w:div>
    <w:div w:id="1926649545">
      <w:bodyDiv w:val="1"/>
      <w:marLeft w:val="0"/>
      <w:marRight w:val="0"/>
      <w:marTop w:val="0"/>
      <w:marBottom w:val="0"/>
      <w:divBdr>
        <w:top w:val="none" w:sz="0" w:space="0" w:color="auto"/>
        <w:left w:val="none" w:sz="0" w:space="0" w:color="auto"/>
        <w:bottom w:val="none" w:sz="0" w:space="0" w:color="auto"/>
        <w:right w:val="none" w:sz="0" w:space="0" w:color="auto"/>
      </w:divBdr>
    </w:div>
    <w:div w:id="1928227239">
      <w:bodyDiv w:val="1"/>
      <w:marLeft w:val="0"/>
      <w:marRight w:val="0"/>
      <w:marTop w:val="0"/>
      <w:marBottom w:val="0"/>
      <w:divBdr>
        <w:top w:val="none" w:sz="0" w:space="0" w:color="auto"/>
        <w:left w:val="none" w:sz="0" w:space="0" w:color="auto"/>
        <w:bottom w:val="none" w:sz="0" w:space="0" w:color="auto"/>
        <w:right w:val="none" w:sz="0" w:space="0" w:color="auto"/>
      </w:divBdr>
    </w:div>
    <w:div w:id="1930649079">
      <w:bodyDiv w:val="1"/>
      <w:marLeft w:val="0"/>
      <w:marRight w:val="0"/>
      <w:marTop w:val="0"/>
      <w:marBottom w:val="0"/>
      <w:divBdr>
        <w:top w:val="none" w:sz="0" w:space="0" w:color="auto"/>
        <w:left w:val="none" w:sz="0" w:space="0" w:color="auto"/>
        <w:bottom w:val="none" w:sz="0" w:space="0" w:color="auto"/>
        <w:right w:val="none" w:sz="0" w:space="0" w:color="auto"/>
      </w:divBdr>
    </w:div>
    <w:div w:id="1931887062">
      <w:bodyDiv w:val="1"/>
      <w:marLeft w:val="0"/>
      <w:marRight w:val="0"/>
      <w:marTop w:val="0"/>
      <w:marBottom w:val="0"/>
      <w:divBdr>
        <w:top w:val="none" w:sz="0" w:space="0" w:color="auto"/>
        <w:left w:val="none" w:sz="0" w:space="0" w:color="auto"/>
        <w:bottom w:val="none" w:sz="0" w:space="0" w:color="auto"/>
        <w:right w:val="none" w:sz="0" w:space="0" w:color="auto"/>
      </w:divBdr>
    </w:div>
    <w:div w:id="1932737085">
      <w:bodyDiv w:val="1"/>
      <w:marLeft w:val="0"/>
      <w:marRight w:val="0"/>
      <w:marTop w:val="0"/>
      <w:marBottom w:val="0"/>
      <w:divBdr>
        <w:top w:val="none" w:sz="0" w:space="0" w:color="auto"/>
        <w:left w:val="none" w:sz="0" w:space="0" w:color="auto"/>
        <w:bottom w:val="none" w:sz="0" w:space="0" w:color="auto"/>
        <w:right w:val="none" w:sz="0" w:space="0" w:color="auto"/>
      </w:divBdr>
    </w:div>
    <w:div w:id="1933391748">
      <w:bodyDiv w:val="1"/>
      <w:marLeft w:val="0"/>
      <w:marRight w:val="0"/>
      <w:marTop w:val="0"/>
      <w:marBottom w:val="0"/>
      <w:divBdr>
        <w:top w:val="none" w:sz="0" w:space="0" w:color="auto"/>
        <w:left w:val="none" w:sz="0" w:space="0" w:color="auto"/>
        <w:bottom w:val="none" w:sz="0" w:space="0" w:color="auto"/>
        <w:right w:val="none" w:sz="0" w:space="0" w:color="auto"/>
      </w:divBdr>
    </w:div>
    <w:div w:id="1934581545">
      <w:bodyDiv w:val="1"/>
      <w:marLeft w:val="0"/>
      <w:marRight w:val="0"/>
      <w:marTop w:val="0"/>
      <w:marBottom w:val="0"/>
      <w:divBdr>
        <w:top w:val="none" w:sz="0" w:space="0" w:color="auto"/>
        <w:left w:val="none" w:sz="0" w:space="0" w:color="auto"/>
        <w:bottom w:val="none" w:sz="0" w:space="0" w:color="auto"/>
        <w:right w:val="none" w:sz="0" w:space="0" w:color="auto"/>
      </w:divBdr>
    </w:div>
    <w:div w:id="1935743588">
      <w:bodyDiv w:val="1"/>
      <w:marLeft w:val="0"/>
      <w:marRight w:val="0"/>
      <w:marTop w:val="0"/>
      <w:marBottom w:val="0"/>
      <w:divBdr>
        <w:top w:val="none" w:sz="0" w:space="0" w:color="auto"/>
        <w:left w:val="none" w:sz="0" w:space="0" w:color="auto"/>
        <w:bottom w:val="none" w:sz="0" w:space="0" w:color="auto"/>
        <w:right w:val="none" w:sz="0" w:space="0" w:color="auto"/>
      </w:divBdr>
    </w:div>
    <w:div w:id="1935936270">
      <w:bodyDiv w:val="1"/>
      <w:marLeft w:val="0"/>
      <w:marRight w:val="0"/>
      <w:marTop w:val="0"/>
      <w:marBottom w:val="0"/>
      <w:divBdr>
        <w:top w:val="none" w:sz="0" w:space="0" w:color="auto"/>
        <w:left w:val="none" w:sz="0" w:space="0" w:color="auto"/>
        <w:bottom w:val="none" w:sz="0" w:space="0" w:color="auto"/>
        <w:right w:val="none" w:sz="0" w:space="0" w:color="auto"/>
      </w:divBdr>
    </w:div>
    <w:div w:id="1936547792">
      <w:bodyDiv w:val="1"/>
      <w:marLeft w:val="0"/>
      <w:marRight w:val="0"/>
      <w:marTop w:val="0"/>
      <w:marBottom w:val="0"/>
      <w:divBdr>
        <w:top w:val="none" w:sz="0" w:space="0" w:color="auto"/>
        <w:left w:val="none" w:sz="0" w:space="0" w:color="auto"/>
        <w:bottom w:val="none" w:sz="0" w:space="0" w:color="auto"/>
        <w:right w:val="none" w:sz="0" w:space="0" w:color="auto"/>
      </w:divBdr>
    </w:div>
    <w:div w:id="1937865232">
      <w:bodyDiv w:val="1"/>
      <w:marLeft w:val="0"/>
      <w:marRight w:val="0"/>
      <w:marTop w:val="0"/>
      <w:marBottom w:val="0"/>
      <w:divBdr>
        <w:top w:val="none" w:sz="0" w:space="0" w:color="auto"/>
        <w:left w:val="none" w:sz="0" w:space="0" w:color="auto"/>
        <w:bottom w:val="none" w:sz="0" w:space="0" w:color="auto"/>
        <w:right w:val="none" w:sz="0" w:space="0" w:color="auto"/>
      </w:divBdr>
    </w:div>
    <w:div w:id="1940603887">
      <w:bodyDiv w:val="1"/>
      <w:marLeft w:val="0"/>
      <w:marRight w:val="0"/>
      <w:marTop w:val="0"/>
      <w:marBottom w:val="0"/>
      <w:divBdr>
        <w:top w:val="none" w:sz="0" w:space="0" w:color="auto"/>
        <w:left w:val="none" w:sz="0" w:space="0" w:color="auto"/>
        <w:bottom w:val="none" w:sz="0" w:space="0" w:color="auto"/>
        <w:right w:val="none" w:sz="0" w:space="0" w:color="auto"/>
      </w:divBdr>
    </w:div>
    <w:div w:id="1945991712">
      <w:bodyDiv w:val="1"/>
      <w:marLeft w:val="0"/>
      <w:marRight w:val="0"/>
      <w:marTop w:val="0"/>
      <w:marBottom w:val="0"/>
      <w:divBdr>
        <w:top w:val="none" w:sz="0" w:space="0" w:color="auto"/>
        <w:left w:val="none" w:sz="0" w:space="0" w:color="auto"/>
        <w:bottom w:val="none" w:sz="0" w:space="0" w:color="auto"/>
        <w:right w:val="none" w:sz="0" w:space="0" w:color="auto"/>
      </w:divBdr>
    </w:div>
    <w:div w:id="1947230101">
      <w:bodyDiv w:val="1"/>
      <w:marLeft w:val="0"/>
      <w:marRight w:val="0"/>
      <w:marTop w:val="0"/>
      <w:marBottom w:val="0"/>
      <w:divBdr>
        <w:top w:val="none" w:sz="0" w:space="0" w:color="auto"/>
        <w:left w:val="none" w:sz="0" w:space="0" w:color="auto"/>
        <w:bottom w:val="none" w:sz="0" w:space="0" w:color="auto"/>
        <w:right w:val="none" w:sz="0" w:space="0" w:color="auto"/>
      </w:divBdr>
    </w:div>
    <w:div w:id="1948539252">
      <w:bodyDiv w:val="1"/>
      <w:marLeft w:val="0"/>
      <w:marRight w:val="0"/>
      <w:marTop w:val="0"/>
      <w:marBottom w:val="0"/>
      <w:divBdr>
        <w:top w:val="none" w:sz="0" w:space="0" w:color="auto"/>
        <w:left w:val="none" w:sz="0" w:space="0" w:color="auto"/>
        <w:bottom w:val="none" w:sz="0" w:space="0" w:color="auto"/>
        <w:right w:val="none" w:sz="0" w:space="0" w:color="auto"/>
      </w:divBdr>
    </w:div>
    <w:div w:id="1950115198">
      <w:bodyDiv w:val="1"/>
      <w:marLeft w:val="0"/>
      <w:marRight w:val="0"/>
      <w:marTop w:val="0"/>
      <w:marBottom w:val="0"/>
      <w:divBdr>
        <w:top w:val="none" w:sz="0" w:space="0" w:color="auto"/>
        <w:left w:val="none" w:sz="0" w:space="0" w:color="auto"/>
        <w:bottom w:val="none" w:sz="0" w:space="0" w:color="auto"/>
        <w:right w:val="none" w:sz="0" w:space="0" w:color="auto"/>
      </w:divBdr>
    </w:div>
    <w:div w:id="1950887946">
      <w:bodyDiv w:val="1"/>
      <w:marLeft w:val="0"/>
      <w:marRight w:val="0"/>
      <w:marTop w:val="0"/>
      <w:marBottom w:val="0"/>
      <w:divBdr>
        <w:top w:val="none" w:sz="0" w:space="0" w:color="auto"/>
        <w:left w:val="none" w:sz="0" w:space="0" w:color="auto"/>
        <w:bottom w:val="none" w:sz="0" w:space="0" w:color="auto"/>
        <w:right w:val="none" w:sz="0" w:space="0" w:color="auto"/>
      </w:divBdr>
    </w:div>
    <w:div w:id="1962567518">
      <w:bodyDiv w:val="1"/>
      <w:marLeft w:val="0"/>
      <w:marRight w:val="0"/>
      <w:marTop w:val="0"/>
      <w:marBottom w:val="0"/>
      <w:divBdr>
        <w:top w:val="none" w:sz="0" w:space="0" w:color="auto"/>
        <w:left w:val="none" w:sz="0" w:space="0" w:color="auto"/>
        <w:bottom w:val="none" w:sz="0" w:space="0" w:color="auto"/>
        <w:right w:val="none" w:sz="0" w:space="0" w:color="auto"/>
      </w:divBdr>
    </w:div>
    <w:div w:id="1963027011">
      <w:bodyDiv w:val="1"/>
      <w:marLeft w:val="0"/>
      <w:marRight w:val="0"/>
      <w:marTop w:val="0"/>
      <w:marBottom w:val="0"/>
      <w:divBdr>
        <w:top w:val="none" w:sz="0" w:space="0" w:color="auto"/>
        <w:left w:val="none" w:sz="0" w:space="0" w:color="auto"/>
        <w:bottom w:val="none" w:sz="0" w:space="0" w:color="auto"/>
        <w:right w:val="none" w:sz="0" w:space="0" w:color="auto"/>
      </w:divBdr>
    </w:div>
    <w:div w:id="1964993193">
      <w:bodyDiv w:val="1"/>
      <w:marLeft w:val="0"/>
      <w:marRight w:val="0"/>
      <w:marTop w:val="0"/>
      <w:marBottom w:val="0"/>
      <w:divBdr>
        <w:top w:val="none" w:sz="0" w:space="0" w:color="auto"/>
        <w:left w:val="none" w:sz="0" w:space="0" w:color="auto"/>
        <w:bottom w:val="none" w:sz="0" w:space="0" w:color="auto"/>
        <w:right w:val="none" w:sz="0" w:space="0" w:color="auto"/>
      </w:divBdr>
    </w:div>
    <w:div w:id="1965455189">
      <w:bodyDiv w:val="1"/>
      <w:marLeft w:val="0"/>
      <w:marRight w:val="0"/>
      <w:marTop w:val="0"/>
      <w:marBottom w:val="0"/>
      <w:divBdr>
        <w:top w:val="none" w:sz="0" w:space="0" w:color="auto"/>
        <w:left w:val="none" w:sz="0" w:space="0" w:color="auto"/>
        <w:bottom w:val="none" w:sz="0" w:space="0" w:color="auto"/>
        <w:right w:val="none" w:sz="0" w:space="0" w:color="auto"/>
      </w:divBdr>
    </w:div>
    <w:div w:id="1966348259">
      <w:bodyDiv w:val="1"/>
      <w:marLeft w:val="0"/>
      <w:marRight w:val="0"/>
      <w:marTop w:val="0"/>
      <w:marBottom w:val="0"/>
      <w:divBdr>
        <w:top w:val="none" w:sz="0" w:space="0" w:color="auto"/>
        <w:left w:val="none" w:sz="0" w:space="0" w:color="auto"/>
        <w:bottom w:val="none" w:sz="0" w:space="0" w:color="auto"/>
        <w:right w:val="none" w:sz="0" w:space="0" w:color="auto"/>
      </w:divBdr>
    </w:div>
    <w:div w:id="1967198017">
      <w:bodyDiv w:val="1"/>
      <w:marLeft w:val="0"/>
      <w:marRight w:val="0"/>
      <w:marTop w:val="0"/>
      <w:marBottom w:val="0"/>
      <w:divBdr>
        <w:top w:val="none" w:sz="0" w:space="0" w:color="auto"/>
        <w:left w:val="none" w:sz="0" w:space="0" w:color="auto"/>
        <w:bottom w:val="none" w:sz="0" w:space="0" w:color="auto"/>
        <w:right w:val="none" w:sz="0" w:space="0" w:color="auto"/>
      </w:divBdr>
    </w:div>
    <w:div w:id="1972055156">
      <w:bodyDiv w:val="1"/>
      <w:marLeft w:val="0"/>
      <w:marRight w:val="0"/>
      <w:marTop w:val="0"/>
      <w:marBottom w:val="0"/>
      <w:divBdr>
        <w:top w:val="none" w:sz="0" w:space="0" w:color="auto"/>
        <w:left w:val="none" w:sz="0" w:space="0" w:color="auto"/>
        <w:bottom w:val="none" w:sz="0" w:space="0" w:color="auto"/>
        <w:right w:val="none" w:sz="0" w:space="0" w:color="auto"/>
      </w:divBdr>
    </w:div>
    <w:div w:id="1973052037">
      <w:bodyDiv w:val="1"/>
      <w:marLeft w:val="0"/>
      <w:marRight w:val="0"/>
      <w:marTop w:val="0"/>
      <w:marBottom w:val="0"/>
      <w:divBdr>
        <w:top w:val="none" w:sz="0" w:space="0" w:color="auto"/>
        <w:left w:val="none" w:sz="0" w:space="0" w:color="auto"/>
        <w:bottom w:val="none" w:sz="0" w:space="0" w:color="auto"/>
        <w:right w:val="none" w:sz="0" w:space="0" w:color="auto"/>
      </w:divBdr>
    </w:div>
    <w:div w:id="1973437080">
      <w:bodyDiv w:val="1"/>
      <w:marLeft w:val="0"/>
      <w:marRight w:val="0"/>
      <w:marTop w:val="0"/>
      <w:marBottom w:val="0"/>
      <w:divBdr>
        <w:top w:val="none" w:sz="0" w:space="0" w:color="auto"/>
        <w:left w:val="none" w:sz="0" w:space="0" w:color="auto"/>
        <w:bottom w:val="none" w:sz="0" w:space="0" w:color="auto"/>
        <w:right w:val="none" w:sz="0" w:space="0" w:color="auto"/>
      </w:divBdr>
    </w:div>
    <w:div w:id="1978608859">
      <w:bodyDiv w:val="1"/>
      <w:marLeft w:val="0"/>
      <w:marRight w:val="0"/>
      <w:marTop w:val="0"/>
      <w:marBottom w:val="0"/>
      <w:divBdr>
        <w:top w:val="none" w:sz="0" w:space="0" w:color="auto"/>
        <w:left w:val="none" w:sz="0" w:space="0" w:color="auto"/>
        <w:bottom w:val="none" w:sz="0" w:space="0" w:color="auto"/>
        <w:right w:val="none" w:sz="0" w:space="0" w:color="auto"/>
      </w:divBdr>
    </w:div>
    <w:div w:id="1980456379">
      <w:bodyDiv w:val="1"/>
      <w:marLeft w:val="0"/>
      <w:marRight w:val="0"/>
      <w:marTop w:val="0"/>
      <w:marBottom w:val="0"/>
      <w:divBdr>
        <w:top w:val="none" w:sz="0" w:space="0" w:color="auto"/>
        <w:left w:val="none" w:sz="0" w:space="0" w:color="auto"/>
        <w:bottom w:val="none" w:sz="0" w:space="0" w:color="auto"/>
        <w:right w:val="none" w:sz="0" w:space="0" w:color="auto"/>
      </w:divBdr>
    </w:div>
    <w:div w:id="1980576845">
      <w:bodyDiv w:val="1"/>
      <w:marLeft w:val="0"/>
      <w:marRight w:val="0"/>
      <w:marTop w:val="0"/>
      <w:marBottom w:val="0"/>
      <w:divBdr>
        <w:top w:val="none" w:sz="0" w:space="0" w:color="auto"/>
        <w:left w:val="none" w:sz="0" w:space="0" w:color="auto"/>
        <w:bottom w:val="none" w:sz="0" w:space="0" w:color="auto"/>
        <w:right w:val="none" w:sz="0" w:space="0" w:color="auto"/>
      </w:divBdr>
    </w:div>
    <w:div w:id="1980650615">
      <w:bodyDiv w:val="1"/>
      <w:marLeft w:val="0"/>
      <w:marRight w:val="0"/>
      <w:marTop w:val="0"/>
      <w:marBottom w:val="0"/>
      <w:divBdr>
        <w:top w:val="none" w:sz="0" w:space="0" w:color="auto"/>
        <w:left w:val="none" w:sz="0" w:space="0" w:color="auto"/>
        <w:bottom w:val="none" w:sz="0" w:space="0" w:color="auto"/>
        <w:right w:val="none" w:sz="0" w:space="0" w:color="auto"/>
      </w:divBdr>
    </w:div>
    <w:div w:id="1981299809">
      <w:bodyDiv w:val="1"/>
      <w:marLeft w:val="0"/>
      <w:marRight w:val="0"/>
      <w:marTop w:val="0"/>
      <w:marBottom w:val="0"/>
      <w:divBdr>
        <w:top w:val="none" w:sz="0" w:space="0" w:color="auto"/>
        <w:left w:val="none" w:sz="0" w:space="0" w:color="auto"/>
        <w:bottom w:val="none" w:sz="0" w:space="0" w:color="auto"/>
        <w:right w:val="none" w:sz="0" w:space="0" w:color="auto"/>
      </w:divBdr>
    </w:div>
    <w:div w:id="1985238590">
      <w:bodyDiv w:val="1"/>
      <w:marLeft w:val="0"/>
      <w:marRight w:val="0"/>
      <w:marTop w:val="0"/>
      <w:marBottom w:val="0"/>
      <w:divBdr>
        <w:top w:val="none" w:sz="0" w:space="0" w:color="auto"/>
        <w:left w:val="none" w:sz="0" w:space="0" w:color="auto"/>
        <w:bottom w:val="none" w:sz="0" w:space="0" w:color="auto"/>
        <w:right w:val="none" w:sz="0" w:space="0" w:color="auto"/>
      </w:divBdr>
    </w:div>
    <w:div w:id="1985699888">
      <w:bodyDiv w:val="1"/>
      <w:marLeft w:val="0"/>
      <w:marRight w:val="0"/>
      <w:marTop w:val="0"/>
      <w:marBottom w:val="0"/>
      <w:divBdr>
        <w:top w:val="none" w:sz="0" w:space="0" w:color="auto"/>
        <w:left w:val="none" w:sz="0" w:space="0" w:color="auto"/>
        <w:bottom w:val="none" w:sz="0" w:space="0" w:color="auto"/>
        <w:right w:val="none" w:sz="0" w:space="0" w:color="auto"/>
      </w:divBdr>
    </w:div>
    <w:div w:id="1988245188">
      <w:bodyDiv w:val="1"/>
      <w:marLeft w:val="0"/>
      <w:marRight w:val="0"/>
      <w:marTop w:val="0"/>
      <w:marBottom w:val="0"/>
      <w:divBdr>
        <w:top w:val="none" w:sz="0" w:space="0" w:color="auto"/>
        <w:left w:val="none" w:sz="0" w:space="0" w:color="auto"/>
        <w:bottom w:val="none" w:sz="0" w:space="0" w:color="auto"/>
        <w:right w:val="none" w:sz="0" w:space="0" w:color="auto"/>
      </w:divBdr>
    </w:div>
    <w:div w:id="1989556205">
      <w:bodyDiv w:val="1"/>
      <w:marLeft w:val="0"/>
      <w:marRight w:val="0"/>
      <w:marTop w:val="0"/>
      <w:marBottom w:val="0"/>
      <w:divBdr>
        <w:top w:val="none" w:sz="0" w:space="0" w:color="auto"/>
        <w:left w:val="none" w:sz="0" w:space="0" w:color="auto"/>
        <w:bottom w:val="none" w:sz="0" w:space="0" w:color="auto"/>
        <w:right w:val="none" w:sz="0" w:space="0" w:color="auto"/>
      </w:divBdr>
    </w:div>
    <w:div w:id="1993753242">
      <w:bodyDiv w:val="1"/>
      <w:marLeft w:val="0"/>
      <w:marRight w:val="0"/>
      <w:marTop w:val="0"/>
      <w:marBottom w:val="0"/>
      <w:divBdr>
        <w:top w:val="none" w:sz="0" w:space="0" w:color="auto"/>
        <w:left w:val="none" w:sz="0" w:space="0" w:color="auto"/>
        <w:bottom w:val="none" w:sz="0" w:space="0" w:color="auto"/>
        <w:right w:val="none" w:sz="0" w:space="0" w:color="auto"/>
      </w:divBdr>
    </w:div>
    <w:div w:id="1995336272">
      <w:bodyDiv w:val="1"/>
      <w:marLeft w:val="0"/>
      <w:marRight w:val="0"/>
      <w:marTop w:val="0"/>
      <w:marBottom w:val="0"/>
      <w:divBdr>
        <w:top w:val="none" w:sz="0" w:space="0" w:color="auto"/>
        <w:left w:val="none" w:sz="0" w:space="0" w:color="auto"/>
        <w:bottom w:val="none" w:sz="0" w:space="0" w:color="auto"/>
        <w:right w:val="none" w:sz="0" w:space="0" w:color="auto"/>
      </w:divBdr>
    </w:div>
    <w:div w:id="1996912667">
      <w:bodyDiv w:val="1"/>
      <w:marLeft w:val="0"/>
      <w:marRight w:val="0"/>
      <w:marTop w:val="0"/>
      <w:marBottom w:val="0"/>
      <w:divBdr>
        <w:top w:val="none" w:sz="0" w:space="0" w:color="auto"/>
        <w:left w:val="none" w:sz="0" w:space="0" w:color="auto"/>
        <w:bottom w:val="none" w:sz="0" w:space="0" w:color="auto"/>
        <w:right w:val="none" w:sz="0" w:space="0" w:color="auto"/>
      </w:divBdr>
    </w:div>
    <w:div w:id="1997613575">
      <w:bodyDiv w:val="1"/>
      <w:marLeft w:val="0"/>
      <w:marRight w:val="0"/>
      <w:marTop w:val="0"/>
      <w:marBottom w:val="0"/>
      <w:divBdr>
        <w:top w:val="none" w:sz="0" w:space="0" w:color="auto"/>
        <w:left w:val="none" w:sz="0" w:space="0" w:color="auto"/>
        <w:bottom w:val="none" w:sz="0" w:space="0" w:color="auto"/>
        <w:right w:val="none" w:sz="0" w:space="0" w:color="auto"/>
      </w:divBdr>
    </w:div>
    <w:div w:id="2009212323">
      <w:bodyDiv w:val="1"/>
      <w:marLeft w:val="0"/>
      <w:marRight w:val="0"/>
      <w:marTop w:val="0"/>
      <w:marBottom w:val="0"/>
      <w:divBdr>
        <w:top w:val="none" w:sz="0" w:space="0" w:color="auto"/>
        <w:left w:val="none" w:sz="0" w:space="0" w:color="auto"/>
        <w:bottom w:val="none" w:sz="0" w:space="0" w:color="auto"/>
        <w:right w:val="none" w:sz="0" w:space="0" w:color="auto"/>
      </w:divBdr>
    </w:div>
    <w:div w:id="2009626921">
      <w:bodyDiv w:val="1"/>
      <w:marLeft w:val="0"/>
      <w:marRight w:val="0"/>
      <w:marTop w:val="0"/>
      <w:marBottom w:val="0"/>
      <w:divBdr>
        <w:top w:val="none" w:sz="0" w:space="0" w:color="auto"/>
        <w:left w:val="none" w:sz="0" w:space="0" w:color="auto"/>
        <w:bottom w:val="none" w:sz="0" w:space="0" w:color="auto"/>
        <w:right w:val="none" w:sz="0" w:space="0" w:color="auto"/>
      </w:divBdr>
    </w:div>
    <w:div w:id="2010449021">
      <w:bodyDiv w:val="1"/>
      <w:marLeft w:val="0"/>
      <w:marRight w:val="0"/>
      <w:marTop w:val="0"/>
      <w:marBottom w:val="0"/>
      <w:divBdr>
        <w:top w:val="none" w:sz="0" w:space="0" w:color="auto"/>
        <w:left w:val="none" w:sz="0" w:space="0" w:color="auto"/>
        <w:bottom w:val="none" w:sz="0" w:space="0" w:color="auto"/>
        <w:right w:val="none" w:sz="0" w:space="0" w:color="auto"/>
      </w:divBdr>
    </w:div>
    <w:div w:id="2012102135">
      <w:bodyDiv w:val="1"/>
      <w:marLeft w:val="0"/>
      <w:marRight w:val="0"/>
      <w:marTop w:val="0"/>
      <w:marBottom w:val="0"/>
      <w:divBdr>
        <w:top w:val="none" w:sz="0" w:space="0" w:color="auto"/>
        <w:left w:val="none" w:sz="0" w:space="0" w:color="auto"/>
        <w:bottom w:val="none" w:sz="0" w:space="0" w:color="auto"/>
        <w:right w:val="none" w:sz="0" w:space="0" w:color="auto"/>
      </w:divBdr>
    </w:div>
    <w:div w:id="2013024971">
      <w:bodyDiv w:val="1"/>
      <w:marLeft w:val="0"/>
      <w:marRight w:val="0"/>
      <w:marTop w:val="0"/>
      <w:marBottom w:val="0"/>
      <w:divBdr>
        <w:top w:val="none" w:sz="0" w:space="0" w:color="auto"/>
        <w:left w:val="none" w:sz="0" w:space="0" w:color="auto"/>
        <w:bottom w:val="none" w:sz="0" w:space="0" w:color="auto"/>
        <w:right w:val="none" w:sz="0" w:space="0" w:color="auto"/>
      </w:divBdr>
    </w:div>
    <w:div w:id="2014916293">
      <w:bodyDiv w:val="1"/>
      <w:marLeft w:val="0"/>
      <w:marRight w:val="0"/>
      <w:marTop w:val="0"/>
      <w:marBottom w:val="0"/>
      <w:divBdr>
        <w:top w:val="none" w:sz="0" w:space="0" w:color="auto"/>
        <w:left w:val="none" w:sz="0" w:space="0" w:color="auto"/>
        <w:bottom w:val="none" w:sz="0" w:space="0" w:color="auto"/>
        <w:right w:val="none" w:sz="0" w:space="0" w:color="auto"/>
      </w:divBdr>
    </w:div>
    <w:div w:id="2018653631">
      <w:bodyDiv w:val="1"/>
      <w:marLeft w:val="0"/>
      <w:marRight w:val="0"/>
      <w:marTop w:val="0"/>
      <w:marBottom w:val="0"/>
      <w:divBdr>
        <w:top w:val="none" w:sz="0" w:space="0" w:color="auto"/>
        <w:left w:val="none" w:sz="0" w:space="0" w:color="auto"/>
        <w:bottom w:val="none" w:sz="0" w:space="0" w:color="auto"/>
        <w:right w:val="none" w:sz="0" w:space="0" w:color="auto"/>
      </w:divBdr>
    </w:div>
    <w:div w:id="2023435095">
      <w:bodyDiv w:val="1"/>
      <w:marLeft w:val="0"/>
      <w:marRight w:val="0"/>
      <w:marTop w:val="0"/>
      <w:marBottom w:val="0"/>
      <w:divBdr>
        <w:top w:val="none" w:sz="0" w:space="0" w:color="auto"/>
        <w:left w:val="none" w:sz="0" w:space="0" w:color="auto"/>
        <w:bottom w:val="none" w:sz="0" w:space="0" w:color="auto"/>
        <w:right w:val="none" w:sz="0" w:space="0" w:color="auto"/>
      </w:divBdr>
    </w:div>
    <w:div w:id="2023698463">
      <w:bodyDiv w:val="1"/>
      <w:marLeft w:val="0"/>
      <w:marRight w:val="0"/>
      <w:marTop w:val="0"/>
      <w:marBottom w:val="0"/>
      <w:divBdr>
        <w:top w:val="none" w:sz="0" w:space="0" w:color="auto"/>
        <w:left w:val="none" w:sz="0" w:space="0" w:color="auto"/>
        <w:bottom w:val="none" w:sz="0" w:space="0" w:color="auto"/>
        <w:right w:val="none" w:sz="0" w:space="0" w:color="auto"/>
      </w:divBdr>
    </w:div>
    <w:div w:id="2025286129">
      <w:bodyDiv w:val="1"/>
      <w:marLeft w:val="0"/>
      <w:marRight w:val="0"/>
      <w:marTop w:val="0"/>
      <w:marBottom w:val="0"/>
      <w:divBdr>
        <w:top w:val="none" w:sz="0" w:space="0" w:color="auto"/>
        <w:left w:val="none" w:sz="0" w:space="0" w:color="auto"/>
        <w:bottom w:val="none" w:sz="0" w:space="0" w:color="auto"/>
        <w:right w:val="none" w:sz="0" w:space="0" w:color="auto"/>
      </w:divBdr>
    </w:div>
    <w:div w:id="2028211912">
      <w:bodyDiv w:val="1"/>
      <w:marLeft w:val="0"/>
      <w:marRight w:val="0"/>
      <w:marTop w:val="0"/>
      <w:marBottom w:val="0"/>
      <w:divBdr>
        <w:top w:val="none" w:sz="0" w:space="0" w:color="auto"/>
        <w:left w:val="none" w:sz="0" w:space="0" w:color="auto"/>
        <w:bottom w:val="none" w:sz="0" w:space="0" w:color="auto"/>
        <w:right w:val="none" w:sz="0" w:space="0" w:color="auto"/>
      </w:divBdr>
    </w:div>
    <w:div w:id="2029716620">
      <w:bodyDiv w:val="1"/>
      <w:marLeft w:val="0"/>
      <w:marRight w:val="0"/>
      <w:marTop w:val="0"/>
      <w:marBottom w:val="0"/>
      <w:divBdr>
        <w:top w:val="none" w:sz="0" w:space="0" w:color="auto"/>
        <w:left w:val="none" w:sz="0" w:space="0" w:color="auto"/>
        <w:bottom w:val="none" w:sz="0" w:space="0" w:color="auto"/>
        <w:right w:val="none" w:sz="0" w:space="0" w:color="auto"/>
      </w:divBdr>
    </w:div>
    <w:div w:id="2031641331">
      <w:bodyDiv w:val="1"/>
      <w:marLeft w:val="0"/>
      <w:marRight w:val="0"/>
      <w:marTop w:val="0"/>
      <w:marBottom w:val="0"/>
      <w:divBdr>
        <w:top w:val="none" w:sz="0" w:space="0" w:color="auto"/>
        <w:left w:val="none" w:sz="0" w:space="0" w:color="auto"/>
        <w:bottom w:val="none" w:sz="0" w:space="0" w:color="auto"/>
        <w:right w:val="none" w:sz="0" w:space="0" w:color="auto"/>
      </w:divBdr>
    </w:div>
    <w:div w:id="2034456910">
      <w:bodyDiv w:val="1"/>
      <w:marLeft w:val="0"/>
      <w:marRight w:val="0"/>
      <w:marTop w:val="0"/>
      <w:marBottom w:val="0"/>
      <w:divBdr>
        <w:top w:val="none" w:sz="0" w:space="0" w:color="auto"/>
        <w:left w:val="none" w:sz="0" w:space="0" w:color="auto"/>
        <w:bottom w:val="none" w:sz="0" w:space="0" w:color="auto"/>
        <w:right w:val="none" w:sz="0" w:space="0" w:color="auto"/>
      </w:divBdr>
    </w:div>
    <w:div w:id="2036156501">
      <w:bodyDiv w:val="1"/>
      <w:marLeft w:val="0"/>
      <w:marRight w:val="0"/>
      <w:marTop w:val="0"/>
      <w:marBottom w:val="0"/>
      <w:divBdr>
        <w:top w:val="none" w:sz="0" w:space="0" w:color="auto"/>
        <w:left w:val="none" w:sz="0" w:space="0" w:color="auto"/>
        <w:bottom w:val="none" w:sz="0" w:space="0" w:color="auto"/>
        <w:right w:val="none" w:sz="0" w:space="0" w:color="auto"/>
      </w:divBdr>
    </w:div>
    <w:div w:id="2039351755">
      <w:bodyDiv w:val="1"/>
      <w:marLeft w:val="0"/>
      <w:marRight w:val="0"/>
      <w:marTop w:val="0"/>
      <w:marBottom w:val="0"/>
      <w:divBdr>
        <w:top w:val="none" w:sz="0" w:space="0" w:color="auto"/>
        <w:left w:val="none" w:sz="0" w:space="0" w:color="auto"/>
        <w:bottom w:val="none" w:sz="0" w:space="0" w:color="auto"/>
        <w:right w:val="none" w:sz="0" w:space="0" w:color="auto"/>
      </w:divBdr>
    </w:div>
    <w:div w:id="2041584850">
      <w:bodyDiv w:val="1"/>
      <w:marLeft w:val="0"/>
      <w:marRight w:val="0"/>
      <w:marTop w:val="0"/>
      <w:marBottom w:val="0"/>
      <w:divBdr>
        <w:top w:val="none" w:sz="0" w:space="0" w:color="auto"/>
        <w:left w:val="none" w:sz="0" w:space="0" w:color="auto"/>
        <w:bottom w:val="none" w:sz="0" w:space="0" w:color="auto"/>
        <w:right w:val="none" w:sz="0" w:space="0" w:color="auto"/>
      </w:divBdr>
    </w:div>
    <w:div w:id="2045060407">
      <w:bodyDiv w:val="1"/>
      <w:marLeft w:val="0"/>
      <w:marRight w:val="0"/>
      <w:marTop w:val="0"/>
      <w:marBottom w:val="0"/>
      <w:divBdr>
        <w:top w:val="none" w:sz="0" w:space="0" w:color="auto"/>
        <w:left w:val="none" w:sz="0" w:space="0" w:color="auto"/>
        <w:bottom w:val="none" w:sz="0" w:space="0" w:color="auto"/>
        <w:right w:val="none" w:sz="0" w:space="0" w:color="auto"/>
      </w:divBdr>
    </w:div>
    <w:div w:id="2052336651">
      <w:bodyDiv w:val="1"/>
      <w:marLeft w:val="0"/>
      <w:marRight w:val="0"/>
      <w:marTop w:val="0"/>
      <w:marBottom w:val="0"/>
      <w:divBdr>
        <w:top w:val="none" w:sz="0" w:space="0" w:color="auto"/>
        <w:left w:val="none" w:sz="0" w:space="0" w:color="auto"/>
        <w:bottom w:val="none" w:sz="0" w:space="0" w:color="auto"/>
        <w:right w:val="none" w:sz="0" w:space="0" w:color="auto"/>
      </w:divBdr>
    </w:div>
    <w:div w:id="2054035833">
      <w:bodyDiv w:val="1"/>
      <w:marLeft w:val="0"/>
      <w:marRight w:val="0"/>
      <w:marTop w:val="0"/>
      <w:marBottom w:val="0"/>
      <w:divBdr>
        <w:top w:val="none" w:sz="0" w:space="0" w:color="auto"/>
        <w:left w:val="none" w:sz="0" w:space="0" w:color="auto"/>
        <w:bottom w:val="none" w:sz="0" w:space="0" w:color="auto"/>
        <w:right w:val="none" w:sz="0" w:space="0" w:color="auto"/>
      </w:divBdr>
    </w:div>
    <w:div w:id="2056197003">
      <w:bodyDiv w:val="1"/>
      <w:marLeft w:val="0"/>
      <w:marRight w:val="0"/>
      <w:marTop w:val="0"/>
      <w:marBottom w:val="0"/>
      <w:divBdr>
        <w:top w:val="none" w:sz="0" w:space="0" w:color="auto"/>
        <w:left w:val="none" w:sz="0" w:space="0" w:color="auto"/>
        <w:bottom w:val="none" w:sz="0" w:space="0" w:color="auto"/>
        <w:right w:val="none" w:sz="0" w:space="0" w:color="auto"/>
      </w:divBdr>
    </w:div>
    <w:div w:id="2056343273">
      <w:bodyDiv w:val="1"/>
      <w:marLeft w:val="0"/>
      <w:marRight w:val="0"/>
      <w:marTop w:val="0"/>
      <w:marBottom w:val="0"/>
      <w:divBdr>
        <w:top w:val="none" w:sz="0" w:space="0" w:color="auto"/>
        <w:left w:val="none" w:sz="0" w:space="0" w:color="auto"/>
        <w:bottom w:val="none" w:sz="0" w:space="0" w:color="auto"/>
        <w:right w:val="none" w:sz="0" w:space="0" w:color="auto"/>
      </w:divBdr>
    </w:div>
    <w:div w:id="2059743838">
      <w:bodyDiv w:val="1"/>
      <w:marLeft w:val="0"/>
      <w:marRight w:val="0"/>
      <w:marTop w:val="0"/>
      <w:marBottom w:val="0"/>
      <w:divBdr>
        <w:top w:val="none" w:sz="0" w:space="0" w:color="auto"/>
        <w:left w:val="none" w:sz="0" w:space="0" w:color="auto"/>
        <w:bottom w:val="none" w:sz="0" w:space="0" w:color="auto"/>
        <w:right w:val="none" w:sz="0" w:space="0" w:color="auto"/>
      </w:divBdr>
    </w:div>
    <w:div w:id="2063013642">
      <w:bodyDiv w:val="1"/>
      <w:marLeft w:val="0"/>
      <w:marRight w:val="0"/>
      <w:marTop w:val="0"/>
      <w:marBottom w:val="0"/>
      <w:divBdr>
        <w:top w:val="none" w:sz="0" w:space="0" w:color="auto"/>
        <w:left w:val="none" w:sz="0" w:space="0" w:color="auto"/>
        <w:bottom w:val="none" w:sz="0" w:space="0" w:color="auto"/>
        <w:right w:val="none" w:sz="0" w:space="0" w:color="auto"/>
      </w:divBdr>
    </w:div>
    <w:div w:id="2065717729">
      <w:bodyDiv w:val="1"/>
      <w:marLeft w:val="0"/>
      <w:marRight w:val="0"/>
      <w:marTop w:val="0"/>
      <w:marBottom w:val="0"/>
      <w:divBdr>
        <w:top w:val="none" w:sz="0" w:space="0" w:color="auto"/>
        <w:left w:val="none" w:sz="0" w:space="0" w:color="auto"/>
        <w:bottom w:val="none" w:sz="0" w:space="0" w:color="auto"/>
        <w:right w:val="none" w:sz="0" w:space="0" w:color="auto"/>
      </w:divBdr>
    </w:div>
    <w:div w:id="2066173887">
      <w:bodyDiv w:val="1"/>
      <w:marLeft w:val="0"/>
      <w:marRight w:val="0"/>
      <w:marTop w:val="0"/>
      <w:marBottom w:val="0"/>
      <w:divBdr>
        <w:top w:val="none" w:sz="0" w:space="0" w:color="auto"/>
        <w:left w:val="none" w:sz="0" w:space="0" w:color="auto"/>
        <w:bottom w:val="none" w:sz="0" w:space="0" w:color="auto"/>
        <w:right w:val="none" w:sz="0" w:space="0" w:color="auto"/>
      </w:divBdr>
    </w:div>
    <w:div w:id="2071420433">
      <w:bodyDiv w:val="1"/>
      <w:marLeft w:val="0"/>
      <w:marRight w:val="0"/>
      <w:marTop w:val="0"/>
      <w:marBottom w:val="0"/>
      <w:divBdr>
        <w:top w:val="none" w:sz="0" w:space="0" w:color="auto"/>
        <w:left w:val="none" w:sz="0" w:space="0" w:color="auto"/>
        <w:bottom w:val="none" w:sz="0" w:space="0" w:color="auto"/>
        <w:right w:val="none" w:sz="0" w:space="0" w:color="auto"/>
      </w:divBdr>
    </w:div>
    <w:div w:id="2071612572">
      <w:bodyDiv w:val="1"/>
      <w:marLeft w:val="0"/>
      <w:marRight w:val="0"/>
      <w:marTop w:val="0"/>
      <w:marBottom w:val="0"/>
      <w:divBdr>
        <w:top w:val="none" w:sz="0" w:space="0" w:color="auto"/>
        <w:left w:val="none" w:sz="0" w:space="0" w:color="auto"/>
        <w:bottom w:val="none" w:sz="0" w:space="0" w:color="auto"/>
        <w:right w:val="none" w:sz="0" w:space="0" w:color="auto"/>
      </w:divBdr>
    </w:div>
    <w:div w:id="2072538253">
      <w:bodyDiv w:val="1"/>
      <w:marLeft w:val="0"/>
      <w:marRight w:val="0"/>
      <w:marTop w:val="0"/>
      <w:marBottom w:val="0"/>
      <w:divBdr>
        <w:top w:val="none" w:sz="0" w:space="0" w:color="auto"/>
        <w:left w:val="none" w:sz="0" w:space="0" w:color="auto"/>
        <w:bottom w:val="none" w:sz="0" w:space="0" w:color="auto"/>
        <w:right w:val="none" w:sz="0" w:space="0" w:color="auto"/>
      </w:divBdr>
    </w:div>
    <w:div w:id="2072847971">
      <w:bodyDiv w:val="1"/>
      <w:marLeft w:val="0"/>
      <w:marRight w:val="0"/>
      <w:marTop w:val="0"/>
      <w:marBottom w:val="0"/>
      <w:divBdr>
        <w:top w:val="none" w:sz="0" w:space="0" w:color="auto"/>
        <w:left w:val="none" w:sz="0" w:space="0" w:color="auto"/>
        <w:bottom w:val="none" w:sz="0" w:space="0" w:color="auto"/>
        <w:right w:val="none" w:sz="0" w:space="0" w:color="auto"/>
      </w:divBdr>
    </w:div>
    <w:div w:id="2077050713">
      <w:bodyDiv w:val="1"/>
      <w:marLeft w:val="0"/>
      <w:marRight w:val="0"/>
      <w:marTop w:val="0"/>
      <w:marBottom w:val="0"/>
      <w:divBdr>
        <w:top w:val="none" w:sz="0" w:space="0" w:color="auto"/>
        <w:left w:val="none" w:sz="0" w:space="0" w:color="auto"/>
        <w:bottom w:val="none" w:sz="0" w:space="0" w:color="auto"/>
        <w:right w:val="none" w:sz="0" w:space="0" w:color="auto"/>
      </w:divBdr>
    </w:div>
    <w:div w:id="2078742061">
      <w:bodyDiv w:val="1"/>
      <w:marLeft w:val="0"/>
      <w:marRight w:val="0"/>
      <w:marTop w:val="0"/>
      <w:marBottom w:val="0"/>
      <w:divBdr>
        <w:top w:val="none" w:sz="0" w:space="0" w:color="auto"/>
        <w:left w:val="none" w:sz="0" w:space="0" w:color="auto"/>
        <w:bottom w:val="none" w:sz="0" w:space="0" w:color="auto"/>
        <w:right w:val="none" w:sz="0" w:space="0" w:color="auto"/>
      </w:divBdr>
    </w:div>
    <w:div w:id="2080396879">
      <w:bodyDiv w:val="1"/>
      <w:marLeft w:val="0"/>
      <w:marRight w:val="0"/>
      <w:marTop w:val="0"/>
      <w:marBottom w:val="0"/>
      <w:divBdr>
        <w:top w:val="none" w:sz="0" w:space="0" w:color="auto"/>
        <w:left w:val="none" w:sz="0" w:space="0" w:color="auto"/>
        <w:bottom w:val="none" w:sz="0" w:space="0" w:color="auto"/>
        <w:right w:val="none" w:sz="0" w:space="0" w:color="auto"/>
      </w:divBdr>
    </w:div>
    <w:div w:id="2081519834">
      <w:bodyDiv w:val="1"/>
      <w:marLeft w:val="0"/>
      <w:marRight w:val="0"/>
      <w:marTop w:val="0"/>
      <w:marBottom w:val="0"/>
      <w:divBdr>
        <w:top w:val="none" w:sz="0" w:space="0" w:color="auto"/>
        <w:left w:val="none" w:sz="0" w:space="0" w:color="auto"/>
        <w:bottom w:val="none" w:sz="0" w:space="0" w:color="auto"/>
        <w:right w:val="none" w:sz="0" w:space="0" w:color="auto"/>
      </w:divBdr>
    </w:div>
    <w:div w:id="2085948346">
      <w:bodyDiv w:val="1"/>
      <w:marLeft w:val="0"/>
      <w:marRight w:val="0"/>
      <w:marTop w:val="0"/>
      <w:marBottom w:val="0"/>
      <w:divBdr>
        <w:top w:val="none" w:sz="0" w:space="0" w:color="auto"/>
        <w:left w:val="none" w:sz="0" w:space="0" w:color="auto"/>
        <w:bottom w:val="none" w:sz="0" w:space="0" w:color="auto"/>
        <w:right w:val="none" w:sz="0" w:space="0" w:color="auto"/>
      </w:divBdr>
    </w:div>
    <w:div w:id="2087876109">
      <w:bodyDiv w:val="1"/>
      <w:marLeft w:val="0"/>
      <w:marRight w:val="0"/>
      <w:marTop w:val="0"/>
      <w:marBottom w:val="0"/>
      <w:divBdr>
        <w:top w:val="none" w:sz="0" w:space="0" w:color="auto"/>
        <w:left w:val="none" w:sz="0" w:space="0" w:color="auto"/>
        <w:bottom w:val="none" w:sz="0" w:space="0" w:color="auto"/>
        <w:right w:val="none" w:sz="0" w:space="0" w:color="auto"/>
      </w:divBdr>
    </w:div>
    <w:div w:id="2091803070">
      <w:bodyDiv w:val="1"/>
      <w:marLeft w:val="0"/>
      <w:marRight w:val="0"/>
      <w:marTop w:val="0"/>
      <w:marBottom w:val="0"/>
      <w:divBdr>
        <w:top w:val="none" w:sz="0" w:space="0" w:color="auto"/>
        <w:left w:val="none" w:sz="0" w:space="0" w:color="auto"/>
        <w:bottom w:val="none" w:sz="0" w:space="0" w:color="auto"/>
        <w:right w:val="none" w:sz="0" w:space="0" w:color="auto"/>
      </w:divBdr>
    </w:div>
    <w:div w:id="2092240677">
      <w:bodyDiv w:val="1"/>
      <w:marLeft w:val="0"/>
      <w:marRight w:val="0"/>
      <w:marTop w:val="0"/>
      <w:marBottom w:val="0"/>
      <w:divBdr>
        <w:top w:val="none" w:sz="0" w:space="0" w:color="auto"/>
        <w:left w:val="none" w:sz="0" w:space="0" w:color="auto"/>
        <w:bottom w:val="none" w:sz="0" w:space="0" w:color="auto"/>
        <w:right w:val="none" w:sz="0" w:space="0" w:color="auto"/>
      </w:divBdr>
    </w:div>
    <w:div w:id="2095323632">
      <w:bodyDiv w:val="1"/>
      <w:marLeft w:val="0"/>
      <w:marRight w:val="0"/>
      <w:marTop w:val="0"/>
      <w:marBottom w:val="0"/>
      <w:divBdr>
        <w:top w:val="none" w:sz="0" w:space="0" w:color="auto"/>
        <w:left w:val="none" w:sz="0" w:space="0" w:color="auto"/>
        <w:bottom w:val="none" w:sz="0" w:space="0" w:color="auto"/>
        <w:right w:val="none" w:sz="0" w:space="0" w:color="auto"/>
      </w:divBdr>
    </w:div>
    <w:div w:id="2098014641">
      <w:bodyDiv w:val="1"/>
      <w:marLeft w:val="0"/>
      <w:marRight w:val="0"/>
      <w:marTop w:val="0"/>
      <w:marBottom w:val="0"/>
      <w:divBdr>
        <w:top w:val="none" w:sz="0" w:space="0" w:color="auto"/>
        <w:left w:val="none" w:sz="0" w:space="0" w:color="auto"/>
        <w:bottom w:val="none" w:sz="0" w:space="0" w:color="auto"/>
        <w:right w:val="none" w:sz="0" w:space="0" w:color="auto"/>
      </w:divBdr>
    </w:div>
    <w:div w:id="2100246977">
      <w:bodyDiv w:val="1"/>
      <w:marLeft w:val="0"/>
      <w:marRight w:val="0"/>
      <w:marTop w:val="0"/>
      <w:marBottom w:val="0"/>
      <w:divBdr>
        <w:top w:val="none" w:sz="0" w:space="0" w:color="auto"/>
        <w:left w:val="none" w:sz="0" w:space="0" w:color="auto"/>
        <w:bottom w:val="none" w:sz="0" w:space="0" w:color="auto"/>
        <w:right w:val="none" w:sz="0" w:space="0" w:color="auto"/>
      </w:divBdr>
    </w:div>
    <w:div w:id="2101294752">
      <w:bodyDiv w:val="1"/>
      <w:marLeft w:val="0"/>
      <w:marRight w:val="0"/>
      <w:marTop w:val="0"/>
      <w:marBottom w:val="0"/>
      <w:divBdr>
        <w:top w:val="none" w:sz="0" w:space="0" w:color="auto"/>
        <w:left w:val="none" w:sz="0" w:space="0" w:color="auto"/>
        <w:bottom w:val="none" w:sz="0" w:space="0" w:color="auto"/>
        <w:right w:val="none" w:sz="0" w:space="0" w:color="auto"/>
      </w:divBdr>
    </w:div>
    <w:div w:id="2101372537">
      <w:bodyDiv w:val="1"/>
      <w:marLeft w:val="0"/>
      <w:marRight w:val="0"/>
      <w:marTop w:val="0"/>
      <w:marBottom w:val="0"/>
      <w:divBdr>
        <w:top w:val="none" w:sz="0" w:space="0" w:color="auto"/>
        <w:left w:val="none" w:sz="0" w:space="0" w:color="auto"/>
        <w:bottom w:val="none" w:sz="0" w:space="0" w:color="auto"/>
        <w:right w:val="none" w:sz="0" w:space="0" w:color="auto"/>
      </w:divBdr>
    </w:div>
    <w:div w:id="2107144218">
      <w:bodyDiv w:val="1"/>
      <w:marLeft w:val="0"/>
      <w:marRight w:val="0"/>
      <w:marTop w:val="0"/>
      <w:marBottom w:val="0"/>
      <w:divBdr>
        <w:top w:val="none" w:sz="0" w:space="0" w:color="auto"/>
        <w:left w:val="none" w:sz="0" w:space="0" w:color="auto"/>
        <w:bottom w:val="none" w:sz="0" w:space="0" w:color="auto"/>
        <w:right w:val="none" w:sz="0" w:space="0" w:color="auto"/>
      </w:divBdr>
    </w:div>
    <w:div w:id="2109111883">
      <w:bodyDiv w:val="1"/>
      <w:marLeft w:val="0"/>
      <w:marRight w:val="0"/>
      <w:marTop w:val="0"/>
      <w:marBottom w:val="0"/>
      <w:divBdr>
        <w:top w:val="none" w:sz="0" w:space="0" w:color="auto"/>
        <w:left w:val="none" w:sz="0" w:space="0" w:color="auto"/>
        <w:bottom w:val="none" w:sz="0" w:space="0" w:color="auto"/>
        <w:right w:val="none" w:sz="0" w:space="0" w:color="auto"/>
      </w:divBdr>
    </w:div>
    <w:div w:id="2110155927">
      <w:bodyDiv w:val="1"/>
      <w:marLeft w:val="0"/>
      <w:marRight w:val="0"/>
      <w:marTop w:val="0"/>
      <w:marBottom w:val="0"/>
      <w:divBdr>
        <w:top w:val="none" w:sz="0" w:space="0" w:color="auto"/>
        <w:left w:val="none" w:sz="0" w:space="0" w:color="auto"/>
        <w:bottom w:val="none" w:sz="0" w:space="0" w:color="auto"/>
        <w:right w:val="none" w:sz="0" w:space="0" w:color="auto"/>
      </w:divBdr>
    </w:div>
    <w:div w:id="2110393422">
      <w:bodyDiv w:val="1"/>
      <w:marLeft w:val="0"/>
      <w:marRight w:val="0"/>
      <w:marTop w:val="0"/>
      <w:marBottom w:val="0"/>
      <w:divBdr>
        <w:top w:val="none" w:sz="0" w:space="0" w:color="auto"/>
        <w:left w:val="none" w:sz="0" w:space="0" w:color="auto"/>
        <w:bottom w:val="none" w:sz="0" w:space="0" w:color="auto"/>
        <w:right w:val="none" w:sz="0" w:space="0" w:color="auto"/>
      </w:divBdr>
    </w:div>
    <w:div w:id="2110734367">
      <w:bodyDiv w:val="1"/>
      <w:marLeft w:val="0"/>
      <w:marRight w:val="0"/>
      <w:marTop w:val="0"/>
      <w:marBottom w:val="0"/>
      <w:divBdr>
        <w:top w:val="none" w:sz="0" w:space="0" w:color="auto"/>
        <w:left w:val="none" w:sz="0" w:space="0" w:color="auto"/>
        <w:bottom w:val="none" w:sz="0" w:space="0" w:color="auto"/>
        <w:right w:val="none" w:sz="0" w:space="0" w:color="auto"/>
      </w:divBdr>
    </w:div>
    <w:div w:id="2111465380">
      <w:bodyDiv w:val="1"/>
      <w:marLeft w:val="0"/>
      <w:marRight w:val="0"/>
      <w:marTop w:val="0"/>
      <w:marBottom w:val="0"/>
      <w:divBdr>
        <w:top w:val="none" w:sz="0" w:space="0" w:color="auto"/>
        <w:left w:val="none" w:sz="0" w:space="0" w:color="auto"/>
        <w:bottom w:val="none" w:sz="0" w:space="0" w:color="auto"/>
        <w:right w:val="none" w:sz="0" w:space="0" w:color="auto"/>
      </w:divBdr>
    </w:div>
    <w:div w:id="2113893750">
      <w:bodyDiv w:val="1"/>
      <w:marLeft w:val="0"/>
      <w:marRight w:val="0"/>
      <w:marTop w:val="0"/>
      <w:marBottom w:val="0"/>
      <w:divBdr>
        <w:top w:val="none" w:sz="0" w:space="0" w:color="auto"/>
        <w:left w:val="none" w:sz="0" w:space="0" w:color="auto"/>
        <w:bottom w:val="none" w:sz="0" w:space="0" w:color="auto"/>
        <w:right w:val="none" w:sz="0" w:space="0" w:color="auto"/>
      </w:divBdr>
    </w:div>
    <w:div w:id="2117862712">
      <w:bodyDiv w:val="1"/>
      <w:marLeft w:val="0"/>
      <w:marRight w:val="0"/>
      <w:marTop w:val="0"/>
      <w:marBottom w:val="0"/>
      <w:divBdr>
        <w:top w:val="none" w:sz="0" w:space="0" w:color="auto"/>
        <w:left w:val="none" w:sz="0" w:space="0" w:color="auto"/>
        <w:bottom w:val="none" w:sz="0" w:space="0" w:color="auto"/>
        <w:right w:val="none" w:sz="0" w:space="0" w:color="auto"/>
      </w:divBdr>
    </w:div>
    <w:div w:id="2118714289">
      <w:bodyDiv w:val="1"/>
      <w:marLeft w:val="0"/>
      <w:marRight w:val="0"/>
      <w:marTop w:val="0"/>
      <w:marBottom w:val="0"/>
      <w:divBdr>
        <w:top w:val="none" w:sz="0" w:space="0" w:color="auto"/>
        <w:left w:val="none" w:sz="0" w:space="0" w:color="auto"/>
        <w:bottom w:val="none" w:sz="0" w:space="0" w:color="auto"/>
        <w:right w:val="none" w:sz="0" w:space="0" w:color="auto"/>
      </w:divBdr>
    </w:div>
    <w:div w:id="2126654789">
      <w:bodyDiv w:val="1"/>
      <w:marLeft w:val="0"/>
      <w:marRight w:val="0"/>
      <w:marTop w:val="0"/>
      <w:marBottom w:val="0"/>
      <w:divBdr>
        <w:top w:val="none" w:sz="0" w:space="0" w:color="auto"/>
        <w:left w:val="none" w:sz="0" w:space="0" w:color="auto"/>
        <w:bottom w:val="none" w:sz="0" w:space="0" w:color="auto"/>
        <w:right w:val="none" w:sz="0" w:space="0" w:color="auto"/>
      </w:divBdr>
    </w:div>
    <w:div w:id="2129885509">
      <w:bodyDiv w:val="1"/>
      <w:marLeft w:val="0"/>
      <w:marRight w:val="0"/>
      <w:marTop w:val="0"/>
      <w:marBottom w:val="0"/>
      <w:divBdr>
        <w:top w:val="none" w:sz="0" w:space="0" w:color="auto"/>
        <w:left w:val="none" w:sz="0" w:space="0" w:color="auto"/>
        <w:bottom w:val="none" w:sz="0" w:space="0" w:color="auto"/>
        <w:right w:val="none" w:sz="0" w:space="0" w:color="auto"/>
      </w:divBdr>
    </w:div>
    <w:div w:id="2131969477">
      <w:bodyDiv w:val="1"/>
      <w:marLeft w:val="0"/>
      <w:marRight w:val="0"/>
      <w:marTop w:val="0"/>
      <w:marBottom w:val="0"/>
      <w:divBdr>
        <w:top w:val="none" w:sz="0" w:space="0" w:color="auto"/>
        <w:left w:val="none" w:sz="0" w:space="0" w:color="auto"/>
        <w:bottom w:val="none" w:sz="0" w:space="0" w:color="auto"/>
        <w:right w:val="none" w:sz="0" w:space="0" w:color="auto"/>
      </w:divBdr>
    </w:div>
    <w:div w:id="2135707626">
      <w:bodyDiv w:val="1"/>
      <w:marLeft w:val="0"/>
      <w:marRight w:val="0"/>
      <w:marTop w:val="0"/>
      <w:marBottom w:val="0"/>
      <w:divBdr>
        <w:top w:val="none" w:sz="0" w:space="0" w:color="auto"/>
        <w:left w:val="none" w:sz="0" w:space="0" w:color="auto"/>
        <w:bottom w:val="none" w:sz="0" w:space="0" w:color="auto"/>
        <w:right w:val="none" w:sz="0" w:space="0" w:color="auto"/>
      </w:divBdr>
    </w:div>
    <w:div w:id="2138601550">
      <w:bodyDiv w:val="1"/>
      <w:marLeft w:val="0"/>
      <w:marRight w:val="0"/>
      <w:marTop w:val="0"/>
      <w:marBottom w:val="0"/>
      <w:divBdr>
        <w:top w:val="none" w:sz="0" w:space="0" w:color="auto"/>
        <w:left w:val="none" w:sz="0" w:space="0" w:color="auto"/>
        <w:bottom w:val="none" w:sz="0" w:space="0" w:color="auto"/>
        <w:right w:val="none" w:sz="0" w:space="0" w:color="auto"/>
      </w:divBdr>
    </w:div>
    <w:div w:id="2142570376">
      <w:bodyDiv w:val="1"/>
      <w:marLeft w:val="0"/>
      <w:marRight w:val="0"/>
      <w:marTop w:val="0"/>
      <w:marBottom w:val="0"/>
      <w:divBdr>
        <w:top w:val="none" w:sz="0" w:space="0" w:color="auto"/>
        <w:left w:val="none" w:sz="0" w:space="0" w:color="auto"/>
        <w:bottom w:val="none" w:sz="0" w:space="0" w:color="auto"/>
        <w:right w:val="none" w:sz="0" w:space="0" w:color="auto"/>
      </w:divBdr>
    </w:div>
    <w:div w:id="2143109059">
      <w:bodyDiv w:val="1"/>
      <w:marLeft w:val="0"/>
      <w:marRight w:val="0"/>
      <w:marTop w:val="0"/>
      <w:marBottom w:val="0"/>
      <w:divBdr>
        <w:top w:val="none" w:sz="0" w:space="0" w:color="auto"/>
        <w:left w:val="none" w:sz="0" w:space="0" w:color="auto"/>
        <w:bottom w:val="none" w:sz="0" w:space="0" w:color="auto"/>
        <w:right w:val="none" w:sz="0" w:space="0" w:color="auto"/>
      </w:divBdr>
    </w:div>
    <w:div w:id="2144229429">
      <w:bodyDiv w:val="1"/>
      <w:marLeft w:val="0"/>
      <w:marRight w:val="0"/>
      <w:marTop w:val="0"/>
      <w:marBottom w:val="0"/>
      <w:divBdr>
        <w:top w:val="none" w:sz="0" w:space="0" w:color="auto"/>
        <w:left w:val="none" w:sz="0" w:space="0" w:color="auto"/>
        <w:bottom w:val="none" w:sz="0" w:space="0" w:color="auto"/>
        <w:right w:val="none" w:sz="0" w:space="0" w:color="auto"/>
      </w:divBdr>
    </w:div>
    <w:div w:id="2145077504">
      <w:bodyDiv w:val="1"/>
      <w:marLeft w:val="0"/>
      <w:marRight w:val="0"/>
      <w:marTop w:val="0"/>
      <w:marBottom w:val="0"/>
      <w:divBdr>
        <w:top w:val="none" w:sz="0" w:space="0" w:color="auto"/>
        <w:left w:val="none" w:sz="0" w:space="0" w:color="auto"/>
        <w:bottom w:val="none" w:sz="0" w:space="0" w:color="auto"/>
        <w:right w:val="none" w:sz="0" w:space="0" w:color="auto"/>
      </w:divBdr>
    </w:div>
    <w:div w:id="2145344500">
      <w:bodyDiv w:val="1"/>
      <w:marLeft w:val="0"/>
      <w:marRight w:val="0"/>
      <w:marTop w:val="0"/>
      <w:marBottom w:val="0"/>
      <w:divBdr>
        <w:top w:val="none" w:sz="0" w:space="0" w:color="auto"/>
        <w:left w:val="none" w:sz="0" w:space="0" w:color="auto"/>
        <w:bottom w:val="none" w:sz="0" w:space="0" w:color="auto"/>
        <w:right w:val="none" w:sz="0" w:space="0" w:color="auto"/>
      </w:divBdr>
    </w:div>
    <w:div w:id="214692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Böh14</b:Tag>
    <b:SourceType>Book</b:SourceType>
    <b:Guid>{7A5BC679-A544-4E41-ADBC-526421DC20EF}</b:Guid>
    <b:Title>EY Handboek Jaarrekening</b:Title>
    <b:Year>2014</b:Year>
    <b:Publisher>Kluwer</b:Publisher>
    <b:Author>
      <b:Author>
        <b:NameList>
          <b:Person>
            <b:Last>Böhmer</b:Last>
            <b:First>S.</b:First>
          </b:Person>
          <b:Person>
            <b:Last>Hoogendoorn</b:Last>
            <b:First>M.N.</b:First>
          </b:Person>
          <b:Person>
            <b:Last>Kruit</b:Last>
            <b:First>R.</b:First>
          </b:Person>
        </b:NameList>
      </b:Author>
    </b:Author>
    <b:RefOrder>12</b:RefOrder>
  </b:Source>
  <b:Source>
    <b:Tag>IAS14</b:Tag>
    <b:SourceType>InternetSite</b:SourceType>
    <b:Guid>{23ED2FC0-3F5B-4D28-B58A-17D51D84D6ED}</b:Guid>
    <b:Title>IASplus</b:Title>
    <b:Year>2014</b:Year>
    <b:InternetSiteTitle>Website van Deloitte</b:InternetSiteTitle>
    <b:Month>Juni</b:Month>
    <b:Day>30</b:Day>
    <b:URL>http://www.iasplus.com/en/standards/ias/ias16</b:URL>
    <b:RefOrder>15</b:RefOrder>
  </b:Source>
  <b:Source>
    <b:Tag>IFR12</b:Tag>
    <b:SourceType>InternetSite</b:SourceType>
    <b:Guid>{F6D75DF4-1596-4C55-8581-CA4FB6E2BB87}</b:Guid>
    <b:Author>
      <b:Author>
        <b:NameList>
          <b:Person>
            <b:Last>IFRS Foundation</b:Last>
          </b:Person>
        </b:NameList>
      </b:Author>
    </b:Author>
    <b:Title>IFRS</b:Title>
    <b:InternetSiteTitle>IFRS</b:InternetSiteTitle>
    <b:Year>2012</b:Year>
    <b:Month>Januari</b:Month>
    <b:Day>1</b:Day>
    <b:URL>http://www.ifrs.org/Documents/IAS16.pdf</b:URL>
    <b:RefOrder>13</b:RefOrder>
  </b:Source>
  <b:Source>
    <b:Tag>Eur09</b:Tag>
    <b:SourceType>InternetSite</b:SourceType>
    <b:Guid>{6D50F01D-734F-43B7-9B32-2045008E083D}</b:Guid>
    <b:Author>
      <b:Author>
        <b:Corporate>European Commission - IAS 16</b:Corporate>
      </b:Author>
    </b:Author>
    <b:Title>EC Europa</b:Title>
    <b:InternetSiteTitle>European Commission Europa</b:InternetSiteTitle>
    <b:Year>2009</b:Year>
    <b:Month>September</b:Month>
    <b:Day>16</b:Day>
    <b:URL>http://ec.europa.eu/internal_market/accounting/docs/consolidated/ias16_en.pdf</b:URL>
    <b:RefOrder>16</b:RefOrder>
  </b:Source>
  <b:Source>
    <b:Tag>BDO09</b:Tag>
    <b:SourceType>DocumentFromInternetSite</b:SourceType>
    <b:Guid>{6CF2B784-EA95-4BB3-8140-C88364C23BA2}</b:Guid>
    <b:Author>
      <b:Author>
        <b:Corporate>BDO accountants</b:Corporate>
      </b:Author>
    </b:Author>
    <b:Title>IFRS for SME</b:Title>
    <b:InternetSiteTitle>BDO</b:InternetSiteTitle>
    <b:Year>2009</b:Year>
    <b:Month>Oktober</b:Month>
    <b:URL>http://www.bdo.nl/nl/diensten/accountancy/ifrs/documents/ifrs%20for%20sme.pdf</b:URL>
    <b:RefOrder>14</b:RefOrder>
  </b:Source>
  <b:Source>
    <b:Tag>Jai13</b:Tag>
    <b:SourceType>DocumentFromInternetSite</b:SourceType>
    <b:Guid>{53EE29D8-271B-40D6-B64E-2D2A72C5B568}</b:Guid>
    <b:Title>Fair Value Accounting vs. Hisorical Cost Accounting</b:Title>
    <b:InternetSiteTitle>Review of Business Information Systems</b:InternetSiteTitle>
    <b:Year>2013</b:Year>
    <b:URL>http://www.cluteinstitute.com/ojs/index.php/RBIS/article/viewFile/7579/7645</b:URL>
    <b:Author>
      <b:Author>
        <b:NameList>
          <b:Person>
            <b:Last>Jaijairam</b:Last>
            <b:First>P.</b:First>
          </b:Person>
        </b:NameList>
      </b:Author>
    </b:Author>
    <b:RefOrder>17</b:RefOrder>
  </b:Source>
  <b:Source>
    <b:Tag>Law14</b:Tag>
    <b:SourceType>Book</b:SourceType>
    <b:Guid>{0456F98F-11EE-4488-AEBC-90833F91635B}</b:Guid>
    <b:Title>A Dictionairy of Finance and Banking (5 ed.)</b:Title>
    <b:Year>2014</b:Year>
    <b:Author>
      <b:Author>
        <b:NameList>
          <b:Person>
            <b:Last>Law</b:Last>
            <b:First>J.</b:First>
          </b:Person>
        </b:NameList>
      </b:Author>
    </b:Author>
    <b:Publisher>Oxford University Press</b:Publisher>
    <b:RefOrder>18</b:RefOrder>
  </b:Source>
  <b:Source>
    <b:Tag>IAS13</b:Tag>
    <b:SourceType>DocumentFromInternetSite</b:SourceType>
    <b:Guid>{D32412EB-0B32-4504-8B62-EF462BBBEBC8}</b:Guid>
    <b:Title>IFRS 13 Fair Value Measurement</b:Title>
    <b:Year>2013</b:Year>
    <b:InternetSiteTitle>IFRS</b:InternetSiteTitle>
    <b:URL>http://www.ifrs.org/IFRSs/IFRS-technical-summaries/Documents/English%20Web%20Summaries%202013/IFRS%2013.pdf</b:URL>
    <b:Author>
      <b:Author>
        <b:Corporate>IFRS 13</b:Corporate>
      </b:Author>
    </b:Author>
    <b:RefOrder>30</b:RefOrder>
  </b:Source>
  <b:Source>
    <b:Tag>Lau09</b:Tag>
    <b:SourceType>BookSection</b:SourceType>
    <b:Guid>{F2FB4A92-F3B5-48BC-ABB2-BEE72E9C3A5C}</b:Guid>
    <b:Title>The crisis of fair-value accounting: Making sense of the recent debate</b:Title>
    <b:Year>2009</b:Year>
    <b:Author>
      <b:Author>
        <b:NameList>
          <b:Person>
            <b:Last>Laux</b:Last>
            <b:First>C.</b:First>
          </b:Person>
          <b:Person>
            <b:Last>Leuz</b:Last>
            <b:First>C.</b:First>
          </b:Person>
        </b:NameList>
      </b:Author>
      <b:BookAuthor>
        <b:NameList>
          <b:Person>
            <b:Last>Laux</b:Last>
            <b:First>C.</b:First>
          </b:Person>
          <b:Person>
            <b:Last>Leuz</b:Last>
            <b:First>C.</b:First>
          </b:Person>
        </b:NameList>
      </b:BookAuthor>
    </b:Author>
    <b:BookTitle>The crisis of fair-value accounting: Making sense of the recent debate</b:BookTitle>
    <b:Pages>826-834</b:Pages>
    <b:Publisher>Accounting, Organizations and Society</b:Publisher>
    <b:RefOrder>31</b:RefOrder>
  </b:Source>
  <b:Source>
    <b:Tag>Meu12</b:Tag>
    <b:SourceType>InternetSite</b:SourceType>
    <b:Guid>{0AA404DA-8544-44F1-AA60-350B4EFF2608}</b:Guid>
    <b:Title>Historical cost and fair-value accounting</b:Title>
    <b:Year>2012</b:Year>
    <b:URL>http://business-accounting-guides.com/historical-cost/</b:URL>
    <b:Author>
      <b:Author>
        <b:NameList>
          <b:Person>
            <b:Last>Meunier</b:Last>
            <b:First>K.</b:First>
          </b:Person>
        </b:NameList>
      </b:Author>
    </b:Author>
    <b:RefOrder>28</b:RefOrder>
  </b:Source>
  <b:Source>
    <b:Tag>Bel08</b:Tag>
    <b:SourceType>JournalArticle</b:SourceType>
    <b:Guid>{2CEAC9C2-2446-4926-AC06-F76F2501DC17}</b:Guid>
    <b:Title>False financial statements: characteristics of China's listed companies and cart detecting approach</b:Title>
    <b:Year>2008</b:Year>
    <b:Pages>339-359</b:Pages>
    <b:Author>
      <b:Author>
        <b:NameList>
          <b:Person>
            <b:Last>Belinna</b:Last>
            <b:First>B.</b:First>
          </b:Person>
          <b:Person>
            <b:Last>Yen</b:Last>
            <b:First>J.</b:First>
          </b:Person>
          <b:Person>
            <b:Last>Yang</b:Last>
            <b:First>X.</b:First>
          </b:Person>
        </b:NameList>
      </b:Author>
    </b:Author>
    <b:JournalName>International Journal of Information and Technology &amp; Decision making 7(2)</b:JournalName>
    <b:RefOrder>26</b:RefOrder>
  </b:Source>
  <b:Source>
    <b:Tag>Ame11</b:Tag>
    <b:SourceType>DocumentFromInternetSite</b:SourceType>
    <b:Guid>{FE14E46B-5C75-422E-93D2-0817BD64C521}</b:Guid>
    <b:Author>
      <b:Author>
        <b:Corporate>American Bankers Association</b:Corporate>
      </b:Author>
    </b:Author>
    <b:Title>Fair value and mark to market accounting</b:Title>
    <b:Year>2011</b:Year>
    <b:InternetSiteTitle>American Bankers Association</b:InternetSiteTitle>
    <b:URL>http://www.aba.com/issues/issues_fairvalue.htm</b:URL>
    <b:RefOrder>34</b:RefOrder>
  </b:Source>
  <b:Source>
    <b:Tag>Lau10</b:Tag>
    <b:SourceType>JournalArticle</b:SourceType>
    <b:Guid>{3652D630-BD0E-4981-8A03-9FDBE09146A3}</b:Guid>
    <b:Title>Did fair-value accounting contribute to the financial crisis</b:Title>
    <b:Year>2010</b:Year>
    <b:JournalName>Journal of Economic Perspectives</b:JournalName>
    <b:Pages>1-41</b:Pages>
    <b:Author>
      <b:Author>
        <b:Corporate>Laux  &amp; Leuz</b:Corporate>
      </b:Author>
    </b:Author>
    <b:RefOrder>35</b:RefOrder>
  </b:Source>
  <b:Source>
    <b:Tag>Sta05</b:Tag>
    <b:SourceType>DocumentFromInternetSite</b:SourceType>
    <b:Guid>{AD9E609B-4BE3-4728-99A7-E8B95A89F788}</b:Guid>
    <b:Title>Staatsblad van het Koninkrijk der Nederlanden</b:Title>
    <b:Year>2005</b:Year>
    <b:InternetSiteTitle>European Commission</b:InternetSiteTitle>
    <b:URL>http://ec.europa.eu/internal_market/finances/docs/actionplan/transposition/netherlands/d8.1-nl.pdf</b:URL>
    <b:Author>
      <b:Author>
        <b:Corporate>Staatsblad</b:Corporate>
      </b:Author>
    </b:Author>
    <b:RefOrder>29</b:RefOrder>
  </b:Source>
  <b:Source>
    <b:Tag>Hea991</b:Tag>
    <b:SourceType>JournalArticle</b:SourceType>
    <b:Guid>{6DAED203-1495-40A6-AF10-C81F4F0FAC1C}</b:Guid>
    <b:Title>A Review Of The Earnings Management Literature and Its Implications For Standard Setting</b:Title>
    <b:InternetSiteTitle>Accounting Horizons</b:InternetSiteTitle>
    <b:Year>1999</b:Year>
    <b:URL>http://papers.ssrn.com/sol3/papers.cfm?abstract_id=156445</b:URL>
    <b:Author>
      <b:Author>
        <b:NameList>
          <b:Person>
            <b:Last>Healy</b:Last>
            <b:First>P.</b:First>
          </b:Person>
          <b:Person>
            <b:Last>Wahlen</b:Last>
            <b:First>J.</b:First>
          </b:Person>
        </b:NameList>
      </b:Author>
    </b:Author>
    <b:JournalName>Accounting Horizons</b:JournalName>
    <b:Pages>365-383</b:Pages>
    <b:RefOrder>27</b:RefOrder>
  </b:Source>
  <b:Source>
    <b:Tag>Ver04</b:Tag>
    <b:SourceType>JournalArticle</b:SourceType>
    <b:Guid>{1C21D6A8-4C38-4F8F-9091-35E7EBE9CCCC}</b:Guid>
    <b:Title>Bijzondere waardevermindering van vaste activa in de regelgeving</b:Title>
    <b:JournalName>MAB</b:JournalName>
    <b:Year>2004</b:Year>
    <b:Pages>261-268</b:Pages>
    <b:Author>
      <b:Author>
        <b:NameList>
          <b:Person>
            <b:Last>Vergoossen</b:Last>
            <b:First>R.</b:First>
          </b:Person>
        </b:NameList>
      </b:Author>
    </b:Author>
    <b:RefOrder>19</b:RefOrder>
  </b:Source>
  <b:Source>
    <b:Tag>Hol01</b:Tag>
    <b:SourceType>JournalArticle</b:SourceType>
    <b:Guid>{A60ED5D9-B1BA-4DE9-80B9-96FB0B68A9B5}</b:Guid>
    <b:Title>The relevance of value-relevance literature for financial accounting standard setting</b:Title>
    <b:JournalName>Journal of Accounting and Economics 31</b:JournalName>
    <b:Year>2001</b:Year>
    <b:Pages>3-75</b:Pages>
    <b:Author>
      <b:Author>
        <b:NameList>
          <b:Person>
            <b:Last>Holthausen</b:Last>
            <b:First>R.W.</b:First>
          </b:Person>
          <b:Person>
            <b:Last>Watts</b:Last>
            <b:First>R.L.</b:First>
          </b:Person>
        </b:NameList>
      </b:Author>
    </b:Author>
    <b:RefOrder>20</b:RefOrder>
  </b:Source>
  <b:Source>
    <b:Tag>Wat03</b:Tag>
    <b:SourceType>JournalArticle</b:SourceType>
    <b:Guid>{B181BC72-94F7-4654-AD91-4312DD2FFC1D}</b:Guid>
    <b:Title>Conservatism in accouinting, Part 1: Explanations and implications</b:Title>
    <b:JournalName>Accounting Horizons 17</b:JournalName>
    <b:Year>2003</b:Year>
    <b:Pages>207-221</b:Pages>
    <b:Author>
      <b:Author>
        <b:NameList>
          <b:Person>
            <b:Last>Watts</b:Last>
            <b:First>R.L.</b:First>
          </b:Person>
        </b:NameList>
      </b:Author>
    </b:Author>
    <b:RefOrder>21</b:RefOrder>
  </b:Source>
  <b:Source>
    <b:Tag>LaF08</b:Tag>
    <b:SourceType>JournalArticle</b:SourceType>
    <b:Guid>{3F5B2060-0F8B-4210-849A-074CA9DA6AE8}</b:Guid>
    <b:Title>The information role of conservatism</b:Title>
    <b:JournalName>The Accounting Review 83(2)</b:JournalName>
    <b:Year>2008</b:Year>
    <b:Pages>447-478</b:Pages>
    <b:Author>
      <b:Author>
        <b:NameList>
          <b:Person>
            <b:Last>LaFond</b:Last>
            <b:First>R.</b:First>
          </b:Person>
          <b:Person>
            <b:Last>Watts</b:Last>
            <b:First>R.L.</b:First>
          </b:Person>
        </b:NameList>
      </b:Author>
    </b:Author>
    <b:RefOrder>22</b:RefOrder>
  </b:Source>
  <b:Source>
    <b:Tag>LaF081</b:Tag>
    <b:SourceType>JournalArticle</b:SourceType>
    <b:Guid>{2B3FC473-84CE-4FDD-B16B-3691B134E618}</b:Guid>
    <b:Title>Managerial ownership and accounting conservatism</b:Title>
    <b:JournalName>Journal of Accounting Research 46(1)</b:JournalName>
    <b:Year>2008</b:Year>
    <b:Pages>101-135</b:Pages>
    <b:Author>
      <b:Author>
        <b:Corporate>LaFond, R.; Roychowdhury, S.</b:Corporate>
      </b:Author>
    </b:Author>
    <b:RefOrder>23</b:RefOrder>
  </b:Source>
  <b:Source>
    <b:Tag>Zha08</b:Tag>
    <b:SourceType>JournalArticle</b:SourceType>
    <b:Guid>{DAC5A117-A18A-45B5-B5B9-85D0480C36EF}</b:Guid>
    <b:Title>The contracting benefits of accounting conservatism to lenders and borrowers</b:Title>
    <b:JournalName>Journal of Accounting and Economics 45</b:JournalName>
    <b:Year>2008</b:Year>
    <b:Pages>27-54</b:Pages>
    <b:Author>
      <b:Author>
        <b:NameList>
          <b:Person>
            <b:Last>Zhang</b:Last>
            <b:First>J.</b:First>
          </b:Person>
        </b:NameList>
      </b:Author>
    </b:Author>
    <b:RefOrder>24</b:RefOrder>
  </b:Source>
  <b:Source>
    <b:Tag>Lee10</b:Tag>
    <b:SourceType>Report</b:SourceType>
    <b:Guid>{A4084FF9-DCAC-4E63-A3DB-9ECBC846AB6D}</b:Guid>
    <b:Title>The Role of Accounting Conservatism in Firms' Financial Decisions</b:Title>
    <b:Year>2010</b:Year>
    <b:Publisher>Northwestern University</b:Publisher>
    <b:City>Evanston</b:City>
    <b:Author>
      <b:Author>
        <b:NameList>
          <b:Person>
            <b:Last>Lee</b:Last>
            <b:First>J.</b:First>
          </b:Person>
        </b:NameList>
      </b:Author>
    </b:Author>
    <b:RefOrder>25</b:RefOrder>
  </b:Source>
  <b:Source>
    <b:Tag>van07</b:Tag>
    <b:SourceType>JournalArticle</b:SourceType>
    <b:Guid>{683B5909-050F-4958-93EF-8F1F9A6820D8}</b:Guid>
    <b:Title>On the IASB Comprehensive Income Project: An Analysis of the Case for Fual Income Display</b:Title>
    <b:Year>2007</b:Year>
    <b:JournalName>Abacus</b:JournalName>
    <b:Pages>1-26</b:Pages>
    <b:Author>
      <b:Author>
        <b:NameList>
          <b:Person>
            <b:Last>van Cauwenberghe</b:Last>
            <b:First>P.</b:First>
          </b:Person>
          <b:Person>
            <b:Last>de Beelde</b:Last>
            <b:First>I.</b:First>
          </b:Person>
        </b:NameList>
      </b:Author>
    </b:Author>
    <b:RefOrder>33</b:RefOrder>
  </b:Source>
  <b:Source>
    <b:Tag>Bol06</b:Tag>
    <b:SourceType>Report</b:SourceType>
    <b:Guid>{B4014260-72E1-4C46-9E1C-5F231B3C51A5}</b:Guid>
    <b:Title>Het belang van de verschillende waarderingsstelsels in het licht van IFRS</b:Title>
    <b:Year>2006</b:Year>
    <b:Publisher>Universiteitsbibliotheek Gent</b:Publisher>
    <b:City>Gent</b:City>
    <b:Author>
      <b:Author>
        <b:NameList>
          <b:Person>
            <b:Last>Bollaert</b:Last>
            <b:First>C.</b:First>
          </b:Person>
        </b:NameList>
      </b:Author>
    </b:Author>
    <b:RefOrder>32</b:RefOrder>
  </b:Source>
  <b:Source>
    <b:Tag>KNV14</b:Tag>
    <b:SourceType>InternetSite</b:SourceType>
    <b:Guid>{FA74B526-8F8F-4021-ADEC-1D13AC50D110}</b:Guid>
    <b:Title>Categorie-indeling clubs betaald voetbal</b:Title>
    <b:Year>2015</b:Year>
    <b:InternetSiteTitle>KNVB</b:InternetSiteTitle>
    <b:Month>Maart</b:Month>
    <b:Day>12</b:Day>
    <b:URL>http://home.knvb.nl/nieuws/categorie-indeling-clubs-betaald-voetbal/</b:URL>
    <b:Author>
      <b:Author>
        <b:Corporate>KNVB</b:Corporate>
      </b:Author>
    </b:Author>
    <b:RefOrder>1</b:RefOrder>
  </b:Source>
  <b:Source>
    <b:Tag>NOS14</b:Tag>
    <b:SourceType>InternetSite</b:SourceType>
    <b:Guid>{4C18BB74-0837-4F2A-A34A-6310A25B258B}</b:Guid>
    <b:Author>
      <b:Author>
        <b:Corporate>NOS</b:Corporate>
      </b:Author>
    </b:Author>
    <b:Title>KNVB beboet FC Twente</b:Title>
    <b:InternetSiteTitle>NOS</b:InternetSiteTitle>
    <b:Year>2014</b:Year>
    <b:Month>April</b:Month>
    <b:Day>18</b:Day>
    <b:URL>http://nos.nl/artikel/637362-knvb-beboet-fc-twente.html</b:URL>
    <b:RefOrder>2</b:RefOrder>
  </b:Source>
  <b:Source>
    <b:Tag>deG15</b:Tag>
    <b:SourceType>InternetSite</b:SourceType>
    <b:Guid>{63F00C4E-A6A0-4C4F-A0AC-4FBC90441EFB}</b:Guid>
    <b:Title>Financieel beleid kost FC Twente punten</b:Title>
    <b:InternetSiteTitle>Financieel dagblad</b:InternetSiteTitle>
    <b:Year>2015</b:Year>
    <b:Month>Maart</b:Month>
    <b:Day>4</b:Day>
    <b:URL>http://fd.nl/ondernemen/1095274/financieel-beleid-kost-fc-twente-punten</b:URL>
    <b:Author>
      <b:Author>
        <b:NameList>
          <b:Person>
            <b:Last>de Groot</b:Last>
            <b:First>Gaby</b:First>
          </b:Person>
        </b:NameList>
      </b:Author>
    </b:Author>
    <b:RefOrder>3</b:RefOrder>
  </b:Source>
  <b:Source>
    <b:Tag>Vol15</b:Tag>
    <b:SourceType>InternetSite</b:SourceType>
    <b:Guid>{375E2A6B-4449-4483-8FE1-726EC018ADFB}</b:Guid>
    <b:Author>
      <b:Author>
        <b:Corporate>Volkskrant</b:Corporate>
      </b:Author>
    </b:Author>
    <b:Title>FC Twente krijgt opnieuw drie punten in mindering</b:Title>
    <b:InternetSiteTitle>Volkskrant</b:InternetSiteTitle>
    <b:Year>2015</b:Year>
    <b:Month>April</b:Month>
    <b:Day>10</b:Day>
    <b:URL>http://www.volkskrant.nl/dossier-eredivisie/fc-twente-krijgt-opnieuw-drie-punten-in-mindering~a3948262/</b:URL>
    <b:RefOrder>4</b:RefOrder>
  </b:Source>
  <b:Source>
    <b:Tag>Hoo14</b:Tag>
    <b:SourceType>Book</b:SourceType>
    <b:Guid>{377CA66A-719F-48B3-B43B-8F35B119F7D0}</b:Guid>
    <b:Title>EY Handboek Jaarrekening 2014</b:Title>
    <b:Year>2014</b:Year>
    <b:Publisher>Kluwer</b:Publisher>
    <b:Author>
      <b:Author>
        <b:NameList>
          <b:Person>
            <b:Last>Hoogendorn</b:Last>
            <b:First>M.N.</b:First>
          </b:Person>
          <b:Person>
            <b:Last>Bömher</b:Last>
            <b:First>S.</b:First>
          </b:Person>
          <b:Person>
            <b:Last>Kruit</b:Last>
            <b:First>R.</b:First>
          </b:Person>
        </b:NameList>
      </b:Author>
    </b:Author>
    <b:RefOrder>9</b:RefOrder>
  </b:Source>
  <b:Source>
    <b:Tag>Kai14</b:Tag>
    <b:SourceType>Report</b:SourceType>
    <b:Guid>{78E55138-9CF0-429A-BB01-D4B56CE05B0F}</b:Guid>
    <b:Title>IFRS and US GAAP: similarities and differences</b:Title>
    <b:Year>2014</b:Year>
    <b:Publisher>PwC</b:Publisher>
    <b:Author>
      <b:Author>
        <b:NameList>
          <b:Person>
            <b:Last>Kaiser</b:Last>
            <b:Middle>G.</b:Middle>
            <b:First>James</b:First>
          </b:Person>
          <b:Person>
            <b:Last>Schmid</b:Last>
            <b:First>David</b:First>
          </b:Person>
          <b:Person>
            <b:Last>Kuykendall</b:Last>
            <b:First>Ken</b:First>
          </b:Person>
        </b:NameList>
      </b:Author>
    </b:Author>
    <b:RefOrder>10</b:RefOrder>
  </b:Source>
  <b:Source>
    <b:Tag>IFR02</b:Tag>
    <b:SourceType>InternetSite</b:SourceType>
    <b:Guid>{16C08BFB-BEE8-40AB-A7DF-CEB2D2E8BD6D}</b:Guid>
    <b:Title>IFRS</b:Title>
    <b:InternetSiteTitle>IFRS</b:InternetSiteTitle>
    <b:Year>2002</b:Year>
    <b:URL>http://www.ifrs.org/Use-around-the-world/Global-convergence/Convergence-with-US-GAAP/Pages/Convergence-with-US-GAAP.aspx</b:URL>
    <b:Author>
      <b:Author>
        <b:Corporate>IFRS</b:Corporate>
      </b:Author>
    </b:Author>
    <b:RefOrder>11</b:RefOrder>
  </b:Source>
  <b:Source>
    <b:Tag>Del14</b:Tag>
    <b:SourceType>DocumentFromInternetSite</b:SourceType>
    <b:Guid>{E915DA1B-19E9-4296-9517-455E287DABB8}</b:Guid>
    <b:Author>
      <b:Author>
        <b:Corporate>Deloitte</b:Corporate>
      </b:Author>
    </b:Author>
    <b:Title>IAS 16 -- Property, Plant and Equipment</b:Title>
    <b:Year>2014</b:Year>
    <b:InternetSiteTitle>Iasplus</b:InternetSiteTitle>
    <b:URL> http://www.iasplus.com/en/standards/ias/ias16</b:URL>
    <b:RefOrder>8</b:RefOrder>
  </b:Source>
  <b:Source>
    <b:Tag>Acc15</b:Tag>
    <b:SourceType>DocumentFromInternetSite</b:SourceType>
    <b:Guid>{42C9A7CA-9D9A-4ADF-A406-153FCE487AC4}</b:Guid>
    <b:Author>
      <b:Author>
        <b:Corporate>Accountancy vanmorgen</b:Corporate>
      </b:Author>
    </b:Author>
    <b:Title>Accountant keurt afschrijvingsmethodiek goed, KNVB niet: 3 punten aftrek voor FC Twente</b:Title>
    <b:InternetSiteTitle>Accountancy vanmorgen</b:InternetSiteTitle>
    <b:Year>2015</b:Year>
    <b:Month>Maart</b:Month>
    <b:Day>4</b:Day>
    <b:URL>http://www.accountancyvanmorgen.nl/Nieuws/Detail/accountant-keurt-afschrijvingsmethodiek-goed-knvb-niet-3-punten-aftrek-voor-fc-twente</b:URL>
    <b:RefOrder>7</b:RefOrder>
  </b:Source>
  <b:Source>
    <b:Tag>htt14</b:Tag>
    <b:SourceType>DocumentFromInternetSite</b:SourceType>
    <b:Guid>{F60EF7AA-F59A-44BF-B4EB-BCEDFFEFB7DE}</b:Guid>
    <b:Author>
      <b:Author>
        <b:Corporate>KNVB</b:Corporate>
      </b:Author>
    </b:Author>
    <b:Title>Financiële integriteit: Licentiesysteem</b:Title>
    <b:InternetSiteTitle>KNVB</b:InternetSiteTitle>
    <b:Year>2014</b:Year>
    <b:URL>http://home.knvb.nl/themas/financi%C3%ABle-integriteit/licentiesysteem/</b:URL>
    <b:RefOrder>6</b:RefOrder>
  </b:Source>
  <b:Source>
    <b:Tag>Her06</b:Tag>
    <b:SourceType>JournalArticle</b:SourceType>
    <b:Guid>{3A5F9CCB-741F-44CB-B74E-16FB20F6DE18}</b:Guid>
    <b:Title>The quality of fair value measures of property, plant and equipment</b:Title>
    <b:Year>2006</b:Year>
    <b:JournalName>Accounting Forum</b:JournalName>
    <b:Pages>43-59</b:Pages>
    <b:Author>
      <b:Author>
        <b:NameList>
          <b:Person>
            <b:Last>Hermann</b:Last>
            <b:First>D.</b:First>
          </b:Person>
          <b:Person>
            <b:Last>Saudagaran</b:Last>
            <b:First>S.M.</b:First>
          </b:Person>
          <b:Person>
            <b:Last>Thomas</b:Last>
            <b:First>W.B.</b:First>
          </b:Person>
        </b:NameList>
      </b:Author>
    </b:Author>
    <b:RefOrder>36</b:RefOrder>
  </b:Source>
  <b:Source>
    <b:Tag>KNV13</b:Tag>
    <b:SourceType>DocumentFromInternetSite</b:SourceType>
    <b:Guid>{72D521C9-057C-4DC3-BF36-E4E970A003C9}</b:Guid>
    <b:Title>Licentiezaken</b:Title>
    <b:Year>2013</b:Year>
    <b:Author>
      <b:Author>
        <b:Corporate>KNVB Licentiereglement</b:Corporate>
      </b:Author>
    </b:Author>
    <b:InternetSiteTitle>KNVB</b:InternetSiteTitle>
    <b:Month>December</b:Month>
    <b:Day>16</b:Day>
    <b:URL>http://www.knvb.nl/watdoenwe/organiseren/licentiezaken</b:URL>
    <b:RefOrder>38</b:RefOrder>
  </b:Source>
  <b:Source>
    <b:Tag>Han12</b:Tag>
    <b:SourceType>DocumentFromInternetSite</b:SourceType>
    <b:Guid>{20A1DA1E-AB1D-468E-960B-064F603A9863}</b:Guid>
    <b:Author>
      <b:Author>
        <b:Corporate>Handboek Bestuurders Betaald Voetbal Licentiecommissie</b:Corporate>
      </b:Author>
    </b:Author>
    <b:Title>Handboek Bestuurders Betaald Voetbal Licentiecommissie</b:Title>
    <b:InternetSiteTitle>KNVB</b:InternetSiteTitle>
    <b:Year>2012</b:Year>
    <b:Month>Februari</b:Month>
    <b:URL>http://www.knvb.nl/watdoenwe/organiseren/licentiezaken</b:URL>
    <b:RefOrder>5</b:RefOrder>
  </b:Source>
  <b:Source>
    <b:Tag>Lic13</b:Tag>
    <b:SourceType>DocumentFromInternetSite</b:SourceType>
    <b:Guid>{F73BD77D-6668-45AC-B634-FDA48D87EBBD}</b:Guid>
    <b:Author>
      <b:Author>
        <b:Corporate>Licentiesysteem KNVB</b:Corporate>
      </b:Author>
    </b:Author>
    <b:Title>Uitleg Licentiesysteem KNVB</b:Title>
    <b:InternetSiteTitle>KNVB</b:InternetSiteTitle>
    <b:Year>2013</b:Year>
    <b:Month>Juli</b:Month>
    <b:Day>25</b:Day>
    <b:URL>http://www.knvb.nl/watdoenwe/organiseren/licentiezaken</b:URL>
    <b:RefOrder>37</b:RefOrder>
  </b:Source>
  <b:Source>
    <b:Tag>Ric14</b:Tag>
    <b:SourceType>DocumentFromInternetSite</b:SourceType>
    <b:Guid>{C2A71A05-1F97-4CEC-B914-3EF7ACA5B1B0}</b:Guid>
    <b:Author>
      <b:Author>
        <b:Corporate>Richtlijn verslaggeving KNVB modelstaten</b:Corporate>
      </b:Author>
    </b:Author>
    <b:Title>Richtlijn verslaggeving KNVB modelstaten</b:Title>
    <b:InternetSiteTitle>KNVB</b:InternetSiteTitle>
    <b:Year>2014</b:Year>
    <b:Month>Juli</b:Month>
    <b:Day>1</b:Day>
    <b:URL>http://www.knvb.nl/watdoenwe/organiseren/licentiezaken</b:URL>
    <b:RefOrder>39</b:RefOrder>
  </b:Source>
  <b:Source>
    <b:Tag>Ric15</b:Tag>
    <b:SourceType>DocumentFromInternetSite</b:SourceType>
    <b:Guid>{8E1510CF-7F56-4294-A842-ECD26B75A070}</b:Guid>
    <b:Author>
      <b:Author>
        <b:Corporate>Richtlijn Licensie-eisen</b:Corporate>
      </b:Author>
    </b:Author>
    <b:Title>Richtlijn Licensie-eisen</b:Title>
    <b:InternetSiteTitle>KNVB</b:InternetSiteTitle>
    <b:Year>2015</b:Year>
    <b:Month>Januari</b:Month>
    <b:Day>1</b:Day>
    <b:URL>http://www.knvb.nl/watdoenwe/organiseren/licentiezaken</b:URL>
    <b:RefOrder>40</b:RefOrder>
  </b:Source>
  <b:Source>
    <b:Tag>Ric141</b:Tag>
    <b:SourceType>DocumentFromInternetSite</b:SourceType>
    <b:Guid>{5993A3DD-54BC-44A5-8ADB-EB9ED29EEF0A}</b:Guid>
    <b:Title>Richtlijn Financieel Rating Systeem categorie indeling</b:Title>
    <b:InternetSiteTitle>KNVB</b:InternetSiteTitle>
    <b:Year>2014</b:Year>
    <b:Month>Juli</b:Month>
    <b:Day>1</b:Day>
    <b:URL>http://www.knvb.nl/watdoenwe/organiseren/licentiezaken</b:URL>
    <b:Author>
      <b:Author>
        <b:Corporate>Richtlijn Financieel Rating Systeem</b:Corporate>
      </b:Author>
    </b:Author>
    <b:RefOrder>41</b:RefOrder>
  </b:Source>
  <b:Source>
    <b:Tag>Rav15</b:Tag>
    <b:SourceType>Interview</b:SourceType>
    <b:Guid>{7EEBD522-FAF7-4982-9AE1-DF7B8600AE01}</b:Guid>
    <b:Year>2015</b:Year>
    <b:Month>Juni</b:Month>
    <b:Day>26</b:Day>
    <b:Author>
      <b:Interviewee>
        <b:NameList>
          <b:Person>
            <b:Last>Ravensbergen</b:Last>
            <b:First>W.</b:First>
          </b:Person>
        </b:NameList>
      </b:Interviewee>
      <b:Interviewer>
        <b:NameList>
          <b:Person>
            <b:Last>Merrienboer</b:Last>
            <b:First>Guy</b:First>
            <b:Middle>van</b:Middle>
          </b:Person>
        </b:NameList>
      </b:Interviewer>
    </b:Author>
    <b:RefOrder>43</b:RefOrder>
  </b:Source>
  <b:Source>
    <b:Tag>Sti15</b:Tag>
    <b:SourceType>Report</b:SourceType>
    <b:Guid>{8F8652BE-7F85-4C87-A94A-5C3395FB8EAE}</b:Guid>
    <b:Title>Jaarrekening FC Twente 2013/2014</b:Title>
    <b:Year>2015</b:Year>
    <b:City>Enschede</b:City>
    <b:Publisher>Stichting FC Twente '65 B.V.</b:Publisher>
    <b:Author>
      <b:Author>
        <b:Corporate>Stichting FC Twente '65 B.V.</b:Corporate>
      </b:Author>
    </b:Author>
    <b:RefOrder>44</b:RefOrder>
  </b:Source>
  <b:Source>
    <b:Tag>Sti14</b:Tag>
    <b:SourceType>Report</b:SourceType>
    <b:Guid>{4A06127A-97A0-4B2A-AC36-FE48C8B5A411}</b:Guid>
    <b:Author>
      <b:Author>
        <b:Corporate>Stichting FC Twente '65 B.V.</b:Corporate>
      </b:Author>
    </b:Author>
    <b:Title>Jaarrekening FC Twente 2012/2013</b:Title>
    <b:Year>2014</b:Year>
    <b:Publisher>Stichting FC Twente '65 B.V.</b:Publisher>
    <b:City>Enschede</b:City>
    <b:RefOrder>45</b:RefOrder>
  </b:Source>
  <b:Source>
    <b:Tag>Tub15</b:Tag>
    <b:SourceType>InternetSite</b:SourceType>
    <b:Guid>{BFFB4C9B-DBBE-42C7-BC2E-CBDB7363107D}</b:Guid>
    <b:Title>FC Twente: ontslag voor 18 werknemers</b:Title>
    <b:Year>2015</b:Year>
    <b:Month>April</b:Month>
    <b:Day>10</b:Day>
    <b:Author>
      <b:Author>
        <b:Corporate>Tubantia</b:Corporate>
      </b:Author>
    </b:Author>
    <b:InternetSiteTitle>Tubantia</b:InternetSiteTitle>
    <b:URL>http://www.tubantia.nl/sport/fc-twente/fc-twente-ontslag-voor-18-medewerkers-1.4850604</b:URL>
    <b:RefOrder>46</b:RefOrder>
  </b:Source>
  <b:Source>
    <b:Tag>NOS15</b:Tag>
    <b:SourceType>InternetSite</b:SourceType>
    <b:Guid>{9E3244A4-727F-4622-B272-272BC62A32E7}</b:Guid>
    <b:Author>
      <b:Author>
        <b:Corporate>NOS</b:Corporate>
      </b:Author>
    </b:Author>
    <b:Title>Martina tekent bij Southampton: Droom komt uit</b:Title>
    <b:InternetSiteTitle>NOS</b:InternetSiteTitle>
    <b:Year>2015</b:Year>
    <b:Month>Juli</b:Month>
    <b:Day>7</b:Day>
    <b:URL>http://nos.nl/artikel/2045676-martina-tekent-bij-southampton-droom-komt-uit.html</b:URL>
    <b:RefOrder>47</b:RefOrder>
  </b:Source>
  <b:Source>
    <b:Tag>Vee09</b:Tag>
    <b:SourceType>DocumentFromInternetSite</b:SourceType>
    <b:Guid>{D5F0CF18-2E63-4E6B-8F20-17724CD77D71}</b:Guid>
    <b:Title>Project Uitbreiding Grolsch Veste</b:Title>
    <b:InternetSiteTitle>Stadium Consultancy</b:InternetSiteTitle>
    <b:Year>2009</b:Year>
    <b:Month>Oktober</b:Month>
    <b:Day>5</b:Day>
    <b:URL>http://www.stadiumconsultancy.com/documents/ProjectuitbreidingGrolschVeste.pdf</b:URL>
    <b:Author>
      <b:Author>
        <b:NameList>
          <b:Person>
            <b:Last>Veenbrink</b:Last>
            <b:First>B.</b:First>
          </b:Person>
        </b:NameList>
      </b:Author>
    </b:Author>
    <b:RefOrder>48</b:RefOrder>
  </b:Source>
  <b:Source>
    <b:Tag>Sti151</b:Tag>
    <b:SourceType>Report</b:SourceType>
    <b:Guid>{5CBB8A48-486B-4A5D-ADEB-DDF654B299A3}</b:Guid>
    <b:Title>Herziende jaarrekening FC Twente 2013/2014</b:Title>
    <b:Year>2015</b:Year>
    <b:Publisher>Stichting FC Twente '65 B.V.</b:Publisher>
    <b:City>Enschede</b:City>
    <b:Author>
      <b:Author>
        <b:Corporate>Stichting FC Twente '65 B.V.</b:Corporate>
      </b:Author>
    </b:Author>
    <b:RefOrder>49</b:RefOrder>
  </b:Source>
  <b:Source>
    <b:Tag>Wil14</b:Tag>
    <b:SourceType>InternetSite</b:SourceType>
    <b:Guid>{F3EF0A62-1B5B-415A-A674-A2218D6FCE66}</b:Guid>
    <b:Title>Industry practice</b:Title>
    <b:Year>2014</b:Year>
    <b:InternetSiteTitle>Finance Training Society</b:InternetSiteTitle>
    <b:Month>Februari</b:Month>
    <b:Day>14</b:Day>
    <b:URL>http://financetraining.com/industry-practices-definition/</b:URL>
    <b:Author>
      <b:Author>
        <b:NameList>
          <b:Person>
            <b:Last>Wilson</b:Last>
            <b:Middle>C.</b:Middle>
            <b:First>R.</b:First>
          </b:Person>
        </b:NameList>
      </b:Author>
    </b:Author>
    <b:RefOrder>50</b:RefOrder>
  </b:Source>
  <b:Source>
    <b:Tag>Ric142</b:Tag>
    <b:SourceType>DocumentFromInternetSite</b:SourceType>
    <b:Guid>{CC01E27E-0BA3-4681-83CF-0623BA43BBD6}</b:Guid>
    <b:Author>
      <b:Author>
        <b:Corporate>Richtlijn Plan van Aanpak</b:Corporate>
      </b:Author>
    </b:Author>
    <b:Title>Richtlijn Opmaak Plan van Aanpak</b:Title>
    <b:InternetSiteTitle>KNVB</b:InternetSiteTitle>
    <b:Year>2014</b:Year>
    <b:Month>Juli</b:Month>
    <b:Day>1</b:Day>
    <b:URL>http://www.knvb.nl/watdoenwe/organiseren/licentiezaken</b:URL>
    <b:RefOrder>42</b:RefOrder>
  </b:Source>
  <b:Source>
    <b:Tag>Beb03</b:Tag>
    <b:SourceType>JournalArticle</b:SourceType>
    <b:Guid>{2A4451C0-2C87-486D-91EE-0FA9A48CE33E}</b:Guid>
    <b:Title>Executive Compensation as an Agency Problem</b:Title>
    <b:Year>2003</b:Year>
    <b:Pages>71-92</b:Pages>
    <b:Publisher>Journal of Economic Perspectives</b:Publisher>
    <b:Author>
      <b:Author>
        <b:NameList>
          <b:Person>
            <b:Last>Bebchuk</b:Last>
            <b:Middle>A.</b:Middle>
            <b:First>L.</b:First>
          </b:Person>
          <b:Person>
            <b:Last>Fried</b:Last>
            <b:Middle>M.</b:Middle>
            <b:First>J.</b:First>
          </b:Person>
        </b:NameList>
      </b:Author>
    </b:Author>
    <b:JournalName>Journal of Economic Perspectives</b:JournalName>
    <b:RefOrder>51</b:RefOrder>
  </b:Source>
</b:Sources>
</file>

<file path=customXml/itemProps1.xml><?xml version="1.0" encoding="utf-8"?>
<ds:datastoreItem xmlns:ds="http://schemas.openxmlformats.org/officeDocument/2006/customXml" ds:itemID="{69DCC272-AA8B-41F4-AECA-6D75C86E8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84</Pages>
  <Words>24244</Words>
  <Characters>138192</Characters>
  <Application>Microsoft Office Word</Application>
  <DocSecurity>4</DocSecurity>
  <Lines>1151</Lines>
  <Paragraphs>324</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162112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Beheerder</dc:creator>
  <cp:lastModifiedBy>Roy Achaibersing</cp:lastModifiedBy>
  <cp:revision>2</cp:revision>
  <dcterms:created xsi:type="dcterms:W3CDTF">2015-08-25T07:13:00Z</dcterms:created>
  <dcterms:modified xsi:type="dcterms:W3CDTF">2015-08-25T07:13:00Z</dcterms:modified>
</cp:coreProperties>
</file>