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7C2" w:rsidRPr="008E77C2" w:rsidRDefault="005301F2" w:rsidP="00646879">
      <w:pPr>
        <w:pStyle w:val="Title"/>
        <w:rPr>
          <w:szCs w:val="60"/>
        </w:rPr>
      </w:pPr>
      <w:r>
        <w:rPr>
          <w:noProof/>
          <w:sz w:val="27"/>
          <w:szCs w:val="27"/>
          <w:lang w:val="en-US"/>
        </w:rPr>
        <w:drawing>
          <wp:inline distT="0" distB="0" distL="0" distR="0">
            <wp:extent cx="5591725" cy="1695450"/>
            <wp:effectExtent l="0" t="0" r="9525" b="0"/>
            <wp:docPr id="2" name="Afbeelding 2" descr="http://people.few.eur.nl/xiao/e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ople.few.eur.nl/xiao/eselog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09656" cy="1700887"/>
                    </a:xfrm>
                    <a:prstGeom prst="rect">
                      <a:avLst/>
                    </a:prstGeom>
                    <a:noFill/>
                    <a:ln>
                      <a:noFill/>
                    </a:ln>
                  </pic:spPr>
                </pic:pic>
              </a:graphicData>
            </a:graphic>
          </wp:inline>
        </w:drawing>
      </w:r>
    </w:p>
    <w:p w:rsidR="00065F93" w:rsidRPr="00065F93" w:rsidRDefault="00065F93" w:rsidP="00646879"/>
    <w:p w:rsidR="00065F93" w:rsidRPr="00F8197D" w:rsidRDefault="00065F93" w:rsidP="00646879">
      <w:pPr>
        <w:pStyle w:val="Subtitle"/>
        <w:rPr>
          <w:b/>
          <w:color w:val="auto"/>
          <w:sz w:val="32"/>
          <w:szCs w:val="32"/>
        </w:rPr>
      </w:pPr>
      <w:r w:rsidRPr="00F8197D">
        <w:rPr>
          <w:b/>
          <w:color w:val="auto"/>
          <w:sz w:val="32"/>
          <w:szCs w:val="32"/>
        </w:rPr>
        <w:t>Impact van goodwill verantwoording op de jaarrekening</w:t>
      </w:r>
    </w:p>
    <w:p w:rsidR="00065F93" w:rsidRPr="00F8197D" w:rsidRDefault="00065F93" w:rsidP="00673570">
      <w:pPr>
        <w:ind w:left="2160" w:firstLine="720"/>
        <w:rPr>
          <w:b/>
          <w:sz w:val="32"/>
          <w:szCs w:val="32"/>
        </w:rPr>
      </w:pPr>
      <w:r w:rsidRPr="00F8197D">
        <w:rPr>
          <w:b/>
          <w:sz w:val="32"/>
          <w:szCs w:val="32"/>
        </w:rPr>
        <w:t>IFRS</w:t>
      </w:r>
      <w:r w:rsidR="008C2B14" w:rsidRPr="00F8197D">
        <w:rPr>
          <w:b/>
          <w:sz w:val="32"/>
          <w:szCs w:val="32"/>
        </w:rPr>
        <w:t xml:space="preserve"> 3</w:t>
      </w:r>
      <w:r w:rsidRPr="00F8197D">
        <w:rPr>
          <w:b/>
          <w:sz w:val="32"/>
          <w:szCs w:val="32"/>
        </w:rPr>
        <w:t xml:space="preserve"> </w:t>
      </w:r>
      <w:proofErr w:type="spellStart"/>
      <w:proofErr w:type="gramStart"/>
      <w:r w:rsidRPr="00F8197D">
        <w:rPr>
          <w:b/>
          <w:sz w:val="32"/>
          <w:szCs w:val="32"/>
        </w:rPr>
        <w:t>vs</w:t>
      </w:r>
      <w:proofErr w:type="spellEnd"/>
      <w:proofErr w:type="gramEnd"/>
      <w:r w:rsidRPr="00F8197D">
        <w:rPr>
          <w:b/>
          <w:sz w:val="32"/>
          <w:szCs w:val="32"/>
        </w:rPr>
        <w:t xml:space="preserve"> Dutch GAAP</w:t>
      </w:r>
    </w:p>
    <w:p w:rsidR="00065F93" w:rsidRPr="00F8197D" w:rsidRDefault="00065F93" w:rsidP="00646879">
      <w:pPr>
        <w:pStyle w:val="Subtitle"/>
        <w:rPr>
          <w:color w:val="auto"/>
          <w:szCs w:val="28"/>
        </w:rPr>
      </w:pPr>
    </w:p>
    <w:p w:rsidR="008C2B14" w:rsidRPr="00F8197D" w:rsidRDefault="008C2B14" w:rsidP="008C2B14">
      <w:pPr>
        <w:pStyle w:val="Subtitle"/>
        <w:rPr>
          <w:color w:val="auto"/>
        </w:rPr>
      </w:pPr>
      <w:r w:rsidRPr="00F8197D">
        <w:rPr>
          <w:color w:val="auto"/>
        </w:rPr>
        <w:tab/>
      </w:r>
      <w:r w:rsidRPr="00F8197D">
        <w:rPr>
          <w:color w:val="auto"/>
        </w:rPr>
        <w:tab/>
      </w:r>
      <w:r w:rsidRPr="00F8197D">
        <w:rPr>
          <w:color w:val="auto"/>
        </w:rPr>
        <w:tab/>
        <w:t xml:space="preserve">David </w:t>
      </w:r>
      <w:proofErr w:type="spellStart"/>
      <w:r w:rsidRPr="00F8197D">
        <w:rPr>
          <w:color w:val="auto"/>
        </w:rPr>
        <w:t>Mugisha</w:t>
      </w:r>
      <w:proofErr w:type="spellEnd"/>
      <w:r w:rsidRPr="00F8197D">
        <w:rPr>
          <w:color w:val="auto"/>
        </w:rPr>
        <w:t xml:space="preserve"> </w:t>
      </w:r>
      <w:proofErr w:type="spellStart"/>
      <w:r w:rsidRPr="00F8197D">
        <w:rPr>
          <w:color w:val="auto"/>
        </w:rPr>
        <w:t>Kingereli</w:t>
      </w:r>
      <w:proofErr w:type="spellEnd"/>
      <w:r w:rsidRPr="00F8197D">
        <w:rPr>
          <w:color w:val="auto"/>
        </w:rPr>
        <w:t>, 376086</w:t>
      </w:r>
    </w:p>
    <w:p w:rsidR="008C2B14" w:rsidRPr="00F8197D" w:rsidRDefault="008C2B14" w:rsidP="008C2B14">
      <w:pPr>
        <w:rPr>
          <w:sz w:val="28"/>
          <w:szCs w:val="28"/>
        </w:rPr>
      </w:pPr>
      <w:r w:rsidRPr="00F8197D">
        <w:tab/>
      </w:r>
      <w:r w:rsidRPr="00F8197D">
        <w:tab/>
      </w:r>
      <w:r w:rsidRPr="00F8197D">
        <w:tab/>
      </w:r>
      <w:r w:rsidR="00F03ABE" w:rsidRPr="00F8197D">
        <w:rPr>
          <w:sz w:val="28"/>
          <w:szCs w:val="28"/>
        </w:rPr>
        <w:t>Begeleider: d</w:t>
      </w:r>
      <w:r w:rsidRPr="00F8197D">
        <w:rPr>
          <w:sz w:val="28"/>
          <w:szCs w:val="28"/>
        </w:rPr>
        <w:t xml:space="preserve">rs. R.D. </w:t>
      </w:r>
      <w:proofErr w:type="spellStart"/>
      <w:r w:rsidRPr="00F8197D">
        <w:rPr>
          <w:sz w:val="28"/>
          <w:szCs w:val="28"/>
        </w:rPr>
        <w:t>Achaibersing</w:t>
      </w:r>
      <w:proofErr w:type="spellEnd"/>
      <w:r w:rsidRPr="00F8197D">
        <w:rPr>
          <w:sz w:val="28"/>
          <w:szCs w:val="28"/>
        </w:rPr>
        <w:t xml:space="preserve"> RA</w:t>
      </w:r>
    </w:p>
    <w:p w:rsidR="0043059D" w:rsidRPr="00F8197D" w:rsidRDefault="0043059D" w:rsidP="008C2B14">
      <w:pPr>
        <w:rPr>
          <w:sz w:val="28"/>
          <w:szCs w:val="28"/>
        </w:rPr>
      </w:pPr>
      <w:r w:rsidRPr="00F8197D">
        <w:rPr>
          <w:sz w:val="28"/>
          <w:szCs w:val="28"/>
        </w:rPr>
        <w:t xml:space="preserve">                          Bachelor Thesis Economie en Bedrijfseconomie</w:t>
      </w:r>
    </w:p>
    <w:p w:rsidR="008C2B14" w:rsidRDefault="008C2B14" w:rsidP="008C2B14">
      <w:pPr>
        <w:rPr>
          <w:sz w:val="28"/>
          <w:szCs w:val="28"/>
        </w:rPr>
      </w:pPr>
      <w:r w:rsidRPr="00F8197D">
        <w:rPr>
          <w:sz w:val="28"/>
          <w:szCs w:val="28"/>
        </w:rPr>
        <w:tab/>
      </w:r>
      <w:r w:rsidRPr="00F8197D">
        <w:rPr>
          <w:sz w:val="28"/>
          <w:szCs w:val="28"/>
        </w:rPr>
        <w:tab/>
      </w:r>
      <w:r w:rsidRPr="00F8197D">
        <w:rPr>
          <w:sz w:val="28"/>
          <w:szCs w:val="28"/>
        </w:rPr>
        <w:tab/>
        <w:t xml:space="preserve">       </w:t>
      </w:r>
      <w:r w:rsidRPr="00B640C9">
        <w:rPr>
          <w:sz w:val="28"/>
          <w:szCs w:val="28"/>
        </w:rPr>
        <w:t xml:space="preserve">Erasmus School of </w:t>
      </w:r>
      <w:proofErr w:type="spellStart"/>
      <w:r w:rsidRPr="00B640C9">
        <w:rPr>
          <w:sz w:val="28"/>
          <w:szCs w:val="28"/>
        </w:rPr>
        <w:t>Economics</w:t>
      </w:r>
      <w:proofErr w:type="spellEnd"/>
    </w:p>
    <w:p w:rsidR="00013538" w:rsidRDefault="00EE15F7" w:rsidP="00013538">
      <w:pPr>
        <w:rPr>
          <w:rFonts w:cstheme="minorHAnsi"/>
          <w:b/>
          <w:sz w:val="22"/>
        </w:rPr>
      </w:pPr>
      <w:r>
        <w:rPr>
          <w:sz w:val="28"/>
          <w:szCs w:val="28"/>
        </w:rPr>
        <w:tab/>
      </w:r>
      <w:r>
        <w:rPr>
          <w:sz w:val="28"/>
          <w:szCs w:val="28"/>
        </w:rPr>
        <w:tab/>
      </w:r>
      <w:r>
        <w:rPr>
          <w:sz w:val="28"/>
          <w:szCs w:val="28"/>
        </w:rPr>
        <w:tab/>
      </w:r>
      <w:r>
        <w:rPr>
          <w:sz w:val="28"/>
          <w:szCs w:val="28"/>
        </w:rPr>
        <w:tab/>
        <w:t>Rotterdam, 31 juli 2015</w:t>
      </w:r>
    </w:p>
    <w:p w:rsidR="00E64A0D" w:rsidRPr="00013538" w:rsidRDefault="00E64A0D" w:rsidP="00013538">
      <w:pPr>
        <w:rPr>
          <w:sz w:val="28"/>
          <w:szCs w:val="28"/>
        </w:rPr>
      </w:pPr>
      <w:r w:rsidRPr="00E23E9A">
        <w:rPr>
          <w:rFonts w:cstheme="minorHAnsi"/>
          <w:b/>
          <w:sz w:val="22"/>
        </w:rPr>
        <w:t>Abstract</w:t>
      </w:r>
    </w:p>
    <w:p w:rsidR="00E64A0D" w:rsidRPr="00E23E9A" w:rsidRDefault="00233BD6" w:rsidP="00E64A0D">
      <w:pPr>
        <w:spacing w:after="0" w:line="360" w:lineRule="auto"/>
        <w:rPr>
          <w:rFonts w:cstheme="minorHAnsi"/>
          <w:sz w:val="22"/>
        </w:rPr>
      </w:pPr>
      <w:r w:rsidRPr="00E23E9A">
        <w:rPr>
          <w:rFonts w:cstheme="minorHAnsi"/>
          <w:sz w:val="22"/>
        </w:rPr>
        <w:t xml:space="preserve">De inzichten over wat de ‘juiste’ verantwoording van goodwill zou moeten zijn, lijken onderling sterk te verschillen. De gekozen benaderingen leiden tot grote verschillen tussen </w:t>
      </w:r>
      <w:proofErr w:type="gramStart"/>
      <w:r w:rsidRPr="00E23E9A">
        <w:rPr>
          <w:rFonts w:cstheme="minorHAnsi"/>
          <w:sz w:val="22"/>
        </w:rPr>
        <w:t>het</w:t>
      </w:r>
      <w:proofErr w:type="gramEnd"/>
      <w:r w:rsidRPr="00E23E9A">
        <w:rPr>
          <w:rFonts w:cstheme="minorHAnsi"/>
          <w:sz w:val="22"/>
        </w:rPr>
        <w:t xml:space="preserve"> uiteindelijke zichtbare nettoresultaat en het </w:t>
      </w:r>
      <w:r w:rsidR="00E64A0D" w:rsidRPr="00E23E9A">
        <w:rPr>
          <w:rFonts w:cstheme="minorHAnsi"/>
          <w:sz w:val="22"/>
        </w:rPr>
        <w:t>eigenvermogen</w:t>
      </w:r>
      <w:r w:rsidRPr="00E23E9A">
        <w:rPr>
          <w:rFonts w:cstheme="minorHAnsi"/>
          <w:sz w:val="22"/>
        </w:rPr>
        <w:t>. Omdat de verschillen tot gevolg hebben dat de financiële kerncijfers van ondernemingen internationaal niet te vergelijken zijn, zijn deze verschillen nadelig voor de gebruikers van de jaarrekeningen</w:t>
      </w:r>
      <w:r w:rsidR="00E64A0D" w:rsidRPr="00E23E9A">
        <w:rPr>
          <w:rFonts w:cstheme="minorHAnsi"/>
          <w:sz w:val="22"/>
        </w:rPr>
        <w:t>.</w:t>
      </w:r>
      <w:r w:rsidR="00E64A0D" w:rsidRPr="00E23E9A">
        <w:rPr>
          <w:sz w:val="22"/>
        </w:rPr>
        <w:t xml:space="preserve"> </w:t>
      </w:r>
      <w:r w:rsidR="002E24FE" w:rsidRPr="002A5A60">
        <w:rPr>
          <w:sz w:val="22"/>
        </w:rPr>
        <w:t xml:space="preserve">Ook al is er sprake van complexiteit en subjectiviteit bij de </w:t>
      </w:r>
      <w:proofErr w:type="spellStart"/>
      <w:r w:rsidR="002E24FE" w:rsidRPr="002A5A60">
        <w:rPr>
          <w:sz w:val="22"/>
        </w:rPr>
        <w:t>impairment</w:t>
      </w:r>
      <w:proofErr w:type="spellEnd"/>
      <w:r w:rsidR="002E24FE" w:rsidRPr="002A5A60">
        <w:rPr>
          <w:sz w:val="22"/>
        </w:rPr>
        <w:t xml:space="preserve"> test, leidt IFRS ten opzichte van de RJ tot een betere en </w:t>
      </w:r>
      <w:proofErr w:type="gramStart"/>
      <w:r w:rsidR="002E24FE" w:rsidRPr="002A5A60">
        <w:rPr>
          <w:sz w:val="22"/>
        </w:rPr>
        <w:t>waarheidsgetrouwe</w:t>
      </w:r>
      <w:proofErr w:type="gramEnd"/>
      <w:r w:rsidR="002E24FE" w:rsidRPr="002A5A60">
        <w:rPr>
          <w:sz w:val="22"/>
        </w:rPr>
        <w:t xml:space="preserve"> beeld van de waarde van goodwill in de </w:t>
      </w:r>
      <w:r w:rsidR="009A3AF7" w:rsidRPr="002A5A60">
        <w:rPr>
          <w:sz w:val="22"/>
        </w:rPr>
        <w:t>geconsolideerde</w:t>
      </w:r>
      <w:r w:rsidR="002E24FE" w:rsidRPr="002A5A60">
        <w:rPr>
          <w:sz w:val="22"/>
        </w:rPr>
        <w:t xml:space="preserve"> jaarrekening van ondernemingen. </w:t>
      </w:r>
    </w:p>
    <w:p w:rsidR="007C681C" w:rsidRDefault="007C681C" w:rsidP="00646879">
      <w:pPr>
        <w:spacing w:after="160" w:line="259" w:lineRule="auto"/>
        <w:rPr>
          <w:color w:val="FF0000"/>
        </w:rPr>
      </w:pPr>
    </w:p>
    <w:p w:rsidR="00EE15F7" w:rsidRPr="00B95225" w:rsidRDefault="00EE15F7" w:rsidP="00B95225">
      <w:pPr>
        <w:spacing w:after="160" w:line="360" w:lineRule="auto"/>
        <w:rPr>
          <w:sz w:val="22"/>
        </w:rPr>
      </w:pPr>
      <w:r w:rsidRPr="00B95225">
        <w:rPr>
          <w:sz w:val="22"/>
        </w:rPr>
        <w:t>Tr</w:t>
      </w:r>
      <w:r w:rsidR="00D068CF" w:rsidRPr="00B95225">
        <w:rPr>
          <w:sz w:val="22"/>
        </w:rPr>
        <w:t>efwoorden: IFRS 3</w:t>
      </w:r>
      <w:r w:rsidR="006355B9" w:rsidRPr="00B95225">
        <w:rPr>
          <w:sz w:val="22"/>
        </w:rPr>
        <w:t>, Nederlandse wet</w:t>
      </w:r>
      <w:r w:rsidR="00D068CF" w:rsidRPr="00B95225">
        <w:rPr>
          <w:sz w:val="22"/>
        </w:rPr>
        <w:t xml:space="preserve">, RJ, goodwill, negatieve goodwill, </w:t>
      </w:r>
      <w:proofErr w:type="spellStart"/>
      <w:r w:rsidR="00D068CF" w:rsidRPr="00B95225">
        <w:rPr>
          <w:sz w:val="22"/>
        </w:rPr>
        <w:t>impairement</w:t>
      </w:r>
      <w:proofErr w:type="spellEnd"/>
      <w:r w:rsidR="00D068CF" w:rsidRPr="00B95225">
        <w:rPr>
          <w:sz w:val="22"/>
        </w:rPr>
        <w:t xml:space="preserve"> test, systematisch afschrijven van goodwill, goodwill in een keer ten laste brengen v</w:t>
      </w:r>
      <w:r w:rsidR="00821721" w:rsidRPr="00B95225">
        <w:rPr>
          <w:sz w:val="22"/>
        </w:rPr>
        <w:t>an het resultaat/ei</w:t>
      </w:r>
      <w:r w:rsidR="00013538">
        <w:rPr>
          <w:sz w:val="22"/>
        </w:rPr>
        <w:t xml:space="preserve">genvermogen, </w:t>
      </w:r>
      <w:proofErr w:type="spellStart"/>
      <w:r w:rsidR="00B95225">
        <w:rPr>
          <w:sz w:val="22"/>
        </w:rPr>
        <w:t>verkrijgingsprijs</w:t>
      </w:r>
      <w:proofErr w:type="spellEnd"/>
      <w:r w:rsidR="00B95225">
        <w:rPr>
          <w:sz w:val="22"/>
        </w:rPr>
        <w:t xml:space="preserve">, </w:t>
      </w:r>
      <w:proofErr w:type="spellStart"/>
      <w:r w:rsidR="00821721" w:rsidRPr="00B95225">
        <w:rPr>
          <w:sz w:val="22"/>
        </w:rPr>
        <w:t>vermogensmutatiemethode</w:t>
      </w:r>
      <w:proofErr w:type="spellEnd"/>
      <w:r w:rsidR="00821721" w:rsidRPr="00B95225">
        <w:rPr>
          <w:sz w:val="22"/>
        </w:rPr>
        <w:t xml:space="preserve">, </w:t>
      </w:r>
      <w:proofErr w:type="spellStart"/>
      <w:r w:rsidR="00821721" w:rsidRPr="00B95225">
        <w:rPr>
          <w:sz w:val="22"/>
        </w:rPr>
        <w:t>inzic</w:t>
      </w:r>
      <w:bookmarkStart w:id="0" w:name="_GoBack"/>
      <w:bookmarkEnd w:id="0"/>
      <w:r w:rsidR="00821721" w:rsidRPr="00B95225">
        <w:rPr>
          <w:sz w:val="22"/>
        </w:rPr>
        <w:t>htsvereiste</w:t>
      </w:r>
      <w:proofErr w:type="spellEnd"/>
      <w:r w:rsidR="00821721" w:rsidRPr="00B95225">
        <w:rPr>
          <w:sz w:val="22"/>
        </w:rPr>
        <w:t xml:space="preserve">, </w:t>
      </w:r>
      <w:r w:rsidR="00B95225" w:rsidRPr="00B95225">
        <w:rPr>
          <w:sz w:val="22"/>
        </w:rPr>
        <w:t xml:space="preserve">voorzichtigheidsbeginsel, </w:t>
      </w:r>
      <w:r w:rsidR="00821721" w:rsidRPr="00B95225">
        <w:rPr>
          <w:sz w:val="22"/>
        </w:rPr>
        <w:t>deelneming.</w:t>
      </w:r>
    </w:p>
    <w:p w:rsidR="00E64A0D" w:rsidRDefault="00E64A0D" w:rsidP="00013538">
      <w:pPr>
        <w:spacing w:after="160" w:line="259" w:lineRule="auto"/>
        <w:jc w:val="left"/>
        <w:rPr>
          <w:color w:val="FF0000"/>
        </w:rPr>
      </w:pPr>
    </w:p>
    <w:p w:rsidR="00B604A0" w:rsidRPr="00B640C9" w:rsidRDefault="00B604A0" w:rsidP="00013538">
      <w:pPr>
        <w:spacing w:after="160" w:line="259" w:lineRule="auto"/>
        <w:jc w:val="left"/>
        <w:rPr>
          <w:color w:val="FF0000"/>
        </w:rPr>
      </w:pPr>
      <w:r>
        <w:rPr>
          <w:noProof/>
          <w:lang w:val="en-US"/>
        </w:rPr>
        <w:lastRenderedPageBreak/>
        <w:drawing>
          <wp:inline distT="0" distB="0" distL="0" distR="0">
            <wp:extent cx="6452394" cy="8771467"/>
            <wp:effectExtent l="0" t="0" r="5715" b="0"/>
            <wp:docPr id="4" name="Afbeelding 3" descr="Schermop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Schermopname"/>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62418" cy="8785094"/>
                    </a:xfrm>
                    <a:prstGeom prst="rect">
                      <a:avLst/>
                    </a:prstGeom>
                  </pic:spPr>
                </pic:pic>
              </a:graphicData>
            </a:graphic>
          </wp:inline>
        </w:drawing>
      </w:r>
    </w:p>
    <w:p w:rsidR="005301F2" w:rsidRPr="007C681C" w:rsidRDefault="005830CF" w:rsidP="00A91CBD">
      <w:pPr>
        <w:pStyle w:val="Heading1"/>
        <w:numPr>
          <w:ilvl w:val="0"/>
          <w:numId w:val="4"/>
        </w:numPr>
        <w:rPr>
          <w:rFonts w:asciiTheme="minorHAnsi" w:hAnsiTheme="minorHAnsi"/>
          <w:szCs w:val="36"/>
        </w:rPr>
      </w:pPr>
      <w:bookmarkStart w:id="1" w:name="_Toc425532282"/>
      <w:r w:rsidRPr="007C681C">
        <w:rPr>
          <w:rFonts w:asciiTheme="minorHAnsi" w:hAnsiTheme="minorHAnsi"/>
          <w:szCs w:val="36"/>
        </w:rPr>
        <w:lastRenderedPageBreak/>
        <w:t>Inleiding</w:t>
      </w:r>
      <w:bookmarkEnd w:id="1"/>
    </w:p>
    <w:p w:rsidR="005301F2" w:rsidRPr="00325CBB" w:rsidRDefault="005301F2" w:rsidP="00646879">
      <w:pPr>
        <w:spacing w:after="0" w:line="360" w:lineRule="auto"/>
        <w:rPr>
          <w:rFonts w:cstheme="minorHAnsi"/>
          <w:sz w:val="22"/>
        </w:rPr>
      </w:pPr>
      <w:r w:rsidRPr="00325CBB">
        <w:rPr>
          <w:rFonts w:cstheme="minorHAnsi"/>
          <w:sz w:val="22"/>
        </w:rPr>
        <w:t xml:space="preserve">Naar aanleiding van </w:t>
      </w:r>
      <w:r w:rsidR="00B747BB" w:rsidRPr="00BA6300">
        <w:rPr>
          <w:rFonts w:cstheme="minorHAnsi"/>
          <w:sz w:val="22"/>
        </w:rPr>
        <w:t>het</w:t>
      </w:r>
      <w:r w:rsidRPr="00325CBB">
        <w:rPr>
          <w:rFonts w:cstheme="minorHAnsi"/>
          <w:sz w:val="22"/>
        </w:rPr>
        <w:t xml:space="preserve"> bestudeerde hoofdstuk 23 m.b.t. fusies en ove</w:t>
      </w:r>
      <w:r w:rsidR="00282084" w:rsidRPr="00325CBB">
        <w:rPr>
          <w:rFonts w:cstheme="minorHAnsi"/>
          <w:sz w:val="22"/>
        </w:rPr>
        <w:t>rnames in het EY handboek en de</w:t>
      </w:r>
      <w:r w:rsidR="0029552A" w:rsidRPr="00325CBB">
        <w:rPr>
          <w:rFonts w:cstheme="minorHAnsi"/>
          <w:sz w:val="22"/>
        </w:rPr>
        <w:t xml:space="preserve"> </w:t>
      </w:r>
      <w:r w:rsidRPr="00325CBB">
        <w:rPr>
          <w:rFonts w:cstheme="minorHAnsi"/>
          <w:sz w:val="22"/>
        </w:rPr>
        <w:t xml:space="preserve">artikelen </w:t>
      </w:r>
      <w:r w:rsidR="005830CF" w:rsidRPr="00325CBB">
        <w:rPr>
          <w:rFonts w:cstheme="minorHAnsi"/>
          <w:sz w:val="22"/>
        </w:rPr>
        <w:t xml:space="preserve">betreffend goodwill van onder andere </w:t>
      </w:r>
      <w:proofErr w:type="gramStart"/>
      <w:r w:rsidR="005830CF" w:rsidRPr="00325CBB">
        <w:rPr>
          <w:rFonts w:cstheme="minorHAnsi"/>
          <w:sz w:val="22"/>
        </w:rPr>
        <w:t>meneer</w:t>
      </w:r>
      <w:proofErr w:type="gramEnd"/>
      <w:r w:rsidR="005830CF" w:rsidRPr="00325CBB">
        <w:rPr>
          <w:rFonts w:cstheme="minorHAnsi"/>
          <w:sz w:val="22"/>
        </w:rPr>
        <w:t xml:space="preserve"> Hoogendoorn </w:t>
      </w:r>
      <w:r w:rsidR="005B193D" w:rsidRPr="00325CBB">
        <w:rPr>
          <w:rFonts w:cstheme="minorHAnsi"/>
          <w:sz w:val="22"/>
        </w:rPr>
        <w:t xml:space="preserve">tijdens </w:t>
      </w:r>
      <w:r w:rsidR="00E417C3" w:rsidRPr="00BA6300">
        <w:rPr>
          <w:rFonts w:cstheme="minorHAnsi"/>
          <w:sz w:val="22"/>
        </w:rPr>
        <w:t>het</w:t>
      </w:r>
      <w:r w:rsidR="005B193D" w:rsidRPr="00325CBB">
        <w:rPr>
          <w:rFonts w:cstheme="minorHAnsi"/>
          <w:sz w:val="22"/>
        </w:rPr>
        <w:t xml:space="preserve"> werkcollege externe verslaggeving, ligt de focus in deze scriptie op </w:t>
      </w:r>
      <w:r w:rsidR="00E417C3" w:rsidRPr="00BA6300">
        <w:rPr>
          <w:rFonts w:cstheme="minorHAnsi"/>
          <w:sz w:val="22"/>
        </w:rPr>
        <w:t>welke wijze</w:t>
      </w:r>
      <w:r w:rsidR="00495F48" w:rsidRPr="00325CBB">
        <w:rPr>
          <w:rFonts w:cstheme="minorHAnsi"/>
          <w:sz w:val="22"/>
        </w:rPr>
        <w:t xml:space="preserve"> de verantwoording van goodwill leidt tot verschillen in het resultaat tussen IFRS en Dutch GAAP</w:t>
      </w:r>
      <w:r w:rsidRPr="00325CBB">
        <w:rPr>
          <w:rFonts w:cstheme="minorHAnsi"/>
          <w:sz w:val="22"/>
        </w:rPr>
        <w:t xml:space="preserve">. </w:t>
      </w:r>
      <w:r w:rsidR="004D7997" w:rsidRPr="00325CBB">
        <w:rPr>
          <w:rFonts w:cstheme="minorHAnsi"/>
          <w:sz w:val="22"/>
        </w:rPr>
        <w:t>Zowel het verschil</w:t>
      </w:r>
      <w:r w:rsidR="00CF1AE3" w:rsidRPr="00325CBB">
        <w:rPr>
          <w:rFonts w:cstheme="minorHAnsi"/>
          <w:sz w:val="22"/>
        </w:rPr>
        <w:t xml:space="preserve"> in verantwoording</w:t>
      </w:r>
      <w:r w:rsidR="004D7997" w:rsidRPr="00325CBB">
        <w:rPr>
          <w:rFonts w:cstheme="minorHAnsi"/>
          <w:sz w:val="22"/>
        </w:rPr>
        <w:t xml:space="preserve"> van goodwill en de voor- en nadelen van verschillende </w:t>
      </w:r>
      <w:r w:rsidR="00D5003C" w:rsidRPr="00325CBB">
        <w:rPr>
          <w:rFonts w:cstheme="minorHAnsi"/>
          <w:sz w:val="22"/>
        </w:rPr>
        <w:t>verslaggevingstandaarden</w:t>
      </w:r>
      <w:r w:rsidR="00D068CF">
        <w:rPr>
          <w:rFonts w:cstheme="minorHAnsi"/>
          <w:sz w:val="22"/>
        </w:rPr>
        <w:t xml:space="preserve"> </w:t>
      </w:r>
      <w:r w:rsidR="004D7997" w:rsidRPr="00325CBB">
        <w:rPr>
          <w:rFonts w:cstheme="minorHAnsi"/>
          <w:sz w:val="22"/>
        </w:rPr>
        <w:t>volgens de Nederlandse wet, RJ en IFRS zullen wor</w:t>
      </w:r>
      <w:r w:rsidR="007A1441" w:rsidRPr="00325CBB">
        <w:rPr>
          <w:rFonts w:cstheme="minorHAnsi"/>
          <w:sz w:val="22"/>
        </w:rPr>
        <w:t>den</w:t>
      </w:r>
      <w:r w:rsidR="004D7997" w:rsidRPr="00325CBB">
        <w:rPr>
          <w:rFonts w:cstheme="minorHAnsi"/>
          <w:sz w:val="22"/>
        </w:rPr>
        <w:t xml:space="preserve"> bestudeerd aan de hand van literatuur. </w:t>
      </w:r>
      <w:r w:rsidR="00CF1AE3" w:rsidRPr="00325CBB">
        <w:rPr>
          <w:rFonts w:cstheme="minorHAnsi"/>
          <w:sz w:val="22"/>
        </w:rPr>
        <w:t xml:space="preserve">Vervolgens zal worden geanalyseerd wat </w:t>
      </w:r>
      <w:r w:rsidR="00E417C3" w:rsidRPr="00BA6300">
        <w:rPr>
          <w:rFonts w:cstheme="minorHAnsi"/>
          <w:sz w:val="22"/>
        </w:rPr>
        <w:t>de</w:t>
      </w:r>
      <w:r w:rsidR="00CF1AE3" w:rsidRPr="00325CBB">
        <w:rPr>
          <w:rFonts w:cstheme="minorHAnsi"/>
          <w:sz w:val="22"/>
        </w:rPr>
        <w:t xml:space="preserve"> impact is van de </w:t>
      </w:r>
      <w:r w:rsidR="00D5003C" w:rsidRPr="00325CBB">
        <w:rPr>
          <w:rFonts w:cstheme="minorHAnsi"/>
          <w:sz w:val="22"/>
        </w:rPr>
        <w:t>verslaggevingstandaarden</w:t>
      </w:r>
      <w:r w:rsidR="00CF1AE3" w:rsidRPr="00325CBB">
        <w:rPr>
          <w:rFonts w:cstheme="minorHAnsi"/>
          <w:sz w:val="22"/>
        </w:rPr>
        <w:t xml:space="preserve"> op de financial statements van bedrijven.</w:t>
      </w:r>
    </w:p>
    <w:p w:rsidR="005301F2" w:rsidRPr="00325CBB" w:rsidRDefault="005301F2" w:rsidP="00646879">
      <w:pPr>
        <w:spacing w:after="0" w:line="360" w:lineRule="auto"/>
        <w:rPr>
          <w:rFonts w:cstheme="minorHAnsi"/>
          <w:sz w:val="22"/>
        </w:rPr>
      </w:pPr>
    </w:p>
    <w:p w:rsidR="005301F2" w:rsidRPr="00325CBB" w:rsidRDefault="005301F2" w:rsidP="00646879">
      <w:pPr>
        <w:tabs>
          <w:tab w:val="left" w:pos="2070"/>
        </w:tabs>
        <w:spacing w:line="360" w:lineRule="auto"/>
        <w:rPr>
          <w:rFonts w:cstheme="minorHAnsi"/>
          <w:b/>
          <w:sz w:val="22"/>
        </w:rPr>
      </w:pPr>
      <w:r w:rsidRPr="00325CBB">
        <w:rPr>
          <w:rFonts w:cstheme="minorHAnsi"/>
          <w:b/>
          <w:sz w:val="22"/>
        </w:rPr>
        <w:t>Probleemstelling</w:t>
      </w:r>
      <w:r w:rsidR="00FE593B" w:rsidRPr="00325CBB">
        <w:rPr>
          <w:rFonts w:cstheme="minorHAnsi"/>
          <w:b/>
          <w:sz w:val="22"/>
        </w:rPr>
        <w:tab/>
      </w:r>
    </w:p>
    <w:p w:rsidR="005301F2" w:rsidRPr="00325CBB" w:rsidRDefault="005301F2" w:rsidP="00646879">
      <w:pPr>
        <w:spacing w:after="0" w:line="360" w:lineRule="auto"/>
        <w:rPr>
          <w:rFonts w:cstheme="minorHAnsi"/>
          <w:sz w:val="22"/>
        </w:rPr>
      </w:pPr>
      <w:r w:rsidRPr="00325CBB">
        <w:rPr>
          <w:rFonts w:cstheme="minorHAnsi"/>
          <w:sz w:val="22"/>
        </w:rPr>
        <w:t xml:space="preserve">De winst- en verliesrekeningbenadering </w:t>
      </w:r>
      <w:proofErr w:type="gramStart"/>
      <w:r w:rsidRPr="00325CBB">
        <w:rPr>
          <w:rFonts w:cstheme="minorHAnsi"/>
          <w:sz w:val="22"/>
        </w:rPr>
        <w:t>zou</w:t>
      </w:r>
      <w:proofErr w:type="gramEnd"/>
      <w:r w:rsidRPr="00325CBB">
        <w:rPr>
          <w:rFonts w:cstheme="minorHAnsi"/>
          <w:sz w:val="22"/>
        </w:rPr>
        <w:t xml:space="preserve"> dominant moeten zijn ten opzichte van de balansbenadering als de gebruikers van de jaarrekening centraal staan bij de financiële verslaggeving </w:t>
      </w:r>
      <w:r w:rsidR="00C47609" w:rsidRPr="00325CBB">
        <w:rPr>
          <w:rFonts w:cstheme="minorHAnsi"/>
          <w:sz w:val="22"/>
        </w:rPr>
        <w:t xml:space="preserve">(Hoogendoorn, 2008). Bij de oordeels- en besluitvorming maken de meeste </w:t>
      </w:r>
      <w:r w:rsidR="00C47609" w:rsidRPr="00BA6300">
        <w:rPr>
          <w:rFonts w:cstheme="minorHAnsi"/>
          <w:sz w:val="22"/>
        </w:rPr>
        <w:t>g</w:t>
      </w:r>
      <w:r w:rsidR="00495F48" w:rsidRPr="00BA6300">
        <w:rPr>
          <w:rFonts w:cstheme="minorHAnsi"/>
          <w:sz w:val="22"/>
        </w:rPr>
        <w:t>ebruikers gebruik</w:t>
      </w:r>
      <w:r w:rsidR="00495F48" w:rsidRPr="00325CBB">
        <w:rPr>
          <w:rFonts w:cstheme="minorHAnsi"/>
          <w:sz w:val="22"/>
        </w:rPr>
        <w:t xml:space="preserve"> van de winst- </w:t>
      </w:r>
      <w:r w:rsidR="00C47609" w:rsidRPr="00325CBB">
        <w:rPr>
          <w:rFonts w:cstheme="minorHAnsi"/>
          <w:sz w:val="22"/>
        </w:rPr>
        <w:t xml:space="preserve">en verliesrekening </w:t>
      </w:r>
      <w:sdt>
        <w:sdtPr>
          <w:rPr>
            <w:rFonts w:cstheme="minorHAnsi"/>
            <w:sz w:val="22"/>
          </w:rPr>
          <w:id w:val="2103912249"/>
          <w:citation/>
        </w:sdtPr>
        <w:sdtContent>
          <w:r w:rsidR="00C61760" w:rsidRPr="00325CBB">
            <w:rPr>
              <w:rFonts w:cstheme="minorHAnsi"/>
              <w:sz w:val="22"/>
            </w:rPr>
            <w:fldChar w:fldCharType="begin"/>
          </w:r>
          <w:r w:rsidR="00C47609" w:rsidRPr="00325CBB">
            <w:rPr>
              <w:rFonts w:cstheme="minorHAnsi"/>
              <w:sz w:val="22"/>
            </w:rPr>
            <w:instrText xml:space="preserve"> CITATION Bli01 \l 1043 </w:instrText>
          </w:r>
          <w:r w:rsidR="00C61760" w:rsidRPr="00325CBB">
            <w:rPr>
              <w:rFonts w:cstheme="minorHAnsi"/>
              <w:sz w:val="22"/>
            </w:rPr>
            <w:fldChar w:fldCharType="separate"/>
          </w:r>
          <w:r w:rsidR="00B12BDC" w:rsidRPr="00B12BDC">
            <w:rPr>
              <w:rFonts w:cstheme="minorHAnsi"/>
              <w:noProof/>
              <w:sz w:val="22"/>
            </w:rPr>
            <w:t>(Blij, 2001)</w:t>
          </w:r>
          <w:r w:rsidR="00C61760" w:rsidRPr="00325CBB">
            <w:rPr>
              <w:rFonts w:cstheme="minorHAnsi"/>
              <w:sz w:val="22"/>
            </w:rPr>
            <w:fldChar w:fldCharType="end"/>
          </w:r>
        </w:sdtContent>
      </w:sdt>
      <w:r w:rsidR="00C47609" w:rsidRPr="00325CBB">
        <w:rPr>
          <w:rFonts w:cstheme="minorHAnsi"/>
          <w:sz w:val="22"/>
        </w:rPr>
        <w:t xml:space="preserve">. </w:t>
      </w:r>
      <w:r w:rsidR="00BA6300">
        <w:rPr>
          <w:rFonts w:cstheme="minorHAnsi"/>
          <w:sz w:val="22"/>
        </w:rPr>
        <w:t>H</w:t>
      </w:r>
      <w:r w:rsidR="00C47609" w:rsidRPr="00325CBB">
        <w:rPr>
          <w:rFonts w:cstheme="minorHAnsi"/>
          <w:sz w:val="22"/>
        </w:rPr>
        <w:t xml:space="preserve">et gedrag van ondernemingen is daarop </w:t>
      </w:r>
      <w:r w:rsidR="00E417C3" w:rsidRPr="00BA6300">
        <w:rPr>
          <w:rFonts w:cstheme="minorHAnsi"/>
          <w:sz w:val="22"/>
        </w:rPr>
        <w:t xml:space="preserve">eveneens </w:t>
      </w:r>
      <w:r w:rsidR="00C47609" w:rsidRPr="00325CBB">
        <w:rPr>
          <w:rFonts w:cstheme="minorHAnsi"/>
          <w:sz w:val="22"/>
        </w:rPr>
        <w:t>afgestemd: uit veel wetenschappelijk onderzoek blijkt dat de meeste ondernemingen een of andere vorm van winststuring of ‘</w:t>
      </w:r>
      <w:proofErr w:type="spellStart"/>
      <w:r w:rsidR="00C47609" w:rsidRPr="00325CBB">
        <w:rPr>
          <w:rFonts w:cstheme="minorHAnsi"/>
          <w:sz w:val="22"/>
        </w:rPr>
        <w:t>earnings</w:t>
      </w:r>
      <w:proofErr w:type="spellEnd"/>
      <w:r w:rsidR="00C47609" w:rsidRPr="00325CBB">
        <w:rPr>
          <w:rFonts w:cstheme="minorHAnsi"/>
          <w:sz w:val="22"/>
        </w:rPr>
        <w:t xml:space="preserve"> management’ toepassen </w:t>
      </w:r>
      <w:sdt>
        <w:sdtPr>
          <w:rPr>
            <w:rFonts w:cstheme="minorHAnsi"/>
            <w:sz w:val="22"/>
          </w:rPr>
          <w:id w:val="-1056931561"/>
          <w:citation/>
        </w:sdtPr>
        <w:sdtContent>
          <w:r w:rsidR="00C61760" w:rsidRPr="00325CBB">
            <w:rPr>
              <w:rFonts w:cstheme="minorHAnsi"/>
              <w:sz w:val="22"/>
            </w:rPr>
            <w:fldChar w:fldCharType="begin"/>
          </w:r>
          <w:r w:rsidR="00C47609" w:rsidRPr="00325CBB">
            <w:rPr>
              <w:rFonts w:cstheme="minorHAnsi"/>
              <w:sz w:val="22"/>
            </w:rPr>
            <w:instrText xml:space="preserve"> CITATION Bee081 \l 1043 </w:instrText>
          </w:r>
          <w:r w:rsidR="00C61760" w:rsidRPr="00325CBB">
            <w:rPr>
              <w:rFonts w:cstheme="minorHAnsi"/>
              <w:sz w:val="22"/>
            </w:rPr>
            <w:fldChar w:fldCharType="separate"/>
          </w:r>
          <w:r w:rsidR="00B12BDC" w:rsidRPr="00B12BDC">
            <w:rPr>
              <w:rFonts w:cstheme="minorHAnsi"/>
              <w:noProof/>
              <w:sz w:val="22"/>
            </w:rPr>
            <w:t>(Beest, 2008)</w:t>
          </w:r>
          <w:r w:rsidR="00C61760" w:rsidRPr="00325CBB">
            <w:rPr>
              <w:rFonts w:cstheme="minorHAnsi"/>
              <w:sz w:val="22"/>
            </w:rPr>
            <w:fldChar w:fldCharType="end"/>
          </w:r>
        </w:sdtContent>
      </w:sdt>
      <w:r w:rsidR="00C47609" w:rsidRPr="00325CBB">
        <w:rPr>
          <w:rFonts w:cstheme="minorHAnsi"/>
          <w:sz w:val="22"/>
        </w:rPr>
        <w:t>. Daaruit blijkt hoe belangrijk het resultaat is als com</w:t>
      </w:r>
      <w:r w:rsidR="0030271A" w:rsidRPr="00325CBB">
        <w:rPr>
          <w:rFonts w:cstheme="minorHAnsi"/>
          <w:sz w:val="22"/>
        </w:rPr>
        <w:t xml:space="preserve">municatiemiddel naar gebruikers. De standaarden die door de IASB geproduceerd worden zijn echter gebaseerd op de balansbenadering </w:t>
      </w:r>
      <w:sdt>
        <w:sdtPr>
          <w:rPr>
            <w:rFonts w:cstheme="minorHAnsi"/>
            <w:sz w:val="22"/>
          </w:rPr>
          <w:id w:val="-432509412"/>
          <w:citation/>
        </w:sdtPr>
        <w:sdtContent>
          <w:r w:rsidR="00C61760" w:rsidRPr="00325CBB">
            <w:rPr>
              <w:rFonts w:cstheme="minorHAnsi"/>
              <w:sz w:val="22"/>
            </w:rPr>
            <w:fldChar w:fldCharType="begin"/>
          </w:r>
          <w:r w:rsidR="0030271A" w:rsidRPr="00325CBB">
            <w:rPr>
              <w:rFonts w:cstheme="minorHAnsi"/>
              <w:sz w:val="22"/>
            </w:rPr>
            <w:instrText xml:space="preserve"> CITATION Cam071 \l 1043 </w:instrText>
          </w:r>
          <w:r w:rsidR="00C61760" w:rsidRPr="00325CBB">
            <w:rPr>
              <w:rFonts w:cstheme="minorHAnsi"/>
              <w:sz w:val="22"/>
            </w:rPr>
            <w:fldChar w:fldCharType="separate"/>
          </w:r>
          <w:r w:rsidR="00B12BDC" w:rsidRPr="00B12BDC">
            <w:rPr>
              <w:rFonts w:cstheme="minorHAnsi"/>
              <w:noProof/>
              <w:sz w:val="22"/>
            </w:rPr>
            <w:t>(Camfferman, 2007)</w:t>
          </w:r>
          <w:r w:rsidR="00C61760" w:rsidRPr="00325CBB">
            <w:rPr>
              <w:rFonts w:cstheme="minorHAnsi"/>
              <w:sz w:val="22"/>
            </w:rPr>
            <w:fldChar w:fldCharType="end"/>
          </w:r>
        </w:sdtContent>
      </w:sdt>
      <w:r w:rsidR="0030271A" w:rsidRPr="00325CBB">
        <w:rPr>
          <w:rFonts w:cstheme="minorHAnsi"/>
          <w:sz w:val="22"/>
        </w:rPr>
        <w:t xml:space="preserve">, terwijl RJ minder strikt is gericht op de balansbenadering. Een voorbeeld waarbij de balansbenadering leidt tot </w:t>
      </w:r>
      <w:proofErr w:type="gramStart"/>
      <w:r w:rsidR="0030271A" w:rsidRPr="00325CBB">
        <w:rPr>
          <w:rFonts w:cstheme="minorHAnsi"/>
          <w:sz w:val="22"/>
        </w:rPr>
        <w:t>een</w:t>
      </w:r>
      <w:proofErr w:type="gramEnd"/>
      <w:r w:rsidR="0030271A" w:rsidRPr="00325CBB">
        <w:rPr>
          <w:rFonts w:cstheme="minorHAnsi"/>
          <w:sz w:val="22"/>
        </w:rPr>
        <w:t xml:space="preserve"> verstoring van het inzicht is de verantwoording van positieve goodwill (Hoogendoorn, 2002). Al jaren bestaat de discussie over de verantw</w:t>
      </w:r>
      <w:r w:rsidR="00E417C3">
        <w:rPr>
          <w:rFonts w:cstheme="minorHAnsi"/>
          <w:sz w:val="22"/>
        </w:rPr>
        <w:t>oording van gekochte goodwill</w:t>
      </w:r>
      <w:r w:rsidR="00E417C3" w:rsidRPr="00BA6300">
        <w:rPr>
          <w:rFonts w:cstheme="minorHAnsi"/>
          <w:sz w:val="22"/>
        </w:rPr>
        <w:t>, i</w:t>
      </w:r>
      <w:r w:rsidR="0030271A" w:rsidRPr="00BA6300">
        <w:rPr>
          <w:rFonts w:cstheme="minorHAnsi"/>
          <w:sz w:val="22"/>
        </w:rPr>
        <w:t xml:space="preserve">n het </w:t>
      </w:r>
      <w:r w:rsidR="0030271A" w:rsidRPr="00325CBB">
        <w:rPr>
          <w:rFonts w:cstheme="minorHAnsi"/>
          <w:sz w:val="22"/>
        </w:rPr>
        <w:t>bijzonder treffende de balans- versus resultaatbenadering. De inzichten over wat de ‘juiste’</w:t>
      </w:r>
      <w:r w:rsidR="00580409" w:rsidRPr="00325CBB">
        <w:rPr>
          <w:rFonts w:cstheme="minorHAnsi"/>
          <w:sz w:val="22"/>
        </w:rPr>
        <w:t xml:space="preserve"> verantwoording van goodwill zou moeten zijn, lijken onderling sterk te verschillen </w:t>
      </w:r>
      <w:sdt>
        <w:sdtPr>
          <w:rPr>
            <w:rFonts w:cstheme="minorHAnsi"/>
            <w:sz w:val="22"/>
          </w:rPr>
          <w:id w:val="654421938"/>
          <w:citation/>
        </w:sdtPr>
        <w:sdtContent>
          <w:r w:rsidR="00C61760" w:rsidRPr="00325CBB">
            <w:rPr>
              <w:rFonts w:cstheme="minorHAnsi"/>
              <w:sz w:val="22"/>
            </w:rPr>
            <w:fldChar w:fldCharType="begin"/>
          </w:r>
          <w:r w:rsidR="00580409" w:rsidRPr="00325CBB">
            <w:rPr>
              <w:rFonts w:cstheme="minorHAnsi"/>
              <w:sz w:val="22"/>
            </w:rPr>
            <w:instrText xml:space="preserve"> CITATION Hoo02 \l 1043 </w:instrText>
          </w:r>
          <w:r w:rsidR="00C61760" w:rsidRPr="00325CBB">
            <w:rPr>
              <w:rFonts w:cstheme="minorHAnsi"/>
              <w:sz w:val="22"/>
            </w:rPr>
            <w:fldChar w:fldCharType="separate"/>
          </w:r>
          <w:r w:rsidR="00B12BDC" w:rsidRPr="00B12BDC">
            <w:rPr>
              <w:rFonts w:cstheme="minorHAnsi"/>
              <w:noProof/>
              <w:sz w:val="22"/>
            </w:rPr>
            <w:t>(Hoogendoorn, 2002)</w:t>
          </w:r>
          <w:r w:rsidR="00C61760" w:rsidRPr="00325CBB">
            <w:rPr>
              <w:rFonts w:cstheme="minorHAnsi"/>
              <w:sz w:val="22"/>
            </w:rPr>
            <w:fldChar w:fldCharType="end"/>
          </w:r>
        </w:sdtContent>
      </w:sdt>
      <w:r w:rsidR="00580409" w:rsidRPr="00325CBB">
        <w:rPr>
          <w:rFonts w:cstheme="minorHAnsi"/>
          <w:sz w:val="22"/>
        </w:rPr>
        <w:t xml:space="preserve">. De gekozen benaderingen leiden tot grote verschillen tussen </w:t>
      </w:r>
      <w:proofErr w:type="gramStart"/>
      <w:r w:rsidR="00580409" w:rsidRPr="00325CBB">
        <w:rPr>
          <w:rFonts w:cstheme="minorHAnsi"/>
          <w:sz w:val="22"/>
        </w:rPr>
        <w:t>het</w:t>
      </w:r>
      <w:proofErr w:type="gramEnd"/>
      <w:r w:rsidR="00580409" w:rsidRPr="00325CBB">
        <w:rPr>
          <w:rFonts w:cstheme="minorHAnsi"/>
          <w:sz w:val="22"/>
        </w:rPr>
        <w:t xml:space="preserve"> uiteindelijke zichtbare nettoresultaat en het eigenvermogen (Hoogendoorn 2001). Omdat de verschillen tot gevolg hebben dat de </w:t>
      </w:r>
      <w:r w:rsidR="003549A3" w:rsidRPr="00325CBB">
        <w:rPr>
          <w:rFonts w:cstheme="minorHAnsi"/>
          <w:sz w:val="22"/>
        </w:rPr>
        <w:t>financiële</w:t>
      </w:r>
      <w:r w:rsidR="00580409" w:rsidRPr="00325CBB">
        <w:rPr>
          <w:rFonts w:cstheme="minorHAnsi"/>
          <w:sz w:val="22"/>
        </w:rPr>
        <w:t xml:space="preserve"> kerncijfers van ondernemingen internationaal niet</w:t>
      </w:r>
      <w:r w:rsidR="00E338AA" w:rsidRPr="00325CBB">
        <w:rPr>
          <w:rFonts w:cstheme="minorHAnsi"/>
          <w:sz w:val="22"/>
        </w:rPr>
        <w:t xml:space="preserve"> te vergelijken zijn</w:t>
      </w:r>
      <w:r w:rsidR="00580409" w:rsidRPr="00325CBB">
        <w:rPr>
          <w:rFonts w:cstheme="minorHAnsi"/>
          <w:sz w:val="22"/>
        </w:rPr>
        <w:t xml:space="preserve">, zijn deze verschillen nadelig voor de gebruikers van de jaarrekeningen (Hoogendoorn, 2001). Omdat de gebruikers van de </w:t>
      </w:r>
      <w:r w:rsidR="00E338AA" w:rsidRPr="00325CBB">
        <w:rPr>
          <w:rFonts w:cstheme="minorHAnsi"/>
          <w:sz w:val="22"/>
        </w:rPr>
        <w:t>jaarrekening</w:t>
      </w:r>
      <w:r w:rsidR="00580409" w:rsidRPr="00325CBB">
        <w:rPr>
          <w:rFonts w:cstheme="minorHAnsi"/>
          <w:sz w:val="22"/>
        </w:rPr>
        <w:t xml:space="preserve"> in het bijzonder gebruik maken van de winst- en verliesrekening </w:t>
      </w:r>
      <w:r w:rsidR="00E338AA" w:rsidRPr="00325CBB">
        <w:rPr>
          <w:rFonts w:cstheme="minorHAnsi"/>
          <w:sz w:val="22"/>
        </w:rPr>
        <w:t>bestaat de vraag over</w:t>
      </w:r>
      <w:r w:rsidR="00580409" w:rsidRPr="00325CBB">
        <w:rPr>
          <w:rFonts w:cstheme="minorHAnsi"/>
          <w:sz w:val="22"/>
        </w:rPr>
        <w:t xml:space="preserve"> welke wijze</w:t>
      </w:r>
      <w:r w:rsidR="00E338AA" w:rsidRPr="00325CBB">
        <w:rPr>
          <w:rFonts w:cstheme="minorHAnsi"/>
          <w:sz w:val="22"/>
        </w:rPr>
        <w:t xml:space="preserve"> m.b.t. de verantwoording van goodwill voor de gebruiker van de jaarrekening het meest relevant is. </w:t>
      </w:r>
    </w:p>
    <w:p w:rsidR="00FE593B" w:rsidRPr="00325CBB" w:rsidRDefault="00FE593B" w:rsidP="00646879">
      <w:pPr>
        <w:spacing w:after="0" w:line="360" w:lineRule="auto"/>
        <w:rPr>
          <w:rFonts w:cstheme="minorHAnsi"/>
          <w:sz w:val="22"/>
        </w:rPr>
      </w:pPr>
    </w:p>
    <w:p w:rsidR="00E417C3" w:rsidRDefault="00E417C3">
      <w:pPr>
        <w:spacing w:after="160" w:line="259" w:lineRule="auto"/>
        <w:jc w:val="left"/>
        <w:rPr>
          <w:rFonts w:cstheme="minorHAnsi"/>
          <w:b/>
          <w:sz w:val="22"/>
        </w:rPr>
      </w:pPr>
      <w:r>
        <w:rPr>
          <w:rFonts w:cstheme="minorHAnsi"/>
          <w:b/>
          <w:sz w:val="22"/>
        </w:rPr>
        <w:br w:type="page"/>
      </w:r>
    </w:p>
    <w:p w:rsidR="00FE593B" w:rsidRPr="00325CBB" w:rsidRDefault="00FE593B" w:rsidP="00646879">
      <w:pPr>
        <w:spacing w:after="0" w:line="360" w:lineRule="auto"/>
        <w:rPr>
          <w:rFonts w:cstheme="minorHAnsi"/>
          <w:b/>
          <w:sz w:val="22"/>
        </w:rPr>
      </w:pPr>
      <w:r w:rsidRPr="00325CBB">
        <w:rPr>
          <w:rFonts w:cstheme="minorHAnsi"/>
          <w:b/>
          <w:sz w:val="22"/>
        </w:rPr>
        <w:lastRenderedPageBreak/>
        <w:t xml:space="preserve">Hoofd- en deelvragen </w:t>
      </w:r>
    </w:p>
    <w:p w:rsidR="00FE593B" w:rsidRPr="00325CBB" w:rsidRDefault="00FE593B" w:rsidP="00646879">
      <w:pPr>
        <w:spacing w:after="0" w:line="360" w:lineRule="auto"/>
        <w:rPr>
          <w:rFonts w:cstheme="minorHAnsi"/>
          <w:sz w:val="22"/>
        </w:rPr>
      </w:pPr>
      <w:r w:rsidRPr="00325CBB">
        <w:rPr>
          <w:rFonts w:cstheme="minorHAnsi"/>
          <w:sz w:val="22"/>
        </w:rPr>
        <w:t>Op basis van het voorgaande kan de kernvraag worden vormgegeven in de probleemstelling. Dit overkoepelt de totale complexiteit van het onde</w:t>
      </w:r>
      <w:r w:rsidR="002E24FE">
        <w:rPr>
          <w:rFonts w:cstheme="minorHAnsi"/>
          <w:sz w:val="22"/>
        </w:rPr>
        <w:t>rzoek. De probleemstelling is</w:t>
      </w:r>
      <w:r w:rsidRPr="00325CBB">
        <w:rPr>
          <w:rFonts w:cstheme="minorHAnsi"/>
          <w:sz w:val="22"/>
        </w:rPr>
        <w:t xml:space="preserve">: </w:t>
      </w:r>
    </w:p>
    <w:p w:rsidR="00FE593B" w:rsidRPr="00325CBB" w:rsidRDefault="00FE593B" w:rsidP="00646879">
      <w:pPr>
        <w:spacing w:after="0" w:line="360" w:lineRule="auto"/>
        <w:rPr>
          <w:rFonts w:cstheme="minorHAnsi"/>
          <w:sz w:val="22"/>
        </w:rPr>
      </w:pPr>
    </w:p>
    <w:p w:rsidR="00065F93" w:rsidRPr="00325CBB" w:rsidRDefault="00065F93" w:rsidP="00646879">
      <w:pPr>
        <w:pStyle w:val="Subtitle"/>
        <w:rPr>
          <w:rFonts w:cstheme="minorHAnsi"/>
          <w:b/>
          <w:i/>
          <w:color w:val="auto"/>
          <w:sz w:val="22"/>
        </w:rPr>
      </w:pPr>
      <w:r w:rsidRPr="00325CBB">
        <w:rPr>
          <w:rFonts w:cstheme="minorHAnsi"/>
          <w:b/>
          <w:i/>
          <w:color w:val="auto"/>
          <w:sz w:val="22"/>
        </w:rPr>
        <w:t xml:space="preserve">Hoe leidt de verwerking van goodwill </w:t>
      </w:r>
      <w:r w:rsidR="00F96BFA">
        <w:rPr>
          <w:rFonts w:cstheme="minorHAnsi"/>
          <w:b/>
          <w:i/>
          <w:color w:val="auto"/>
          <w:sz w:val="22"/>
        </w:rPr>
        <w:t>volgens IFRS en Dutch GAAP</w:t>
      </w:r>
      <w:r w:rsidR="00E417C3">
        <w:rPr>
          <w:rFonts w:cstheme="minorHAnsi"/>
          <w:b/>
          <w:i/>
          <w:color w:val="FF0000"/>
          <w:sz w:val="22"/>
        </w:rPr>
        <w:t xml:space="preserve"> </w:t>
      </w:r>
      <w:r w:rsidRPr="00325CBB">
        <w:rPr>
          <w:rFonts w:cstheme="minorHAnsi"/>
          <w:b/>
          <w:i/>
          <w:color w:val="auto"/>
          <w:sz w:val="22"/>
        </w:rPr>
        <w:t>tot verschillen in het resultaat?</w:t>
      </w:r>
    </w:p>
    <w:p w:rsidR="007A1441" w:rsidRPr="002E24FE" w:rsidRDefault="007A1441" w:rsidP="00646879">
      <w:pPr>
        <w:spacing w:after="0" w:line="360" w:lineRule="auto"/>
        <w:rPr>
          <w:rFonts w:cstheme="minorHAnsi"/>
          <w:b/>
          <w:i/>
          <w:color w:val="0070C0"/>
          <w:sz w:val="22"/>
        </w:rPr>
      </w:pPr>
    </w:p>
    <w:p w:rsidR="00FE593B" w:rsidRPr="002A5A60" w:rsidRDefault="002E24FE" w:rsidP="00646879">
      <w:pPr>
        <w:spacing w:after="0" w:line="360" w:lineRule="auto"/>
        <w:rPr>
          <w:rFonts w:cstheme="minorHAnsi"/>
          <w:sz w:val="22"/>
        </w:rPr>
      </w:pPr>
      <w:r w:rsidRPr="002A5A60">
        <w:rPr>
          <w:rFonts w:cstheme="minorHAnsi"/>
          <w:sz w:val="22"/>
        </w:rPr>
        <w:t xml:space="preserve">Aan de hand van de geformuleerde deelvragen gebaseerd op </w:t>
      </w:r>
      <w:proofErr w:type="gramStart"/>
      <w:r w:rsidRPr="002A5A60">
        <w:rPr>
          <w:rFonts w:cstheme="minorHAnsi"/>
          <w:sz w:val="22"/>
        </w:rPr>
        <w:t>het</w:t>
      </w:r>
      <w:proofErr w:type="gramEnd"/>
      <w:r w:rsidRPr="002A5A60">
        <w:rPr>
          <w:rFonts w:cstheme="minorHAnsi"/>
          <w:sz w:val="22"/>
        </w:rPr>
        <w:t xml:space="preserve"> onderzoeksvraag zal de onderzoeksvraag </w:t>
      </w:r>
      <w:r w:rsidR="009A3AF7" w:rsidRPr="002A5A60">
        <w:rPr>
          <w:rFonts w:cstheme="minorHAnsi"/>
          <w:sz w:val="22"/>
        </w:rPr>
        <w:t>worden behandeld</w:t>
      </w:r>
      <w:r w:rsidRPr="002A5A60">
        <w:rPr>
          <w:rFonts w:cstheme="minorHAnsi"/>
          <w:sz w:val="22"/>
        </w:rPr>
        <w:t xml:space="preserve">. </w:t>
      </w:r>
      <w:r w:rsidR="00FE593B" w:rsidRPr="002A5A60">
        <w:rPr>
          <w:rFonts w:cstheme="minorHAnsi"/>
          <w:sz w:val="22"/>
        </w:rPr>
        <w:t xml:space="preserve">Deze deelvragen vormen </w:t>
      </w:r>
      <w:r w:rsidRPr="002A5A60">
        <w:rPr>
          <w:rFonts w:cstheme="minorHAnsi"/>
          <w:sz w:val="22"/>
        </w:rPr>
        <w:t>de leidraad voor het onderzoek:</w:t>
      </w:r>
    </w:p>
    <w:p w:rsidR="00FE593B" w:rsidRPr="00325CBB" w:rsidRDefault="00FE593B" w:rsidP="00646879">
      <w:pPr>
        <w:spacing w:after="0" w:line="360" w:lineRule="auto"/>
        <w:rPr>
          <w:rFonts w:cstheme="minorHAnsi"/>
          <w:sz w:val="22"/>
        </w:rPr>
      </w:pPr>
    </w:p>
    <w:p w:rsidR="00FE593B" w:rsidRPr="00325CBB" w:rsidRDefault="00FE593B" w:rsidP="00A91CBD">
      <w:pPr>
        <w:pStyle w:val="ListParagraph"/>
        <w:numPr>
          <w:ilvl w:val="0"/>
          <w:numId w:val="3"/>
        </w:numPr>
        <w:spacing w:after="0" w:line="360" w:lineRule="auto"/>
        <w:rPr>
          <w:rFonts w:cstheme="minorHAnsi"/>
          <w:sz w:val="22"/>
        </w:rPr>
      </w:pPr>
      <w:r w:rsidRPr="00325CBB">
        <w:rPr>
          <w:rFonts w:cstheme="minorHAnsi"/>
          <w:sz w:val="22"/>
        </w:rPr>
        <w:t>Wat is de inhoud van het begrip goodwill?</w:t>
      </w:r>
    </w:p>
    <w:p w:rsidR="00FE593B" w:rsidRPr="00325CBB" w:rsidRDefault="00FE593B" w:rsidP="00A91CBD">
      <w:pPr>
        <w:pStyle w:val="ListParagraph"/>
        <w:numPr>
          <w:ilvl w:val="0"/>
          <w:numId w:val="3"/>
        </w:numPr>
        <w:spacing w:after="0" w:line="360" w:lineRule="auto"/>
        <w:rPr>
          <w:rFonts w:cstheme="minorHAnsi"/>
          <w:sz w:val="22"/>
        </w:rPr>
      </w:pPr>
      <w:r w:rsidRPr="00325CBB">
        <w:rPr>
          <w:rFonts w:cstheme="minorHAnsi"/>
          <w:sz w:val="22"/>
        </w:rPr>
        <w:t>Op welke wijze wordt goodwill verantwoord op basis van IFRS en op basis van Dutch GAAP?</w:t>
      </w:r>
    </w:p>
    <w:p w:rsidR="00646C55" w:rsidRPr="00325CBB" w:rsidRDefault="00FE593B" w:rsidP="00646879">
      <w:pPr>
        <w:pStyle w:val="ListParagraph"/>
        <w:numPr>
          <w:ilvl w:val="0"/>
          <w:numId w:val="3"/>
        </w:numPr>
        <w:spacing w:after="0" w:line="360" w:lineRule="auto"/>
        <w:rPr>
          <w:rFonts w:cstheme="minorHAnsi"/>
          <w:sz w:val="22"/>
        </w:rPr>
      </w:pPr>
      <w:r w:rsidRPr="00325CBB">
        <w:rPr>
          <w:rFonts w:cstheme="minorHAnsi"/>
          <w:sz w:val="22"/>
        </w:rPr>
        <w:t>Wat is de impact van de verschillende wij</w:t>
      </w:r>
      <w:r w:rsidRPr="00831870">
        <w:rPr>
          <w:rFonts w:cstheme="minorHAnsi"/>
          <w:sz w:val="22"/>
        </w:rPr>
        <w:t>ze</w:t>
      </w:r>
      <w:r w:rsidR="00E417C3" w:rsidRPr="00831870">
        <w:rPr>
          <w:rFonts w:cstheme="minorHAnsi"/>
          <w:sz w:val="22"/>
        </w:rPr>
        <w:t>n</w:t>
      </w:r>
      <w:r w:rsidRPr="00831870">
        <w:rPr>
          <w:rFonts w:cstheme="minorHAnsi"/>
          <w:sz w:val="22"/>
        </w:rPr>
        <w:t xml:space="preserve"> </w:t>
      </w:r>
      <w:r w:rsidRPr="00325CBB">
        <w:rPr>
          <w:rFonts w:cstheme="minorHAnsi"/>
          <w:sz w:val="22"/>
        </w:rPr>
        <w:t>van verantwoorden?</w:t>
      </w:r>
    </w:p>
    <w:p w:rsidR="00E64A0D" w:rsidRPr="00325CBB" w:rsidRDefault="00E64A0D" w:rsidP="00E64A0D">
      <w:pPr>
        <w:spacing w:after="0" w:line="360" w:lineRule="auto"/>
        <w:rPr>
          <w:rFonts w:cstheme="minorHAnsi"/>
          <w:sz w:val="22"/>
        </w:rPr>
      </w:pPr>
    </w:p>
    <w:p w:rsidR="000505E2" w:rsidRPr="00325CBB" w:rsidRDefault="00646C55" w:rsidP="00646879">
      <w:pPr>
        <w:spacing w:after="0" w:line="360" w:lineRule="auto"/>
        <w:rPr>
          <w:b/>
          <w:sz w:val="22"/>
        </w:rPr>
      </w:pPr>
      <w:r w:rsidRPr="00325CBB">
        <w:rPr>
          <w:b/>
          <w:sz w:val="22"/>
        </w:rPr>
        <w:t>Structuur</w:t>
      </w:r>
    </w:p>
    <w:p w:rsidR="003B758B" w:rsidRPr="00325CBB" w:rsidRDefault="003B758B" w:rsidP="00B62B68">
      <w:pPr>
        <w:spacing w:line="360" w:lineRule="auto"/>
        <w:rPr>
          <w:sz w:val="22"/>
        </w:rPr>
      </w:pPr>
      <w:r w:rsidRPr="00325CBB">
        <w:rPr>
          <w:sz w:val="22"/>
        </w:rPr>
        <w:t xml:space="preserve">In het tweede hoofdstuk wordt de eerste deelvraag beantwoord. Dit betreft de inhoud van het begrip goodwill op basis van IFRS, op basis van de RJ en op basis van de Nederlandse wet. In hoofdstuk 3 wordt de tweede deelvraag beantwoord, dat betreft de wijze van verantwoorden op basis van de verschillende </w:t>
      </w:r>
      <w:r w:rsidR="00D5003C" w:rsidRPr="00325CBB">
        <w:rPr>
          <w:sz w:val="22"/>
        </w:rPr>
        <w:t>verslaggevingstandaarden</w:t>
      </w:r>
      <w:r w:rsidRPr="00325CBB">
        <w:rPr>
          <w:sz w:val="22"/>
        </w:rPr>
        <w:t xml:space="preserve">. In hoofdstuk 4 wordt de laatste deelvraag beantwoord. De impact van de </w:t>
      </w:r>
      <w:r w:rsidR="00D5003C" w:rsidRPr="00325CBB">
        <w:rPr>
          <w:sz w:val="22"/>
        </w:rPr>
        <w:t>verslaggevingstandaarden</w:t>
      </w:r>
      <w:r w:rsidRPr="00325CBB">
        <w:rPr>
          <w:sz w:val="22"/>
        </w:rPr>
        <w:t xml:space="preserve"> op de jaarrekening worden vergeleken. Ten slotte volgt in het vijfde hoofdstuk de samenvattende conclusie.</w:t>
      </w:r>
    </w:p>
    <w:p w:rsidR="00E64A0D" w:rsidRPr="00325CBB" w:rsidRDefault="00E64A0D" w:rsidP="00646879">
      <w:pPr>
        <w:rPr>
          <w:sz w:val="22"/>
        </w:rPr>
      </w:pPr>
    </w:p>
    <w:p w:rsidR="007A1441" w:rsidRPr="00325CBB" w:rsidRDefault="007A1441" w:rsidP="00646879">
      <w:pPr>
        <w:pStyle w:val="ListParagraph"/>
        <w:spacing w:after="0" w:line="360" w:lineRule="auto"/>
        <w:rPr>
          <w:sz w:val="22"/>
        </w:rPr>
      </w:pPr>
    </w:p>
    <w:p w:rsidR="003B758B" w:rsidRPr="00325CBB" w:rsidRDefault="007A048C" w:rsidP="00A91CBD">
      <w:pPr>
        <w:pStyle w:val="Heading2"/>
        <w:numPr>
          <w:ilvl w:val="0"/>
          <w:numId w:val="4"/>
        </w:numPr>
        <w:rPr>
          <w:rFonts w:asciiTheme="minorHAnsi" w:hAnsiTheme="minorHAnsi"/>
          <w:sz w:val="22"/>
          <w:szCs w:val="22"/>
        </w:rPr>
      </w:pPr>
      <w:bookmarkStart w:id="2" w:name="_Toc425532283"/>
      <w:r w:rsidRPr="00325CBB">
        <w:rPr>
          <w:rFonts w:asciiTheme="minorHAnsi" w:hAnsiTheme="minorHAnsi"/>
          <w:sz w:val="22"/>
          <w:szCs w:val="22"/>
        </w:rPr>
        <w:t>Wat is de inhoud van het begrip goodwill?</w:t>
      </w:r>
      <w:bookmarkEnd w:id="2"/>
    </w:p>
    <w:p w:rsidR="003B758B" w:rsidRPr="00325CBB" w:rsidRDefault="003B758B" w:rsidP="00B62B68">
      <w:pPr>
        <w:spacing w:line="360" w:lineRule="auto"/>
        <w:rPr>
          <w:sz w:val="22"/>
        </w:rPr>
      </w:pPr>
      <w:r w:rsidRPr="00325CBB">
        <w:rPr>
          <w:sz w:val="22"/>
        </w:rPr>
        <w:t xml:space="preserve">In dit hoofdstuk wordt duidelijk wat de inhoud is van het begrip goodwill en hoe </w:t>
      </w:r>
      <w:r w:rsidR="00E417C3" w:rsidRPr="00831870">
        <w:rPr>
          <w:sz w:val="22"/>
        </w:rPr>
        <w:t>die</w:t>
      </w:r>
      <w:r w:rsidR="00E417C3">
        <w:rPr>
          <w:color w:val="FF0000"/>
          <w:sz w:val="22"/>
        </w:rPr>
        <w:t xml:space="preserve"> </w:t>
      </w:r>
      <w:r w:rsidRPr="00325CBB">
        <w:rPr>
          <w:sz w:val="22"/>
        </w:rPr>
        <w:t xml:space="preserve">ontstaat. </w:t>
      </w:r>
    </w:p>
    <w:p w:rsidR="003B758B" w:rsidRPr="00325CBB" w:rsidRDefault="003B758B" w:rsidP="00A91CBD">
      <w:pPr>
        <w:pStyle w:val="Heading2"/>
        <w:numPr>
          <w:ilvl w:val="1"/>
          <w:numId w:val="4"/>
        </w:numPr>
        <w:rPr>
          <w:rFonts w:asciiTheme="minorHAnsi" w:hAnsiTheme="minorHAnsi"/>
          <w:sz w:val="22"/>
          <w:szCs w:val="22"/>
        </w:rPr>
      </w:pPr>
      <w:bookmarkStart w:id="3" w:name="_Toc425532284"/>
      <w:r w:rsidRPr="00325CBB">
        <w:rPr>
          <w:rFonts w:asciiTheme="minorHAnsi" w:hAnsiTheme="minorHAnsi"/>
          <w:sz w:val="22"/>
          <w:szCs w:val="22"/>
        </w:rPr>
        <w:t>Definitie goodwill op basis van IFRS</w:t>
      </w:r>
      <w:bookmarkEnd w:id="3"/>
      <w:r w:rsidRPr="00325CBB">
        <w:rPr>
          <w:rFonts w:asciiTheme="minorHAnsi" w:hAnsiTheme="minorHAnsi"/>
          <w:sz w:val="22"/>
          <w:szCs w:val="22"/>
        </w:rPr>
        <w:t xml:space="preserve"> </w:t>
      </w:r>
    </w:p>
    <w:p w:rsidR="00646879" w:rsidRPr="00325CBB" w:rsidRDefault="00E417C3" w:rsidP="00B62B68">
      <w:pPr>
        <w:spacing w:line="360" w:lineRule="auto"/>
        <w:rPr>
          <w:sz w:val="22"/>
        </w:rPr>
      </w:pPr>
      <w:r w:rsidRPr="00831870">
        <w:rPr>
          <w:sz w:val="22"/>
        </w:rPr>
        <w:t>Er zijn</w:t>
      </w:r>
      <w:r>
        <w:rPr>
          <w:color w:val="FF0000"/>
          <w:sz w:val="22"/>
        </w:rPr>
        <w:t xml:space="preserve"> </w:t>
      </w:r>
      <w:r w:rsidR="00831870">
        <w:rPr>
          <w:sz w:val="22"/>
        </w:rPr>
        <w:t>v</w:t>
      </w:r>
      <w:r w:rsidR="00646879" w:rsidRPr="00325CBB">
        <w:rPr>
          <w:sz w:val="22"/>
        </w:rPr>
        <w:t>erscheidene definities die de inhoud van het begrip goodwill omvatten.</w:t>
      </w:r>
      <w:r w:rsidR="009B184F" w:rsidRPr="00325CBB">
        <w:rPr>
          <w:sz w:val="22"/>
        </w:rPr>
        <w:t xml:space="preserve"> </w:t>
      </w:r>
      <w:r w:rsidR="00BF3505" w:rsidRPr="002A5A60">
        <w:rPr>
          <w:sz w:val="22"/>
        </w:rPr>
        <w:t xml:space="preserve">Als op </w:t>
      </w:r>
      <w:proofErr w:type="gramStart"/>
      <w:r w:rsidR="00BF3505" w:rsidRPr="002A5A60">
        <w:rPr>
          <w:sz w:val="22"/>
        </w:rPr>
        <w:t>de</w:t>
      </w:r>
      <w:proofErr w:type="gramEnd"/>
      <w:r w:rsidR="00BF3505" w:rsidRPr="002A5A60">
        <w:rPr>
          <w:sz w:val="22"/>
        </w:rPr>
        <w:t xml:space="preserve"> moment van verwerving van een deelneming het aandeel in de vermogenswaarde van de deelneming lager is dan de </w:t>
      </w:r>
      <w:r w:rsidR="009A3AF7" w:rsidRPr="002A5A60">
        <w:rPr>
          <w:sz w:val="22"/>
        </w:rPr>
        <w:t xml:space="preserve">verkrijgingsprijs, </w:t>
      </w:r>
      <w:r w:rsidR="00BF3505" w:rsidRPr="002A5A60">
        <w:rPr>
          <w:sz w:val="22"/>
        </w:rPr>
        <w:t>dan is er sprake van goodwill (</w:t>
      </w:r>
      <w:proofErr w:type="spellStart"/>
      <w:r w:rsidR="00BF3505" w:rsidRPr="002A5A60">
        <w:rPr>
          <w:sz w:val="22"/>
        </w:rPr>
        <w:t>Achaibersing</w:t>
      </w:r>
      <w:proofErr w:type="spellEnd"/>
      <w:r w:rsidR="00BF3505" w:rsidRPr="002A5A60">
        <w:rPr>
          <w:sz w:val="22"/>
        </w:rPr>
        <w:t xml:space="preserve"> &amp; </w:t>
      </w:r>
      <w:proofErr w:type="spellStart"/>
      <w:r w:rsidR="00BF3505" w:rsidRPr="002A5A60">
        <w:rPr>
          <w:sz w:val="22"/>
        </w:rPr>
        <w:t>Esseboom</w:t>
      </w:r>
      <w:proofErr w:type="spellEnd"/>
      <w:r w:rsidR="00BF3505" w:rsidRPr="002A5A60">
        <w:rPr>
          <w:sz w:val="22"/>
        </w:rPr>
        <w:t xml:space="preserve">, 2014). Een </w:t>
      </w:r>
      <w:proofErr w:type="gramStart"/>
      <w:r w:rsidR="00BF3505" w:rsidRPr="002A5A60">
        <w:rPr>
          <w:sz w:val="22"/>
        </w:rPr>
        <w:t>andere</w:t>
      </w:r>
      <w:proofErr w:type="gramEnd"/>
      <w:r w:rsidR="00BF3505" w:rsidRPr="002A5A60">
        <w:rPr>
          <w:sz w:val="22"/>
        </w:rPr>
        <w:t xml:space="preserve"> synoniem voor goodwill is de contante waarde van de verwachte toekomstige overwinsten</w:t>
      </w:r>
      <w:r w:rsidR="002A5A60" w:rsidRPr="002A5A60">
        <w:rPr>
          <w:sz w:val="22"/>
        </w:rPr>
        <w:t>.</w:t>
      </w:r>
      <w:r w:rsidR="00B11CE9" w:rsidRPr="002A5A60">
        <w:rPr>
          <w:sz w:val="22"/>
        </w:rPr>
        <w:t xml:space="preserve"> </w:t>
      </w:r>
      <w:r w:rsidR="00AA689E" w:rsidRPr="002A5A60">
        <w:rPr>
          <w:sz w:val="22"/>
        </w:rPr>
        <w:t xml:space="preserve"> </w:t>
      </w:r>
      <w:r w:rsidR="00AA689E">
        <w:rPr>
          <w:sz w:val="22"/>
        </w:rPr>
        <w:t xml:space="preserve">Volgens IFRS is de definitie van goodwill: </w:t>
      </w:r>
    </w:p>
    <w:p w:rsidR="00AA689E" w:rsidRDefault="002A5A60" w:rsidP="00B62B68">
      <w:pPr>
        <w:spacing w:line="360" w:lineRule="auto"/>
        <w:rPr>
          <w:sz w:val="22"/>
        </w:rPr>
      </w:pPr>
      <w:r>
        <w:rPr>
          <w:noProof/>
          <w:lang w:val="en-US"/>
        </w:rPr>
        <w:drawing>
          <wp:inline distT="0" distB="0" distL="0" distR="0">
            <wp:extent cx="5731510" cy="508000"/>
            <wp:effectExtent l="0" t="0" r="2540" b="6350"/>
            <wp:docPr id="16" name="Afbeelding 1" descr="Schermop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Schermopname"/>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508000"/>
                    </a:xfrm>
                    <a:prstGeom prst="rect">
                      <a:avLst/>
                    </a:prstGeom>
                  </pic:spPr>
                </pic:pic>
              </a:graphicData>
            </a:graphic>
          </wp:inline>
        </w:drawing>
      </w:r>
    </w:p>
    <w:p w:rsidR="002A5A60" w:rsidRDefault="00646879" w:rsidP="00B62B68">
      <w:pPr>
        <w:spacing w:line="360" w:lineRule="auto"/>
        <w:rPr>
          <w:sz w:val="22"/>
          <w:lang w:val="en-AU"/>
        </w:rPr>
      </w:pPr>
      <w:r w:rsidRPr="00325CBB">
        <w:rPr>
          <w:sz w:val="22"/>
        </w:rPr>
        <w:lastRenderedPageBreak/>
        <w:t xml:space="preserve">Een belangrijk aspect van goodwill is dat het niet afzonderlijk kan worden verkocht. </w:t>
      </w:r>
      <w:r w:rsidRPr="00325CBB">
        <w:rPr>
          <w:sz w:val="22"/>
          <w:lang w:val="en-AU"/>
        </w:rPr>
        <w:t xml:space="preserve">Johnson and </w:t>
      </w:r>
      <w:proofErr w:type="spellStart"/>
      <w:r w:rsidRPr="00325CBB">
        <w:rPr>
          <w:sz w:val="22"/>
          <w:lang w:val="en-AU"/>
        </w:rPr>
        <w:t>Tearney</w:t>
      </w:r>
      <w:proofErr w:type="spellEnd"/>
      <w:r w:rsidRPr="00325CBB">
        <w:rPr>
          <w:sz w:val="22"/>
          <w:lang w:val="en-AU"/>
        </w:rPr>
        <w:t xml:space="preserve"> </w:t>
      </w:r>
      <w:proofErr w:type="spellStart"/>
      <w:r w:rsidRPr="00325CBB">
        <w:rPr>
          <w:sz w:val="22"/>
          <w:lang w:val="en-AU"/>
        </w:rPr>
        <w:t>communiceren</w:t>
      </w:r>
      <w:proofErr w:type="spellEnd"/>
      <w:r w:rsidRPr="00325CBB">
        <w:rPr>
          <w:sz w:val="22"/>
          <w:lang w:val="en-AU"/>
        </w:rPr>
        <w:t xml:space="preserve"> </w:t>
      </w:r>
      <w:proofErr w:type="spellStart"/>
      <w:r w:rsidRPr="00325CBB">
        <w:rPr>
          <w:sz w:val="22"/>
          <w:lang w:val="en-AU"/>
        </w:rPr>
        <w:t>dat</w:t>
      </w:r>
      <w:proofErr w:type="spellEnd"/>
      <w:r w:rsidR="002A5A60">
        <w:rPr>
          <w:sz w:val="22"/>
          <w:lang w:val="en-AU"/>
        </w:rPr>
        <w:t>:</w:t>
      </w:r>
    </w:p>
    <w:p w:rsidR="00646879" w:rsidRPr="00325CBB" w:rsidRDefault="002A5A60" w:rsidP="00B62B68">
      <w:pPr>
        <w:spacing w:line="360" w:lineRule="auto"/>
        <w:rPr>
          <w:sz w:val="22"/>
          <w:lang w:val="en-AU"/>
        </w:rPr>
      </w:pPr>
      <w:r>
        <w:rPr>
          <w:noProof/>
          <w:lang w:val="en-US"/>
        </w:rPr>
        <w:drawing>
          <wp:inline distT="0" distB="0" distL="0" distR="0">
            <wp:extent cx="5731510" cy="756285"/>
            <wp:effectExtent l="0" t="0" r="2540" b="5715"/>
            <wp:docPr id="20" name="Afbeelding 2" descr="Schermop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Schermopname"/>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756285"/>
                    </a:xfrm>
                    <a:prstGeom prst="rect">
                      <a:avLst/>
                    </a:prstGeom>
                  </pic:spPr>
                </pic:pic>
              </a:graphicData>
            </a:graphic>
          </wp:inline>
        </w:drawing>
      </w:r>
      <w:r w:rsidR="00646879" w:rsidRPr="00325CBB">
        <w:rPr>
          <w:sz w:val="22"/>
          <w:lang w:val="en-AU"/>
        </w:rPr>
        <w:t xml:space="preserve"> </w:t>
      </w:r>
    </w:p>
    <w:p w:rsidR="00646879" w:rsidRPr="00325CBB" w:rsidRDefault="00646879" w:rsidP="00A91CBD">
      <w:pPr>
        <w:pStyle w:val="Heading2"/>
        <w:numPr>
          <w:ilvl w:val="1"/>
          <w:numId w:val="4"/>
        </w:numPr>
        <w:rPr>
          <w:rFonts w:asciiTheme="minorHAnsi" w:hAnsiTheme="minorHAnsi"/>
          <w:sz w:val="22"/>
          <w:szCs w:val="22"/>
        </w:rPr>
      </w:pPr>
      <w:bookmarkStart w:id="4" w:name="_Toc425532285"/>
      <w:r w:rsidRPr="00325CBB">
        <w:rPr>
          <w:rFonts w:asciiTheme="minorHAnsi" w:hAnsiTheme="minorHAnsi"/>
          <w:sz w:val="22"/>
          <w:szCs w:val="22"/>
        </w:rPr>
        <w:t>Definitie goodwill op basis van de RJ en op basis van de Nederlandse wet</w:t>
      </w:r>
      <w:bookmarkEnd w:id="4"/>
    </w:p>
    <w:p w:rsidR="00AA689E" w:rsidRDefault="00831870" w:rsidP="00B62B68">
      <w:pPr>
        <w:spacing w:line="360" w:lineRule="auto"/>
        <w:rPr>
          <w:sz w:val="22"/>
        </w:rPr>
      </w:pPr>
      <w:proofErr w:type="gramStart"/>
      <w:r>
        <w:rPr>
          <w:sz w:val="22"/>
        </w:rPr>
        <w:t>I</w:t>
      </w:r>
      <w:r w:rsidR="00C8237A" w:rsidRPr="00325CBB">
        <w:rPr>
          <w:sz w:val="22"/>
        </w:rPr>
        <w:t>n het algemeen</w:t>
      </w:r>
      <w:proofErr w:type="gramEnd"/>
      <w:r w:rsidR="00C8237A" w:rsidRPr="00325CBB">
        <w:rPr>
          <w:sz w:val="22"/>
        </w:rPr>
        <w:t xml:space="preserve"> wordt onder deze standaard goodwill gekwalificeerd als een immaterieel vast actief. De RJ is meer gericht op de definitie van de verkregen goodwill. </w:t>
      </w:r>
      <w:r w:rsidR="00AA689E">
        <w:rPr>
          <w:sz w:val="22"/>
        </w:rPr>
        <w:t xml:space="preserve">Volgens de RJ is de definitie van goodwill: </w:t>
      </w:r>
    </w:p>
    <w:p w:rsidR="00EF3B33" w:rsidRDefault="00EF3B33" w:rsidP="00B62B68">
      <w:pPr>
        <w:spacing w:line="360" w:lineRule="auto"/>
        <w:rPr>
          <w:sz w:val="22"/>
        </w:rPr>
      </w:pPr>
      <w:r>
        <w:rPr>
          <w:noProof/>
          <w:lang w:val="en-US"/>
        </w:rPr>
        <w:drawing>
          <wp:inline distT="0" distB="0" distL="0" distR="0">
            <wp:extent cx="5731510" cy="448945"/>
            <wp:effectExtent l="0" t="0" r="2540" b="8255"/>
            <wp:docPr id="5" name="Picture 4"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creen Clipping"/>
                    <pic:cNvPicPr>
                      <a:picLocks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448945"/>
                    </a:xfrm>
                    <a:prstGeom prst="rect">
                      <a:avLst/>
                    </a:prstGeom>
                  </pic:spPr>
                </pic:pic>
              </a:graphicData>
            </a:graphic>
          </wp:inline>
        </w:drawing>
      </w:r>
    </w:p>
    <w:p w:rsidR="00C8237A" w:rsidRPr="00325CBB" w:rsidRDefault="00C8237A" w:rsidP="00B62B68">
      <w:pPr>
        <w:spacing w:line="360" w:lineRule="auto"/>
        <w:rPr>
          <w:sz w:val="22"/>
        </w:rPr>
      </w:pPr>
      <w:r w:rsidRPr="00325CBB">
        <w:rPr>
          <w:sz w:val="22"/>
        </w:rPr>
        <w:t xml:space="preserve">Eveneens is in de RJ vastgelegd dat sprake is van twee soorten goodwill. </w:t>
      </w:r>
    </w:p>
    <w:p w:rsidR="00C8237A" w:rsidRPr="00325CBB" w:rsidRDefault="00C8237A" w:rsidP="00A91CBD">
      <w:pPr>
        <w:pStyle w:val="Heading2"/>
        <w:numPr>
          <w:ilvl w:val="1"/>
          <w:numId w:val="4"/>
        </w:numPr>
        <w:rPr>
          <w:rFonts w:asciiTheme="minorHAnsi" w:hAnsiTheme="minorHAnsi"/>
          <w:sz w:val="22"/>
          <w:szCs w:val="22"/>
        </w:rPr>
      </w:pPr>
      <w:bookmarkStart w:id="5" w:name="_Toc425532286"/>
      <w:r w:rsidRPr="00325CBB">
        <w:rPr>
          <w:rFonts w:asciiTheme="minorHAnsi" w:hAnsiTheme="minorHAnsi"/>
          <w:sz w:val="22"/>
          <w:szCs w:val="22"/>
        </w:rPr>
        <w:t>Soorten goodwill</w:t>
      </w:r>
      <w:bookmarkEnd w:id="5"/>
    </w:p>
    <w:p w:rsidR="00C8237A" w:rsidRPr="000F4B12" w:rsidRDefault="00C8237A" w:rsidP="00E23E9A">
      <w:pPr>
        <w:spacing w:line="360" w:lineRule="auto"/>
        <w:rPr>
          <w:sz w:val="22"/>
        </w:rPr>
      </w:pPr>
      <w:r w:rsidRPr="00325CBB">
        <w:rPr>
          <w:sz w:val="22"/>
        </w:rPr>
        <w:t>Op basis van de wet- en regelgeving zijn</w:t>
      </w:r>
      <w:r w:rsidR="00EF3B33">
        <w:rPr>
          <w:sz w:val="22"/>
        </w:rPr>
        <w:t xml:space="preserve"> er</w:t>
      </w:r>
      <w:r w:rsidR="00831870">
        <w:rPr>
          <w:sz w:val="22"/>
        </w:rPr>
        <w:t xml:space="preserve"> twee</w:t>
      </w:r>
      <w:r w:rsidRPr="00325CBB">
        <w:rPr>
          <w:sz w:val="22"/>
        </w:rPr>
        <w:t xml:space="preserve"> soorten goodwill te differentiëren</w:t>
      </w:r>
      <w:r w:rsidRPr="000F4B12">
        <w:rPr>
          <w:sz w:val="22"/>
        </w:rPr>
        <w:t>.</w:t>
      </w:r>
      <w:r w:rsidR="00F36A78" w:rsidRPr="000F4B12">
        <w:rPr>
          <w:sz w:val="22"/>
        </w:rPr>
        <w:t xml:space="preserve"> De eerste soort goodwill is eigen goodwill, wat ook wel </w:t>
      </w:r>
      <w:r w:rsidR="00000FDC" w:rsidRPr="000F4B12">
        <w:rPr>
          <w:sz w:val="22"/>
        </w:rPr>
        <w:t>zelfgekweekte goodwill, zelfgecreëerde goodwill of intern gegenereerde</w:t>
      </w:r>
      <w:r w:rsidRPr="000F4B12">
        <w:rPr>
          <w:sz w:val="22"/>
        </w:rPr>
        <w:t xml:space="preserve"> </w:t>
      </w:r>
      <w:r w:rsidR="00000FDC" w:rsidRPr="000F4B12">
        <w:rPr>
          <w:sz w:val="22"/>
        </w:rPr>
        <w:t>goodwill</w:t>
      </w:r>
      <w:r w:rsidR="000F4B12" w:rsidRPr="000F4B12">
        <w:rPr>
          <w:sz w:val="22"/>
        </w:rPr>
        <w:t xml:space="preserve"> wordt</w:t>
      </w:r>
      <w:r w:rsidR="00000FDC" w:rsidRPr="000F4B12">
        <w:rPr>
          <w:sz w:val="22"/>
        </w:rPr>
        <w:t xml:space="preserve"> genoemd. De tweede soort goodwill is gekochte goodwill, deze ontstaat bij acquisities van deelnemingen en kan geactiveerd worden op de balans in tegenstelling tot zelf gegenereerde goodwill. Gekochte goodwi</w:t>
      </w:r>
      <w:r w:rsidR="009A3AF7" w:rsidRPr="000F4B12">
        <w:rPr>
          <w:sz w:val="22"/>
        </w:rPr>
        <w:t>ll kan worden opgesplitst in</w:t>
      </w:r>
      <w:r w:rsidR="00000FDC" w:rsidRPr="000F4B12">
        <w:rPr>
          <w:sz w:val="22"/>
        </w:rPr>
        <w:t xml:space="preserve"> positieve- en negatieve goodwill </w:t>
      </w:r>
      <w:proofErr w:type="gramStart"/>
      <w:r w:rsidR="00000FDC" w:rsidRPr="000F4B12">
        <w:rPr>
          <w:sz w:val="22"/>
        </w:rPr>
        <w:t xml:space="preserve">(badwill).  </w:t>
      </w:r>
      <w:proofErr w:type="gramEnd"/>
    </w:p>
    <w:p w:rsidR="0042232E" w:rsidRPr="000F4B12" w:rsidRDefault="0042232E" w:rsidP="00E23E9A">
      <w:pPr>
        <w:spacing w:line="360" w:lineRule="auto"/>
        <w:rPr>
          <w:sz w:val="22"/>
        </w:rPr>
      </w:pPr>
      <w:r w:rsidRPr="000F4B12">
        <w:rPr>
          <w:sz w:val="22"/>
        </w:rPr>
        <w:t xml:space="preserve">Het Handboek Jaarrekening 2014 van EY definieert </w:t>
      </w:r>
      <w:r w:rsidR="00D738AF" w:rsidRPr="000F4B12">
        <w:rPr>
          <w:sz w:val="22"/>
        </w:rPr>
        <w:t>zelfgecreëerde</w:t>
      </w:r>
      <w:r w:rsidRPr="000F4B12">
        <w:rPr>
          <w:sz w:val="22"/>
        </w:rPr>
        <w:t xml:space="preserve"> goodwill als:</w:t>
      </w:r>
      <w:r w:rsidR="00D738AF" w:rsidRPr="000F4B12">
        <w:rPr>
          <w:noProof/>
        </w:rPr>
        <w:t xml:space="preserve"> </w:t>
      </w:r>
    </w:p>
    <w:p w:rsidR="00D738AF" w:rsidRPr="00D738AF" w:rsidRDefault="0042232E" w:rsidP="00E23E9A">
      <w:pPr>
        <w:spacing w:line="360" w:lineRule="auto"/>
        <w:rPr>
          <w:sz w:val="22"/>
        </w:rPr>
      </w:pPr>
      <w:r>
        <w:rPr>
          <w:noProof/>
          <w:lang w:val="en-US"/>
        </w:rPr>
        <w:drawing>
          <wp:inline distT="0" distB="0" distL="0" distR="0">
            <wp:extent cx="5731510" cy="433705"/>
            <wp:effectExtent l="0" t="0" r="2540" b="4445"/>
            <wp:docPr id="6" name="Picture 5"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creen Clipping"/>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433705"/>
                    </a:xfrm>
                    <a:prstGeom prst="rect">
                      <a:avLst/>
                    </a:prstGeom>
                  </pic:spPr>
                </pic:pic>
              </a:graphicData>
            </a:graphic>
          </wp:inline>
        </w:drawing>
      </w:r>
      <w:r w:rsidR="00D738AF" w:rsidRPr="005A4AFB">
        <w:rPr>
          <w:noProof/>
        </w:rPr>
        <w:t xml:space="preserve"> </w:t>
      </w:r>
    </w:p>
    <w:p w:rsidR="00136C46" w:rsidRDefault="00C8237A" w:rsidP="00E23E9A">
      <w:pPr>
        <w:spacing w:line="360" w:lineRule="auto"/>
        <w:rPr>
          <w:sz w:val="22"/>
        </w:rPr>
      </w:pPr>
      <w:r w:rsidRPr="00325CBB">
        <w:rPr>
          <w:sz w:val="22"/>
        </w:rPr>
        <w:t>Volgens IAS 38 ‘</w:t>
      </w:r>
      <w:proofErr w:type="spellStart"/>
      <w:r w:rsidRPr="00325CBB">
        <w:rPr>
          <w:sz w:val="22"/>
        </w:rPr>
        <w:t>Intangible</w:t>
      </w:r>
      <w:proofErr w:type="spellEnd"/>
      <w:r w:rsidRPr="00325CBB">
        <w:rPr>
          <w:sz w:val="22"/>
        </w:rPr>
        <w:t xml:space="preserve"> </w:t>
      </w:r>
      <w:proofErr w:type="spellStart"/>
      <w:r w:rsidRPr="00325CBB">
        <w:rPr>
          <w:sz w:val="22"/>
        </w:rPr>
        <w:t>Assets</w:t>
      </w:r>
      <w:proofErr w:type="spellEnd"/>
      <w:r w:rsidRPr="00325CBB">
        <w:rPr>
          <w:sz w:val="22"/>
        </w:rPr>
        <w:t>’ mag goodwill die intern gegenereerd is niet worden geactiveerd en daardoor nie</w:t>
      </w:r>
      <w:r w:rsidR="00136C46">
        <w:rPr>
          <w:sz w:val="22"/>
        </w:rPr>
        <w:t>t in balans verantwoord worden.</w:t>
      </w:r>
    </w:p>
    <w:p w:rsidR="00136C46" w:rsidRDefault="00136C46" w:rsidP="00E23E9A">
      <w:pPr>
        <w:spacing w:line="360" w:lineRule="auto"/>
        <w:rPr>
          <w:sz w:val="22"/>
        </w:rPr>
      </w:pPr>
      <w:r>
        <w:rPr>
          <w:noProof/>
          <w:lang w:val="en-US"/>
        </w:rPr>
        <w:drawing>
          <wp:inline distT="0" distB="0" distL="0" distR="0">
            <wp:extent cx="5731510" cy="1177925"/>
            <wp:effectExtent l="0" t="0" r="2540" b="3175"/>
            <wp:docPr id="10" name="Picture 9"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Screen Clipping"/>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1177925"/>
                    </a:xfrm>
                    <a:prstGeom prst="rect">
                      <a:avLst/>
                    </a:prstGeom>
                  </pic:spPr>
                </pic:pic>
              </a:graphicData>
            </a:graphic>
          </wp:inline>
        </w:drawing>
      </w:r>
    </w:p>
    <w:p w:rsidR="00C8237A" w:rsidRPr="00325CBB" w:rsidRDefault="00136C46" w:rsidP="00E23E9A">
      <w:pPr>
        <w:spacing w:line="360" w:lineRule="auto"/>
        <w:rPr>
          <w:sz w:val="22"/>
        </w:rPr>
      </w:pPr>
      <w:r>
        <w:rPr>
          <w:sz w:val="22"/>
        </w:rPr>
        <w:lastRenderedPageBreak/>
        <w:t>Verborgen activa</w:t>
      </w:r>
      <w:r w:rsidR="00C8237A" w:rsidRPr="00325CBB">
        <w:rPr>
          <w:sz w:val="22"/>
        </w:rPr>
        <w:t xml:space="preserve"> zijn activa die niet in de balans van de verkopende onderneming zijn verantwoord. </w:t>
      </w:r>
      <w:r w:rsidR="00BD2B58" w:rsidRPr="000F4B12">
        <w:rPr>
          <w:sz w:val="22"/>
        </w:rPr>
        <w:t xml:space="preserve">Er wordt door de overgenomen partij rekening gehouden met de toekomstige economische voordelen van de verborgen activa dat niet afzonderlijk geïdentificeerd en geactiveerd kan worden. </w:t>
      </w:r>
      <w:r w:rsidR="00C8237A" w:rsidRPr="00325CBB">
        <w:rPr>
          <w:sz w:val="22"/>
        </w:rPr>
        <w:t>Voor de overgenomen partij is dan sprake van eigen goodwill, voor de overnemende partij is sprake van gekochte goodwill</w:t>
      </w:r>
      <w:sdt>
        <w:sdtPr>
          <w:rPr>
            <w:sz w:val="22"/>
          </w:rPr>
          <w:id w:val="1135299733"/>
          <w:citation/>
        </w:sdtPr>
        <w:sdtContent>
          <w:r w:rsidR="00C61760" w:rsidRPr="00325CBB">
            <w:rPr>
              <w:sz w:val="22"/>
            </w:rPr>
            <w:fldChar w:fldCharType="begin"/>
          </w:r>
          <w:r w:rsidR="00C8237A" w:rsidRPr="00325CBB">
            <w:rPr>
              <w:sz w:val="22"/>
            </w:rPr>
            <w:instrText xml:space="preserve"> CITATION EY14 \l 1043 </w:instrText>
          </w:r>
          <w:r w:rsidR="00C61760" w:rsidRPr="00325CBB">
            <w:rPr>
              <w:sz w:val="22"/>
            </w:rPr>
            <w:fldChar w:fldCharType="separate"/>
          </w:r>
          <w:r w:rsidR="00B12BDC">
            <w:rPr>
              <w:noProof/>
              <w:sz w:val="22"/>
            </w:rPr>
            <w:t xml:space="preserve"> </w:t>
          </w:r>
          <w:r w:rsidR="00B12BDC" w:rsidRPr="00B12BDC">
            <w:rPr>
              <w:noProof/>
              <w:sz w:val="22"/>
            </w:rPr>
            <w:t>(EY , 2014)</w:t>
          </w:r>
          <w:r w:rsidR="00C61760" w:rsidRPr="00325CBB">
            <w:rPr>
              <w:sz w:val="22"/>
            </w:rPr>
            <w:fldChar w:fldCharType="end"/>
          </w:r>
        </w:sdtContent>
      </w:sdt>
    </w:p>
    <w:p w:rsidR="00A9030C" w:rsidRDefault="0066240B" w:rsidP="00A9030C">
      <w:pPr>
        <w:spacing w:after="0" w:line="360" w:lineRule="auto"/>
        <w:rPr>
          <w:sz w:val="22"/>
        </w:rPr>
      </w:pPr>
      <w:r>
        <w:rPr>
          <w:noProof/>
          <w:lang w:val="en-US"/>
        </w:rPr>
        <w:drawing>
          <wp:inline distT="0" distB="0" distL="0" distR="0">
            <wp:extent cx="5731510" cy="422910"/>
            <wp:effectExtent l="0" t="0" r="2540" b="0"/>
            <wp:docPr id="12" name="Picture 1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Screen Clipping"/>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422910"/>
                    </a:xfrm>
                    <a:prstGeom prst="rect">
                      <a:avLst/>
                    </a:prstGeom>
                  </pic:spPr>
                </pic:pic>
              </a:graphicData>
            </a:graphic>
          </wp:inline>
        </w:drawing>
      </w:r>
    </w:p>
    <w:p w:rsidR="00A9030C" w:rsidRDefault="00A9030C" w:rsidP="00A9030C">
      <w:pPr>
        <w:spacing w:after="0" w:line="360" w:lineRule="auto"/>
        <w:rPr>
          <w:sz w:val="22"/>
        </w:rPr>
      </w:pPr>
      <w:r>
        <w:rPr>
          <w:noProof/>
          <w:lang w:val="en-US"/>
        </w:rPr>
        <w:drawing>
          <wp:inline distT="0" distB="0" distL="0" distR="0">
            <wp:extent cx="5731510" cy="423545"/>
            <wp:effectExtent l="0" t="0" r="2540" b="0"/>
            <wp:docPr id="14" name="Picture 1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Screen Clipping"/>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423545"/>
                    </a:xfrm>
                    <a:prstGeom prst="rect">
                      <a:avLst/>
                    </a:prstGeom>
                  </pic:spPr>
                </pic:pic>
              </a:graphicData>
            </a:graphic>
          </wp:inline>
        </w:drawing>
      </w:r>
    </w:p>
    <w:p w:rsidR="00D223FF" w:rsidRDefault="00C8237A" w:rsidP="00A9030C">
      <w:pPr>
        <w:spacing w:after="0" w:line="360" w:lineRule="auto"/>
        <w:rPr>
          <w:sz w:val="22"/>
        </w:rPr>
      </w:pPr>
      <w:r w:rsidRPr="00325CBB">
        <w:rPr>
          <w:sz w:val="22"/>
        </w:rPr>
        <w:t xml:space="preserve">Een reden </w:t>
      </w:r>
      <w:r w:rsidR="00A9030C">
        <w:rPr>
          <w:sz w:val="22"/>
        </w:rPr>
        <w:t xml:space="preserve">voor negatieve goodwill </w:t>
      </w:r>
      <w:r w:rsidRPr="00325CBB">
        <w:rPr>
          <w:sz w:val="22"/>
        </w:rPr>
        <w:t xml:space="preserve">is dat nadelen in de overgenomen partij bestaan die nog niet tot uitdrukking </w:t>
      </w:r>
      <w:r w:rsidR="00BF029C" w:rsidRPr="006355B9">
        <w:rPr>
          <w:sz w:val="22"/>
        </w:rPr>
        <w:t>zijn ge</w:t>
      </w:r>
      <w:r w:rsidRPr="006355B9">
        <w:rPr>
          <w:sz w:val="22"/>
        </w:rPr>
        <w:t>komen</w:t>
      </w:r>
      <w:r w:rsidRPr="00325CBB">
        <w:rPr>
          <w:sz w:val="22"/>
        </w:rPr>
        <w:t xml:space="preserve"> in de reële waarde van de activa en verplichtingen. Een andere </w:t>
      </w:r>
      <w:r w:rsidR="00056A13" w:rsidRPr="006355B9">
        <w:rPr>
          <w:sz w:val="22"/>
        </w:rPr>
        <w:t>oorzaak</w:t>
      </w:r>
      <w:r w:rsidRPr="006355B9">
        <w:rPr>
          <w:sz w:val="22"/>
        </w:rPr>
        <w:t xml:space="preserve"> </w:t>
      </w:r>
      <w:r w:rsidRPr="00325CBB">
        <w:rPr>
          <w:sz w:val="22"/>
        </w:rPr>
        <w:t xml:space="preserve">voor negatieve goodwill is een </w:t>
      </w:r>
      <w:proofErr w:type="spellStart"/>
      <w:r w:rsidR="006355B9">
        <w:rPr>
          <w:sz w:val="22"/>
        </w:rPr>
        <w:t>l</w:t>
      </w:r>
      <w:r w:rsidR="00056A13">
        <w:rPr>
          <w:sz w:val="22"/>
        </w:rPr>
        <w:t>ucky</w:t>
      </w:r>
      <w:proofErr w:type="spellEnd"/>
      <w:r w:rsidR="00056A13">
        <w:rPr>
          <w:sz w:val="22"/>
        </w:rPr>
        <w:t xml:space="preserve"> </w:t>
      </w:r>
      <w:proofErr w:type="spellStart"/>
      <w:r w:rsidRPr="00325CBB">
        <w:rPr>
          <w:sz w:val="22"/>
        </w:rPr>
        <w:t>buy</w:t>
      </w:r>
      <w:proofErr w:type="spellEnd"/>
      <w:r w:rsidRPr="00325CBB">
        <w:rPr>
          <w:sz w:val="22"/>
        </w:rPr>
        <w:t>, daarvan is sprake indien de verkrijgingsprijs lager is dan de reële waarde en geen nadelen in de overgenomen partij bestaan die niet tot uitdrukking komen in de reële waarde van de activa en verplichtingen.</w:t>
      </w:r>
    </w:p>
    <w:p w:rsidR="00D223FF" w:rsidRDefault="00D223FF" w:rsidP="00A9030C">
      <w:pPr>
        <w:spacing w:after="0" w:line="360" w:lineRule="auto"/>
        <w:rPr>
          <w:sz w:val="22"/>
        </w:rPr>
      </w:pPr>
    </w:p>
    <w:p w:rsidR="00D223FF" w:rsidRDefault="00D223FF" w:rsidP="00A9030C">
      <w:pPr>
        <w:spacing w:after="0" w:line="360" w:lineRule="auto"/>
        <w:rPr>
          <w:sz w:val="22"/>
        </w:rPr>
      </w:pPr>
    </w:p>
    <w:p w:rsidR="00D223FF" w:rsidRPr="00325CBB" w:rsidRDefault="00D223FF" w:rsidP="00A9030C">
      <w:pPr>
        <w:spacing w:after="0" w:line="360" w:lineRule="auto"/>
        <w:rPr>
          <w:sz w:val="22"/>
        </w:rPr>
      </w:pPr>
    </w:p>
    <w:p w:rsidR="002E51A2" w:rsidRPr="00325CBB" w:rsidRDefault="002E51A2" w:rsidP="00E23E9A">
      <w:pPr>
        <w:pStyle w:val="Heading2"/>
        <w:spacing w:line="360" w:lineRule="auto"/>
        <w:rPr>
          <w:rFonts w:asciiTheme="minorHAnsi" w:hAnsiTheme="minorHAnsi"/>
          <w:sz w:val="22"/>
          <w:szCs w:val="22"/>
        </w:rPr>
      </w:pPr>
      <w:bookmarkStart w:id="6" w:name="_Toc425532287"/>
      <w:r w:rsidRPr="00325CBB">
        <w:rPr>
          <w:rFonts w:asciiTheme="minorHAnsi" w:hAnsiTheme="minorHAnsi"/>
          <w:sz w:val="22"/>
          <w:szCs w:val="22"/>
        </w:rPr>
        <w:t>Samenvatting</w:t>
      </w:r>
      <w:bookmarkEnd w:id="6"/>
    </w:p>
    <w:p w:rsidR="00A9030C" w:rsidRDefault="00C8237A" w:rsidP="00E23E9A">
      <w:pPr>
        <w:spacing w:after="0" w:line="360" w:lineRule="auto"/>
        <w:rPr>
          <w:sz w:val="22"/>
        </w:rPr>
      </w:pPr>
      <w:r w:rsidRPr="00325CBB">
        <w:rPr>
          <w:sz w:val="22"/>
        </w:rPr>
        <w:t xml:space="preserve">In hoofdstuk 2 is toegelicht wat de inhoud is van het begrip goodwill en wanneer </w:t>
      </w:r>
      <w:r w:rsidR="00056A13" w:rsidRPr="006355B9">
        <w:rPr>
          <w:sz w:val="22"/>
        </w:rPr>
        <w:t>die</w:t>
      </w:r>
      <w:r w:rsidRPr="00325CBB">
        <w:rPr>
          <w:sz w:val="22"/>
        </w:rPr>
        <w:t xml:space="preserve"> ontstaat. </w:t>
      </w:r>
      <w:proofErr w:type="gramStart"/>
      <w:r w:rsidRPr="00325CBB">
        <w:rPr>
          <w:sz w:val="22"/>
        </w:rPr>
        <w:t xml:space="preserve">Verder is ook het verschil tussen zelfgecreëerde goodwill en gekochte goodwill behandeld, het grootste verschil is dat zelfgecreëerde goodwill/intern gekweekte goodwill niet geactiveerd mag worden op de balans omdat het niet duidelijk identificeerbaar is en de hoogte ervan kan niet betrouwbaar worden vastgesteld. </w:t>
      </w:r>
      <w:proofErr w:type="gramEnd"/>
    </w:p>
    <w:p w:rsidR="00D223FF" w:rsidRDefault="00D223FF" w:rsidP="00E23E9A">
      <w:pPr>
        <w:spacing w:after="0" w:line="360" w:lineRule="auto"/>
        <w:rPr>
          <w:sz w:val="22"/>
        </w:rPr>
      </w:pPr>
      <w:r>
        <w:rPr>
          <w:noProof/>
          <w:lang w:val="en-US"/>
        </w:rPr>
        <w:drawing>
          <wp:inline distT="0" distB="0" distL="0" distR="0">
            <wp:extent cx="5731510" cy="1945005"/>
            <wp:effectExtent l="0" t="0" r="2540" b="0"/>
            <wp:docPr id="19" name="Picture 18"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Screen Clipping"/>
                    <pic:cNvPicPr>
                      <a:picLocks noChangeAspect="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1945005"/>
                    </a:xfrm>
                    <a:prstGeom prst="rect">
                      <a:avLst/>
                    </a:prstGeom>
                  </pic:spPr>
                </pic:pic>
              </a:graphicData>
            </a:graphic>
          </wp:inline>
        </w:drawing>
      </w:r>
    </w:p>
    <w:p w:rsidR="00C8237A" w:rsidRPr="00325CBB" w:rsidRDefault="00C8237A" w:rsidP="00E23E9A">
      <w:pPr>
        <w:spacing w:after="0" w:line="360" w:lineRule="auto"/>
        <w:rPr>
          <w:sz w:val="22"/>
        </w:rPr>
      </w:pPr>
      <w:proofErr w:type="gramStart"/>
      <w:r w:rsidRPr="00325CBB">
        <w:rPr>
          <w:sz w:val="22"/>
        </w:rPr>
        <w:t>De</w:t>
      </w:r>
      <w:proofErr w:type="gramEnd"/>
      <w:r w:rsidRPr="00325CBB">
        <w:rPr>
          <w:sz w:val="22"/>
        </w:rPr>
        <w:t xml:space="preserve"> volgende hoofdstuk richt zich op de verantwoording van goodwill die is ontstaan bij de verwerving van een deelneming. De standaarden die worden toegelicht zijn IFRS, de RJ en de Nederlandse wet.</w:t>
      </w:r>
    </w:p>
    <w:p w:rsidR="00056A13" w:rsidRDefault="00056A13">
      <w:pPr>
        <w:spacing w:after="160" w:line="259" w:lineRule="auto"/>
        <w:jc w:val="left"/>
        <w:rPr>
          <w:sz w:val="22"/>
        </w:rPr>
      </w:pPr>
      <w:r>
        <w:rPr>
          <w:sz w:val="22"/>
        </w:rPr>
        <w:lastRenderedPageBreak/>
        <w:br w:type="page"/>
      </w:r>
    </w:p>
    <w:p w:rsidR="00E9731D" w:rsidRPr="00056A13" w:rsidRDefault="00E9731D" w:rsidP="00056A13">
      <w:pPr>
        <w:pStyle w:val="Heading3"/>
        <w:numPr>
          <w:ilvl w:val="0"/>
          <w:numId w:val="17"/>
        </w:numPr>
        <w:spacing w:line="360" w:lineRule="auto"/>
        <w:rPr>
          <w:rFonts w:asciiTheme="minorHAnsi" w:hAnsiTheme="minorHAnsi" w:cstheme="minorHAnsi"/>
          <w:sz w:val="36"/>
          <w:szCs w:val="36"/>
        </w:rPr>
      </w:pPr>
      <w:bookmarkStart w:id="7" w:name="_Toc425532288"/>
      <w:r w:rsidRPr="00056A13">
        <w:rPr>
          <w:rFonts w:asciiTheme="minorHAnsi" w:hAnsiTheme="minorHAnsi" w:cstheme="minorHAnsi"/>
          <w:b/>
          <w:sz w:val="36"/>
          <w:szCs w:val="36"/>
        </w:rPr>
        <w:lastRenderedPageBreak/>
        <w:t>Verantwoording van goodwill</w:t>
      </w:r>
      <w:bookmarkEnd w:id="7"/>
    </w:p>
    <w:p w:rsidR="00A51ABA" w:rsidRPr="00325CBB" w:rsidRDefault="00E9731D" w:rsidP="00E23E9A">
      <w:pPr>
        <w:spacing w:line="360" w:lineRule="auto"/>
        <w:rPr>
          <w:sz w:val="22"/>
        </w:rPr>
      </w:pPr>
      <w:r w:rsidRPr="006355B9">
        <w:rPr>
          <w:sz w:val="22"/>
        </w:rPr>
        <w:t>D</w:t>
      </w:r>
      <w:r w:rsidR="00A408CE" w:rsidRPr="006355B9">
        <w:rPr>
          <w:sz w:val="22"/>
        </w:rPr>
        <w:t>it</w:t>
      </w:r>
      <w:r w:rsidRPr="00325CBB">
        <w:rPr>
          <w:sz w:val="22"/>
        </w:rPr>
        <w:t xml:space="preserve"> hoofdstuk richt zich op de ma</w:t>
      </w:r>
      <w:r w:rsidR="00A408CE">
        <w:rPr>
          <w:sz w:val="22"/>
        </w:rPr>
        <w:t>nieren hoe goodwill</w:t>
      </w:r>
      <w:r w:rsidR="00A408CE" w:rsidRPr="006355B9">
        <w:rPr>
          <w:sz w:val="22"/>
        </w:rPr>
        <w:t xml:space="preserve"> </w:t>
      </w:r>
      <w:r w:rsidR="00D223FF" w:rsidRPr="006355B9">
        <w:rPr>
          <w:sz w:val="22"/>
        </w:rPr>
        <w:t>verantwoordt</w:t>
      </w:r>
      <w:r w:rsidRPr="006355B9">
        <w:rPr>
          <w:sz w:val="22"/>
        </w:rPr>
        <w:t xml:space="preserve"> </w:t>
      </w:r>
      <w:r w:rsidRPr="00325CBB">
        <w:rPr>
          <w:sz w:val="22"/>
        </w:rPr>
        <w:t xml:space="preserve">kan worden </w:t>
      </w:r>
      <w:r w:rsidR="00A408CE" w:rsidRPr="006355B9">
        <w:rPr>
          <w:sz w:val="22"/>
        </w:rPr>
        <w:t>in</w:t>
      </w:r>
      <w:r w:rsidRPr="00325CBB">
        <w:rPr>
          <w:sz w:val="22"/>
        </w:rPr>
        <w:t xml:space="preserve"> de jaarrekening bij de verwerving van een deelneming. De standaarden </w:t>
      </w:r>
      <w:r w:rsidR="00164C79" w:rsidRPr="00325CBB">
        <w:rPr>
          <w:sz w:val="22"/>
        </w:rPr>
        <w:t>die worden behandeld</w:t>
      </w:r>
      <w:r w:rsidRPr="00325CBB">
        <w:rPr>
          <w:sz w:val="22"/>
        </w:rPr>
        <w:t xml:space="preserve"> zijn IFRS, RJ en de Nederlandse wet. </w:t>
      </w:r>
    </w:p>
    <w:p w:rsidR="00A51ABA" w:rsidRPr="00325CBB" w:rsidRDefault="00A51ABA" w:rsidP="00A51ABA">
      <w:pPr>
        <w:pStyle w:val="Heading3"/>
        <w:ind w:left="360"/>
        <w:rPr>
          <w:rFonts w:asciiTheme="minorHAnsi" w:hAnsiTheme="minorHAnsi" w:cstheme="minorHAnsi"/>
          <w:b/>
          <w:sz w:val="22"/>
          <w:szCs w:val="22"/>
        </w:rPr>
      </w:pPr>
      <w:bookmarkStart w:id="8" w:name="_Toc425532289"/>
      <w:r w:rsidRPr="00325CBB">
        <w:rPr>
          <w:rFonts w:asciiTheme="minorHAnsi" w:hAnsiTheme="minorHAnsi" w:cstheme="minorHAnsi"/>
          <w:b/>
          <w:sz w:val="22"/>
          <w:szCs w:val="22"/>
        </w:rPr>
        <w:t>3.1 Wijze van verantwoorden</w:t>
      </w:r>
      <w:bookmarkEnd w:id="8"/>
      <w:r w:rsidRPr="00325CBB">
        <w:rPr>
          <w:rFonts w:asciiTheme="minorHAnsi" w:hAnsiTheme="minorHAnsi" w:cstheme="minorHAnsi"/>
          <w:b/>
          <w:sz w:val="22"/>
          <w:szCs w:val="22"/>
        </w:rPr>
        <w:t xml:space="preserve"> </w:t>
      </w:r>
    </w:p>
    <w:p w:rsidR="00C10A52" w:rsidRPr="00325CBB" w:rsidRDefault="00C10A52" w:rsidP="00C10A52">
      <w:pPr>
        <w:rPr>
          <w:sz w:val="22"/>
        </w:rPr>
      </w:pPr>
      <w:r w:rsidRPr="00325CBB">
        <w:rPr>
          <w:sz w:val="22"/>
        </w:rPr>
        <w:t xml:space="preserve">In principe bestaan vier methoden </w:t>
      </w:r>
      <w:r w:rsidR="00A408CE" w:rsidRPr="006355B9">
        <w:rPr>
          <w:sz w:val="22"/>
        </w:rPr>
        <w:t>om</w:t>
      </w:r>
      <w:r w:rsidR="00A408CE">
        <w:rPr>
          <w:color w:val="FF0000"/>
          <w:sz w:val="22"/>
        </w:rPr>
        <w:t xml:space="preserve"> </w:t>
      </w:r>
      <w:r w:rsidRPr="00325CBB">
        <w:rPr>
          <w:sz w:val="22"/>
        </w:rPr>
        <w:t xml:space="preserve">goodwill te verantwoorden: </w:t>
      </w:r>
    </w:p>
    <w:p w:rsidR="00C10A52" w:rsidRPr="00325CBB" w:rsidRDefault="00C10A52" w:rsidP="00A91CBD">
      <w:pPr>
        <w:numPr>
          <w:ilvl w:val="0"/>
          <w:numId w:val="1"/>
        </w:numPr>
        <w:contextualSpacing/>
        <w:rPr>
          <w:sz w:val="22"/>
        </w:rPr>
      </w:pPr>
      <w:r w:rsidRPr="00325CBB">
        <w:rPr>
          <w:sz w:val="22"/>
        </w:rPr>
        <w:t xml:space="preserve">Activeren en vervolgens afschrijven </w:t>
      </w:r>
    </w:p>
    <w:p w:rsidR="00C10A52" w:rsidRPr="00325CBB" w:rsidRDefault="00C10A52" w:rsidP="00A91CBD">
      <w:pPr>
        <w:numPr>
          <w:ilvl w:val="0"/>
          <w:numId w:val="1"/>
        </w:numPr>
        <w:contextualSpacing/>
        <w:rPr>
          <w:sz w:val="22"/>
        </w:rPr>
      </w:pPr>
      <w:r w:rsidRPr="00325CBB">
        <w:rPr>
          <w:sz w:val="22"/>
        </w:rPr>
        <w:t>Direct ten laste van het resultaat</w:t>
      </w:r>
      <w:r w:rsidR="004829F0" w:rsidRPr="006355B9">
        <w:rPr>
          <w:sz w:val="22"/>
        </w:rPr>
        <w:t xml:space="preserve"> brengen</w:t>
      </w:r>
    </w:p>
    <w:p w:rsidR="00C10A52" w:rsidRPr="00325CBB" w:rsidRDefault="00C10A52" w:rsidP="00A91CBD">
      <w:pPr>
        <w:numPr>
          <w:ilvl w:val="0"/>
          <w:numId w:val="1"/>
        </w:numPr>
        <w:contextualSpacing/>
        <w:rPr>
          <w:sz w:val="22"/>
        </w:rPr>
      </w:pPr>
      <w:r w:rsidRPr="00325CBB">
        <w:rPr>
          <w:sz w:val="22"/>
        </w:rPr>
        <w:t xml:space="preserve">Direct ten laste van het eigen vermogen </w:t>
      </w:r>
      <w:r w:rsidR="004829F0" w:rsidRPr="006355B9">
        <w:rPr>
          <w:sz w:val="22"/>
        </w:rPr>
        <w:t>brengen</w:t>
      </w:r>
    </w:p>
    <w:p w:rsidR="00C10A52" w:rsidRPr="00325CBB" w:rsidRDefault="0013653F" w:rsidP="00A91CBD">
      <w:pPr>
        <w:numPr>
          <w:ilvl w:val="0"/>
          <w:numId w:val="1"/>
        </w:numPr>
        <w:contextualSpacing/>
        <w:rPr>
          <w:sz w:val="22"/>
        </w:rPr>
      </w:pPr>
      <w:r w:rsidRPr="00325CBB">
        <w:rPr>
          <w:sz w:val="22"/>
        </w:rPr>
        <w:t xml:space="preserve">Activeren en vervolgens ieder jaar toetsen met een </w:t>
      </w:r>
      <w:proofErr w:type="spellStart"/>
      <w:r w:rsidRPr="00325CBB">
        <w:rPr>
          <w:sz w:val="22"/>
        </w:rPr>
        <w:t>impairment</w:t>
      </w:r>
      <w:proofErr w:type="spellEnd"/>
      <w:r w:rsidRPr="00325CBB">
        <w:rPr>
          <w:sz w:val="22"/>
        </w:rPr>
        <w:t xml:space="preserve"> test</w:t>
      </w:r>
    </w:p>
    <w:p w:rsidR="0013653F" w:rsidRPr="00325CBB" w:rsidRDefault="0013653F" w:rsidP="0013653F">
      <w:pPr>
        <w:contextualSpacing/>
        <w:rPr>
          <w:sz w:val="22"/>
        </w:rPr>
      </w:pPr>
    </w:p>
    <w:p w:rsidR="003B758B" w:rsidRPr="00325CBB" w:rsidRDefault="00C10A52" w:rsidP="00E23E9A">
      <w:pPr>
        <w:spacing w:line="360" w:lineRule="auto"/>
        <w:rPr>
          <w:sz w:val="22"/>
        </w:rPr>
      </w:pPr>
      <w:r w:rsidRPr="00325CBB">
        <w:rPr>
          <w:sz w:val="22"/>
        </w:rPr>
        <w:t xml:space="preserve">Deze wijzen van verantwoorden hebben verschillende impacts op de financial statements en daarmee ook op de financiële </w:t>
      </w:r>
      <w:r w:rsidR="00D5003C" w:rsidRPr="00325CBB">
        <w:rPr>
          <w:sz w:val="22"/>
        </w:rPr>
        <w:t>kengetallen</w:t>
      </w:r>
      <w:r w:rsidRPr="00325CBB">
        <w:rPr>
          <w:sz w:val="22"/>
        </w:rPr>
        <w:t xml:space="preserve"> van bedrijven. De regelgevers hebben ieder een ander visie over de wijze van verantwoorden van goodwill in de jaarrekening.</w:t>
      </w:r>
    </w:p>
    <w:p w:rsidR="00C10A52" w:rsidRPr="00325CBB" w:rsidRDefault="00C10A52" w:rsidP="00E23E9A">
      <w:pPr>
        <w:pStyle w:val="Heading3"/>
        <w:spacing w:line="360" w:lineRule="auto"/>
        <w:ind w:left="720"/>
        <w:rPr>
          <w:rFonts w:asciiTheme="minorHAnsi" w:hAnsiTheme="minorHAnsi" w:cstheme="minorHAnsi"/>
          <w:b/>
          <w:sz w:val="22"/>
          <w:szCs w:val="22"/>
        </w:rPr>
      </w:pPr>
      <w:bookmarkStart w:id="9" w:name="_Toc425532290"/>
      <w:r w:rsidRPr="00325CBB">
        <w:rPr>
          <w:rFonts w:asciiTheme="minorHAnsi" w:hAnsiTheme="minorHAnsi" w:cstheme="minorHAnsi"/>
          <w:b/>
          <w:sz w:val="22"/>
          <w:szCs w:val="22"/>
        </w:rPr>
        <w:t>3.1.1 Verantwoording van goodwill op basis van de Nederlandse wet en op basis van de RJ</w:t>
      </w:r>
      <w:bookmarkEnd w:id="9"/>
    </w:p>
    <w:p w:rsidR="007A048C" w:rsidRPr="00325CBB" w:rsidRDefault="002144DE" w:rsidP="00E23E9A">
      <w:pPr>
        <w:spacing w:line="360" w:lineRule="auto"/>
        <w:rPr>
          <w:sz w:val="22"/>
        </w:rPr>
      </w:pPr>
      <w:r w:rsidRPr="00325CBB">
        <w:rPr>
          <w:sz w:val="22"/>
        </w:rPr>
        <w:t>Aan de hand van a</w:t>
      </w:r>
      <w:r w:rsidR="00C10A52" w:rsidRPr="00325CBB">
        <w:rPr>
          <w:sz w:val="22"/>
        </w:rPr>
        <w:t xml:space="preserve">rt. 2:389 lid 7 </w:t>
      </w:r>
      <w:r w:rsidRPr="00325CBB">
        <w:rPr>
          <w:sz w:val="22"/>
        </w:rPr>
        <w:t xml:space="preserve">BW kan worden afgeleid dat de Nederlandse wetgeving drie methoden toestaat om goodwill te verantwoorden, de vastgestelde methoden zijn: </w:t>
      </w:r>
    </w:p>
    <w:p w:rsidR="002144DE" w:rsidRPr="00325CBB" w:rsidRDefault="002144DE" w:rsidP="00A91CBD">
      <w:pPr>
        <w:numPr>
          <w:ilvl w:val="0"/>
          <w:numId w:val="2"/>
        </w:numPr>
        <w:contextualSpacing/>
        <w:rPr>
          <w:sz w:val="22"/>
        </w:rPr>
      </w:pPr>
      <w:r w:rsidRPr="00325CBB">
        <w:rPr>
          <w:sz w:val="22"/>
        </w:rPr>
        <w:t>Activeren en vervolgens afschrijven;</w:t>
      </w:r>
    </w:p>
    <w:p w:rsidR="002144DE" w:rsidRPr="00325CBB" w:rsidRDefault="002144DE" w:rsidP="00A91CBD">
      <w:pPr>
        <w:numPr>
          <w:ilvl w:val="0"/>
          <w:numId w:val="2"/>
        </w:numPr>
        <w:contextualSpacing/>
        <w:rPr>
          <w:sz w:val="22"/>
        </w:rPr>
      </w:pPr>
      <w:r w:rsidRPr="00325CBB">
        <w:rPr>
          <w:sz w:val="22"/>
        </w:rPr>
        <w:t xml:space="preserve">Direct ten laste van het resultaat; of </w:t>
      </w:r>
    </w:p>
    <w:p w:rsidR="002144DE" w:rsidRPr="00325CBB" w:rsidRDefault="002144DE" w:rsidP="00A91CBD">
      <w:pPr>
        <w:numPr>
          <w:ilvl w:val="0"/>
          <w:numId w:val="2"/>
        </w:numPr>
        <w:contextualSpacing/>
        <w:rPr>
          <w:sz w:val="22"/>
        </w:rPr>
      </w:pPr>
      <w:r w:rsidRPr="00325CBB">
        <w:rPr>
          <w:sz w:val="22"/>
        </w:rPr>
        <w:t>Direct ten laste van het eigen vermogen.</w:t>
      </w:r>
    </w:p>
    <w:p w:rsidR="002E0B5D" w:rsidRPr="00325CBB" w:rsidRDefault="002E0B5D" w:rsidP="002E0B5D">
      <w:pPr>
        <w:contextualSpacing/>
        <w:rPr>
          <w:sz w:val="22"/>
        </w:rPr>
      </w:pPr>
    </w:p>
    <w:p w:rsidR="002E0B5D" w:rsidRPr="00325CBB" w:rsidRDefault="002E0B5D" w:rsidP="00E23E9A">
      <w:pPr>
        <w:spacing w:line="360" w:lineRule="auto"/>
        <w:rPr>
          <w:sz w:val="22"/>
        </w:rPr>
      </w:pPr>
      <w:r w:rsidRPr="00325CBB">
        <w:rPr>
          <w:sz w:val="22"/>
        </w:rPr>
        <w:t xml:space="preserve">De vierde wijze van goodwill verantwoording via </w:t>
      </w:r>
      <w:proofErr w:type="spellStart"/>
      <w:r w:rsidRPr="00325CBB">
        <w:rPr>
          <w:sz w:val="22"/>
        </w:rPr>
        <w:t>impairment</w:t>
      </w:r>
      <w:proofErr w:type="spellEnd"/>
      <w:r w:rsidRPr="00325CBB">
        <w:rPr>
          <w:sz w:val="22"/>
        </w:rPr>
        <w:t xml:space="preserve"> </w:t>
      </w:r>
      <w:proofErr w:type="spellStart"/>
      <w:r w:rsidRPr="00325CBB">
        <w:rPr>
          <w:sz w:val="22"/>
        </w:rPr>
        <w:t>testing</w:t>
      </w:r>
      <w:proofErr w:type="spellEnd"/>
      <w:r w:rsidRPr="00325CBB">
        <w:rPr>
          <w:sz w:val="22"/>
        </w:rPr>
        <w:t>, is volgens de Nederlandse wet niet toegestaan. Dat wordt later nog toegelicht.</w:t>
      </w:r>
    </w:p>
    <w:p w:rsidR="00F82619" w:rsidRDefault="00D223FF" w:rsidP="00E23E9A">
      <w:pPr>
        <w:spacing w:line="360" w:lineRule="auto"/>
        <w:rPr>
          <w:color w:val="FF0000"/>
          <w:sz w:val="22"/>
        </w:rPr>
      </w:pPr>
      <w:r w:rsidRPr="000F4B12">
        <w:rPr>
          <w:sz w:val="22"/>
        </w:rPr>
        <w:t>De RJ 500 Fusies is in november 2000 gepubliceerd door de RJ. In de publicatie staat dat de verantwoording van goodwill ten laste van het eigen vermogen en ten laste van de winst- en verlies rekening niet meer is toeg</w:t>
      </w:r>
      <w:r w:rsidR="00D21DE1" w:rsidRPr="000F4B12">
        <w:rPr>
          <w:sz w:val="22"/>
        </w:rPr>
        <w:t xml:space="preserve">estaan (RJ 500.220). </w:t>
      </w:r>
      <w:r w:rsidR="002B490F" w:rsidRPr="00325CBB">
        <w:rPr>
          <w:sz w:val="22"/>
        </w:rPr>
        <w:t xml:space="preserve">De RJ acht als gevolg van de internationale harmonisatie de methoden waarbij goodwill wordt afgeboekt in de winst-en-verliesrekening en het eigen vermogen niet langer maatschappelijk aanvaardbaar (RJ, 1999; RJ 500.220). Het gevolg was dat daardoor in de RJ een verschil ontstond met de </w:t>
      </w:r>
      <w:r w:rsidR="00501DCC" w:rsidRPr="00325CBB">
        <w:rPr>
          <w:sz w:val="22"/>
        </w:rPr>
        <w:t xml:space="preserve">drie </w:t>
      </w:r>
      <w:r w:rsidR="002B490F" w:rsidRPr="00325CBB">
        <w:rPr>
          <w:sz w:val="22"/>
        </w:rPr>
        <w:t xml:space="preserve">methoden zoals in wet </w:t>
      </w:r>
      <w:r w:rsidR="00501DCC" w:rsidRPr="00325CBB">
        <w:rPr>
          <w:sz w:val="22"/>
        </w:rPr>
        <w:t xml:space="preserve">is </w:t>
      </w:r>
      <w:r w:rsidR="002B490F" w:rsidRPr="00325CBB">
        <w:rPr>
          <w:sz w:val="22"/>
        </w:rPr>
        <w:t xml:space="preserve">vastgelegd. Daardoor werd enerzijds de inhoud van de wet vastgesteld, die rechtsgeldig is, maar eveneens werd de inhoud van de RJ vastgesteld die een aanvulling is op de wet </w:t>
      </w:r>
      <w:sdt>
        <w:sdtPr>
          <w:rPr>
            <w:sz w:val="22"/>
          </w:rPr>
          <w:id w:val="2039702415"/>
          <w:citation/>
        </w:sdtPr>
        <w:sdtContent>
          <w:r w:rsidR="00C61760" w:rsidRPr="00325CBB">
            <w:rPr>
              <w:sz w:val="22"/>
            </w:rPr>
            <w:fldChar w:fldCharType="begin"/>
          </w:r>
          <w:r w:rsidR="002B490F" w:rsidRPr="00325CBB">
            <w:rPr>
              <w:sz w:val="22"/>
            </w:rPr>
            <w:instrText xml:space="preserve"> CITATION Bac01 \l 1043 </w:instrText>
          </w:r>
          <w:r w:rsidR="00C61760" w:rsidRPr="00325CBB">
            <w:rPr>
              <w:sz w:val="22"/>
            </w:rPr>
            <w:fldChar w:fldCharType="separate"/>
          </w:r>
          <w:r w:rsidR="00B12BDC" w:rsidRPr="00B12BDC">
            <w:rPr>
              <w:noProof/>
              <w:sz w:val="22"/>
            </w:rPr>
            <w:t>(Backhuijs &amp; Mertens, 2001)</w:t>
          </w:r>
          <w:r w:rsidR="00C61760" w:rsidRPr="00325CBB">
            <w:rPr>
              <w:sz w:val="22"/>
            </w:rPr>
            <w:fldChar w:fldCharType="end"/>
          </w:r>
        </w:sdtContent>
      </w:sdt>
      <w:r w:rsidR="002B490F" w:rsidRPr="00325CBB">
        <w:rPr>
          <w:sz w:val="22"/>
        </w:rPr>
        <w:t>.</w:t>
      </w:r>
      <w:r w:rsidR="00501DCC" w:rsidRPr="00325CBB">
        <w:rPr>
          <w:sz w:val="22"/>
        </w:rPr>
        <w:t xml:space="preserve"> </w:t>
      </w:r>
      <w:r w:rsidR="00D21DE1" w:rsidRPr="00163949">
        <w:rPr>
          <w:sz w:val="22"/>
        </w:rPr>
        <w:t xml:space="preserve">Om </w:t>
      </w:r>
      <w:r w:rsidR="0054637E" w:rsidRPr="00163949">
        <w:rPr>
          <w:sz w:val="22"/>
        </w:rPr>
        <w:t>te real</w:t>
      </w:r>
      <w:r w:rsidR="009A3AF7" w:rsidRPr="00163949">
        <w:rPr>
          <w:sz w:val="22"/>
        </w:rPr>
        <w:t>iseren dat in de wet alleen</w:t>
      </w:r>
      <w:r w:rsidR="00D21DE1" w:rsidRPr="00163949">
        <w:rPr>
          <w:sz w:val="22"/>
        </w:rPr>
        <w:t xml:space="preserve"> de methode waarbij goodwill wordt geactiveerd en systematisch afgeschreven zou worden toegepast</w:t>
      </w:r>
      <w:r w:rsidR="0054637E" w:rsidRPr="00163949">
        <w:rPr>
          <w:sz w:val="22"/>
        </w:rPr>
        <w:t xml:space="preserve"> werd er in de Tweede Kame</w:t>
      </w:r>
      <w:r w:rsidR="009A3AF7" w:rsidRPr="00163949">
        <w:rPr>
          <w:sz w:val="22"/>
        </w:rPr>
        <w:t xml:space="preserve">r een discussie gevoerd. Bepaalde </w:t>
      </w:r>
      <w:r w:rsidR="0054637E" w:rsidRPr="00163949">
        <w:rPr>
          <w:sz w:val="22"/>
        </w:rPr>
        <w:t xml:space="preserve">partijen waren van mening dat het afschaffen van de twee verantwoordingswijzen niet zou worden </w:t>
      </w:r>
      <w:r w:rsidR="0054637E" w:rsidRPr="00163949">
        <w:rPr>
          <w:sz w:val="22"/>
        </w:rPr>
        <w:lastRenderedPageBreak/>
        <w:t>gewaardeerd door veel ondernemingen, dit blijkt uit het vo</w:t>
      </w:r>
      <w:r w:rsidR="00F82619" w:rsidRPr="00163949">
        <w:rPr>
          <w:sz w:val="22"/>
        </w:rPr>
        <w:t>lgende citaat van Jan de Vries</w:t>
      </w:r>
      <w:sdt>
        <w:sdtPr>
          <w:rPr>
            <w:sz w:val="22"/>
          </w:rPr>
          <w:id w:val="1582487959"/>
          <w:citation/>
        </w:sdtPr>
        <w:sdtContent>
          <w:r w:rsidR="00C61760" w:rsidRPr="00163949">
            <w:rPr>
              <w:sz w:val="22"/>
            </w:rPr>
            <w:fldChar w:fldCharType="begin"/>
          </w:r>
          <w:r w:rsidR="0054637E" w:rsidRPr="00163949">
            <w:rPr>
              <w:sz w:val="22"/>
            </w:rPr>
            <w:instrText xml:space="preserve"> CITATION Bac01 \l 1033 </w:instrText>
          </w:r>
          <w:r w:rsidR="00C61760" w:rsidRPr="00163949">
            <w:rPr>
              <w:sz w:val="22"/>
            </w:rPr>
            <w:fldChar w:fldCharType="separate"/>
          </w:r>
          <w:r w:rsidR="0054637E" w:rsidRPr="00163949">
            <w:rPr>
              <w:noProof/>
              <w:sz w:val="22"/>
            </w:rPr>
            <w:t xml:space="preserve"> (Backhuijs &amp; Mertens, 2001)</w:t>
          </w:r>
          <w:r w:rsidR="00C61760" w:rsidRPr="00163949">
            <w:rPr>
              <w:sz w:val="22"/>
            </w:rPr>
            <w:fldChar w:fldCharType="end"/>
          </w:r>
        </w:sdtContent>
      </w:sdt>
      <w:r w:rsidR="0054637E" w:rsidRPr="00163949">
        <w:rPr>
          <w:sz w:val="22"/>
        </w:rPr>
        <w:t xml:space="preserve">. </w:t>
      </w:r>
      <w:r w:rsidR="00F82619">
        <w:rPr>
          <w:noProof/>
          <w:lang w:val="en-US"/>
        </w:rPr>
        <w:drawing>
          <wp:inline distT="0" distB="0" distL="0" distR="0">
            <wp:extent cx="5731510" cy="1727835"/>
            <wp:effectExtent l="0" t="0" r="2540" b="5715"/>
            <wp:docPr id="22" name="Picture 2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Screen Clipping"/>
                    <pic:cNvPicPr>
                      <a:picLocks noChangeAspect="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1727835"/>
                    </a:xfrm>
                    <a:prstGeom prst="rect">
                      <a:avLst/>
                    </a:prstGeom>
                  </pic:spPr>
                </pic:pic>
              </a:graphicData>
            </a:graphic>
          </wp:inline>
        </w:drawing>
      </w:r>
    </w:p>
    <w:p w:rsidR="00F82619" w:rsidRPr="008F2B44" w:rsidRDefault="009A3AF7" w:rsidP="00E23E9A">
      <w:pPr>
        <w:spacing w:line="360" w:lineRule="auto"/>
        <w:rPr>
          <w:sz w:val="22"/>
        </w:rPr>
      </w:pPr>
      <w:r w:rsidRPr="008F2B44">
        <w:rPr>
          <w:sz w:val="22"/>
        </w:rPr>
        <w:t xml:space="preserve">Toch, hield de Nederlandse wetgeving zijn mening dat alle drie verantwoordingsmethoden van goodwill toegestaan moest blijven. </w:t>
      </w:r>
      <w:r w:rsidR="00F82619" w:rsidRPr="008F2B44">
        <w:rPr>
          <w:sz w:val="22"/>
        </w:rPr>
        <w:t xml:space="preserve">De RJ is daarmee akkoord gegaan maar </w:t>
      </w:r>
      <w:r w:rsidR="001E3C57" w:rsidRPr="008F2B44">
        <w:rPr>
          <w:sz w:val="22"/>
        </w:rPr>
        <w:t xml:space="preserve">beveelt de methode waarbij goodwill wordt geactiveerd en systematisch afgeschreven omdat deze methode t.o.v. de andere methoden voldoet aan </w:t>
      </w:r>
      <w:proofErr w:type="gramStart"/>
      <w:r w:rsidR="001E3C57" w:rsidRPr="008F2B44">
        <w:rPr>
          <w:sz w:val="22"/>
        </w:rPr>
        <w:t>de</w:t>
      </w:r>
      <w:proofErr w:type="gramEnd"/>
      <w:r w:rsidR="001E3C57" w:rsidRPr="008F2B44">
        <w:rPr>
          <w:sz w:val="22"/>
        </w:rPr>
        <w:t xml:space="preserve"> </w:t>
      </w:r>
      <w:proofErr w:type="spellStart"/>
      <w:r w:rsidR="001E3C57" w:rsidRPr="008F2B44">
        <w:rPr>
          <w:sz w:val="22"/>
        </w:rPr>
        <w:t>inzichtsvereiste</w:t>
      </w:r>
      <w:proofErr w:type="spellEnd"/>
      <w:r w:rsidR="001E3C57" w:rsidRPr="008F2B44">
        <w:rPr>
          <w:sz w:val="22"/>
        </w:rPr>
        <w:t xml:space="preserve"> in BW 2 artikel 362, waardoor de jaarreke</w:t>
      </w:r>
      <w:r w:rsidR="008F2B44" w:rsidRPr="008F2B44">
        <w:rPr>
          <w:sz w:val="22"/>
        </w:rPr>
        <w:t>ning een getrouwe weergave presenteert</w:t>
      </w:r>
      <w:r w:rsidR="001E3C57" w:rsidRPr="008F2B44">
        <w:rPr>
          <w:sz w:val="22"/>
        </w:rPr>
        <w:t xml:space="preserve"> van de werkelijkheid (RJ 216.218) (</w:t>
      </w:r>
      <w:sdt>
        <w:sdtPr>
          <w:rPr>
            <w:sz w:val="22"/>
          </w:rPr>
          <w:id w:val="1273832799"/>
          <w:citation/>
        </w:sdtPr>
        <w:sdtContent>
          <w:r w:rsidR="00C61760" w:rsidRPr="008F2B44">
            <w:rPr>
              <w:sz w:val="22"/>
            </w:rPr>
            <w:fldChar w:fldCharType="begin"/>
          </w:r>
          <w:r w:rsidR="001E3C57" w:rsidRPr="008F2B44">
            <w:rPr>
              <w:sz w:val="22"/>
            </w:rPr>
            <w:instrText xml:space="preserve"> CITATION Hoo02 \l 1033 </w:instrText>
          </w:r>
          <w:r w:rsidR="00C61760" w:rsidRPr="008F2B44">
            <w:rPr>
              <w:sz w:val="22"/>
            </w:rPr>
            <w:fldChar w:fldCharType="separate"/>
          </w:r>
          <w:r w:rsidR="001E3C57" w:rsidRPr="008F2B44">
            <w:rPr>
              <w:noProof/>
              <w:sz w:val="22"/>
            </w:rPr>
            <w:t xml:space="preserve"> (Hoogendoorn, 2002)</w:t>
          </w:r>
          <w:r w:rsidR="00C61760" w:rsidRPr="008F2B44">
            <w:rPr>
              <w:sz w:val="22"/>
            </w:rPr>
            <w:fldChar w:fldCharType="end"/>
          </w:r>
        </w:sdtContent>
      </w:sdt>
      <w:r w:rsidR="00F82619" w:rsidRPr="008F2B44">
        <w:rPr>
          <w:sz w:val="22"/>
        </w:rPr>
        <w:t xml:space="preserve">                                     </w:t>
      </w:r>
    </w:p>
    <w:p w:rsidR="00501DCC" w:rsidRPr="00325CBB" w:rsidRDefault="00806C28" w:rsidP="00E23E9A">
      <w:pPr>
        <w:pStyle w:val="Heading3"/>
        <w:numPr>
          <w:ilvl w:val="2"/>
          <w:numId w:val="5"/>
        </w:numPr>
        <w:spacing w:line="360" w:lineRule="auto"/>
        <w:rPr>
          <w:rFonts w:asciiTheme="minorHAnsi" w:hAnsiTheme="minorHAnsi" w:cstheme="minorHAnsi"/>
          <w:b/>
          <w:sz w:val="22"/>
          <w:szCs w:val="22"/>
        </w:rPr>
      </w:pPr>
      <w:bookmarkStart w:id="10" w:name="_Toc425532291"/>
      <w:r w:rsidRPr="00325CBB">
        <w:rPr>
          <w:rFonts w:asciiTheme="minorHAnsi" w:hAnsiTheme="minorHAnsi" w:cstheme="minorHAnsi"/>
          <w:b/>
          <w:sz w:val="22"/>
          <w:szCs w:val="22"/>
        </w:rPr>
        <w:t>Waardering</w:t>
      </w:r>
      <w:bookmarkEnd w:id="10"/>
      <w:r w:rsidR="00673570" w:rsidRPr="00325CBB">
        <w:rPr>
          <w:rFonts w:asciiTheme="minorHAnsi" w:hAnsiTheme="minorHAnsi" w:cstheme="minorHAnsi"/>
          <w:b/>
          <w:sz w:val="22"/>
          <w:szCs w:val="22"/>
        </w:rPr>
        <w:t xml:space="preserve"> </w:t>
      </w:r>
    </w:p>
    <w:p w:rsidR="008F2B44" w:rsidRDefault="00806C28" w:rsidP="00E23E9A">
      <w:pPr>
        <w:spacing w:line="360" w:lineRule="auto"/>
        <w:contextualSpacing/>
        <w:rPr>
          <w:sz w:val="22"/>
        </w:rPr>
      </w:pPr>
      <w:r w:rsidRPr="00325CBB">
        <w:rPr>
          <w:sz w:val="22"/>
        </w:rPr>
        <w:t>De hoogte van goodwill is afhankelijk van de waardering van de deelneming. Wordt de deelneming gewaardeerd tegen verkrijgingsprijs of tegen geherwaardeerde verkrijgingsprijs, dan blijft de goodwill begrepen in de waardering van de deelneming (dus in de verkrijgingsprijs) op de vennootschappelijke balans van de deelnemende onderneming (de moeder) (</w:t>
      </w:r>
      <w:proofErr w:type="spellStart"/>
      <w:r w:rsidRPr="00325CBB">
        <w:rPr>
          <w:sz w:val="22"/>
        </w:rPr>
        <w:t>Achaibersing</w:t>
      </w:r>
      <w:proofErr w:type="spellEnd"/>
      <w:r w:rsidRPr="00325CBB">
        <w:rPr>
          <w:sz w:val="22"/>
        </w:rPr>
        <w:t xml:space="preserve"> &amp; </w:t>
      </w:r>
      <w:proofErr w:type="spellStart"/>
      <w:r w:rsidRPr="00325CBB">
        <w:rPr>
          <w:sz w:val="22"/>
        </w:rPr>
        <w:t>Esseboom</w:t>
      </w:r>
      <w:proofErr w:type="spellEnd"/>
      <w:r w:rsidRPr="00325CBB">
        <w:rPr>
          <w:sz w:val="22"/>
        </w:rPr>
        <w:t>, 2014). De goodwill komt in dat geval tot uitdrukking bij de consolidatie van de jaarrekeningen (consolidatie-goodwill). Wordt de deelneming gewaardeerd volgens de vermogensmutatiemethode met als eerste waarde het zichtbare eigen vermogen of de nettovermogenswaarde dan komt de goodwill afzonderlijk tot uitdrukking in de vennootschappelijke balans van de deelnemende vennootschap</w:t>
      </w:r>
      <w:sdt>
        <w:sdtPr>
          <w:rPr>
            <w:sz w:val="22"/>
          </w:rPr>
          <w:id w:val="1801657140"/>
          <w:citation/>
        </w:sdtPr>
        <w:sdtContent>
          <w:r w:rsidR="00C61760">
            <w:rPr>
              <w:sz w:val="22"/>
            </w:rPr>
            <w:fldChar w:fldCharType="begin"/>
          </w:r>
          <w:r w:rsidR="006416DA">
            <w:rPr>
              <w:sz w:val="22"/>
            </w:rPr>
            <w:instrText xml:space="preserve"> CITATION RDA14 \l 1043 </w:instrText>
          </w:r>
          <w:r w:rsidR="00C61760">
            <w:rPr>
              <w:sz w:val="22"/>
            </w:rPr>
            <w:fldChar w:fldCharType="separate"/>
          </w:r>
          <w:r w:rsidR="006416DA">
            <w:rPr>
              <w:noProof/>
              <w:sz w:val="22"/>
            </w:rPr>
            <w:t xml:space="preserve"> </w:t>
          </w:r>
          <w:r w:rsidR="006416DA" w:rsidRPr="006416DA">
            <w:rPr>
              <w:noProof/>
              <w:sz w:val="22"/>
            </w:rPr>
            <w:t>(Achaibersing &amp; Esseboom, 2014)</w:t>
          </w:r>
          <w:r w:rsidR="00C61760">
            <w:rPr>
              <w:sz w:val="22"/>
            </w:rPr>
            <w:fldChar w:fldCharType="end"/>
          </w:r>
        </w:sdtContent>
      </w:sdt>
      <w:r w:rsidRPr="00325CBB">
        <w:rPr>
          <w:sz w:val="22"/>
        </w:rPr>
        <w:t xml:space="preserve">. </w:t>
      </w:r>
      <w:r w:rsidR="006A4AD9" w:rsidRPr="008F2B44">
        <w:rPr>
          <w:sz w:val="22"/>
        </w:rPr>
        <w:t>Goodwill wordt in de balans gecategoriseerd tot de immateriële vaste activa</w:t>
      </w:r>
      <w:r w:rsidR="006A4AD9">
        <w:rPr>
          <w:sz w:val="22"/>
        </w:rPr>
        <w:t>.</w:t>
      </w:r>
      <w:r w:rsidR="009A3AF7" w:rsidRPr="00325CBB">
        <w:rPr>
          <w:sz w:val="22"/>
        </w:rPr>
        <w:t xml:space="preserve"> </w:t>
      </w:r>
      <w:r w:rsidRPr="00325CBB">
        <w:rPr>
          <w:sz w:val="22"/>
        </w:rPr>
        <w:t xml:space="preserve">Bij de waardering van een deelneming volgens de vermogensmutatiemethode met als eerste waarde het zichtbare eigen vermogen is de waarde van de deelneming volgens de waarde van de deelneming </w:t>
      </w:r>
      <w:r w:rsidR="006A4AD9" w:rsidRPr="00325CBB">
        <w:rPr>
          <w:sz w:val="22"/>
        </w:rPr>
        <w:t xml:space="preserve">zelf. </w:t>
      </w:r>
    </w:p>
    <w:p w:rsidR="008F2B44" w:rsidRDefault="008F2B44" w:rsidP="00E23E9A">
      <w:pPr>
        <w:spacing w:line="360" w:lineRule="auto"/>
        <w:contextualSpacing/>
        <w:rPr>
          <w:sz w:val="22"/>
        </w:rPr>
      </w:pPr>
      <w:r>
        <w:rPr>
          <w:sz w:val="22"/>
        </w:rPr>
        <w:t xml:space="preserve">De reële waarde van de identificeerbare activa en passiva van een onderneming wordt bij de vermogensmutatiemethode met als eerste waarde de nettovermogenswaarde berekend volgens de waarderingsgrondslagen van de rechtspersoon die de deelneming bezit </w:t>
      </w:r>
      <w:sdt>
        <w:sdtPr>
          <w:rPr>
            <w:sz w:val="22"/>
          </w:rPr>
          <w:id w:val="-805698244"/>
          <w:citation/>
        </w:sdtPr>
        <w:sdtContent>
          <w:r w:rsidR="00C61760">
            <w:rPr>
              <w:sz w:val="22"/>
            </w:rPr>
            <w:fldChar w:fldCharType="begin"/>
          </w:r>
          <w:r w:rsidRPr="008F2B44">
            <w:rPr>
              <w:sz w:val="22"/>
            </w:rPr>
            <w:instrText xml:space="preserve"> CITATION RDA14 \l 3081 </w:instrText>
          </w:r>
          <w:r w:rsidR="00C61760">
            <w:rPr>
              <w:sz w:val="22"/>
            </w:rPr>
            <w:fldChar w:fldCharType="separate"/>
          </w:r>
          <w:r w:rsidRPr="008F2B44">
            <w:rPr>
              <w:noProof/>
              <w:sz w:val="22"/>
            </w:rPr>
            <w:t>(Achaibersing &amp; Esseboom, 2014)</w:t>
          </w:r>
          <w:r w:rsidR="00C61760">
            <w:rPr>
              <w:sz w:val="22"/>
            </w:rPr>
            <w:fldChar w:fldCharType="end"/>
          </w:r>
        </w:sdtContent>
      </w:sdt>
      <w:r>
        <w:rPr>
          <w:sz w:val="22"/>
        </w:rPr>
        <w:t>.</w:t>
      </w:r>
    </w:p>
    <w:p w:rsidR="008F2B44" w:rsidRDefault="008F2B44" w:rsidP="00E23E9A">
      <w:pPr>
        <w:spacing w:line="360" w:lineRule="auto"/>
        <w:contextualSpacing/>
        <w:rPr>
          <w:sz w:val="22"/>
        </w:rPr>
      </w:pPr>
    </w:p>
    <w:p w:rsidR="00806C28" w:rsidRPr="00325CBB" w:rsidRDefault="00806C28" w:rsidP="00E23E9A">
      <w:pPr>
        <w:spacing w:line="360" w:lineRule="auto"/>
        <w:contextualSpacing/>
        <w:rPr>
          <w:sz w:val="22"/>
        </w:rPr>
      </w:pPr>
      <w:r w:rsidRPr="00325CBB">
        <w:rPr>
          <w:sz w:val="22"/>
        </w:rPr>
        <w:lastRenderedPageBreak/>
        <w:t>De moedermaatschappijen zijn niet vrij in de keuze van de genoemde waarderingsmethoden. Artikel 2:389 lid 1 BW schrijft voor dat deelnemingen in maatschappijen waarin door de moedermaatschappij op het financiële en zakelijke beleid invloed van betekenis wordt uitgeoefend, moeten worden gewaardeerd volgens de vermogensmutatiemethode met als eerste waarde de nettovermogenswaarde</w:t>
      </w:r>
      <w:sdt>
        <w:sdtPr>
          <w:rPr>
            <w:sz w:val="22"/>
          </w:rPr>
          <w:id w:val="639931641"/>
          <w:citation/>
        </w:sdtPr>
        <w:sdtContent>
          <w:r w:rsidR="00C61760">
            <w:rPr>
              <w:sz w:val="22"/>
            </w:rPr>
            <w:fldChar w:fldCharType="begin"/>
          </w:r>
          <w:r w:rsidR="006416DA">
            <w:rPr>
              <w:sz w:val="22"/>
            </w:rPr>
            <w:instrText xml:space="preserve"> CITATION RDA14 \l 1043 </w:instrText>
          </w:r>
          <w:r w:rsidR="00C61760">
            <w:rPr>
              <w:sz w:val="22"/>
            </w:rPr>
            <w:fldChar w:fldCharType="separate"/>
          </w:r>
          <w:r w:rsidR="006416DA">
            <w:rPr>
              <w:noProof/>
              <w:sz w:val="22"/>
            </w:rPr>
            <w:t xml:space="preserve"> </w:t>
          </w:r>
          <w:r w:rsidR="006416DA" w:rsidRPr="006416DA">
            <w:rPr>
              <w:noProof/>
              <w:sz w:val="22"/>
            </w:rPr>
            <w:t>(Achaibersing &amp; Esseboom, 2014)</w:t>
          </w:r>
          <w:r w:rsidR="00C61760">
            <w:rPr>
              <w:sz w:val="22"/>
            </w:rPr>
            <w:fldChar w:fldCharType="end"/>
          </w:r>
        </w:sdtContent>
      </w:sdt>
      <w:r w:rsidRPr="00325CBB">
        <w:rPr>
          <w:sz w:val="22"/>
        </w:rPr>
        <w:t>. Alleen als onvoldoende gegevens te</w:t>
      </w:r>
      <w:r w:rsidR="00DC7385">
        <w:rPr>
          <w:sz w:val="22"/>
        </w:rPr>
        <w:t>r</w:t>
      </w:r>
      <w:r w:rsidRPr="00325CBB">
        <w:rPr>
          <w:sz w:val="22"/>
        </w:rPr>
        <w:t xml:space="preserve"> beschikking staan voor de berekening van de nettovermogenswaarde, komt waardering tegen zichtbaar eigen vermogen aan de orde (art. 2:389 lid 3 BW). </w:t>
      </w:r>
    </w:p>
    <w:p w:rsidR="00806C28" w:rsidRPr="00325CBB" w:rsidRDefault="00806C28" w:rsidP="00E23E9A">
      <w:pPr>
        <w:spacing w:line="360" w:lineRule="auto"/>
        <w:contextualSpacing/>
        <w:rPr>
          <w:sz w:val="22"/>
        </w:rPr>
      </w:pPr>
    </w:p>
    <w:p w:rsidR="00806C28" w:rsidRPr="00325CBB" w:rsidRDefault="00806C28" w:rsidP="00E23E9A">
      <w:pPr>
        <w:spacing w:line="360" w:lineRule="auto"/>
        <w:contextualSpacing/>
        <w:rPr>
          <w:sz w:val="22"/>
        </w:rPr>
      </w:pPr>
      <w:r w:rsidRPr="00325CBB">
        <w:rPr>
          <w:sz w:val="22"/>
        </w:rPr>
        <w:t xml:space="preserve">Ter illustratie van de waarderingsmethoden voor de deelneming in de vennootschappelijke balans van de moeder en de verantwoording van de goodwill volgt hieronder een voorbeeld. </w:t>
      </w:r>
    </w:p>
    <w:p w:rsidR="00806C28" w:rsidRPr="00325CBB" w:rsidRDefault="00806C28" w:rsidP="00E23E9A">
      <w:pPr>
        <w:spacing w:line="360" w:lineRule="auto"/>
        <w:contextualSpacing/>
        <w:rPr>
          <w:sz w:val="22"/>
        </w:rPr>
      </w:pPr>
    </w:p>
    <w:p w:rsidR="00806C28" w:rsidRPr="00325CBB" w:rsidRDefault="00806C28" w:rsidP="00806C28">
      <w:pPr>
        <w:contextualSpacing/>
        <w:rPr>
          <w:sz w:val="22"/>
        </w:rPr>
      </w:pPr>
      <w:r w:rsidRPr="00325CBB">
        <w:rPr>
          <w:sz w:val="22"/>
        </w:rPr>
        <w:t xml:space="preserve"> </w:t>
      </w:r>
      <w:r w:rsidRPr="00325CBB">
        <w:rPr>
          <w:noProof/>
          <w:sz w:val="22"/>
          <w:lang w:val="en-US"/>
        </w:rPr>
        <w:drawing>
          <wp:inline distT="0" distB="0" distL="0" distR="0">
            <wp:extent cx="5334000" cy="489308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229" cy="4893295"/>
                    </a:xfrm>
                    <a:prstGeom prst="rect">
                      <a:avLst/>
                    </a:prstGeom>
                    <a:noFill/>
                    <a:ln>
                      <a:noFill/>
                    </a:ln>
                  </pic:spPr>
                </pic:pic>
              </a:graphicData>
            </a:graphic>
          </wp:inline>
        </w:drawing>
      </w:r>
    </w:p>
    <w:p w:rsidR="00806C28" w:rsidRPr="00325CBB" w:rsidRDefault="00806C28" w:rsidP="00806C28">
      <w:pPr>
        <w:contextualSpacing/>
        <w:rPr>
          <w:b/>
          <w:sz w:val="22"/>
        </w:rPr>
      </w:pPr>
      <w:r w:rsidRPr="00325CBB">
        <w:rPr>
          <w:b/>
          <w:sz w:val="22"/>
        </w:rPr>
        <w:t xml:space="preserve">Bron: </w:t>
      </w:r>
      <w:proofErr w:type="spellStart"/>
      <w:r w:rsidRPr="00325CBB">
        <w:rPr>
          <w:b/>
          <w:sz w:val="22"/>
        </w:rPr>
        <w:t>Achaibersing</w:t>
      </w:r>
      <w:proofErr w:type="spellEnd"/>
      <w:r w:rsidRPr="00325CBB">
        <w:rPr>
          <w:b/>
          <w:sz w:val="22"/>
        </w:rPr>
        <w:t xml:space="preserve"> &amp; </w:t>
      </w:r>
      <w:proofErr w:type="spellStart"/>
      <w:r w:rsidRPr="00325CBB">
        <w:rPr>
          <w:b/>
          <w:sz w:val="22"/>
        </w:rPr>
        <w:t>Esseboom</w:t>
      </w:r>
      <w:proofErr w:type="spellEnd"/>
      <w:r w:rsidRPr="00325CBB">
        <w:rPr>
          <w:b/>
          <w:sz w:val="22"/>
        </w:rPr>
        <w:t>, 2014</w:t>
      </w:r>
    </w:p>
    <w:p w:rsidR="00806C28" w:rsidRPr="00325CBB" w:rsidRDefault="00806C28" w:rsidP="00806C28">
      <w:pPr>
        <w:contextualSpacing/>
        <w:rPr>
          <w:b/>
          <w:sz w:val="22"/>
        </w:rPr>
      </w:pPr>
    </w:p>
    <w:p w:rsidR="00806C28" w:rsidRPr="00325CBB" w:rsidRDefault="00806C28" w:rsidP="00E23E9A">
      <w:pPr>
        <w:spacing w:line="360" w:lineRule="auto"/>
        <w:contextualSpacing/>
        <w:rPr>
          <w:sz w:val="22"/>
        </w:rPr>
      </w:pPr>
      <w:r w:rsidRPr="00325CBB">
        <w:rPr>
          <w:sz w:val="22"/>
        </w:rPr>
        <w:t xml:space="preserve">Verder is gegeven dat </w:t>
      </w:r>
      <w:proofErr w:type="spellStart"/>
      <w:r w:rsidRPr="00325CBB">
        <w:rPr>
          <w:sz w:val="22"/>
        </w:rPr>
        <w:t>Edelvoorden</w:t>
      </w:r>
      <w:proofErr w:type="spellEnd"/>
      <w:r w:rsidRPr="00325CBB">
        <w:rPr>
          <w:sz w:val="22"/>
        </w:rPr>
        <w:t xml:space="preserve"> N.V. de deelneming waardeert volgens de vermogensmutatiemethode met 60% van de </w:t>
      </w:r>
      <w:proofErr w:type="spellStart"/>
      <w:r w:rsidRPr="00325CBB">
        <w:rPr>
          <w:sz w:val="22"/>
        </w:rPr>
        <w:t>nettovermogenswaarde</w:t>
      </w:r>
      <w:proofErr w:type="spellEnd"/>
      <w:r w:rsidRPr="00325CBB">
        <w:rPr>
          <w:sz w:val="22"/>
        </w:rPr>
        <w:t xml:space="preserve"> van </w:t>
      </w:r>
      <w:proofErr w:type="spellStart"/>
      <w:r w:rsidRPr="00325CBB">
        <w:rPr>
          <w:sz w:val="22"/>
        </w:rPr>
        <w:t>Compuserve</w:t>
      </w:r>
      <w:proofErr w:type="spellEnd"/>
      <w:r w:rsidRPr="00325CBB">
        <w:rPr>
          <w:sz w:val="22"/>
        </w:rPr>
        <w:t xml:space="preserve"> N.V. als </w:t>
      </w:r>
      <w:r w:rsidRPr="00325CBB">
        <w:rPr>
          <w:sz w:val="22"/>
        </w:rPr>
        <w:lastRenderedPageBreak/>
        <w:t>eerste w</w:t>
      </w:r>
      <w:r w:rsidR="00175F61">
        <w:rPr>
          <w:sz w:val="22"/>
        </w:rPr>
        <w:t>aarde.</w:t>
      </w:r>
      <w:r w:rsidR="00175F61" w:rsidRPr="008F2B44">
        <w:rPr>
          <w:sz w:val="22"/>
        </w:rPr>
        <w:t xml:space="preserve"> </w:t>
      </w:r>
      <w:r w:rsidR="00DC7385" w:rsidRPr="008F2B44">
        <w:rPr>
          <w:sz w:val="22"/>
        </w:rPr>
        <w:t>In vijf jaar wordt de goodwill afgeschreven ten laste van de resultatenrekening.</w:t>
      </w:r>
      <w:r w:rsidR="008F2B44">
        <w:rPr>
          <w:sz w:val="22"/>
        </w:rPr>
        <w:t xml:space="preserve"> </w:t>
      </w:r>
      <w:r w:rsidRPr="00325CBB">
        <w:rPr>
          <w:sz w:val="22"/>
        </w:rPr>
        <w:t xml:space="preserve">De afschrijvingskosten met betrekking tot de goodwill worden jaarlijks per 31 december geboekt. </w:t>
      </w:r>
    </w:p>
    <w:p w:rsidR="00806C28" w:rsidRPr="00325CBB" w:rsidRDefault="00806C28" w:rsidP="00E23E9A">
      <w:pPr>
        <w:spacing w:line="360" w:lineRule="auto"/>
        <w:contextualSpacing/>
        <w:rPr>
          <w:sz w:val="22"/>
        </w:rPr>
      </w:pPr>
    </w:p>
    <w:p w:rsidR="00C54D7A" w:rsidRPr="000C3748" w:rsidRDefault="00806C28" w:rsidP="00E23E9A">
      <w:pPr>
        <w:spacing w:line="360" w:lineRule="auto"/>
        <w:contextualSpacing/>
        <w:rPr>
          <w:sz w:val="22"/>
        </w:rPr>
      </w:pPr>
      <w:r w:rsidRPr="00325CBB">
        <w:rPr>
          <w:sz w:val="22"/>
        </w:rPr>
        <w:t xml:space="preserve">De </w:t>
      </w:r>
      <w:proofErr w:type="spellStart"/>
      <w:r w:rsidRPr="00325CBB">
        <w:rPr>
          <w:sz w:val="22"/>
        </w:rPr>
        <w:t>nettovermogenswaarde</w:t>
      </w:r>
      <w:proofErr w:type="spellEnd"/>
      <w:r w:rsidRPr="00325CBB">
        <w:rPr>
          <w:sz w:val="22"/>
        </w:rPr>
        <w:t xml:space="preserve"> van </w:t>
      </w:r>
      <w:proofErr w:type="spellStart"/>
      <w:r w:rsidRPr="00325CBB">
        <w:rPr>
          <w:sz w:val="22"/>
        </w:rPr>
        <w:t>Compuserve</w:t>
      </w:r>
      <w:proofErr w:type="spellEnd"/>
      <w:r w:rsidRPr="00325CBB">
        <w:rPr>
          <w:sz w:val="22"/>
        </w:rPr>
        <w:t xml:space="preserve"> N.V. per 1 januari komt overeen met het zichtbare vermogen van </w:t>
      </w:r>
      <w:proofErr w:type="spellStart"/>
      <w:r w:rsidRPr="00325CBB">
        <w:rPr>
          <w:sz w:val="22"/>
        </w:rPr>
        <w:t>Compuserve</w:t>
      </w:r>
      <w:proofErr w:type="spellEnd"/>
      <w:r w:rsidRPr="00325CBB">
        <w:rPr>
          <w:sz w:val="22"/>
        </w:rPr>
        <w:t xml:space="preserve"> per deze datum. </w:t>
      </w:r>
    </w:p>
    <w:p w:rsidR="00325CBB" w:rsidRPr="00325CBB" w:rsidRDefault="00325CBB" w:rsidP="00E23E9A">
      <w:pPr>
        <w:spacing w:line="360" w:lineRule="auto"/>
        <w:contextualSpacing/>
        <w:rPr>
          <w:b/>
          <w:sz w:val="22"/>
        </w:rPr>
      </w:pPr>
    </w:p>
    <w:p w:rsidR="00806C28" w:rsidRPr="00325CBB" w:rsidRDefault="00806C28" w:rsidP="00E23E9A">
      <w:pPr>
        <w:spacing w:line="360" w:lineRule="auto"/>
        <w:contextualSpacing/>
        <w:rPr>
          <w:b/>
          <w:sz w:val="22"/>
        </w:rPr>
      </w:pPr>
      <w:r w:rsidRPr="00325CBB">
        <w:rPr>
          <w:b/>
          <w:sz w:val="22"/>
        </w:rPr>
        <w:t>Waardering tegen nettovermogenswaarde/zichtbare eigen vermogen</w:t>
      </w:r>
    </w:p>
    <w:p w:rsidR="00806C28" w:rsidRPr="00325CBB" w:rsidRDefault="00806C28" w:rsidP="00E23E9A">
      <w:pPr>
        <w:spacing w:line="360" w:lineRule="auto"/>
        <w:contextualSpacing/>
        <w:rPr>
          <w:sz w:val="22"/>
        </w:rPr>
      </w:pPr>
      <w:r w:rsidRPr="00325CBB">
        <w:rPr>
          <w:sz w:val="22"/>
        </w:rPr>
        <w:t xml:space="preserve">Om de journaalpost van de aankoop van de deelneming te kunnen vaststellen moet eerst de goodwill worden berekend. Er is gegeven dat de nettovermogenswaarde per 1 januari overeenkomt met het zichtbare eigen vermogen per deze datum. </w:t>
      </w:r>
    </w:p>
    <w:p w:rsidR="00806C28" w:rsidRPr="00325CBB" w:rsidRDefault="00806C28" w:rsidP="00E23E9A">
      <w:pPr>
        <w:spacing w:line="360" w:lineRule="auto"/>
        <w:contextualSpacing/>
        <w:rPr>
          <w:sz w:val="22"/>
        </w:rPr>
      </w:pPr>
      <w:r w:rsidRPr="00325CBB">
        <w:rPr>
          <w:sz w:val="22"/>
        </w:rPr>
        <w:t xml:space="preserve">De nettovermogenswaarde bedraagt: </w:t>
      </w:r>
    </w:p>
    <w:p w:rsidR="00806C28" w:rsidRPr="00325CBB" w:rsidRDefault="00806C28" w:rsidP="00806C28">
      <w:pPr>
        <w:contextualSpacing/>
        <w:rPr>
          <w:sz w:val="22"/>
        </w:rPr>
      </w:pPr>
    </w:p>
    <w:p w:rsidR="00806C28" w:rsidRPr="00325CBB" w:rsidRDefault="00806C28" w:rsidP="00806C28">
      <w:pPr>
        <w:contextualSpacing/>
        <w:rPr>
          <w:sz w:val="22"/>
        </w:rPr>
      </w:pPr>
      <w:r w:rsidRPr="00325CBB">
        <w:rPr>
          <w:sz w:val="22"/>
        </w:rPr>
        <w:t>Aandelenvermogen</w:t>
      </w:r>
      <w:r w:rsidRPr="00325CBB">
        <w:rPr>
          <w:sz w:val="22"/>
        </w:rPr>
        <w:tab/>
      </w:r>
      <w:r w:rsidRPr="00325CBB">
        <w:rPr>
          <w:sz w:val="22"/>
        </w:rPr>
        <w:tab/>
      </w:r>
      <w:r w:rsidRPr="00325CBB">
        <w:rPr>
          <w:sz w:val="22"/>
        </w:rPr>
        <w:tab/>
      </w:r>
      <w:r w:rsidRPr="00325CBB">
        <w:rPr>
          <w:sz w:val="22"/>
        </w:rPr>
        <w:tab/>
        <w:t>700.000</w:t>
      </w:r>
    </w:p>
    <w:p w:rsidR="00806C28" w:rsidRPr="00325CBB" w:rsidRDefault="00806C28" w:rsidP="00806C28">
      <w:pPr>
        <w:contextualSpacing/>
        <w:rPr>
          <w:sz w:val="22"/>
        </w:rPr>
      </w:pPr>
      <w:r w:rsidRPr="00325CBB">
        <w:rPr>
          <w:sz w:val="22"/>
        </w:rPr>
        <w:t xml:space="preserve">Agioreserve </w:t>
      </w:r>
      <w:r w:rsidRPr="00325CBB">
        <w:rPr>
          <w:sz w:val="22"/>
        </w:rPr>
        <w:tab/>
      </w:r>
      <w:r w:rsidRPr="00325CBB">
        <w:rPr>
          <w:sz w:val="22"/>
        </w:rPr>
        <w:tab/>
      </w:r>
      <w:r w:rsidRPr="00325CBB">
        <w:rPr>
          <w:sz w:val="22"/>
        </w:rPr>
        <w:tab/>
      </w:r>
      <w:r w:rsidRPr="00325CBB">
        <w:rPr>
          <w:sz w:val="22"/>
        </w:rPr>
        <w:tab/>
      </w:r>
      <w:r w:rsidRPr="00325CBB">
        <w:rPr>
          <w:sz w:val="22"/>
        </w:rPr>
        <w:tab/>
        <w:t>100.000</w:t>
      </w:r>
      <w:r w:rsidRPr="00325CBB">
        <w:rPr>
          <w:sz w:val="22"/>
        </w:rPr>
        <w:tab/>
      </w:r>
    </w:p>
    <w:p w:rsidR="00806C28" w:rsidRPr="00325CBB" w:rsidRDefault="00806C28" w:rsidP="00806C28">
      <w:pPr>
        <w:contextualSpacing/>
        <w:rPr>
          <w:sz w:val="22"/>
        </w:rPr>
      </w:pPr>
      <w:r w:rsidRPr="00325CBB">
        <w:rPr>
          <w:sz w:val="22"/>
        </w:rPr>
        <w:t xml:space="preserve">Herwaarderingreserve </w:t>
      </w:r>
      <w:r w:rsidRPr="00325CBB">
        <w:rPr>
          <w:sz w:val="22"/>
        </w:rPr>
        <w:tab/>
      </w:r>
      <w:r w:rsidRPr="00325CBB">
        <w:rPr>
          <w:sz w:val="22"/>
        </w:rPr>
        <w:tab/>
      </w:r>
      <w:r w:rsidRPr="00325CBB">
        <w:rPr>
          <w:sz w:val="22"/>
        </w:rPr>
        <w:tab/>
      </w:r>
      <w:r w:rsidR="000C3748">
        <w:rPr>
          <w:sz w:val="22"/>
        </w:rPr>
        <w:tab/>
      </w:r>
      <w:r w:rsidRPr="00325CBB">
        <w:rPr>
          <w:sz w:val="22"/>
        </w:rPr>
        <w:t>100.000</w:t>
      </w:r>
    </w:p>
    <w:p w:rsidR="00806C28" w:rsidRPr="00325CBB" w:rsidRDefault="00806C28" w:rsidP="00806C28">
      <w:pPr>
        <w:contextualSpacing/>
        <w:rPr>
          <w:sz w:val="22"/>
        </w:rPr>
      </w:pPr>
      <w:r w:rsidRPr="00325CBB">
        <w:rPr>
          <w:sz w:val="22"/>
        </w:rPr>
        <w:t xml:space="preserve">Algemene reserve </w:t>
      </w:r>
      <w:r w:rsidRPr="00325CBB">
        <w:rPr>
          <w:sz w:val="22"/>
        </w:rPr>
        <w:tab/>
      </w:r>
      <w:r w:rsidRPr="00325CBB">
        <w:rPr>
          <w:sz w:val="22"/>
        </w:rPr>
        <w:tab/>
      </w:r>
      <w:r w:rsidRPr="00325CBB">
        <w:rPr>
          <w:sz w:val="22"/>
        </w:rPr>
        <w:tab/>
      </w:r>
      <w:r w:rsidRPr="00325CBB">
        <w:rPr>
          <w:sz w:val="22"/>
        </w:rPr>
        <w:tab/>
        <w:t>300.000</w:t>
      </w:r>
    </w:p>
    <w:p w:rsidR="00806C28" w:rsidRPr="00325CBB" w:rsidRDefault="00806C28" w:rsidP="002E51A2">
      <w:pPr>
        <w:contextualSpacing/>
        <w:rPr>
          <w:sz w:val="22"/>
        </w:rPr>
      </w:pPr>
      <w:r w:rsidRPr="00325CBB">
        <w:rPr>
          <w:sz w:val="22"/>
        </w:rPr>
        <w:t xml:space="preserve">Te reserveren </w:t>
      </w:r>
      <w:proofErr w:type="gramStart"/>
      <w:r w:rsidRPr="00325CBB">
        <w:rPr>
          <w:sz w:val="22"/>
        </w:rPr>
        <w:t>winst</w:t>
      </w:r>
      <w:r w:rsidRPr="00325CBB">
        <w:rPr>
          <w:sz w:val="22"/>
        </w:rPr>
        <w:tab/>
      </w:r>
      <w:r w:rsidRPr="00325CBB">
        <w:rPr>
          <w:sz w:val="22"/>
        </w:rPr>
        <w:tab/>
      </w:r>
      <w:r w:rsidRPr="00325CBB">
        <w:rPr>
          <w:sz w:val="22"/>
        </w:rPr>
        <w:tab/>
      </w:r>
      <w:r w:rsidRPr="00325CBB">
        <w:rPr>
          <w:sz w:val="22"/>
        </w:rPr>
        <w:tab/>
        <w:t xml:space="preserve">  </w:t>
      </w:r>
      <w:proofErr w:type="gramEnd"/>
      <w:r w:rsidRPr="00325CBB">
        <w:rPr>
          <w:sz w:val="22"/>
        </w:rPr>
        <w:t>70.000</w:t>
      </w:r>
    </w:p>
    <w:p w:rsidR="00806C28" w:rsidRPr="00325CBB" w:rsidRDefault="00806C28" w:rsidP="002E51A2">
      <w:pPr>
        <w:contextualSpacing/>
        <w:rPr>
          <w:sz w:val="22"/>
        </w:rPr>
      </w:pPr>
      <w:r w:rsidRPr="00325CBB">
        <w:rPr>
          <w:sz w:val="22"/>
        </w:rPr>
        <w:tab/>
      </w:r>
      <w:r w:rsidRPr="00325CBB">
        <w:rPr>
          <w:sz w:val="22"/>
        </w:rPr>
        <w:tab/>
      </w:r>
      <w:r w:rsidRPr="00325CBB">
        <w:rPr>
          <w:sz w:val="22"/>
        </w:rPr>
        <w:tab/>
      </w:r>
      <w:r w:rsidRPr="00325CBB">
        <w:rPr>
          <w:sz w:val="22"/>
        </w:rPr>
        <w:tab/>
      </w:r>
      <w:r w:rsidRPr="00325CBB">
        <w:rPr>
          <w:sz w:val="22"/>
        </w:rPr>
        <w:tab/>
        <w:t xml:space="preserve">          1.270.000</w:t>
      </w:r>
    </w:p>
    <w:p w:rsidR="00806C28" w:rsidRPr="00325CBB" w:rsidRDefault="00806C28" w:rsidP="00806C28">
      <w:pPr>
        <w:contextualSpacing/>
        <w:rPr>
          <w:sz w:val="22"/>
        </w:rPr>
      </w:pPr>
    </w:p>
    <w:p w:rsidR="00806C28" w:rsidRPr="00325CBB" w:rsidRDefault="00806C28" w:rsidP="00806C28">
      <w:pPr>
        <w:contextualSpacing/>
        <w:rPr>
          <w:sz w:val="22"/>
        </w:rPr>
      </w:pPr>
      <w:r w:rsidRPr="00325CBB">
        <w:rPr>
          <w:sz w:val="22"/>
        </w:rPr>
        <w:t>Het aandeel in de nettovermogenswaarde bedraagt 60% x 1.270.000 = 762.000</w:t>
      </w:r>
    </w:p>
    <w:p w:rsidR="00806C28" w:rsidRPr="00325CBB" w:rsidRDefault="00806C28" w:rsidP="00806C28">
      <w:pPr>
        <w:contextualSpacing/>
        <w:rPr>
          <w:sz w:val="22"/>
        </w:rPr>
      </w:pPr>
      <w:r w:rsidRPr="00325CBB">
        <w:rPr>
          <w:sz w:val="22"/>
        </w:rPr>
        <w:t xml:space="preserve">De verkrijgingsprijs, inclusief het dividendrecht </w:t>
      </w:r>
      <w:r w:rsidRPr="00325CBB">
        <w:rPr>
          <w:sz w:val="22"/>
        </w:rPr>
        <w:tab/>
        <w:t>850.000</w:t>
      </w:r>
    </w:p>
    <w:p w:rsidR="00806C28" w:rsidRPr="00325CBB" w:rsidRDefault="00806C28" w:rsidP="00806C28">
      <w:pPr>
        <w:contextualSpacing/>
        <w:rPr>
          <w:sz w:val="22"/>
        </w:rPr>
      </w:pPr>
      <w:r w:rsidRPr="00325CBB">
        <w:rPr>
          <w:sz w:val="22"/>
        </w:rPr>
        <w:t>Af: Het dividendrecht 60% x 70.</w:t>
      </w:r>
      <w:proofErr w:type="gramStart"/>
      <w:r w:rsidRPr="00325CBB">
        <w:rPr>
          <w:sz w:val="22"/>
        </w:rPr>
        <w:t>000</w:t>
      </w:r>
      <w:r w:rsidRPr="00325CBB">
        <w:rPr>
          <w:sz w:val="22"/>
        </w:rPr>
        <w:tab/>
      </w:r>
      <w:r w:rsidRPr="00325CBB">
        <w:rPr>
          <w:sz w:val="22"/>
        </w:rPr>
        <w:tab/>
      </w:r>
      <w:r w:rsidRPr="00325CBB">
        <w:rPr>
          <w:sz w:val="22"/>
        </w:rPr>
        <w:tab/>
        <w:t xml:space="preserve">  </w:t>
      </w:r>
      <w:proofErr w:type="gramEnd"/>
      <w:r w:rsidRPr="00325CBB">
        <w:rPr>
          <w:sz w:val="22"/>
        </w:rPr>
        <w:t xml:space="preserve">42.000 </w:t>
      </w:r>
    </w:p>
    <w:p w:rsidR="00806C28" w:rsidRPr="00325CBB" w:rsidRDefault="00806C28" w:rsidP="00806C28">
      <w:pPr>
        <w:contextualSpacing/>
        <w:rPr>
          <w:sz w:val="22"/>
        </w:rPr>
      </w:pPr>
      <w:r w:rsidRPr="00325CBB">
        <w:rPr>
          <w:sz w:val="22"/>
        </w:rPr>
        <w:t>Betaald voor aandelen</w:t>
      </w:r>
      <w:r w:rsidRPr="00325CBB">
        <w:rPr>
          <w:sz w:val="22"/>
        </w:rPr>
        <w:tab/>
      </w:r>
      <w:r w:rsidRPr="00325CBB">
        <w:rPr>
          <w:sz w:val="22"/>
        </w:rPr>
        <w:tab/>
      </w:r>
      <w:r w:rsidRPr="00325CBB">
        <w:rPr>
          <w:sz w:val="22"/>
        </w:rPr>
        <w:tab/>
      </w:r>
      <w:r w:rsidRPr="00325CBB">
        <w:rPr>
          <w:sz w:val="22"/>
        </w:rPr>
        <w:tab/>
      </w:r>
      <w:r w:rsidRPr="00325CBB">
        <w:rPr>
          <w:sz w:val="22"/>
        </w:rPr>
        <w:tab/>
      </w:r>
      <w:r w:rsidRPr="00325CBB">
        <w:rPr>
          <w:sz w:val="22"/>
        </w:rPr>
        <w:tab/>
      </w:r>
      <w:r w:rsidRPr="00325CBB">
        <w:rPr>
          <w:sz w:val="22"/>
        </w:rPr>
        <w:tab/>
        <w:t>808.000</w:t>
      </w:r>
    </w:p>
    <w:p w:rsidR="00806C28" w:rsidRPr="00325CBB" w:rsidRDefault="00806C28" w:rsidP="00806C28">
      <w:pPr>
        <w:contextualSpacing/>
        <w:rPr>
          <w:sz w:val="22"/>
        </w:rPr>
      </w:pPr>
      <w:r w:rsidRPr="00325CBB">
        <w:rPr>
          <w:sz w:val="22"/>
        </w:rPr>
        <w:t xml:space="preserve">Goodwill </w:t>
      </w:r>
      <w:proofErr w:type="gramStart"/>
      <w:r w:rsidRPr="00325CBB">
        <w:rPr>
          <w:sz w:val="22"/>
        </w:rPr>
        <w:t>(808.000-762.000)</w:t>
      </w:r>
      <w:r w:rsidRPr="00325CBB">
        <w:rPr>
          <w:sz w:val="22"/>
        </w:rPr>
        <w:tab/>
      </w:r>
      <w:r w:rsidRPr="00325CBB">
        <w:rPr>
          <w:sz w:val="22"/>
        </w:rPr>
        <w:tab/>
      </w:r>
      <w:r w:rsidRPr="00325CBB">
        <w:rPr>
          <w:sz w:val="22"/>
        </w:rPr>
        <w:tab/>
      </w:r>
      <w:r w:rsidRPr="00325CBB">
        <w:rPr>
          <w:sz w:val="22"/>
        </w:rPr>
        <w:tab/>
      </w:r>
      <w:r w:rsidRPr="00325CBB">
        <w:rPr>
          <w:sz w:val="22"/>
        </w:rPr>
        <w:tab/>
      </w:r>
      <w:r w:rsidRPr="00325CBB">
        <w:rPr>
          <w:sz w:val="22"/>
        </w:rPr>
        <w:tab/>
      </w:r>
      <w:r w:rsidRPr="00325CBB">
        <w:rPr>
          <w:sz w:val="22"/>
        </w:rPr>
        <w:tab/>
        <w:t xml:space="preserve">   </w:t>
      </w:r>
      <w:proofErr w:type="gramEnd"/>
      <w:r w:rsidRPr="00325CBB">
        <w:rPr>
          <w:sz w:val="22"/>
        </w:rPr>
        <w:t>46.000</w:t>
      </w:r>
    </w:p>
    <w:p w:rsidR="00806C28" w:rsidRPr="00325CBB" w:rsidRDefault="00806C28" w:rsidP="00806C28">
      <w:pPr>
        <w:contextualSpacing/>
        <w:rPr>
          <w:sz w:val="22"/>
        </w:rPr>
      </w:pPr>
    </w:p>
    <w:p w:rsidR="00806C28" w:rsidRPr="00325CBB" w:rsidRDefault="00806C28" w:rsidP="00806C28">
      <w:pPr>
        <w:contextualSpacing/>
        <w:rPr>
          <w:sz w:val="22"/>
        </w:rPr>
      </w:pPr>
      <w:r w:rsidRPr="00325CBB">
        <w:rPr>
          <w:sz w:val="22"/>
        </w:rPr>
        <w:t xml:space="preserve">De journaalpost van de aankoop van de deelneming luidt: </w:t>
      </w:r>
    </w:p>
    <w:p w:rsidR="00806C28" w:rsidRPr="00325CBB" w:rsidRDefault="00806C28" w:rsidP="00806C28">
      <w:pPr>
        <w:spacing w:after="0" w:line="360" w:lineRule="auto"/>
        <w:jc w:val="left"/>
        <w:rPr>
          <w:sz w:val="22"/>
        </w:rPr>
      </w:pPr>
    </w:p>
    <w:p w:rsidR="00806C28" w:rsidRPr="00325CBB" w:rsidRDefault="00806C28" w:rsidP="00806C28">
      <w:pPr>
        <w:spacing w:after="0" w:line="240" w:lineRule="auto"/>
        <w:jc w:val="left"/>
        <w:rPr>
          <w:sz w:val="22"/>
        </w:rPr>
      </w:pPr>
      <w:r w:rsidRPr="00325CBB">
        <w:rPr>
          <w:sz w:val="22"/>
        </w:rPr>
        <w:t>Deelneming</w:t>
      </w:r>
      <w:r w:rsidRPr="00325CBB">
        <w:rPr>
          <w:sz w:val="22"/>
        </w:rPr>
        <w:tab/>
      </w:r>
      <w:r w:rsidRPr="00325CBB">
        <w:rPr>
          <w:sz w:val="22"/>
        </w:rPr>
        <w:tab/>
      </w:r>
      <w:r w:rsidRPr="00325CBB">
        <w:rPr>
          <w:sz w:val="22"/>
        </w:rPr>
        <w:tab/>
      </w:r>
      <w:r w:rsidRPr="00325CBB">
        <w:rPr>
          <w:sz w:val="22"/>
        </w:rPr>
        <w:tab/>
        <w:t>762.000</w:t>
      </w:r>
    </w:p>
    <w:p w:rsidR="00806C28" w:rsidRPr="00325CBB" w:rsidRDefault="00806C28" w:rsidP="00806C28">
      <w:pPr>
        <w:spacing w:after="0" w:line="240" w:lineRule="auto"/>
        <w:jc w:val="left"/>
        <w:rPr>
          <w:sz w:val="22"/>
        </w:rPr>
      </w:pPr>
      <w:r w:rsidRPr="00325CBB">
        <w:rPr>
          <w:sz w:val="22"/>
        </w:rPr>
        <w:t xml:space="preserve">Te vorderen </w:t>
      </w:r>
      <w:proofErr w:type="gramStart"/>
      <w:r w:rsidRPr="00325CBB">
        <w:rPr>
          <w:sz w:val="22"/>
        </w:rPr>
        <w:t>dividend</w:t>
      </w:r>
      <w:r w:rsidRPr="00325CBB">
        <w:rPr>
          <w:sz w:val="22"/>
        </w:rPr>
        <w:tab/>
      </w:r>
      <w:r w:rsidRPr="00325CBB">
        <w:rPr>
          <w:sz w:val="22"/>
        </w:rPr>
        <w:tab/>
      </w:r>
      <w:r w:rsidRPr="00325CBB">
        <w:rPr>
          <w:sz w:val="22"/>
        </w:rPr>
        <w:tab/>
        <w:t xml:space="preserve">  </w:t>
      </w:r>
      <w:proofErr w:type="gramEnd"/>
      <w:r w:rsidRPr="00325CBB">
        <w:rPr>
          <w:sz w:val="22"/>
        </w:rPr>
        <w:t>42.000</w:t>
      </w:r>
    </w:p>
    <w:p w:rsidR="00806C28" w:rsidRPr="00325CBB" w:rsidRDefault="00806C28" w:rsidP="00806C28">
      <w:pPr>
        <w:spacing w:after="0" w:line="240" w:lineRule="auto"/>
        <w:jc w:val="left"/>
        <w:rPr>
          <w:sz w:val="22"/>
        </w:rPr>
      </w:pPr>
      <w:proofErr w:type="gramStart"/>
      <w:r w:rsidRPr="00325CBB">
        <w:rPr>
          <w:sz w:val="22"/>
        </w:rPr>
        <w:t>Goodwill</w:t>
      </w:r>
      <w:r w:rsidRPr="00325CBB">
        <w:rPr>
          <w:sz w:val="22"/>
        </w:rPr>
        <w:tab/>
      </w:r>
      <w:r w:rsidRPr="00325CBB">
        <w:rPr>
          <w:sz w:val="22"/>
        </w:rPr>
        <w:tab/>
      </w:r>
      <w:r w:rsidRPr="00325CBB">
        <w:rPr>
          <w:sz w:val="22"/>
        </w:rPr>
        <w:tab/>
      </w:r>
      <w:r w:rsidRPr="00325CBB">
        <w:rPr>
          <w:sz w:val="22"/>
        </w:rPr>
        <w:tab/>
        <w:t xml:space="preserve">  </w:t>
      </w:r>
      <w:proofErr w:type="gramEnd"/>
      <w:r w:rsidRPr="00325CBB">
        <w:rPr>
          <w:sz w:val="22"/>
        </w:rPr>
        <w:t>46.000</w:t>
      </w:r>
      <w:r w:rsidRPr="00325CBB">
        <w:rPr>
          <w:sz w:val="22"/>
        </w:rPr>
        <w:tab/>
      </w:r>
    </w:p>
    <w:p w:rsidR="00806C28" w:rsidRPr="00325CBB" w:rsidRDefault="00806C28" w:rsidP="00806C28">
      <w:pPr>
        <w:spacing w:after="0" w:line="240" w:lineRule="auto"/>
        <w:jc w:val="left"/>
        <w:rPr>
          <w:sz w:val="22"/>
        </w:rPr>
      </w:pPr>
      <w:r w:rsidRPr="00325CBB">
        <w:rPr>
          <w:sz w:val="22"/>
        </w:rPr>
        <w:t>Aan Liquide middelen</w:t>
      </w:r>
      <w:r w:rsidRPr="00325CBB">
        <w:rPr>
          <w:sz w:val="22"/>
        </w:rPr>
        <w:tab/>
      </w:r>
      <w:r w:rsidRPr="00325CBB">
        <w:rPr>
          <w:sz w:val="22"/>
        </w:rPr>
        <w:tab/>
      </w:r>
      <w:r w:rsidRPr="00325CBB">
        <w:rPr>
          <w:sz w:val="22"/>
        </w:rPr>
        <w:tab/>
      </w:r>
      <w:r w:rsidRPr="00325CBB">
        <w:rPr>
          <w:sz w:val="22"/>
        </w:rPr>
        <w:tab/>
      </w:r>
      <w:r w:rsidRPr="00325CBB">
        <w:rPr>
          <w:sz w:val="22"/>
        </w:rPr>
        <w:tab/>
        <w:t xml:space="preserve">850.000 </w:t>
      </w:r>
    </w:p>
    <w:p w:rsidR="00806C28" w:rsidRPr="00325CBB" w:rsidRDefault="00806C28" w:rsidP="00806C28">
      <w:pPr>
        <w:spacing w:after="0" w:line="240" w:lineRule="auto"/>
        <w:jc w:val="left"/>
        <w:rPr>
          <w:sz w:val="22"/>
        </w:rPr>
      </w:pPr>
    </w:p>
    <w:p w:rsidR="00806C28" w:rsidRPr="00325CBB" w:rsidRDefault="00806C28" w:rsidP="00806C28">
      <w:pPr>
        <w:spacing w:after="0" w:line="360" w:lineRule="auto"/>
        <w:jc w:val="left"/>
        <w:rPr>
          <w:sz w:val="22"/>
        </w:rPr>
      </w:pPr>
      <w:r w:rsidRPr="00325CBB">
        <w:rPr>
          <w:sz w:val="22"/>
        </w:rPr>
        <w:t xml:space="preserve">Bij de waardering van de deelneming tegen nettovermogenswaarde of zichtbare eigen vermogen is te zien dat de goodwill afzonderlijk wordt geactiveerd in de vennootschappelijke balans van de moeder. </w:t>
      </w:r>
      <w:r w:rsidR="00DC7385" w:rsidRPr="008F2B44">
        <w:rPr>
          <w:sz w:val="22"/>
        </w:rPr>
        <w:t xml:space="preserve">Met betrekking tot de </w:t>
      </w:r>
      <w:proofErr w:type="gramStart"/>
      <w:r w:rsidR="00DC7385" w:rsidRPr="008F2B44">
        <w:rPr>
          <w:sz w:val="22"/>
        </w:rPr>
        <w:t>jaarlijks</w:t>
      </w:r>
      <w:proofErr w:type="gramEnd"/>
      <w:r w:rsidR="00DC7385" w:rsidRPr="008F2B44">
        <w:rPr>
          <w:sz w:val="22"/>
        </w:rPr>
        <w:t xml:space="preserve"> afschrijving gedurende vijf jaar wordt door de moeder de volgende boeking gemaakt:</w:t>
      </w:r>
      <w:r w:rsidRPr="008F2B44">
        <w:rPr>
          <w:sz w:val="22"/>
        </w:rPr>
        <w:t xml:space="preserve"> </w:t>
      </w:r>
    </w:p>
    <w:p w:rsidR="00806C28" w:rsidRPr="00325CBB" w:rsidRDefault="00806C28" w:rsidP="00806C28">
      <w:pPr>
        <w:spacing w:after="0" w:line="240" w:lineRule="auto"/>
        <w:jc w:val="left"/>
        <w:rPr>
          <w:sz w:val="22"/>
        </w:rPr>
      </w:pPr>
    </w:p>
    <w:p w:rsidR="00806C28" w:rsidRPr="00325CBB" w:rsidRDefault="00806C28" w:rsidP="00806C28">
      <w:pPr>
        <w:spacing w:after="0" w:line="240" w:lineRule="auto"/>
        <w:jc w:val="left"/>
        <w:rPr>
          <w:sz w:val="22"/>
        </w:rPr>
      </w:pPr>
      <w:r w:rsidRPr="00325CBB">
        <w:rPr>
          <w:sz w:val="22"/>
        </w:rPr>
        <w:t xml:space="preserve">Afschrijvingskosten goodwill </w:t>
      </w:r>
      <w:r w:rsidRPr="00325CBB">
        <w:rPr>
          <w:sz w:val="22"/>
        </w:rPr>
        <w:tab/>
      </w:r>
      <w:r w:rsidRPr="00325CBB">
        <w:rPr>
          <w:sz w:val="22"/>
        </w:rPr>
        <w:tab/>
        <w:t>9.200 (46.000/5)</w:t>
      </w:r>
    </w:p>
    <w:p w:rsidR="00806C28" w:rsidRPr="00325CBB" w:rsidRDefault="00806C28" w:rsidP="00806C28">
      <w:pPr>
        <w:spacing w:after="0" w:line="240" w:lineRule="auto"/>
        <w:jc w:val="left"/>
        <w:rPr>
          <w:sz w:val="22"/>
        </w:rPr>
      </w:pPr>
      <w:r w:rsidRPr="00325CBB">
        <w:rPr>
          <w:sz w:val="22"/>
        </w:rPr>
        <w:t xml:space="preserve">Aan Goodwill </w:t>
      </w:r>
      <w:r w:rsidRPr="00325CBB">
        <w:rPr>
          <w:sz w:val="22"/>
        </w:rPr>
        <w:tab/>
      </w:r>
      <w:r w:rsidRPr="00325CBB">
        <w:rPr>
          <w:sz w:val="22"/>
        </w:rPr>
        <w:tab/>
      </w:r>
      <w:r w:rsidRPr="00325CBB">
        <w:rPr>
          <w:sz w:val="22"/>
        </w:rPr>
        <w:tab/>
      </w:r>
      <w:r w:rsidRPr="00325CBB">
        <w:rPr>
          <w:sz w:val="22"/>
        </w:rPr>
        <w:tab/>
      </w:r>
      <w:r w:rsidRPr="00325CBB">
        <w:rPr>
          <w:sz w:val="22"/>
        </w:rPr>
        <w:tab/>
      </w:r>
      <w:r w:rsidRPr="00325CBB">
        <w:rPr>
          <w:sz w:val="22"/>
        </w:rPr>
        <w:tab/>
        <w:t>9.200</w:t>
      </w:r>
    </w:p>
    <w:p w:rsidR="00806C28" w:rsidRPr="00325CBB" w:rsidRDefault="00806C28" w:rsidP="00806C28">
      <w:pPr>
        <w:spacing w:after="0" w:line="240" w:lineRule="auto"/>
        <w:jc w:val="left"/>
        <w:rPr>
          <w:sz w:val="22"/>
        </w:rPr>
      </w:pPr>
    </w:p>
    <w:p w:rsidR="00806C28" w:rsidRPr="003D3F7B" w:rsidRDefault="00DC7385" w:rsidP="00E23E9A">
      <w:pPr>
        <w:spacing w:after="0" w:line="360" w:lineRule="auto"/>
        <w:jc w:val="left"/>
        <w:rPr>
          <w:sz w:val="22"/>
        </w:rPr>
      </w:pPr>
      <w:r w:rsidRPr="003D3F7B">
        <w:rPr>
          <w:sz w:val="22"/>
        </w:rPr>
        <w:lastRenderedPageBreak/>
        <w:t>De volgende boeking zou</w:t>
      </w:r>
      <w:r w:rsidR="00806C28" w:rsidRPr="003D3F7B">
        <w:rPr>
          <w:sz w:val="22"/>
        </w:rPr>
        <w:t xml:space="preserve"> worden gemaakt door de moeder bij aankoop van de deelneming</w:t>
      </w:r>
      <w:r w:rsidRPr="003D3F7B">
        <w:rPr>
          <w:sz w:val="22"/>
        </w:rPr>
        <w:t xml:space="preserve"> indien de goodwill </w:t>
      </w:r>
      <w:r w:rsidR="00614E8F" w:rsidRPr="003D3F7B">
        <w:rPr>
          <w:sz w:val="22"/>
        </w:rPr>
        <w:t>geheel ten laste zou worden gebracht van de winst- en verliesrekening</w:t>
      </w:r>
      <w:r w:rsidR="00806C28" w:rsidRPr="003D3F7B">
        <w:rPr>
          <w:sz w:val="22"/>
        </w:rPr>
        <w:t xml:space="preserve">: </w:t>
      </w:r>
    </w:p>
    <w:p w:rsidR="00806C28" w:rsidRPr="00325CBB" w:rsidRDefault="00806C28" w:rsidP="00806C28">
      <w:pPr>
        <w:spacing w:after="0" w:line="240" w:lineRule="auto"/>
        <w:jc w:val="left"/>
        <w:rPr>
          <w:sz w:val="22"/>
        </w:rPr>
      </w:pPr>
    </w:p>
    <w:p w:rsidR="00806C28" w:rsidRPr="00325CBB" w:rsidRDefault="00806C28" w:rsidP="00806C28">
      <w:pPr>
        <w:spacing w:after="0" w:line="240" w:lineRule="auto"/>
        <w:jc w:val="left"/>
        <w:rPr>
          <w:sz w:val="22"/>
        </w:rPr>
      </w:pPr>
      <w:r w:rsidRPr="00325CBB">
        <w:rPr>
          <w:sz w:val="22"/>
        </w:rPr>
        <w:t>Deelneming</w:t>
      </w:r>
      <w:r w:rsidRPr="00325CBB">
        <w:rPr>
          <w:sz w:val="22"/>
        </w:rPr>
        <w:tab/>
      </w:r>
      <w:r w:rsidRPr="00325CBB">
        <w:rPr>
          <w:sz w:val="22"/>
        </w:rPr>
        <w:tab/>
      </w:r>
      <w:r w:rsidRPr="00325CBB">
        <w:rPr>
          <w:sz w:val="22"/>
        </w:rPr>
        <w:tab/>
      </w:r>
      <w:r w:rsidRPr="00325CBB">
        <w:rPr>
          <w:sz w:val="22"/>
        </w:rPr>
        <w:tab/>
        <w:t>762.000</w:t>
      </w:r>
    </w:p>
    <w:p w:rsidR="00806C28" w:rsidRPr="00325CBB" w:rsidRDefault="00806C28" w:rsidP="00806C28">
      <w:pPr>
        <w:spacing w:after="0" w:line="240" w:lineRule="auto"/>
        <w:jc w:val="left"/>
        <w:rPr>
          <w:sz w:val="22"/>
        </w:rPr>
      </w:pPr>
      <w:r w:rsidRPr="00325CBB">
        <w:rPr>
          <w:sz w:val="22"/>
        </w:rPr>
        <w:t xml:space="preserve">Te vorderen </w:t>
      </w:r>
      <w:proofErr w:type="gramStart"/>
      <w:r w:rsidRPr="00325CBB">
        <w:rPr>
          <w:sz w:val="22"/>
        </w:rPr>
        <w:t>dividend</w:t>
      </w:r>
      <w:r w:rsidRPr="00325CBB">
        <w:rPr>
          <w:sz w:val="22"/>
        </w:rPr>
        <w:tab/>
      </w:r>
      <w:r w:rsidRPr="00325CBB">
        <w:rPr>
          <w:sz w:val="22"/>
        </w:rPr>
        <w:tab/>
      </w:r>
      <w:r w:rsidRPr="00325CBB">
        <w:rPr>
          <w:sz w:val="22"/>
        </w:rPr>
        <w:tab/>
        <w:t xml:space="preserve">  </w:t>
      </w:r>
      <w:proofErr w:type="gramEnd"/>
      <w:r w:rsidRPr="00325CBB">
        <w:rPr>
          <w:sz w:val="22"/>
        </w:rPr>
        <w:t>42.000</w:t>
      </w:r>
    </w:p>
    <w:p w:rsidR="00806C28" w:rsidRPr="00325CBB" w:rsidRDefault="00806C28" w:rsidP="00806C28">
      <w:pPr>
        <w:spacing w:after="0" w:line="240" w:lineRule="auto"/>
        <w:jc w:val="left"/>
        <w:rPr>
          <w:sz w:val="22"/>
        </w:rPr>
      </w:pPr>
      <w:r w:rsidRPr="00325CBB">
        <w:rPr>
          <w:sz w:val="22"/>
        </w:rPr>
        <w:t xml:space="preserve">Afschrijvingskosten </w:t>
      </w:r>
      <w:proofErr w:type="gramStart"/>
      <w:r w:rsidRPr="00325CBB">
        <w:rPr>
          <w:sz w:val="22"/>
        </w:rPr>
        <w:t>goodwill</w:t>
      </w:r>
      <w:r w:rsidRPr="00325CBB">
        <w:rPr>
          <w:sz w:val="22"/>
        </w:rPr>
        <w:tab/>
      </w:r>
      <w:r w:rsidRPr="00325CBB">
        <w:rPr>
          <w:sz w:val="22"/>
        </w:rPr>
        <w:tab/>
        <w:t xml:space="preserve">  </w:t>
      </w:r>
      <w:proofErr w:type="gramEnd"/>
      <w:r w:rsidRPr="00325CBB">
        <w:rPr>
          <w:sz w:val="22"/>
        </w:rPr>
        <w:t>46.000</w:t>
      </w:r>
    </w:p>
    <w:p w:rsidR="00806C28" w:rsidRPr="00325CBB" w:rsidRDefault="00806C28" w:rsidP="00806C28">
      <w:pPr>
        <w:spacing w:after="0" w:line="240" w:lineRule="auto"/>
        <w:jc w:val="left"/>
        <w:rPr>
          <w:sz w:val="22"/>
        </w:rPr>
      </w:pPr>
      <w:r w:rsidRPr="00325CBB">
        <w:rPr>
          <w:sz w:val="22"/>
        </w:rPr>
        <w:t>Aan Liquide middelen</w:t>
      </w:r>
      <w:r w:rsidRPr="00325CBB">
        <w:rPr>
          <w:sz w:val="22"/>
        </w:rPr>
        <w:tab/>
      </w:r>
      <w:r w:rsidRPr="00325CBB">
        <w:rPr>
          <w:sz w:val="22"/>
        </w:rPr>
        <w:tab/>
      </w:r>
      <w:r w:rsidRPr="00325CBB">
        <w:rPr>
          <w:sz w:val="22"/>
        </w:rPr>
        <w:tab/>
      </w:r>
      <w:r w:rsidRPr="00325CBB">
        <w:rPr>
          <w:sz w:val="22"/>
        </w:rPr>
        <w:tab/>
      </w:r>
      <w:r w:rsidRPr="00325CBB">
        <w:rPr>
          <w:sz w:val="22"/>
        </w:rPr>
        <w:tab/>
        <w:t>850.000</w:t>
      </w:r>
    </w:p>
    <w:p w:rsidR="00806C28" w:rsidRDefault="00806C28" w:rsidP="00806C28">
      <w:pPr>
        <w:spacing w:after="0" w:line="240" w:lineRule="auto"/>
        <w:jc w:val="left"/>
        <w:rPr>
          <w:sz w:val="22"/>
        </w:rPr>
      </w:pPr>
    </w:p>
    <w:p w:rsidR="00806C28" w:rsidRPr="003D3F7B" w:rsidRDefault="00614E8F" w:rsidP="00614E8F">
      <w:pPr>
        <w:spacing w:after="0" w:line="360" w:lineRule="auto"/>
        <w:jc w:val="left"/>
        <w:rPr>
          <w:sz w:val="22"/>
        </w:rPr>
      </w:pPr>
      <w:r w:rsidRPr="003D3F7B">
        <w:rPr>
          <w:sz w:val="22"/>
        </w:rPr>
        <w:t>De volgende boeking zou worden gemaakt door de moeder bij aankoop van de deelneming indien de goodwill geheel ten laste zou worden gebracht van het eigen vermogen (vrije reserves):</w:t>
      </w:r>
    </w:p>
    <w:p w:rsidR="00806C28" w:rsidRPr="00325CBB" w:rsidRDefault="00806C28" w:rsidP="00806C28">
      <w:pPr>
        <w:spacing w:after="0" w:line="240" w:lineRule="auto"/>
        <w:jc w:val="left"/>
        <w:rPr>
          <w:sz w:val="22"/>
        </w:rPr>
      </w:pPr>
      <w:r w:rsidRPr="00325CBB">
        <w:rPr>
          <w:sz w:val="22"/>
        </w:rPr>
        <w:t xml:space="preserve">Deelneming </w:t>
      </w:r>
      <w:r w:rsidRPr="00325CBB">
        <w:rPr>
          <w:sz w:val="22"/>
        </w:rPr>
        <w:tab/>
      </w:r>
      <w:r w:rsidRPr="00325CBB">
        <w:rPr>
          <w:sz w:val="22"/>
        </w:rPr>
        <w:tab/>
      </w:r>
      <w:r w:rsidRPr="00325CBB">
        <w:rPr>
          <w:sz w:val="22"/>
        </w:rPr>
        <w:tab/>
      </w:r>
      <w:r w:rsidRPr="00325CBB">
        <w:rPr>
          <w:sz w:val="22"/>
        </w:rPr>
        <w:tab/>
        <w:t>762.000</w:t>
      </w:r>
    </w:p>
    <w:p w:rsidR="00806C28" w:rsidRPr="00325CBB" w:rsidRDefault="00806C28" w:rsidP="00806C28">
      <w:pPr>
        <w:spacing w:after="0" w:line="240" w:lineRule="auto"/>
        <w:jc w:val="left"/>
        <w:rPr>
          <w:sz w:val="22"/>
        </w:rPr>
      </w:pPr>
      <w:r w:rsidRPr="00325CBB">
        <w:rPr>
          <w:sz w:val="22"/>
        </w:rPr>
        <w:t xml:space="preserve">Te vorderen </w:t>
      </w:r>
      <w:proofErr w:type="gramStart"/>
      <w:r w:rsidRPr="00325CBB">
        <w:rPr>
          <w:sz w:val="22"/>
        </w:rPr>
        <w:t>dividend</w:t>
      </w:r>
      <w:r w:rsidRPr="00325CBB">
        <w:rPr>
          <w:sz w:val="22"/>
        </w:rPr>
        <w:tab/>
      </w:r>
      <w:r w:rsidRPr="00325CBB">
        <w:rPr>
          <w:sz w:val="22"/>
        </w:rPr>
        <w:tab/>
      </w:r>
      <w:r w:rsidRPr="00325CBB">
        <w:rPr>
          <w:sz w:val="22"/>
        </w:rPr>
        <w:tab/>
        <w:t xml:space="preserve">  </w:t>
      </w:r>
      <w:proofErr w:type="gramEnd"/>
      <w:r w:rsidRPr="00325CBB">
        <w:rPr>
          <w:sz w:val="22"/>
        </w:rPr>
        <w:t>42.000</w:t>
      </w:r>
    </w:p>
    <w:p w:rsidR="00806C28" w:rsidRPr="00325CBB" w:rsidRDefault="00806C28" w:rsidP="00806C28">
      <w:pPr>
        <w:spacing w:after="0" w:line="240" w:lineRule="auto"/>
        <w:jc w:val="left"/>
        <w:rPr>
          <w:sz w:val="22"/>
        </w:rPr>
      </w:pPr>
      <w:r w:rsidRPr="00325CBB">
        <w:rPr>
          <w:sz w:val="22"/>
        </w:rPr>
        <w:t xml:space="preserve">Algemene </w:t>
      </w:r>
      <w:proofErr w:type="gramStart"/>
      <w:r w:rsidRPr="00325CBB">
        <w:rPr>
          <w:sz w:val="22"/>
        </w:rPr>
        <w:t>reserve</w:t>
      </w:r>
      <w:r w:rsidRPr="00325CBB">
        <w:rPr>
          <w:sz w:val="22"/>
        </w:rPr>
        <w:tab/>
      </w:r>
      <w:r w:rsidRPr="00325CBB">
        <w:rPr>
          <w:sz w:val="22"/>
        </w:rPr>
        <w:tab/>
      </w:r>
      <w:r w:rsidRPr="00325CBB">
        <w:rPr>
          <w:sz w:val="22"/>
        </w:rPr>
        <w:tab/>
        <w:t xml:space="preserve">  </w:t>
      </w:r>
      <w:proofErr w:type="gramEnd"/>
      <w:r w:rsidRPr="00325CBB">
        <w:rPr>
          <w:sz w:val="22"/>
        </w:rPr>
        <w:t>46.000</w:t>
      </w:r>
    </w:p>
    <w:p w:rsidR="00806C28" w:rsidRPr="00325CBB" w:rsidRDefault="00806C28" w:rsidP="00806C28">
      <w:pPr>
        <w:spacing w:after="0" w:line="240" w:lineRule="auto"/>
        <w:jc w:val="left"/>
        <w:rPr>
          <w:sz w:val="22"/>
        </w:rPr>
      </w:pPr>
      <w:r w:rsidRPr="00325CBB">
        <w:rPr>
          <w:sz w:val="22"/>
        </w:rPr>
        <w:t>Aan Liquide middelen</w:t>
      </w:r>
      <w:r w:rsidRPr="00325CBB">
        <w:rPr>
          <w:sz w:val="22"/>
        </w:rPr>
        <w:tab/>
      </w:r>
      <w:r w:rsidRPr="00325CBB">
        <w:rPr>
          <w:sz w:val="22"/>
        </w:rPr>
        <w:tab/>
      </w:r>
      <w:r w:rsidRPr="00325CBB">
        <w:rPr>
          <w:sz w:val="22"/>
        </w:rPr>
        <w:tab/>
      </w:r>
      <w:r w:rsidRPr="00325CBB">
        <w:rPr>
          <w:sz w:val="22"/>
        </w:rPr>
        <w:tab/>
      </w:r>
      <w:r w:rsidRPr="00325CBB">
        <w:rPr>
          <w:sz w:val="22"/>
        </w:rPr>
        <w:tab/>
        <w:t xml:space="preserve">850.000 </w:t>
      </w:r>
    </w:p>
    <w:p w:rsidR="00806C28" w:rsidRPr="00325CBB" w:rsidRDefault="00806C28" w:rsidP="00806C28">
      <w:pPr>
        <w:spacing w:after="0" w:line="360" w:lineRule="auto"/>
        <w:jc w:val="left"/>
        <w:rPr>
          <w:sz w:val="22"/>
        </w:rPr>
      </w:pPr>
    </w:p>
    <w:p w:rsidR="00806C28" w:rsidRPr="00325CBB" w:rsidRDefault="00806C28" w:rsidP="00806C28">
      <w:pPr>
        <w:spacing w:after="0" w:line="360" w:lineRule="auto"/>
        <w:jc w:val="left"/>
        <w:rPr>
          <w:b/>
          <w:sz w:val="22"/>
        </w:rPr>
      </w:pPr>
      <w:r w:rsidRPr="00325CBB">
        <w:rPr>
          <w:b/>
          <w:sz w:val="22"/>
        </w:rPr>
        <w:t>Waardering tegen de verkrijgingspijs</w:t>
      </w:r>
    </w:p>
    <w:p w:rsidR="00806C28" w:rsidRPr="00325CBB" w:rsidRDefault="00806C28" w:rsidP="00806C28">
      <w:pPr>
        <w:spacing w:after="0" w:line="360" w:lineRule="auto"/>
        <w:jc w:val="left"/>
        <w:rPr>
          <w:sz w:val="22"/>
        </w:rPr>
      </w:pPr>
      <w:r w:rsidRPr="00325CBB">
        <w:rPr>
          <w:sz w:val="22"/>
        </w:rPr>
        <w:t>Bij de waardering volgens de verkrijgingsprijs wordt de goodwill niet afzonderlijk gewaardeerd in de vennootschappelijke balans van de moeder</w:t>
      </w:r>
      <w:sdt>
        <w:sdtPr>
          <w:rPr>
            <w:sz w:val="22"/>
          </w:rPr>
          <w:id w:val="1980572624"/>
          <w:citation/>
        </w:sdtPr>
        <w:sdtContent>
          <w:r w:rsidR="00C61760">
            <w:rPr>
              <w:sz w:val="22"/>
            </w:rPr>
            <w:fldChar w:fldCharType="begin"/>
          </w:r>
          <w:r w:rsidR="001964A8">
            <w:rPr>
              <w:sz w:val="22"/>
            </w:rPr>
            <w:instrText xml:space="preserve"> CITATION RDA14 \l 1043 </w:instrText>
          </w:r>
          <w:r w:rsidR="00C61760">
            <w:rPr>
              <w:sz w:val="22"/>
            </w:rPr>
            <w:fldChar w:fldCharType="separate"/>
          </w:r>
          <w:r w:rsidR="001964A8">
            <w:rPr>
              <w:noProof/>
              <w:sz w:val="22"/>
            </w:rPr>
            <w:t xml:space="preserve"> </w:t>
          </w:r>
          <w:r w:rsidR="001964A8" w:rsidRPr="001964A8">
            <w:rPr>
              <w:noProof/>
              <w:sz w:val="22"/>
            </w:rPr>
            <w:t>(Achaibersing &amp; Esseboom, 2014)</w:t>
          </w:r>
          <w:r w:rsidR="00C61760">
            <w:rPr>
              <w:sz w:val="22"/>
            </w:rPr>
            <w:fldChar w:fldCharType="end"/>
          </w:r>
        </w:sdtContent>
      </w:sdt>
      <w:r w:rsidRPr="00614E8F">
        <w:rPr>
          <w:color w:val="0070C0"/>
          <w:sz w:val="22"/>
        </w:rPr>
        <w:t xml:space="preserve">. </w:t>
      </w:r>
      <w:r w:rsidR="00614E8F" w:rsidRPr="003D3F7B">
        <w:rPr>
          <w:sz w:val="22"/>
        </w:rPr>
        <w:t>In de deelneming zit de goodwill inbegrepen.</w:t>
      </w:r>
      <w:r w:rsidR="00614E8F" w:rsidRPr="00614E8F">
        <w:rPr>
          <w:color w:val="0070C0"/>
          <w:sz w:val="22"/>
        </w:rPr>
        <w:t xml:space="preserve"> </w:t>
      </w:r>
      <w:r w:rsidRPr="00325CBB">
        <w:rPr>
          <w:sz w:val="22"/>
        </w:rPr>
        <w:t xml:space="preserve">De journaalpost van de aankoop van de deelneming luidt: </w:t>
      </w:r>
    </w:p>
    <w:p w:rsidR="00806C28" w:rsidRPr="00325CBB" w:rsidRDefault="00806C28" w:rsidP="00806C28">
      <w:pPr>
        <w:spacing w:after="0" w:line="240" w:lineRule="auto"/>
        <w:jc w:val="left"/>
        <w:rPr>
          <w:sz w:val="22"/>
        </w:rPr>
      </w:pPr>
      <w:r w:rsidRPr="00325CBB">
        <w:rPr>
          <w:sz w:val="22"/>
        </w:rPr>
        <w:t xml:space="preserve">Deelneming </w:t>
      </w:r>
      <w:r w:rsidRPr="00325CBB">
        <w:rPr>
          <w:sz w:val="22"/>
        </w:rPr>
        <w:tab/>
      </w:r>
      <w:r w:rsidRPr="00325CBB">
        <w:rPr>
          <w:sz w:val="22"/>
        </w:rPr>
        <w:tab/>
      </w:r>
      <w:r w:rsidRPr="00325CBB">
        <w:rPr>
          <w:sz w:val="22"/>
        </w:rPr>
        <w:tab/>
      </w:r>
      <w:r w:rsidRPr="00325CBB">
        <w:rPr>
          <w:sz w:val="22"/>
        </w:rPr>
        <w:tab/>
        <w:t>808.000</w:t>
      </w:r>
    </w:p>
    <w:p w:rsidR="00806C28" w:rsidRPr="00325CBB" w:rsidRDefault="00806C28" w:rsidP="00806C28">
      <w:pPr>
        <w:spacing w:after="0" w:line="240" w:lineRule="auto"/>
        <w:jc w:val="left"/>
        <w:rPr>
          <w:sz w:val="22"/>
        </w:rPr>
      </w:pPr>
      <w:r w:rsidRPr="00325CBB">
        <w:rPr>
          <w:sz w:val="22"/>
        </w:rPr>
        <w:t xml:space="preserve">Te vorderen dividend </w:t>
      </w:r>
      <w:proofErr w:type="gramStart"/>
      <w:r w:rsidRPr="00325CBB">
        <w:rPr>
          <w:sz w:val="22"/>
        </w:rPr>
        <w:tab/>
      </w:r>
      <w:r w:rsidRPr="00325CBB">
        <w:rPr>
          <w:sz w:val="22"/>
        </w:rPr>
        <w:tab/>
      </w:r>
      <w:r w:rsidRPr="00325CBB">
        <w:rPr>
          <w:sz w:val="22"/>
        </w:rPr>
        <w:tab/>
        <w:t xml:space="preserve">  </w:t>
      </w:r>
      <w:proofErr w:type="gramEnd"/>
      <w:r w:rsidRPr="00325CBB">
        <w:rPr>
          <w:sz w:val="22"/>
        </w:rPr>
        <w:t>42.000</w:t>
      </w:r>
    </w:p>
    <w:p w:rsidR="00673570" w:rsidRPr="00325CBB" w:rsidRDefault="00806C28" w:rsidP="00E64A0D">
      <w:pPr>
        <w:spacing w:after="0" w:line="240" w:lineRule="auto"/>
        <w:jc w:val="left"/>
        <w:rPr>
          <w:sz w:val="22"/>
        </w:rPr>
      </w:pPr>
      <w:r w:rsidRPr="00325CBB">
        <w:rPr>
          <w:sz w:val="22"/>
        </w:rPr>
        <w:t xml:space="preserve">Aan Liquide middelen </w:t>
      </w:r>
      <w:r w:rsidRPr="00325CBB">
        <w:rPr>
          <w:sz w:val="22"/>
        </w:rPr>
        <w:tab/>
      </w:r>
      <w:r w:rsidRPr="00325CBB">
        <w:rPr>
          <w:sz w:val="22"/>
        </w:rPr>
        <w:tab/>
      </w:r>
      <w:r w:rsidRPr="00325CBB">
        <w:rPr>
          <w:sz w:val="22"/>
        </w:rPr>
        <w:tab/>
      </w:r>
      <w:r w:rsidRPr="00325CBB">
        <w:rPr>
          <w:sz w:val="22"/>
        </w:rPr>
        <w:tab/>
        <w:t>850.000</w:t>
      </w:r>
    </w:p>
    <w:p w:rsidR="00E64A0D" w:rsidRPr="00325CBB" w:rsidRDefault="00E64A0D" w:rsidP="00E64A0D">
      <w:pPr>
        <w:spacing w:after="0" w:line="240" w:lineRule="auto"/>
        <w:jc w:val="left"/>
        <w:rPr>
          <w:sz w:val="22"/>
        </w:rPr>
      </w:pPr>
    </w:p>
    <w:p w:rsidR="00673570" w:rsidRPr="00325CBB" w:rsidRDefault="00806C28" w:rsidP="00A91CBD">
      <w:pPr>
        <w:pStyle w:val="Heading3"/>
        <w:numPr>
          <w:ilvl w:val="2"/>
          <w:numId w:val="5"/>
        </w:numPr>
        <w:rPr>
          <w:rFonts w:asciiTheme="minorHAnsi" w:hAnsiTheme="minorHAnsi" w:cstheme="minorHAnsi"/>
          <w:b/>
          <w:sz w:val="22"/>
          <w:szCs w:val="22"/>
        </w:rPr>
      </w:pPr>
      <w:bookmarkStart w:id="11" w:name="_Toc425532292"/>
      <w:r w:rsidRPr="00325CBB">
        <w:rPr>
          <w:rFonts w:asciiTheme="minorHAnsi" w:hAnsiTheme="minorHAnsi" w:cstheme="minorHAnsi"/>
          <w:b/>
          <w:sz w:val="22"/>
          <w:szCs w:val="22"/>
        </w:rPr>
        <w:t>Activeren en vervolgens afschrijven</w:t>
      </w:r>
      <w:bookmarkEnd w:id="11"/>
      <w:r w:rsidR="00673570" w:rsidRPr="00325CBB">
        <w:rPr>
          <w:rFonts w:asciiTheme="minorHAnsi" w:hAnsiTheme="minorHAnsi" w:cstheme="minorHAnsi"/>
          <w:b/>
          <w:sz w:val="22"/>
          <w:szCs w:val="22"/>
        </w:rPr>
        <w:t xml:space="preserve"> </w:t>
      </w:r>
    </w:p>
    <w:p w:rsidR="00673570" w:rsidRPr="000B7675" w:rsidRDefault="00806C28" w:rsidP="00E23E9A">
      <w:pPr>
        <w:spacing w:line="360" w:lineRule="auto"/>
        <w:rPr>
          <w:sz w:val="22"/>
        </w:rPr>
      </w:pPr>
      <w:r w:rsidRPr="00325CBB">
        <w:rPr>
          <w:sz w:val="22"/>
        </w:rPr>
        <w:t>De Nederlandse wetgeving staat toe goodwill te activeren en vervolgens af te schrijven over de economische levensduur</w:t>
      </w:r>
      <w:sdt>
        <w:sdtPr>
          <w:rPr>
            <w:sz w:val="22"/>
          </w:rPr>
          <w:id w:val="1184785874"/>
          <w:citation/>
        </w:sdtPr>
        <w:sdtContent>
          <w:r w:rsidR="00C61760">
            <w:rPr>
              <w:sz w:val="22"/>
            </w:rPr>
            <w:fldChar w:fldCharType="begin"/>
          </w:r>
          <w:r w:rsidR="001964A8">
            <w:rPr>
              <w:sz w:val="22"/>
            </w:rPr>
            <w:instrText xml:space="preserve"> CITATION EY14 \l 1043 </w:instrText>
          </w:r>
          <w:r w:rsidR="00C61760">
            <w:rPr>
              <w:sz w:val="22"/>
            </w:rPr>
            <w:fldChar w:fldCharType="separate"/>
          </w:r>
          <w:r w:rsidR="001964A8">
            <w:rPr>
              <w:noProof/>
              <w:sz w:val="22"/>
            </w:rPr>
            <w:t xml:space="preserve"> </w:t>
          </w:r>
          <w:r w:rsidR="001964A8" w:rsidRPr="001964A8">
            <w:rPr>
              <w:noProof/>
              <w:sz w:val="22"/>
            </w:rPr>
            <w:t>(EY , 2014)</w:t>
          </w:r>
          <w:r w:rsidR="00C61760">
            <w:rPr>
              <w:sz w:val="22"/>
            </w:rPr>
            <w:fldChar w:fldCharType="end"/>
          </w:r>
        </w:sdtContent>
      </w:sdt>
      <w:r w:rsidRPr="00325CBB">
        <w:rPr>
          <w:sz w:val="22"/>
        </w:rPr>
        <w:t xml:space="preserve">. </w:t>
      </w:r>
      <w:r w:rsidR="00614E8F" w:rsidRPr="003D3F7B">
        <w:rPr>
          <w:sz w:val="22"/>
        </w:rPr>
        <w:t>Omdat deze methode volgens de RJ</w:t>
      </w:r>
      <w:r w:rsidR="00820582" w:rsidRPr="003D3F7B">
        <w:rPr>
          <w:sz w:val="22"/>
        </w:rPr>
        <w:t xml:space="preserve"> leidt</w:t>
      </w:r>
      <w:r w:rsidR="00614E8F" w:rsidRPr="003D3F7B">
        <w:rPr>
          <w:sz w:val="22"/>
        </w:rPr>
        <w:t xml:space="preserve"> tot een juiste toerekening van de ko</w:t>
      </w:r>
      <w:r w:rsidR="00820582" w:rsidRPr="003D3F7B">
        <w:rPr>
          <w:sz w:val="22"/>
        </w:rPr>
        <w:t>sten van de overname aan de toekomstige voordelen, adviseert de RJ de methode waarbij goodwill wordt geactiveerd en systematisch afgeschreven over de economische levensduur (EY, 2014</w:t>
      </w:r>
      <w:r w:rsidR="003D3F7B" w:rsidRPr="003D3F7B">
        <w:rPr>
          <w:sz w:val="22"/>
        </w:rPr>
        <w:t>).</w:t>
      </w:r>
      <w:r w:rsidRPr="003D3F7B">
        <w:rPr>
          <w:sz w:val="22"/>
        </w:rPr>
        <w:t xml:space="preserve"> </w:t>
      </w:r>
      <w:r w:rsidRPr="00325CBB">
        <w:rPr>
          <w:sz w:val="22"/>
        </w:rPr>
        <w:t>De RJ is van mening dat de andere wijze van verantwoorden die de wetgever toestaat niet leiden tot het vereiste inzicht.</w:t>
      </w:r>
      <w:r w:rsidR="00820582">
        <w:rPr>
          <w:sz w:val="22"/>
        </w:rPr>
        <w:t xml:space="preserve"> </w:t>
      </w:r>
      <w:proofErr w:type="gramStart"/>
      <w:r w:rsidR="00820582" w:rsidRPr="003D3F7B">
        <w:rPr>
          <w:sz w:val="22"/>
        </w:rPr>
        <w:t xml:space="preserve">Om te begrijpen waarom goodwill zou moeten worden afgeschreven is het van belang om het verschil tussen intern gecreëerde goodwill en </w:t>
      </w:r>
      <w:r w:rsidR="006649AD" w:rsidRPr="003D3F7B">
        <w:rPr>
          <w:sz w:val="22"/>
        </w:rPr>
        <w:t>gekochte goodwill te begrijpen</w:t>
      </w:r>
      <w:r w:rsidR="00820582" w:rsidRPr="003D3F7B">
        <w:rPr>
          <w:sz w:val="22"/>
        </w:rPr>
        <w:t xml:space="preserve">. </w:t>
      </w:r>
      <w:proofErr w:type="gramEnd"/>
      <w:r w:rsidR="00E846BC" w:rsidRPr="00E846BC">
        <w:rPr>
          <w:sz w:val="22"/>
        </w:rPr>
        <w:t>Gekochte goodwill dat wordt geactiveerd in de balans bij een acquisitie wordt ook wel beschouwd als de overwinsten van de overgenomen onderneming. Zolang de economische winsten van activiteiten van de overgenomen onderneming nog worden ontvangen door de deelnemende partij</w:t>
      </w:r>
      <w:r w:rsidR="00E846BC">
        <w:rPr>
          <w:sz w:val="22"/>
        </w:rPr>
        <w:t>, dan worden</w:t>
      </w:r>
      <w:r w:rsidR="00E846BC" w:rsidRPr="00E846BC">
        <w:rPr>
          <w:sz w:val="22"/>
        </w:rPr>
        <w:t xml:space="preserve"> deze overwinsten verantwoord in de balans</w:t>
      </w:r>
      <w:sdt>
        <w:sdtPr>
          <w:rPr>
            <w:sz w:val="22"/>
          </w:rPr>
          <w:id w:val="1406723710"/>
          <w:citation/>
        </w:sdtPr>
        <w:sdtContent>
          <w:r w:rsidR="00C61760" w:rsidRPr="00E846BC">
            <w:rPr>
              <w:sz w:val="22"/>
            </w:rPr>
            <w:fldChar w:fldCharType="begin"/>
          </w:r>
          <w:r w:rsidR="00E846BC" w:rsidRPr="00E846BC">
            <w:rPr>
              <w:sz w:val="22"/>
            </w:rPr>
            <w:instrText xml:space="preserve"> CITATION RDA14 \l 1043 </w:instrText>
          </w:r>
          <w:r w:rsidR="00C61760" w:rsidRPr="00E846BC">
            <w:rPr>
              <w:sz w:val="22"/>
            </w:rPr>
            <w:fldChar w:fldCharType="separate"/>
          </w:r>
          <w:r w:rsidR="00E846BC" w:rsidRPr="00E846BC">
            <w:rPr>
              <w:noProof/>
              <w:sz w:val="22"/>
            </w:rPr>
            <w:t xml:space="preserve"> (Achaibersing &amp; Esseboom, 2014)</w:t>
          </w:r>
          <w:r w:rsidR="00C61760" w:rsidRPr="00E846BC">
            <w:rPr>
              <w:sz w:val="22"/>
            </w:rPr>
            <w:fldChar w:fldCharType="end"/>
          </w:r>
        </w:sdtContent>
      </w:sdt>
      <w:r w:rsidR="00E846BC" w:rsidRPr="00E846BC">
        <w:rPr>
          <w:sz w:val="22"/>
        </w:rPr>
        <w:t xml:space="preserve">. </w:t>
      </w:r>
      <w:r w:rsidR="000B7675" w:rsidRPr="003D3F7B">
        <w:rPr>
          <w:sz w:val="22"/>
        </w:rPr>
        <w:t>In het artikel van Hoogendoorn wordt gesteld dat na een acquisitie van een deelneming, er een transformatie optreedt van de gekochte goodwill naar zelfgecreëerde goodwill (Hoogendoorn, 2002). Indien er niet wordt afgeschreven op goodwill zal de zelfgecreëerde goodwill in de balans verschijnen, in dit gev</w:t>
      </w:r>
      <w:r w:rsidR="007171AA" w:rsidRPr="003D3F7B">
        <w:rPr>
          <w:sz w:val="22"/>
        </w:rPr>
        <w:t xml:space="preserve">al geeft de post goodwill geen juiste weerspiegeling van de </w:t>
      </w:r>
      <w:r w:rsidR="007171AA" w:rsidRPr="003D3F7B">
        <w:rPr>
          <w:sz w:val="22"/>
        </w:rPr>
        <w:lastRenderedPageBreak/>
        <w:t xml:space="preserve">werkelijke waarde en zijn financiële kengetalen waarbij de waarde van goodwill is gebruikt niet betrouwbaar. Dit is ook de reden waarom goodwill moet worden </w:t>
      </w:r>
      <w:proofErr w:type="gramStart"/>
      <w:r w:rsidR="007171AA" w:rsidRPr="003D3F7B">
        <w:rPr>
          <w:sz w:val="22"/>
        </w:rPr>
        <w:t xml:space="preserve">afgeschreven.    </w:t>
      </w:r>
      <w:proofErr w:type="gramEnd"/>
    </w:p>
    <w:p w:rsidR="00673570" w:rsidRDefault="00806C28" w:rsidP="00E23E9A">
      <w:pPr>
        <w:pStyle w:val="Heading3"/>
        <w:numPr>
          <w:ilvl w:val="2"/>
          <w:numId w:val="5"/>
        </w:numPr>
        <w:spacing w:line="360" w:lineRule="auto"/>
        <w:rPr>
          <w:rFonts w:asciiTheme="minorHAnsi" w:hAnsiTheme="minorHAnsi"/>
          <w:b/>
          <w:sz w:val="22"/>
          <w:szCs w:val="22"/>
        </w:rPr>
      </w:pPr>
      <w:bookmarkStart w:id="12" w:name="_Toc425532293"/>
      <w:r w:rsidRPr="00325CBB">
        <w:rPr>
          <w:rFonts w:asciiTheme="minorHAnsi" w:hAnsiTheme="minorHAnsi"/>
          <w:b/>
          <w:sz w:val="22"/>
          <w:szCs w:val="22"/>
        </w:rPr>
        <w:t>Direct ten laste van het resultaat</w:t>
      </w:r>
      <w:bookmarkEnd w:id="12"/>
    </w:p>
    <w:p w:rsidR="001B6400" w:rsidRPr="003D3F7B" w:rsidRDefault="007171AA" w:rsidP="00E23E9A">
      <w:pPr>
        <w:spacing w:line="360" w:lineRule="auto"/>
      </w:pPr>
      <w:r w:rsidRPr="003D3F7B">
        <w:t xml:space="preserve">Goodwill gelijk ten laste brengen van de winst- en verlies rekening kan een negatief effect hebben op de </w:t>
      </w:r>
      <w:r w:rsidR="001B6400" w:rsidRPr="003D3F7B">
        <w:t>financiële kengetalen van de een onderneming</w:t>
      </w:r>
      <w:proofErr w:type="gramStart"/>
      <w:r w:rsidR="001B6400" w:rsidRPr="003D3F7B">
        <w:t>, wat</w:t>
      </w:r>
      <w:proofErr w:type="gramEnd"/>
      <w:r w:rsidR="001B6400" w:rsidRPr="003D3F7B">
        <w:t xml:space="preserve"> op zijn beurt kan leiden tot een ongunstige beeld voor (potentiele) investeerders </w:t>
      </w:r>
      <w:sdt>
        <w:sdtPr>
          <w:id w:val="1410741167"/>
          <w:citation/>
        </w:sdtPr>
        <w:sdtContent>
          <w:r w:rsidR="00C61760" w:rsidRPr="003D3F7B">
            <w:fldChar w:fldCharType="begin"/>
          </w:r>
          <w:r w:rsidR="001B6400" w:rsidRPr="003D3F7B">
            <w:instrText xml:space="preserve"> CITATION CSt86 \l 1033 </w:instrText>
          </w:r>
          <w:r w:rsidR="00C61760" w:rsidRPr="003D3F7B">
            <w:fldChar w:fldCharType="separate"/>
          </w:r>
          <w:r w:rsidR="001B6400" w:rsidRPr="003D3F7B">
            <w:rPr>
              <w:noProof/>
            </w:rPr>
            <w:t>(Sterk &amp; Veenstra, 1986)</w:t>
          </w:r>
          <w:r w:rsidR="00C61760" w:rsidRPr="003D3F7B">
            <w:fldChar w:fldCharType="end"/>
          </w:r>
        </w:sdtContent>
      </w:sdt>
      <w:r w:rsidR="001B6400" w:rsidRPr="003D3F7B">
        <w:t xml:space="preserve">. Ter illustratie hiervan volgt het volgende voorbeeld: </w:t>
      </w:r>
    </w:p>
    <w:p w:rsidR="00806C28" w:rsidRPr="001B6400" w:rsidRDefault="001B6400" w:rsidP="00E23E9A">
      <w:pPr>
        <w:spacing w:line="360" w:lineRule="auto"/>
      </w:pPr>
      <w:r>
        <w:rPr>
          <w:noProof/>
          <w:lang w:val="en-US"/>
        </w:rPr>
        <w:drawing>
          <wp:inline distT="0" distB="0" distL="0" distR="0">
            <wp:extent cx="5731510" cy="1997710"/>
            <wp:effectExtent l="0" t="0" r="2540" b="2540"/>
            <wp:docPr id="7"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1997710"/>
                    </a:xfrm>
                    <a:prstGeom prst="rect">
                      <a:avLst/>
                    </a:prstGeom>
                  </pic:spPr>
                </pic:pic>
              </a:graphicData>
            </a:graphic>
          </wp:inline>
        </w:drawing>
      </w:r>
    </w:p>
    <w:p w:rsidR="007E10FC" w:rsidRPr="00325CBB" w:rsidRDefault="007E10FC" w:rsidP="00E23E9A">
      <w:pPr>
        <w:pStyle w:val="Heading3"/>
        <w:numPr>
          <w:ilvl w:val="2"/>
          <w:numId w:val="5"/>
        </w:numPr>
        <w:spacing w:line="360" w:lineRule="auto"/>
        <w:rPr>
          <w:rFonts w:asciiTheme="minorHAnsi" w:hAnsiTheme="minorHAnsi"/>
          <w:b/>
          <w:sz w:val="22"/>
          <w:szCs w:val="22"/>
        </w:rPr>
      </w:pPr>
      <w:bookmarkStart w:id="13" w:name="_Toc425532294"/>
      <w:r w:rsidRPr="00325CBB">
        <w:rPr>
          <w:rFonts w:asciiTheme="minorHAnsi" w:hAnsiTheme="minorHAnsi"/>
          <w:b/>
          <w:sz w:val="22"/>
          <w:szCs w:val="22"/>
        </w:rPr>
        <w:t>Direct ten laste van het eigen vermogen</w:t>
      </w:r>
      <w:bookmarkEnd w:id="13"/>
    </w:p>
    <w:p w:rsidR="007E10FC" w:rsidRPr="008A60E1" w:rsidRDefault="009203D7" w:rsidP="00E23E9A">
      <w:pPr>
        <w:spacing w:line="360" w:lineRule="auto"/>
        <w:rPr>
          <w:color w:val="FF0000"/>
          <w:sz w:val="22"/>
        </w:rPr>
      </w:pPr>
      <w:r w:rsidRPr="003D3F7B">
        <w:rPr>
          <w:sz w:val="22"/>
        </w:rPr>
        <w:t>Het resultaat wordt niet direct beïnvloedt bij de verantwoordingswijze waarbij goodwill geheel ten laste wordt gebracht van het eigenvermogen. D</w:t>
      </w:r>
      <w:r w:rsidR="003D3F7B" w:rsidRPr="003D3F7B">
        <w:rPr>
          <w:sz w:val="22"/>
        </w:rPr>
        <w:t>e nettowinst blijft onveranderd</w:t>
      </w:r>
      <w:r w:rsidRPr="003D3F7B">
        <w:rPr>
          <w:sz w:val="22"/>
        </w:rPr>
        <w:t xml:space="preserve"> en kan zelfs stijgen door een </w:t>
      </w:r>
      <w:proofErr w:type="gramStart"/>
      <w:r w:rsidRPr="003D3F7B">
        <w:rPr>
          <w:sz w:val="22"/>
        </w:rPr>
        <w:t>positieve</w:t>
      </w:r>
      <w:proofErr w:type="gramEnd"/>
      <w:r w:rsidRPr="003D3F7B">
        <w:rPr>
          <w:sz w:val="22"/>
        </w:rPr>
        <w:t xml:space="preserve"> resultaat </w:t>
      </w:r>
      <w:r w:rsidR="00B92333" w:rsidRPr="003D3F7B">
        <w:rPr>
          <w:sz w:val="22"/>
        </w:rPr>
        <w:t>van de overgenomen onderneming. H</w:t>
      </w:r>
      <w:r w:rsidRPr="003D3F7B">
        <w:rPr>
          <w:sz w:val="22"/>
        </w:rPr>
        <w:t>ierdoor zou kunnen worden gesteld dat goodwill ten laste brengen van het eigenvermogen resulteert in een gunstiger rentabiliteitswaarde</w:t>
      </w:r>
      <w:r w:rsidR="00B92333" w:rsidRPr="003D3F7B">
        <w:rPr>
          <w:sz w:val="22"/>
        </w:rPr>
        <w:t xml:space="preserve"> wat leidt tot een </w:t>
      </w:r>
      <w:proofErr w:type="gramStart"/>
      <w:r w:rsidR="00B92333" w:rsidRPr="003D3F7B">
        <w:rPr>
          <w:sz w:val="22"/>
        </w:rPr>
        <w:t>gunstige</w:t>
      </w:r>
      <w:proofErr w:type="gramEnd"/>
      <w:r w:rsidR="00B92333" w:rsidRPr="003D3F7B">
        <w:rPr>
          <w:sz w:val="22"/>
        </w:rPr>
        <w:t xml:space="preserve"> beeld voor belanghebbende en investeerders </w:t>
      </w:r>
      <w:sdt>
        <w:sdtPr>
          <w:rPr>
            <w:sz w:val="22"/>
          </w:rPr>
          <w:id w:val="-1832207198"/>
          <w:citation/>
        </w:sdtPr>
        <w:sdtContent>
          <w:r w:rsidR="00C61760" w:rsidRPr="003D3F7B">
            <w:rPr>
              <w:sz w:val="22"/>
            </w:rPr>
            <w:fldChar w:fldCharType="begin"/>
          </w:r>
          <w:r w:rsidRPr="003D3F7B">
            <w:rPr>
              <w:sz w:val="22"/>
            </w:rPr>
            <w:instrText xml:space="preserve"> CITATION RDA14 \l 1033 </w:instrText>
          </w:r>
          <w:r w:rsidR="00C61760" w:rsidRPr="003D3F7B">
            <w:rPr>
              <w:sz w:val="22"/>
            </w:rPr>
            <w:fldChar w:fldCharType="separate"/>
          </w:r>
          <w:r w:rsidRPr="003D3F7B">
            <w:rPr>
              <w:noProof/>
              <w:sz w:val="22"/>
            </w:rPr>
            <w:t xml:space="preserve"> (Achaibersing &amp; Esseboom, 2014)</w:t>
          </w:r>
          <w:r w:rsidR="00C61760" w:rsidRPr="003D3F7B">
            <w:rPr>
              <w:sz w:val="22"/>
            </w:rPr>
            <w:fldChar w:fldCharType="end"/>
          </w:r>
        </w:sdtContent>
      </w:sdt>
      <w:r w:rsidR="00B92333" w:rsidRPr="003D3F7B">
        <w:rPr>
          <w:sz w:val="22"/>
        </w:rPr>
        <w:t xml:space="preserve">. </w:t>
      </w:r>
      <w:r w:rsidR="008A60E1" w:rsidRPr="003D3F7B">
        <w:rPr>
          <w:sz w:val="22"/>
        </w:rPr>
        <w:t>Een van de argumenten van</w:t>
      </w:r>
      <w:r w:rsidR="00B92333" w:rsidRPr="003D3F7B">
        <w:rPr>
          <w:sz w:val="22"/>
        </w:rPr>
        <w:t xml:space="preserve"> Hoogendoorn</w:t>
      </w:r>
      <w:r w:rsidR="008A60E1" w:rsidRPr="003D3F7B">
        <w:rPr>
          <w:sz w:val="22"/>
        </w:rPr>
        <w:t xml:space="preserve"> ten gunste voor</w:t>
      </w:r>
      <w:r w:rsidR="00B92333" w:rsidRPr="003D3F7B">
        <w:rPr>
          <w:sz w:val="22"/>
        </w:rPr>
        <w:t xml:space="preserve"> de methode waarbij goodwill wordt verantwoordt in </w:t>
      </w:r>
      <w:proofErr w:type="gramStart"/>
      <w:r w:rsidR="00B92333" w:rsidRPr="003D3F7B">
        <w:rPr>
          <w:sz w:val="22"/>
        </w:rPr>
        <w:t>de</w:t>
      </w:r>
      <w:proofErr w:type="gramEnd"/>
      <w:r w:rsidR="00B92333" w:rsidRPr="003D3F7B">
        <w:rPr>
          <w:sz w:val="22"/>
        </w:rPr>
        <w:t xml:space="preserve"> eigen vermogen is gebaseerd op de voorzichtigheidsbeginsel. </w:t>
      </w:r>
      <w:r w:rsidR="008A60E1" w:rsidRPr="003D3F7B">
        <w:rPr>
          <w:sz w:val="22"/>
        </w:rPr>
        <w:t>Hierbij</w:t>
      </w:r>
      <w:r w:rsidR="00B92333" w:rsidRPr="003D3F7B">
        <w:rPr>
          <w:sz w:val="22"/>
        </w:rPr>
        <w:t xml:space="preserve"> wordt uitgegaan dat de waarde van goodwill onzeker is en het op basis van </w:t>
      </w:r>
      <w:proofErr w:type="gramStart"/>
      <w:r w:rsidR="00B92333" w:rsidRPr="003D3F7B">
        <w:rPr>
          <w:sz w:val="22"/>
        </w:rPr>
        <w:t>de</w:t>
      </w:r>
      <w:proofErr w:type="gramEnd"/>
      <w:r w:rsidR="00B92333" w:rsidRPr="003D3F7B">
        <w:rPr>
          <w:sz w:val="22"/>
        </w:rPr>
        <w:t xml:space="preserve"> voorzichtigheidsbeginsel beter is om de goodwill in een keer ten laste van de eigenvermogen te brengen</w:t>
      </w:r>
      <w:sdt>
        <w:sdtPr>
          <w:rPr>
            <w:sz w:val="22"/>
          </w:rPr>
          <w:id w:val="19218280"/>
          <w:citation/>
        </w:sdtPr>
        <w:sdtContent>
          <w:r w:rsidR="00C61760" w:rsidRPr="003D3F7B">
            <w:rPr>
              <w:sz w:val="22"/>
            </w:rPr>
            <w:fldChar w:fldCharType="begin"/>
          </w:r>
          <w:r w:rsidR="00BA38D2" w:rsidRPr="003D3F7B">
            <w:rPr>
              <w:sz w:val="22"/>
            </w:rPr>
            <w:instrText xml:space="preserve"> CITATION Hoo02 \l 1033 </w:instrText>
          </w:r>
          <w:r w:rsidR="00C61760" w:rsidRPr="003D3F7B">
            <w:rPr>
              <w:sz w:val="22"/>
            </w:rPr>
            <w:fldChar w:fldCharType="separate"/>
          </w:r>
          <w:r w:rsidR="00BA38D2" w:rsidRPr="003D3F7B">
            <w:rPr>
              <w:noProof/>
              <w:sz w:val="22"/>
            </w:rPr>
            <w:t xml:space="preserve"> (Hoogendoorn, 2002)</w:t>
          </w:r>
          <w:r w:rsidR="00C61760" w:rsidRPr="003D3F7B">
            <w:rPr>
              <w:sz w:val="22"/>
            </w:rPr>
            <w:fldChar w:fldCharType="end"/>
          </w:r>
        </w:sdtContent>
      </w:sdt>
      <w:r w:rsidR="00B92333" w:rsidRPr="003D3F7B">
        <w:rPr>
          <w:sz w:val="22"/>
        </w:rPr>
        <w:t xml:space="preserve">. </w:t>
      </w:r>
      <w:r w:rsidR="008A60E1" w:rsidRPr="003D3F7B">
        <w:rPr>
          <w:sz w:val="22"/>
        </w:rPr>
        <w:t>Het tweede argument van Hogendoorn is dat er bij deze methode</w:t>
      </w:r>
      <w:r w:rsidR="004000A4" w:rsidRPr="003D3F7B">
        <w:rPr>
          <w:sz w:val="22"/>
        </w:rPr>
        <w:t>, de acquisitie geen</w:t>
      </w:r>
      <w:r w:rsidR="008A60E1" w:rsidRPr="003D3F7B">
        <w:rPr>
          <w:sz w:val="22"/>
        </w:rPr>
        <w:t xml:space="preserve"> negatieve effect heeft op de nettowinst t.o.v. </w:t>
      </w:r>
      <w:r w:rsidR="004000A4" w:rsidRPr="003D3F7B">
        <w:rPr>
          <w:sz w:val="22"/>
        </w:rPr>
        <w:t>andere verwerkingswijzen</w:t>
      </w:r>
      <w:r w:rsidR="008A60E1" w:rsidRPr="003D3F7B">
        <w:rPr>
          <w:sz w:val="22"/>
        </w:rPr>
        <w:t xml:space="preserve">. </w:t>
      </w:r>
    </w:p>
    <w:p w:rsidR="00283648" w:rsidRPr="00325CBB" w:rsidRDefault="00283648" w:rsidP="00E23E9A">
      <w:pPr>
        <w:pStyle w:val="Heading3"/>
        <w:spacing w:line="360" w:lineRule="auto"/>
        <w:ind w:left="720"/>
        <w:rPr>
          <w:rFonts w:asciiTheme="minorHAnsi" w:hAnsiTheme="minorHAnsi"/>
          <w:b/>
          <w:sz w:val="22"/>
          <w:szCs w:val="22"/>
        </w:rPr>
      </w:pPr>
      <w:bookmarkStart w:id="14" w:name="_Toc425532295"/>
      <w:r w:rsidRPr="00325CBB">
        <w:rPr>
          <w:rFonts w:asciiTheme="minorHAnsi" w:hAnsiTheme="minorHAnsi"/>
          <w:b/>
          <w:sz w:val="22"/>
          <w:szCs w:val="22"/>
        </w:rPr>
        <w:t>3.1.6</w:t>
      </w:r>
      <w:r w:rsidRPr="00325CBB">
        <w:rPr>
          <w:rFonts w:asciiTheme="minorHAnsi" w:hAnsiTheme="minorHAnsi"/>
          <w:b/>
          <w:sz w:val="22"/>
          <w:szCs w:val="22"/>
        </w:rPr>
        <w:tab/>
        <w:t>Presentatie en toelichting</w:t>
      </w:r>
      <w:bookmarkEnd w:id="14"/>
    </w:p>
    <w:p w:rsidR="00283648" w:rsidRPr="00325CBB" w:rsidRDefault="00283648" w:rsidP="00E23E9A">
      <w:pPr>
        <w:spacing w:line="360" w:lineRule="auto"/>
        <w:rPr>
          <w:sz w:val="22"/>
        </w:rPr>
      </w:pPr>
      <w:r w:rsidRPr="00325CBB">
        <w:rPr>
          <w:sz w:val="22"/>
        </w:rPr>
        <w:t xml:space="preserve">Voor de verworven goodwill moet een toelichting op de balans worden gerapporteerd </w:t>
      </w:r>
      <w:sdt>
        <w:sdtPr>
          <w:rPr>
            <w:sz w:val="22"/>
          </w:rPr>
          <w:id w:val="-44454309"/>
          <w:citation/>
        </w:sdtPr>
        <w:sdtContent>
          <w:r w:rsidR="00C61760" w:rsidRPr="00325CBB">
            <w:rPr>
              <w:sz w:val="22"/>
            </w:rPr>
            <w:fldChar w:fldCharType="begin"/>
          </w:r>
          <w:r w:rsidRPr="00325CBB">
            <w:rPr>
              <w:sz w:val="22"/>
            </w:rPr>
            <w:instrText xml:space="preserve"> CITATION EY14 \l 1043 </w:instrText>
          </w:r>
          <w:r w:rsidR="00C61760" w:rsidRPr="00325CBB">
            <w:rPr>
              <w:sz w:val="22"/>
            </w:rPr>
            <w:fldChar w:fldCharType="separate"/>
          </w:r>
          <w:r w:rsidR="00B12BDC" w:rsidRPr="00B12BDC">
            <w:rPr>
              <w:noProof/>
              <w:sz w:val="22"/>
            </w:rPr>
            <w:t>(EY , 2014)</w:t>
          </w:r>
          <w:r w:rsidR="00C61760" w:rsidRPr="00325CBB">
            <w:rPr>
              <w:sz w:val="22"/>
            </w:rPr>
            <w:fldChar w:fldCharType="end"/>
          </w:r>
        </w:sdtContent>
      </w:sdt>
      <w:r w:rsidRPr="00325CBB">
        <w:rPr>
          <w:sz w:val="22"/>
        </w:rPr>
        <w:t xml:space="preserve">. In deze toelichting moet minimaal de toegepaste afschrijvingsperiode worden gerapporteerd. Andere toelichtingen zijn afhankelijk van keuzes die zijn uitgevoerd betreffende de afschrijvingsmethodiek </w:t>
      </w:r>
      <w:r w:rsidRPr="00325CBB">
        <w:rPr>
          <w:sz w:val="22"/>
        </w:rPr>
        <w:lastRenderedPageBreak/>
        <w:t>of de afschrijvingsperiode</w:t>
      </w:r>
      <w:sdt>
        <w:sdtPr>
          <w:rPr>
            <w:sz w:val="22"/>
          </w:rPr>
          <w:id w:val="-1827889830"/>
          <w:citation/>
        </w:sdtPr>
        <w:sdtContent>
          <w:r w:rsidR="00C61760" w:rsidRPr="00325CBB">
            <w:rPr>
              <w:sz w:val="22"/>
            </w:rPr>
            <w:fldChar w:fldCharType="begin"/>
          </w:r>
          <w:r w:rsidRPr="00325CBB">
            <w:rPr>
              <w:sz w:val="22"/>
            </w:rPr>
            <w:instrText xml:space="preserve"> CITATION EY14 \l 1043 </w:instrText>
          </w:r>
          <w:r w:rsidR="00C61760" w:rsidRPr="00325CBB">
            <w:rPr>
              <w:sz w:val="22"/>
            </w:rPr>
            <w:fldChar w:fldCharType="separate"/>
          </w:r>
          <w:r w:rsidR="00B12BDC">
            <w:rPr>
              <w:noProof/>
              <w:sz w:val="22"/>
            </w:rPr>
            <w:t xml:space="preserve"> </w:t>
          </w:r>
          <w:r w:rsidR="00B12BDC" w:rsidRPr="00B12BDC">
            <w:rPr>
              <w:noProof/>
              <w:sz w:val="22"/>
            </w:rPr>
            <w:t>(EY , 2014)</w:t>
          </w:r>
          <w:r w:rsidR="00C61760" w:rsidRPr="00325CBB">
            <w:rPr>
              <w:sz w:val="22"/>
            </w:rPr>
            <w:fldChar w:fldCharType="end"/>
          </w:r>
        </w:sdtContent>
      </w:sdt>
      <w:r w:rsidRPr="00325CBB">
        <w:rPr>
          <w:sz w:val="22"/>
        </w:rPr>
        <w:t>. Indien de afschrijving langer is dan 5 jaar moet in de toelichting worden gerapporteerd wat de factoren zijn die dit veroorzaken. Eveneens kan gekozen worden voor een andere afschrijvingsmethodiek dan een lineaire afschrijving</w:t>
      </w:r>
      <w:sdt>
        <w:sdtPr>
          <w:rPr>
            <w:sz w:val="22"/>
          </w:rPr>
          <w:id w:val="-295758488"/>
          <w:citation/>
        </w:sdtPr>
        <w:sdtContent>
          <w:r w:rsidR="00C61760" w:rsidRPr="00325CBB">
            <w:rPr>
              <w:sz w:val="22"/>
            </w:rPr>
            <w:fldChar w:fldCharType="begin"/>
          </w:r>
          <w:r w:rsidRPr="00325CBB">
            <w:rPr>
              <w:sz w:val="22"/>
            </w:rPr>
            <w:instrText xml:space="preserve"> CITATION EY14 \l 1043 </w:instrText>
          </w:r>
          <w:r w:rsidR="00C61760" w:rsidRPr="00325CBB">
            <w:rPr>
              <w:sz w:val="22"/>
            </w:rPr>
            <w:fldChar w:fldCharType="separate"/>
          </w:r>
          <w:r w:rsidR="00B12BDC">
            <w:rPr>
              <w:noProof/>
              <w:sz w:val="22"/>
            </w:rPr>
            <w:t xml:space="preserve"> </w:t>
          </w:r>
          <w:r w:rsidR="00B12BDC" w:rsidRPr="00B12BDC">
            <w:rPr>
              <w:noProof/>
              <w:sz w:val="22"/>
            </w:rPr>
            <w:t>(EY , 2014)</w:t>
          </w:r>
          <w:r w:rsidR="00C61760" w:rsidRPr="00325CBB">
            <w:rPr>
              <w:sz w:val="22"/>
            </w:rPr>
            <w:fldChar w:fldCharType="end"/>
          </w:r>
        </w:sdtContent>
      </w:sdt>
      <w:r w:rsidRPr="00325CBB">
        <w:rPr>
          <w:sz w:val="22"/>
        </w:rPr>
        <w:t>. In dat geval moet worden toegelicht welke afschrijvingsmethode is gekozen en waarom deze methode van toepassing is. Ten s</w:t>
      </w:r>
      <w:r w:rsidR="00116B4B">
        <w:rPr>
          <w:sz w:val="22"/>
        </w:rPr>
        <w:t xml:space="preserve">lotte moet het </w:t>
      </w:r>
      <w:r w:rsidR="004000A4">
        <w:rPr>
          <w:sz w:val="22"/>
        </w:rPr>
        <w:t xml:space="preserve">mutatieoverzicht </w:t>
      </w:r>
      <w:r w:rsidRPr="00325CBB">
        <w:rPr>
          <w:sz w:val="22"/>
        </w:rPr>
        <w:t>gerapporteerd worden over de boekwaarde van de goodwill</w:t>
      </w:r>
      <w:sdt>
        <w:sdtPr>
          <w:rPr>
            <w:sz w:val="22"/>
          </w:rPr>
          <w:id w:val="-1748107290"/>
          <w:citation/>
        </w:sdtPr>
        <w:sdtContent>
          <w:r w:rsidR="00C61760" w:rsidRPr="00325CBB">
            <w:rPr>
              <w:sz w:val="22"/>
            </w:rPr>
            <w:fldChar w:fldCharType="begin"/>
          </w:r>
          <w:r w:rsidRPr="00325CBB">
            <w:rPr>
              <w:sz w:val="22"/>
            </w:rPr>
            <w:instrText xml:space="preserve"> CITATION EY14 \l 1043 </w:instrText>
          </w:r>
          <w:r w:rsidR="00C61760" w:rsidRPr="00325CBB">
            <w:rPr>
              <w:sz w:val="22"/>
            </w:rPr>
            <w:fldChar w:fldCharType="separate"/>
          </w:r>
          <w:r w:rsidR="00B12BDC">
            <w:rPr>
              <w:noProof/>
              <w:sz w:val="22"/>
            </w:rPr>
            <w:t xml:space="preserve"> </w:t>
          </w:r>
          <w:r w:rsidR="00B12BDC" w:rsidRPr="00B12BDC">
            <w:rPr>
              <w:noProof/>
              <w:sz w:val="22"/>
            </w:rPr>
            <w:t>(EY , 2014)</w:t>
          </w:r>
          <w:r w:rsidR="00C61760" w:rsidRPr="00325CBB">
            <w:rPr>
              <w:sz w:val="22"/>
            </w:rPr>
            <w:fldChar w:fldCharType="end"/>
          </w:r>
        </w:sdtContent>
      </w:sdt>
      <w:r w:rsidRPr="00325CBB">
        <w:rPr>
          <w:sz w:val="22"/>
        </w:rPr>
        <w:t>.</w:t>
      </w:r>
    </w:p>
    <w:p w:rsidR="006F5B97" w:rsidRPr="00325CBB" w:rsidRDefault="00510297" w:rsidP="00E23E9A">
      <w:pPr>
        <w:pStyle w:val="Heading3"/>
        <w:spacing w:line="360" w:lineRule="auto"/>
        <w:ind w:left="720"/>
        <w:rPr>
          <w:rFonts w:asciiTheme="minorHAnsi" w:hAnsiTheme="minorHAnsi"/>
          <w:b/>
          <w:sz w:val="22"/>
          <w:szCs w:val="22"/>
        </w:rPr>
      </w:pPr>
      <w:bookmarkStart w:id="15" w:name="_Toc425532296"/>
      <w:r w:rsidRPr="00325CBB">
        <w:rPr>
          <w:rFonts w:asciiTheme="minorHAnsi" w:hAnsiTheme="minorHAnsi"/>
          <w:b/>
          <w:sz w:val="22"/>
          <w:szCs w:val="22"/>
        </w:rPr>
        <w:t>3.2</w:t>
      </w:r>
      <w:r w:rsidR="006F5B97" w:rsidRPr="00325CBB">
        <w:rPr>
          <w:rFonts w:asciiTheme="minorHAnsi" w:hAnsiTheme="minorHAnsi"/>
          <w:b/>
          <w:sz w:val="22"/>
          <w:szCs w:val="22"/>
        </w:rPr>
        <w:t xml:space="preserve"> Verantwoording van goodwill op basis van IFRS</w:t>
      </w:r>
      <w:bookmarkEnd w:id="15"/>
    </w:p>
    <w:p w:rsidR="006F5B97" w:rsidRPr="00325CBB" w:rsidRDefault="006F5B97" w:rsidP="00E23E9A">
      <w:pPr>
        <w:spacing w:line="360" w:lineRule="auto"/>
        <w:rPr>
          <w:sz w:val="22"/>
        </w:rPr>
      </w:pPr>
      <w:r w:rsidRPr="00325CBB">
        <w:rPr>
          <w:sz w:val="22"/>
        </w:rPr>
        <w:t xml:space="preserve">De verantwoording van goodwill is in de jaren steeds veranderd. In 1993 is de rechtstreekse verantwoording in het eigen vermogen verboden. Een andere wijze van verantwoording, de </w:t>
      </w:r>
      <w:proofErr w:type="spellStart"/>
      <w:r w:rsidRPr="00325CBB">
        <w:rPr>
          <w:sz w:val="22"/>
        </w:rPr>
        <w:t>purchase</w:t>
      </w:r>
      <w:proofErr w:type="spellEnd"/>
      <w:r w:rsidRPr="00325CBB">
        <w:rPr>
          <w:sz w:val="22"/>
        </w:rPr>
        <w:t xml:space="preserve"> methode evenals de pooling of interest methode hield stand tot het jaar 2004. </w:t>
      </w:r>
      <w:r w:rsidR="004000A4" w:rsidRPr="003D3F7B">
        <w:rPr>
          <w:sz w:val="22"/>
        </w:rPr>
        <w:t>De amortisatie van goodwill werd later in 2004 niet meer erkend.</w:t>
      </w:r>
      <w:r w:rsidR="004000A4">
        <w:rPr>
          <w:sz w:val="22"/>
        </w:rPr>
        <w:t xml:space="preserve"> </w:t>
      </w:r>
      <w:r w:rsidRPr="00325CBB">
        <w:rPr>
          <w:sz w:val="22"/>
        </w:rPr>
        <w:t xml:space="preserve">Op dit moment zijn de toegestane </w:t>
      </w:r>
      <w:r w:rsidRPr="00116B4B">
        <w:rPr>
          <w:sz w:val="22"/>
        </w:rPr>
        <w:t>wijze</w:t>
      </w:r>
      <w:r w:rsidR="007C4949" w:rsidRPr="00116B4B">
        <w:rPr>
          <w:sz w:val="22"/>
        </w:rPr>
        <w:t>n</w:t>
      </w:r>
      <w:r w:rsidRPr="00325CBB">
        <w:rPr>
          <w:sz w:val="22"/>
        </w:rPr>
        <w:t xml:space="preserve"> de jaarlijkse </w:t>
      </w:r>
      <w:proofErr w:type="spellStart"/>
      <w:r w:rsidRPr="00325CBB">
        <w:rPr>
          <w:sz w:val="22"/>
        </w:rPr>
        <w:t>impairment</w:t>
      </w:r>
      <w:proofErr w:type="spellEnd"/>
      <w:r w:rsidRPr="00325CBB">
        <w:rPr>
          <w:sz w:val="22"/>
        </w:rPr>
        <w:t xml:space="preserve"> test en de </w:t>
      </w:r>
      <w:proofErr w:type="spellStart"/>
      <w:r w:rsidRPr="00325CBB">
        <w:rPr>
          <w:sz w:val="22"/>
        </w:rPr>
        <w:t>impairment</w:t>
      </w:r>
      <w:proofErr w:type="spellEnd"/>
      <w:r w:rsidRPr="00325CBB">
        <w:rPr>
          <w:sz w:val="22"/>
        </w:rPr>
        <w:t xml:space="preserve"> test wanneer er indicaties zijn dat de realiseerbare waarde van goodwill lager is dan de </w:t>
      </w:r>
      <w:r w:rsidR="004000A4" w:rsidRPr="00325CBB">
        <w:rPr>
          <w:sz w:val="22"/>
        </w:rPr>
        <w:t xml:space="preserve">boekwaarde. </w:t>
      </w:r>
    </w:p>
    <w:p w:rsidR="006F5B97" w:rsidRPr="00325CBB" w:rsidRDefault="004000A4" w:rsidP="00E23E9A">
      <w:pPr>
        <w:spacing w:line="360" w:lineRule="auto"/>
        <w:contextualSpacing/>
        <w:rPr>
          <w:b/>
          <w:sz w:val="22"/>
        </w:rPr>
      </w:pPr>
      <w:r w:rsidRPr="003D3F7B">
        <w:rPr>
          <w:sz w:val="22"/>
        </w:rPr>
        <w:t>Beursgenoteerde ondernemingen in de Europese Unie zijn sinds 2005 verplicht IFRS toe te passen bij het opstellen van de geconsolideerde jaarrekening</w:t>
      </w:r>
      <w:sdt>
        <w:sdtPr>
          <w:rPr>
            <w:sz w:val="22"/>
          </w:rPr>
          <w:id w:val="-1623294466"/>
          <w:citation/>
        </w:sdtPr>
        <w:sdtContent>
          <w:r w:rsidR="00C61760" w:rsidRPr="003D3F7B">
            <w:rPr>
              <w:sz w:val="22"/>
            </w:rPr>
            <w:fldChar w:fldCharType="begin"/>
          </w:r>
          <w:r w:rsidRPr="003D3F7B">
            <w:rPr>
              <w:sz w:val="22"/>
            </w:rPr>
            <w:instrText xml:space="preserve"> CITATION Del13 \l 1033 </w:instrText>
          </w:r>
          <w:r w:rsidR="00C61760" w:rsidRPr="003D3F7B">
            <w:rPr>
              <w:sz w:val="22"/>
            </w:rPr>
            <w:fldChar w:fldCharType="separate"/>
          </w:r>
          <w:r w:rsidRPr="003D3F7B">
            <w:rPr>
              <w:noProof/>
              <w:sz w:val="22"/>
            </w:rPr>
            <w:t xml:space="preserve"> (Deloitte, 2013)</w:t>
          </w:r>
          <w:r w:rsidR="00C61760" w:rsidRPr="003D3F7B">
            <w:rPr>
              <w:sz w:val="22"/>
            </w:rPr>
            <w:fldChar w:fldCharType="end"/>
          </w:r>
        </w:sdtContent>
      </w:sdt>
      <w:r w:rsidRPr="003D3F7B">
        <w:rPr>
          <w:sz w:val="22"/>
        </w:rPr>
        <w:t xml:space="preserve">. </w:t>
      </w:r>
      <w:r w:rsidR="006F5B97" w:rsidRPr="003D3F7B">
        <w:rPr>
          <w:sz w:val="22"/>
        </w:rPr>
        <w:t xml:space="preserve">Voor </w:t>
      </w:r>
      <w:r w:rsidR="006F5B97" w:rsidRPr="00325CBB">
        <w:rPr>
          <w:sz w:val="22"/>
        </w:rPr>
        <w:t xml:space="preserve">de goodwill impliceert dit het </w:t>
      </w:r>
      <w:r w:rsidR="007C4949" w:rsidRPr="00116B4B">
        <w:rPr>
          <w:sz w:val="22"/>
        </w:rPr>
        <w:t>toepassen</w:t>
      </w:r>
      <w:r w:rsidR="007C4949">
        <w:rPr>
          <w:color w:val="FF0000"/>
          <w:sz w:val="22"/>
        </w:rPr>
        <w:t xml:space="preserve"> </w:t>
      </w:r>
      <w:r w:rsidR="006F5B97" w:rsidRPr="00325CBB">
        <w:rPr>
          <w:sz w:val="22"/>
        </w:rPr>
        <w:t xml:space="preserve">van jaarlijkse afschrijvingen. Na deze periode volgt de zogenoemde </w:t>
      </w:r>
      <w:proofErr w:type="spellStart"/>
      <w:r w:rsidR="006F5B97" w:rsidRPr="00325CBB">
        <w:rPr>
          <w:sz w:val="22"/>
        </w:rPr>
        <w:t>impairment</w:t>
      </w:r>
      <w:proofErr w:type="spellEnd"/>
      <w:r w:rsidR="006F5B97" w:rsidRPr="00325CBB">
        <w:rPr>
          <w:sz w:val="22"/>
        </w:rPr>
        <w:t xml:space="preserve"> test. Bij deze jaarlijkse test waarvan de voorschriften in IAS 36 ‘</w:t>
      </w:r>
      <w:proofErr w:type="spellStart"/>
      <w:r w:rsidR="006F5B97" w:rsidRPr="00325CBB">
        <w:rPr>
          <w:sz w:val="22"/>
        </w:rPr>
        <w:t>Impairment</w:t>
      </w:r>
      <w:proofErr w:type="spellEnd"/>
      <w:r w:rsidR="006F5B97" w:rsidRPr="00325CBB">
        <w:rPr>
          <w:sz w:val="22"/>
        </w:rPr>
        <w:t xml:space="preserve"> of </w:t>
      </w:r>
      <w:proofErr w:type="spellStart"/>
      <w:r w:rsidR="006F5B97" w:rsidRPr="00325CBB">
        <w:rPr>
          <w:sz w:val="22"/>
        </w:rPr>
        <w:t>Assets</w:t>
      </w:r>
      <w:proofErr w:type="spellEnd"/>
      <w:r w:rsidR="006F5B97" w:rsidRPr="00325CBB">
        <w:rPr>
          <w:sz w:val="22"/>
        </w:rPr>
        <w:t>’ zijn vastgelegd, moet de onderneming de eventuele waardevermindering inspecteren</w:t>
      </w:r>
      <w:sdt>
        <w:sdtPr>
          <w:rPr>
            <w:sz w:val="22"/>
          </w:rPr>
          <w:id w:val="-290361655"/>
          <w:citation/>
        </w:sdtPr>
        <w:sdtContent>
          <w:r w:rsidR="00C61760">
            <w:rPr>
              <w:sz w:val="22"/>
            </w:rPr>
            <w:fldChar w:fldCharType="begin"/>
          </w:r>
          <w:r w:rsidR="00116B4B">
            <w:rPr>
              <w:sz w:val="22"/>
            </w:rPr>
            <w:instrText xml:space="preserve"> CITATION EFR04 \l 1043 </w:instrText>
          </w:r>
          <w:r w:rsidR="00C61760">
            <w:rPr>
              <w:sz w:val="22"/>
            </w:rPr>
            <w:fldChar w:fldCharType="separate"/>
          </w:r>
          <w:r w:rsidR="00116B4B">
            <w:rPr>
              <w:noProof/>
              <w:sz w:val="22"/>
            </w:rPr>
            <w:t xml:space="preserve"> </w:t>
          </w:r>
          <w:r w:rsidR="00116B4B" w:rsidRPr="00116B4B">
            <w:rPr>
              <w:noProof/>
              <w:sz w:val="22"/>
            </w:rPr>
            <w:t>(EFRAG, 2004)</w:t>
          </w:r>
          <w:r w:rsidR="00C61760">
            <w:rPr>
              <w:sz w:val="22"/>
            </w:rPr>
            <w:fldChar w:fldCharType="end"/>
          </w:r>
        </w:sdtContent>
      </w:sdt>
      <w:r w:rsidR="006F5B97" w:rsidRPr="00325CBB">
        <w:rPr>
          <w:sz w:val="22"/>
        </w:rPr>
        <w:t>. Indien goodwill wordt afgeschreven over een periode langer dan twintig jaar is het op basis de RJ eveneens noodzakelijk aan het eind van ieder boekjaar de schatting uit te voeren van de realiseerbare waarde</w:t>
      </w:r>
      <w:sdt>
        <w:sdtPr>
          <w:rPr>
            <w:sz w:val="22"/>
          </w:rPr>
          <w:id w:val="765035795"/>
          <w:citation/>
        </w:sdtPr>
        <w:sdtContent>
          <w:r w:rsidR="00C61760">
            <w:rPr>
              <w:sz w:val="22"/>
            </w:rPr>
            <w:fldChar w:fldCharType="begin"/>
          </w:r>
          <w:r w:rsidR="00116B4B">
            <w:rPr>
              <w:sz w:val="22"/>
            </w:rPr>
            <w:instrText xml:space="preserve"> CITATION EY14 \l 1043 </w:instrText>
          </w:r>
          <w:r w:rsidR="00C61760">
            <w:rPr>
              <w:sz w:val="22"/>
            </w:rPr>
            <w:fldChar w:fldCharType="separate"/>
          </w:r>
          <w:r w:rsidR="00116B4B">
            <w:rPr>
              <w:noProof/>
              <w:sz w:val="22"/>
            </w:rPr>
            <w:t xml:space="preserve"> </w:t>
          </w:r>
          <w:r w:rsidR="00116B4B" w:rsidRPr="00116B4B">
            <w:rPr>
              <w:noProof/>
              <w:sz w:val="22"/>
            </w:rPr>
            <w:t>(EY , 2014)</w:t>
          </w:r>
          <w:r w:rsidR="00C61760">
            <w:rPr>
              <w:sz w:val="22"/>
            </w:rPr>
            <w:fldChar w:fldCharType="end"/>
          </w:r>
        </w:sdtContent>
      </w:sdt>
      <w:r w:rsidR="006F5B97" w:rsidRPr="00325CBB">
        <w:rPr>
          <w:sz w:val="22"/>
        </w:rPr>
        <w:t>.</w:t>
      </w:r>
      <w:r w:rsidR="009A44A1" w:rsidRPr="00325CBB">
        <w:rPr>
          <w:b/>
          <w:sz w:val="22"/>
        </w:rPr>
        <w:t xml:space="preserve"> </w:t>
      </w:r>
    </w:p>
    <w:p w:rsidR="006F5B97" w:rsidRPr="00325CBB" w:rsidRDefault="006F5B97" w:rsidP="00E23E9A">
      <w:pPr>
        <w:spacing w:line="360" w:lineRule="auto"/>
        <w:rPr>
          <w:sz w:val="22"/>
        </w:rPr>
      </w:pPr>
      <w:r w:rsidRPr="00325CBB">
        <w:rPr>
          <w:noProof/>
          <w:sz w:val="22"/>
          <w:lang w:val="en-US"/>
        </w:rPr>
        <w:lastRenderedPageBreak/>
        <w:drawing>
          <wp:inline distT="0" distB="0" distL="0" distR="0">
            <wp:extent cx="5374005" cy="3493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028" t="1778" r="10446" b="12383"/>
                    <a:stretch>
                      <a:fillRect/>
                    </a:stretch>
                  </pic:blipFill>
                  <pic:spPr bwMode="auto">
                    <a:xfrm>
                      <a:off x="0" y="0"/>
                      <a:ext cx="5374005" cy="3493770"/>
                    </a:xfrm>
                    <a:prstGeom prst="rect">
                      <a:avLst/>
                    </a:prstGeom>
                    <a:noFill/>
                    <a:ln>
                      <a:noFill/>
                    </a:ln>
                  </pic:spPr>
                </pic:pic>
              </a:graphicData>
            </a:graphic>
          </wp:inline>
        </w:drawing>
      </w:r>
    </w:p>
    <w:p w:rsidR="006F5B97" w:rsidRPr="00325CBB" w:rsidRDefault="00C61760" w:rsidP="00E23E9A">
      <w:pPr>
        <w:spacing w:line="360" w:lineRule="auto"/>
        <w:rPr>
          <w:sz w:val="22"/>
        </w:rPr>
      </w:pPr>
      <w:sdt>
        <w:sdtPr>
          <w:rPr>
            <w:sz w:val="22"/>
          </w:rPr>
          <w:id w:val="389460405"/>
          <w:citation/>
        </w:sdtPr>
        <w:sdtContent>
          <w:r w:rsidRPr="00325CBB">
            <w:rPr>
              <w:sz w:val="22"/>
            </w:rPr>
            <w:fldChar w:fldCharType="begin"/>
          </w:r>
          <w:r w:rsidR="006F5B97" w:rsidRPr="00325CBB">
            <w:rPr>
              <w:sz w:val="22"/>
            </w:rPr>
            <w:instrText xml:space="preserve"> CITATION MaN12 \l 2057 </w:instrText>
          </w:r>
          <w:r w:rsidRPr="00325CBB">
            <w:rPr>
              <w:sz w:val="22"/>
            </w:rPr>
            <w:fldChar w:fldCharType="separate"/>
          </w:r>
          <w:r w:rsidR="00B12BDC" w:rsidRPr="00B12BDC">
            <w:rPr>
              <w:noProof/>
              <w:sz w:val="22"/>
            </w:rPr>
            <w:t>(Nijeholt, 2012)</w:t>
          </w:r>
          <w:r w:rsidRPr="00325CBB">
            <w:rPr>
              <w:sz w:val="22"/>
            </w:rPr>
            <w:fldChar w:fldCharType="end"/>
          </w:r>
        </w:sdtContent>
      </w:sdt>
    </w:p>
    <w:p w:rsidR="006F5B97" w:rsidRPr="00325CBB" w:rsidRDefault="006F5B97" w:rsidP="00E23E9A">
      <w:pPr>
        <w:spacing w:line="360" w:lineRule="auto"/>
        <w:rPr>
          <w:sz w:val="22"/>
        </w:rPr>
      </w:pPr>
      <w:r w:rsidRPr="00325CBB">
        <w:rPr>
          <w:sz w:val="22"/>
        </w:rPr>
        <w:t>Bij de eerste verantwoording van goodwill op basis van IFRS wordt de ‘</w:t>
      </w:r>
      <w:proofErr w:type="spellStart"/>
      <w:r w:rsidRPr="00325CBB">
        <w:rPr>
          <w:sz w:val="22"/>
        </w:rPr>
        <w:t>purchase</w:t>
      </w:r>
      <w:proofErr w:type="spellEnd"/>
      <w:r w:rsidRPr="00325CBB">
        <w:rPr>
          <w:sz w:val="22"/>
        </w:rPr>
        <w:t xml:space="preserve"> accounting’-methode toegepast. Daarbij moet de overnemende partij de goodwill op de overnamedatum als een actief verantwoorden. De eerste verantwoording van deze positieve goodwill is op basis van de historische kostprijs. </w:t>
      </w:r>
    </w:p>
    <w:p w:rsidR="00510297" w:rsidRPr="00325CBB" w:rsidRDefault="00510297" w:rsidP="00E23E9A">
      <w:pPr>
        <w:pStyle w:val="Heading3"/>
        <w:spacing w:line="360" w:lineRule="auto"/>
        <w:ind w:left="720"/>
        <w:rPr>
          <w:rFonts w:asciiTheme="minorHAnsi" w:hAnsiTheme="minorHAnsi"/>
          <w:b/>
          <w:sz w:val="22"/>
          <w:szCs w:val="22"/>
        </w:rPr>
      </w:pPr>
      <w:bookmarkStart w:id="16" w:name="_Toc425532297"/>
      <w:r w:rsidRPr="00325CBB">
        <w:rPr>
          <w:rFonts w:asciiTheme="minorHAnsi" w:hAnsiTheme="minorHAnsi"/>
          <w:b/>
          <w:sz w:val="22"/>
          <w:szCs w:val="22"/>
        </w:rPr>
        <w:t xml:space="preserve">3.2.1 </w:t>
      </w:r>
      <w:proofErr w:type="spellStart"/>
      <w:r w:rsidRPr="00325CBB">
        <w:rPr>
          <w:rFonts w:asciiTheme="minorHAnsi" w:hAnsiTheme="minorHAnsi"/>
          <w:b/>
          <w:sz w:val="22"/>
          <w:szCs w:val="22"/>
        </w:rPr>
        <w:t>Impairment</w:t>
      </w:r>
      <w:bookmarkEnd w:id="16"/>
      <w:proofErr w:type="spellEnd"/>
    </w:p>
    <w:p w:rsidR="00510297" w:rsidRPr="00325CBB" w:rsidRDefault="00510297" w:rsidP="00E23E9A">
      <w:pPr>
        <w:spacing w:line="360" w:lineRule="auto"/>
        <w:rPr>
          <w:sz w:val="22"/>
        </w:rPr>
      </w:pPr>
      <w:r w:rsidRPr="00325CBB">
        <w:rPr>
          <w:sz w:val="22"/>
        </w:rPr>
        <w:t xml:space="preserve">De jaarlijkse </w:t>
      </w:r>
      <w:proofErr w:type="spellStart"/>
      <w:r w:rsidRPr="00325CBB">
        <w:rPr>
          <w:sz w:val="22"/>
        </w:rPr>
        <w:t>Impairment</w:t>
      </w:r>
      <w:proofErr w:type="spellEnd"/>
      <w:r w:rsidRPr="00325CBB">
        <w:rPr>
          <w:sz w:val="22"/>
        </w:rPr>
        <w:t xml:space="preserve"> test moet uitwijzen of er geen/wel waardevermindering bestaat betr</w:t>
      </w:r>
      <w:r w:rsidR="00116B4B">
        <w:rPr>
          <w:sz w:val="22"/>
        </w:rPr>
        <w:t>effend de geactiveerde goodwill</w:t>
      </w:r>
      <w:r w:rsidRPr="00325CBB">
        <w:rPr>
          <w:sz w:val="22"/>
        </w:rPr>
        <w:t>. Daarbij wordt op basis van IFRS de levensdu</w:t>
      </w:r>
      <w:r w:rsidR="00F714C3">
        <w:rPr>
          <w:sz w:val="22"/>
        </w:rPr>
        <w:t xml:space="preserve">ur als onbepaald gekwalificeerd. </w:t>
      </w:r>
      <w:r w:rsidRPr="00325CBB">
        <w:rPr>
          <w:sz w:val="22"/>
        </w:rPr>
        <w:t>In de volgende handeling moet de realiseerbare waarde worden vastgesteld</w:t>
      </w:r>
      <w:r w:rsidR="00644BE2">
        <w:rPr>
          <w:sz w:val="22"/>
        </w:rPr>
        <w:t xml:space="preserve"> door middel van de </w:t>
      </w:r>
      <w:proofErr w:type="spellStart"/>
      <w:r w:rsidR="00644BE2">
        <w:rPr>
          <w:sz w:val="22"/>
        </w:rPr>
        <w:t>discounted</w:t>
      </w:r>
      <w:proofErr w:type="spellEnd"/>
      <w:r w:rsidR="00644BE2">
        <w:rPr>
          <w:sz w:val="22"/>
        </w:rPr>
        <w:t xml:space="preserve"> cashflow methode. </w:t>
      </w:r>
      <w:r w:rsidR="00F714C3">
        <w:rPr>
          <w:sz w:val="22"/>
        </w:rPr>
        <w:t xml:space="preserve">Ten slotte wordt in handeling 3 de realiseerbare waarde vergeleken met de boekwaarde van de goodwill. </w:t>
      </w:r>
      <w:r w:rsidRPr="00325CBB">
        <w:rPr>
          <w:sz w:val="22"/>
        </w:rPr>
        <w:t>Indien een afwaardering moet worden uitgevoerd moet deze direct ten laste van de winst-en-verliesrekening worden verantwoord</w:t>
      </w:r>
      <w:sdt>
        <w:sdtPr>
          <w:rPr>
            <w:sz w:val="22"/>
          </w:rPr>
          <w:id w:val="913816218"/>
          <w:citation/>
        </w:sdtPr>
        <w:sdtContent>
          <w:r w:rsidR="00C61760">
            <w:rPr>
              <w:sz w:val="22"/>
            </w:rPr>
            <w:fldChar w:fldCharType="begin"/>
          </w:r>
          <w:r w:rsidR="00644BE2">
            <w:rPr>
              <w:sz w:val="22"/>
            </w:rPr>
            <w:instrText xml:space="preserve"> CITATION EY14 \l 1043 </w:instrText>
          </w:r>
          <w:r w:rsidR="00C61760">
            <w:rPr>
              <w:sz w:val="22"/>
            </w:rPr>
            <w:fldChar w:fldCharType="separate"/>
          </w:r>
          <w:r w:rsidR="00644BE2">
            <w:rPr>
              <w:noProof/>
              <w:sz w:val="22"/>
            </w:rPr>
            <w:t xml:space="preserve"> </w:t>
          </w:r>
          <w:r w:rsidR="00644BE2" w:rsidRPr="00644BE2">
            <w:rPr>
              <w:noProof/>
              <w:sz w:val="22"/>
            </w:rPr>
            <w:t>(EY , 2014)</w:t>
          </w:r>
          <w:r w:rsidR="00C61760">
            <w:rPr>
              <w:sz w:val="22"/>
            </w:rPr>
            <w:fldChar w:fldCharType="end"/>
          </w:r>
        </w:sdtContent>
      </w:sdt>
      <w:r w:rsidRPr="00325CBB">
        <w:rPr>
          <w:sz w:val="22"/>
        </w:rPr>
        <w:t>. Hierna worden de handelingen nader toegelicht.</w:t>
      </w:r>
    </w:p>
    <w:p w:rsidR="00644BE2" w:rsidRDefault="00644BE2" w:rsidP="00510297">
      <w:pPr>
        <w:rPr>
          <w:sz w:val="22"/>
        </w:rPr>
      </w:pPr>
    </w:p>
    <w:p w:rsidR="00510297" w:rsidRPr="00325CBB" w:rsidRDefault="00510297" w:rsidP="00510297">
      <w:pPr>
        <w:rPr>
          <w:sz w:val="22"/>
        </w:rPr>
      </w:pPr>
      <w:r w:rsidRPr="00325CBB">
        <w:rPr>
          <w:sz w:val="22"/>
        </w:rPr>
        <w:t>Handeling 1: aanwijzingen bijzondere waardevermindering.</w:t>
      </w:r>
    </w:p>
    <w:p w:rsidR="00246AFB" w:rsidRDefault="00246AFB" w:rsidP="00E23E9A">
      <w:pPr>
        <w:spacing w:line="360" w:lineRule="auto"/>
        <w:rPr>
          <w:sz w:val="22"/>
        </w:rPr>
      </w:pPr>
      <w:r>
        <w:rPr>
          <w:noProof/>
          <w:lang w:val="en-US"/>
        </w:rPr>
        <w:lastRenderedPageBreak/>
        <w:drawing>
          <wp:inline distT="0" distB="0" distL="0" distR="0">
            <wp:extent cx="5731510" cy="2753995"/>
            <wp:effectExtent l="0" t="0" r="2540" b="8255"/>
            <wp:docPr id="9" name="Picture 8"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Screen Clipping"/>
                    <pic:cNvPicPr>
                      <a:picLocks noChangeAspect="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2753995"/>
                    </a:xfrm>
                    <a:prstGeom prst="rect">
                      <a:avLst/>
                    </a:prstGeom>
                  </pic:spPr>
                </pic:pic>
              </a:graphicData>
            </a:graphic>
          </wp:inline>
        </w:drawing>
      </w:r>
    </w:p>
    <w:p w:rsidR="00246AFB" w:rsidRPr="00246AFB" w:rsidRDefault="00510297" w:rsidP="00E23E9A">
      <w:pPr>
        <w:spacing w:line="360" w:lineRule="auto"/>
        <w:rPr>
          <w:sz w:val="22"/>
        </w:rPr>
      </w:pPr>
      <w:r w:rsidRPr="00325CBB">
        <w:rPr>
          <w:sz w:val="22"/>
        </w:rPr>
        <w:t>Handeling 2: de realiseerbare waarde</w:t>
      </w:r>
      <w:r w:rsidR="00644BE2">
        <w:rPr>
          <w:sz w:val="22"/>
        </w:rPr>
        <w:t xml:space="preserve"> moet</w:t>
      </w:r>
      <w:r w:rsidR="00246AFB">
        <w:rPr>
          <w:sz w:val="22"/>
        </w:rPr>
        <w:t xml:space="preserve"> worden</w:t>
      </w:r>
      <w:r w:rsidR="00644BE2">
        <w:rPr>
          <w:sz w:val="22"/>
        </w:rPr>
        <w:t xml:space="preserve"> vastgesteld </w:t>
      </w:r>
      <w:r w:rsidRPr="00325CBB">
        <w:rPr>
          <w:sz w:val="22"/>
        </w:rPr>
        <w:t>indien sprake i</w:t>
      </w:r>
      <w:r w:rsidR="00246AFB">
        <w:rPr>
          <w:sz w:val="22"/>
        </w:rPr>
        <w:t>s van één of meer aanwijzingen:</w:t>
      </w:r>
    </w:p>
    <w:p w:rsidR="00510297" w:rsidRPr="00325CBB" w:rsidRDefault="00246AFB" w:rsidP="00E23E9A">
      <w:pPr>
        <w:spacing w:line="360" w:lineRule="auto"/>
        <w:rPr>
          <w:sz w:val="22"/>
        </w:rPr>
      </w:pPr>
      <w:r w:rsidRPr="003D3F7B">
        <w:rPr>
          <w:sz w:val="22"/>
        </w:rPr>
        <w:t>IAS 36 d</w:t>
      </w:r>
      <w:r w:rsidR="00565049" w:rsidRPr="003D3F7B">
        <w:rPr>
          <w:sz w:val="22"/>
        </w:rPr>
        <w:t xml:space="preserve">efinieert de realiseerbare als de hoogste van de bedrijfswaarde of de reële waarde verminderd met de verkoopkosten </w:t>
      </w:r>
      <w:sdt>
        <w:sdtPr>
          <w:rPr>
            <w:sz w:val="22"/>
          </w:rPr>
          <w:id w:val="-2131152870"/>
          <w:citation/>
        </w:sdtPr>
        <w:sdtContent>
          <w:r w:rsidR="00C61760" w:rsidRPr="003D3F7B">
            <w:rPr>
              <w:sz w:val="22"/>
            </w:rPr>
            <w:fldChar w:fldCharType="begin"/>
          </w:r>
          <w:r w:rsidR="00565049" w:rsidRPr="003D3F7B">
            <w:rPr>
              <w:sz w:val="22"/>
            </w:rPr>
            <w:instrText xml:space="preserve"> CITATION EY14 \l 1033 </w:instrText>
          </w:r>
          <w:r w:rsidR="00C61760" w:rsidRPr="003D3F7B">
            <w:rPr>
              <w:sz w:val="22"/>
            </w:rPr>
            <w:fldChar w:fldCharType="separate"/>
          </w:r>
          <w:r w:rsidR="00565049" w:rsidRPr="003D3F7B">
            <w:rPr>
              <w:noProof/>
              <w:sz w:val="22"/>
            </w:rPr>
            <w:t>(EY , 2014)</w:t>
          </w:r>
          <w:r w:rsidR="00C61760" w:rsidRPr="003D3F7B">
            <w:rPr>
              <w:sz w:val="22"/>
            </w:rPr>
            <w:fldChar w:fldCharType="end"/>
          </w:r>
        </w:sdtContent>
      </w:sdt>
      <w:r w:rsidR="00565049" w:rsidRPr="003D3F7B">
        <w:rPr>
          <w:sz w:val="22"/>
        </w:rPr>
        <w:t xml:space="preserve">. </w:t>
      </w:r>
      <w:r w:rsidR="00510297" w:rsidRPr="00325CBB">
        <w:rPr>
          <w:sz w:val="22"/>
        </w:rPr>
        <w:t xml:space="preserve">De opbrengstwaarde wordt vastgesteld op basis van de verkoopprijs van </w:t>
      </w:r>
      <w:proofErr w:type="gramStart"/>
      <w:r w:rsidR="00510297" w:rsidRPr="00325CBB">
        <w:rPr>
          <w:sz w:val="22"/>
        </w:rPr>
        <w:t>het</w:t>
      </w:r>
      <w:proofErr w:type="gramEnd"/>
      <w:r w:rsidR="00510297" w:rsidRPr="00325CBB">
        <w:rPr>
          <w:sz w:val="22"/>
        </w:rPr>
        <w:t xml:space="preserve"> kapitaalgoed (directe opbrengstwaarde). De bedrijfswaarde wor</w:t>
      </w:r>
      <w:r w:rsidR="00644BE2">
        <w:rPr>
          <w:sz w:val="22"/>
        </w:rPr>
        <w:t>dt door middel van twee handelingen</w:t>
      </w:r>
      <w:r w:rsidR="00510297" w:rsidRPr="00325CBB">
        <w:rPr>
          <w:sz w:val="22"/>
        </w:rPr>
        <w:t xml:space="preserve"> vastgesteld. Allereerst moeten </w:t>
      </w:r>
      <w:proofErr w:type="gramStart"/>
      <w:r w:rsidR="00510297" w:rsidRPr="00325CBB">
        <w:rPr>
          <w:sz w:val="22"/>
        </w:rPr>
        <w:t>de</w:t>
      </w:r>
      <w:proofErr w:type="gramEnd"/>
      <w:r w:rsidR="00510297" w:rsidRPr="00325CBB">
        <w:rPr>
          <w:sz w:val="22"/>
        </w:rPr>
        <w:t xml:space="preserve"> toekomstige kasinstromen en –uitstromen betreffende het gebruik van het actief en zonder het gebruik van het actief worden vastgesteld. Vervolgens moet de disconteringsvoet worden vastgesteld</w:t>
      </w:r>
      <w:r w:rsidR="004B196B" w:rsidRPr="00325CBB">
        <w:rPr>
          <w:sz w:val="22"/>
        </w:rPr>
        <w:t xml:space="preserve"> (WACC)</w:t>
      </w:r>
      <w:r w:rsidR="00510297" w:rsidRPr="00325CBB">
        <w:rPr>
          <w:sz w:val="22"/>
        </w:rPr>
        <w:t xml:space="preserve"> en worden gebruikt om de toekomstige kasstromen te verdisconteren, wat leidt tot de realiseerbare waarde van de kasstroom genererende eenheden</w:t>
      </w:r>
      <w:sdt>
        <w:sdtPr>
          <w:rPr>
            <w:sz w:val="22"/>
          </w:rPr>
          <w:id w:val="835956264"/>
          <w:citation/>
        </w:sdtPr>
        <w:sdtContent>
          <w:r w:rsidR="00C61760" w:rsidRPr="00325CBB">
            <w:rPr>
              <w:sz w:val="22"/>
            </w:rPr>
            <w:fldChar w:fldCharType="begin"/>
          </w:r>
          <w:r w:rsidR="00510297" w:rsidRPr="00325CBB">
            <w:rPr>
              <w:sz w:val="22"/>
            </w:rPr>
            <w:instrText xml:space="preserve"> CITATION EY14 \l 2057 </w:instrText>
          </w:r>
          <w:r w:rsidR="00C61760" w:rsidRPr="00325CBB">
            <w:rPr>
              <w:sz w:val="22"/>
            </w:rPr>
            <w:fldChar w:fldCharType="separate"/>
          </w:r>
          <w:r w:rsidR="00B12BDC">
            <w:rPr>
              <w:noProof/>
              <w:sz w:val="22"/>
            </w:rPr>
            <w:t xml:space="preserve"> </w:t>
          </w:r>
          <w:r w:rsidR="00B12BDC" w:rsidRPr="00B12BDC">
            <w:rPr>
              <w:noProof/>
              <w:sz w:val="22"/>
            </w:rPr>
            <w:t>(EY , 2014)</w:t>
          </w:r>
          <w:r w:rsidR="00C61760" w:rsidRPr="00325CBB">
            <w:rPr>
              <w:sz w:val="22"/>
            </w:rPr>
            <w:fldChar w:fldCharType="end"/>
          </w:r>
        </w:sdtContent>
      </w:sdt>
      <w:r w:rsidR="00510297" w:rsidRPr="00325CBB">
        <w:rPr>
          <w:sz w:val="22"/>
        </w:rPr>
        <w:t xml:space="preserve">. </w:t>
      </w:r>
    </w:p>
    <w:p w:rsidR="00510297" w:rsidRDefault="00510297" w:rsidP="00E23E9A">
      <w:pPr>
        <w:spacing w:line="360" w:lineRule="auto"/>
        <w:rPr>
          <w:sz w:val="22"/>
        </w:rPr>
      </w:pPr>
      <w:r w:rsidRPr="00325CBB">
        <w:rPr>
          <w:sz w:val="22"/>
        </w:rPr>
        <w:t>Handeling 3: het vergelijken van de realiseerbare waarde met de boekwaarde.</w:t>
      </w:r>
    </w:p>
    <w:p w:rsidR="00510297" w:rsidRPr="00325CBB" w:rsidRDefault="004C167B" w:rsidP="00E23E9A">
      <w:pPr>
        <w:spacing w:line="360" w:lineRule="auto"/>
        <w:rPr>
          <w:sz w:val="22"/>
        </w:rPr>
      </w:pPr>
      <w:r w:rsidRPr="003D3F7B">
        <w:rPr>
          <w:sz w:val="22"/>
        </w:rPr>
        <w:t>Er wordt vanuit gegaan dat goodwill niet onafhankelijk is van de kasstroom g</w:t>
      </w:r>
      <w:r w:rsidR="00FF3ABB" w:rsidRPr="003D3F7B">
        <w:rPr>
          <w:sz w:val="22"/>
        </w:rPr>
        <w:t>enererende activa, daarom kan voor goodwill zelf als individueel actief geen realiseerbare waarde worden vastgesteld</w:t>
      </w:r>
      <w:sdt>
        <w:sdtPr>
          <w:rPr>
            <w:sz w:val="22"/>
          </w:rPr>
          <w:id w:val="953829162"/>
          <w:citation/>
        </w:sdtPr>
        <w:sdtContent>
          <w:r w:rsidR="00C61760" w:rsidRPr="003D3F7B">
            <w:rPr>
              <w:sz w:val="22"/>
            </w:rPr>
            <w:fldChar w:fldCharType="begin"/>
          </w:r>
          <w:r w:rsidR="00FF3ABB" w:rsidRPr="003D3F7B">
            <w:rPr>
              <w:sz w:val="22"/>
            </w:rPr>
            <w:instrText xml:space="preserve"> CITATION Del13 \l 1033 </w:instrText>
          </w:r>
          <w:r w:rsidR="00C61760" w:rsidRPr="003D3F7B">
            <w:rPr>
              <w:sz w:val="22"/>
            </w:rPr>
            <w:fldChar w:fldCharType="separate"/>
          </w:r>
          <w:r w:rsidR="00FF3ABB" w:rsidRPr="003D3F7B">
            <w:rPr>
              <w:noProof/>
              <w:sz w:val="22"/>
            </w:rPr>
            <w:t xml:space="preserve"> (Deloitte, 2013)</w:t>
          </w:r>
          <w:r w:rsidR="00C61760" w:rsidRPr="003D3F7B">
            <w:rPr>
              <w:sz w:val="22"/>
            </w:rPr>
            <w:fldChar w:fldCharType="end"/>
          </w:r>
        </w:sdtContent>
      </w:sdt>
      <w:r w:rsidR="00FF3ABB" w:rsidRPr="003D3F7B">
        <w:rPr>
          <w:sz w:val="22"/>
        </w:rPr>
        <w:t xml:space="preserve">. </w:t>
      </w:r>
      <w:r w:rsidR="00510297" w:rsidRPr="00325CBB">
        <w:rPr>
          <w:sz w:val="22"/>
        </w:rPr>
        <w:t xml:space="preserve">Daarom moet bij de </w:t>
      </w:r>
      <w:proofErr w:type="spellStart"/>
      <w:r w:rsidR="00510297" w:rsidRPr="00325CBB">
        <w:rPr>
          <w:sz w:val="22"/>
        </w:rPr>
        <w:t>impairment</w:t>
      </w:r>
      <w:proofErr w:type="spellEnd"/>
      <w:r w:rsidR="00510297" w:rsidRPr="00325CBB">
        <w:rPr>
          <w:sz w:val="22"/>
        </w:rPr>
        <w:t xml:space="preserve"> test op goodwill de realiseerbare waarde van de kasstroom genererende eenheid of (groep van) eenheden waar de goodwill aan is toegerekend w</w:t>
      </w:r>
      <w:r>
        <w:rPr>
          <w:sz w:val="22"/>
        </w:rPr>
        <w:t xml:space="preserve">orden vastgesteld (IAS 36.81). </w:t>
      </w:r>
    </w:p>
    <w:p w:rsidR="00510297" w:rsidRPr="00325CBB" w:rsidRDefault="00510297" w:rsidP="00E23E9A">
      <w:pPr>
        <w:spacing w:line="360" w:lineRule="auto"/>
        <w:rPr>
          <w:sz w:val="22"/>
        </w:rPr>
      </w:pPr>
      <w:r w:rsidRPr="00325CBB">
        <w:rPr>
          <w:sz w:val="22"/>
        </w:rPr>
        <w:t>Terugneming van een bijzonder waardevermindering betreffende goodwill mag op basis van IFRS niet worden verantwoord, dat moet worden verantwoord in de overige activa</w:t>
      </w:r>
      <w:sdt>
        <w:sdtPr>
          <w:rPr>
            <w:sz w:val="22"/>
          </w:rPr>
          <w:id w:val="629219405"/>
          <w:citation/>
        </w:sdtPr>
        <w:sdtContent>
          <w:r w:rsidR="00C61760">
            <w:rPr>
              <w:sz w:val="22"/>
            </w:rPr>
            <w:fldChar w:fldCharType="begin"/>
          </w:r>
          <w:r w:rsidR="00782921">
            <w:rPr>
              <w:sz w:val="22"/>
            </w:rPr>
            <w:instrText xml:space="preserve"> CITATION EY14 \l 1043 </w:instrText>
          </w:r>
          <w:r w:rsidR="00C61760">
            <w:rPr>
              <w:sz w:val="22"/>
            </w:rPr>
            <w:fldChar w:fldCharType="separate"/>
          </w:r>
          <w:r w:rsidR="00782921">
            <w:rPr>
              <w:noProof/>
              <w:sz w:val="22"/>
            </w:rPr>
            <w:t xml:space="preserve"> </w:t>
          </w:r>
          <w:r w:rsidR="00782921" w:rsidRPr="00782921">
            <w:rPr>
              <w:noProof/>
              <w:sz w:val="22"/>
            </w:rPr>
            <w:t>(EY , 2014)</w:t>
          </w:r>
          <w:r w:rsidR="00C61760">
            <w:rPr>
              <w:sz w:val="22"/>
            </w:rPr>
            <w:fldChar w:fldCharType="end"/>
          </w:r>
        </w:sdtContent>
      </w:sdt>
      <w:r w:rsidRPr="00325CBB">
        <w:rPr>
          <w:sz w:val="22"/>
        </w:rPr>
        <w:t xml:space="preserve">. </w:t>
      </w:r>
    </w:p>
    <w:p w:rsidR="00510297" w:rsidRPr="00325CBB" w:rsidRDefault="00510297" w:rsidP="00E23E9A">
      <w:pPr>
        <w:spacing w:line="360" w:lineRule="auto"/>
        <w:rPr>
          <w:sz w:val="22"/>
        </w:rPr>
      </w:pPr>
      <w:r w:rsidRPr="00325CBB">
        <w:rPr>
          <w:sz w:val="22"/>
        </w:rPr>
        <w:t xml:space="preserve">Wat betreft de presentatie en de toelichting van goodwill in de jaarrekening bestaat de eis dat van de niet toegerekende goodwill moet worden gerapporteerd waarom het nog niet is toegerekend en </w:t>
      </w:r>
      <w:r w:rsidRPr="00325CBB">
        <w:rPr>
          <w:sz w:val="22"/>
        </w:rPr>
        <w:lastRenderedPageBreak/>
        <w:t>welk bedrag dat betreft</w:t>
      </w:r>
      <w:sdt>
        <w:sdtPr>
          <w:rPr>
            <w:sz w:val="22"/>
          </w:rPr>
          <w:id w:val="-752735680"/>
          <w:citation/>
        </w:sdtPr>
        <w:sdtContent>
          <w:r w:rsidR="00C61760">
            <w:rPr>
              <w:sz w:val="22"/>
            </w:rPr>
            <w:fldChar w:fldCharType="begin"/>
          </w:r>
          <w:r w:rsidR="00782921">
            <w:rPr>
              <w:sz w:val="22"/>
            </w:rPr>
            <w:instrText xml:space="preserve"> CITATION EY14 \l 1043 </w:instrText>
          </w:r>
          <w:r w:rsidR="00C61760">
            <w:rPr>
              <w:sz w:val="22"/>
            </w:rPr>
            <w:fldChar w:fldCharType="separate"/>
          </w:r>
          <w:r w:rsidR="00782921">
            <w:rPr>
              <w:noProof/>
              <w:sz w:val="22"/>
            </w:rPr>
            <w:t xml:space="preserve"> </w:t>
          </w:r>
          <w:r w:rsidR="00782921" w:rsidRPr="00782921">
            <w:rPr>
              <w:noProof/>
              <w:sz w:val="22"/>
            </w:rPr>
            <w:t>(EY , 2014)</w:t>
          </w:r>
          <w:r w:rsidR="00C61760">
            <w:rPr>
              <w:sz w:val="22"/>
            </w:rPr>
            <w:fldChar w:fldCharType="end"/>
          </w:r>
        </w:sdtContent>
      </w:sdt>
      <w:r w:rsidRPr="00325CBB">
        <w:rPr>
          <w:sz w:val="22"/>
        </w:rPr>
        <w:t xml:space="preserve">. </w:t>
      </w:r>
      <w:r w:rsidR="00FF3ABB" w:rsidRPr="00325CBB">
        <w:rPr>
          <w:sz w:val="22"/>
        </w:rPr>
        <w:t xml:space="preserve">Eveneens </w:t>
      </w:r>
      <w:r w:rsidRPr="00325CBB">
        <w:rPr>
          <w:sz w:val="22"/>
        </w:rPr>
        <w:t xml:space="preserve">in de toelichting worden gerapporteerd waarom het nog niet is toegerekend en welk bedrag dat betreft. Verder moet in de toelichting op basis van IAS 36 veel meer worden vermeld over de vaststelling van de omvang van de goodwill dan op basis van de RJ </w:t>
      </w:r>
      <w:sdt>
        <w:sdtPr>
          <w:rPr>
            <w:sz w:val="22"/>
          </w:rPr>
          <w:id w:val="1930078846"/>
          <w:citation/>
        </w:sdtPr>
        <w:sdtContent>
          <w:r w:rsidR="00C61760" w:rsidRPr="00325CBB">
            <w:rPr>
              <w:sz w:val="22"/>
            </w:rPr>
            <w:fldChar w:fldCharType="begin"/>
          </w:r>
          <w:r w:rsidRPr="00325CBB">
            <w:rPr>
              <w:sz w:val="22"/>
            </w:rPr>
            <w:instrText xml:space="preserve"> CITATION EY14 \l 1043 </w:instrText>
          </w:r>
          <w:r w:rsidR="00C61760" w:rsidRPr="00325CBB">
            <w:rPr>
              <w:sz w:val="22"/>
            </w:rPr>
            <w:fldChar w:fldCharType="separate"/>
          </w:r>
          <w:r w:rsidR="00B12BDC" w:rsidRPr="00B12BDC">
            <w:rPr>
              <w:noProof/>
              <w:sz w:val="22"/>
            </w:rPr>
            <w:t>(EY , 2014)</w:t>
          </w:r>
          <w:r w:rsidR="00C61760" w:rsidRPr="00325CBB">
            <w:rPr>
              <w:sz w:val="22"/>
            </w:rPr>
            <w:fldChar w:fldCharType="end"/>
          </w:r>
        </w:sdtContent>
      </w:sdt>
      <w:r w:rsidRPr="00325CBB">
        <w:rPr>
          <w:sz w:val="22"/>
        </w:rPr>
        <w:t>.</w:t>
      </w:r>
    </w:p>
    <w:p w:rsidR="00510297" w:rsidRPr="00325CBB" w:rsidRDefault="00510297" w:rsidP="00510297">
      <w:pPr>
        <w:pStyle w:val="Heading3"/>
        <w:ind w:firstLine="720"/>
        <w:rPr>
          <w:rFonts w:asciiTheme="minorHAnsi" w:hAnsiTheme="minorHAnsi"/>
          <w:b/>
          <w:sz w:val="22"/>
          <w:szCs w:val="22"/>
        </w:rPr>
      </w:pPr>
      <w:bookmarkStart w:id="17" w:name="_Toc415798768"/>
      <w:bookmarkStart w:id="18" w:name="_Toc425532298"/>
      <w:r w:rsidRPr="00325CBB">
        <w:rPr>
          <w:rFonts w:asciiTheme="minorHAnsi" w:hAnsiTheme="minorHAnsi"/>
          <w:b/>
          <w:sz w:val="22"/>
          <w:szCs w:val="22"/>
        </w:rPr>
        <w:t>3.2.2 Activering immateriële vaste activa</w:t>
      </w:r>
      <w:bookmarkEnd w:id="17"/>
      <w:bookmarkEnd w:id="18"/>
    </w:p>
    <w:p w:rsidR="00510297" w:rsidRPr="00325CBB" w:rsidRDefault="00510297" w:rsidP="00E23E9A">
      <w:pPr>
        <w:spacing w:line="360" w:lineRule="auto"/>
        <w:rPr>
          <w:sz w:val="22"/>
        </w:rPr>
      </w:pPr>
      <w:r w:rsidRPr="00325CBB">
        <w:rPr>
          <w:sz w:val="22"/>
        </w:rPr>
        <w:t>Voor het activeren van deze activa zijn dezelfde voorwaarden van toepassing als in de RJ. Sprake is van activering indien:</w:t>
      </w:r>
    </w:p>
    <w:p w:rsidR="00510297" w:rsidRPr="00325CBB" w:rsidRDefault="00510297" w:rsidP="00A91CBD">
      <w:pPr>
        <w:pStyle w:val="ListParagraph"/>
        <w:numPr>
          <w:ilvl w:val="0"/>
          <w:numId w:val="10"/>
        </w:numPr>
        <w:rPr>
          <w:sz w:val="22"/>
        </w:rPr>
      </w:pPr>
      <w:r w:rsidRPr="00325CBB">
        <w:rPr>
          <w:sz w:val="22"/>
        </w:rPr>
        <w:t>Het waarschijnlijk is dat toekomstige economische voordelen zullen toevloeien naar de rechtspersoon</w:t>
      </w:r>
    </w:p>
    <w:p w:rsidR="00510297" w:rsidRPr="00325CBB" w:rsidRDefault="00510297" w:rsidP="00A91CBD">
      <w:pPr>
        <w:pStyle w:val="ListParagraph"/>
        <w:numPr>
          <w:ilvl w:val="0"/>
          <w:numId w:val="10"/>
        </w:numPr>
        <w:rPr>
          <w:sz w:val="22"/>
        </w:rPr>
      </w:pPr>
      <w:r w:rsidRPr="00325CBB">
        <w:rPr>
          <w:sz w:val="22"/>
        </w:rPr>
        <w:t>De kosten van het actief kunnen op betrouwbare wijze worden vastgesteld</w:t>
      </w:r>
    </w:p>
    <w:p w:rsidR="00510297" w:rsidRPr="00325CBB" w:rsidRDefault="00510297" w:rsidP="00E23E9A">
      <w:pPr>
        <w:spacing w:line="360" w:lineRule="auto"/>
        <w:rPr>
          <w:sz w:val="22"/>
        </w:rPr>
      </w:pPr>
      <w:r w:rsidRPr="00325CBB">
        <w:rPr>
          <w:sz w:val="22"/>
        </w:rPr>
        <w:t>Naast deze twee voorwaarden moet ook sprake zijn van het juridische eigendom over het actief.</w:t>
      </w:r>
    </w:p>
    <w:p w:rsidR="00510297" w:rsidRPr="00325CBB" w:rsidRDefault="00510297" w:rsidP="00E23E9A">
      <w:pPr>
        <w:pStyle w:val="Heading2"/>
        <w:spacing w:line="360" w:lineRule="auto"/>
        <w:ind w:left="720"/>
        <w:rPr>
          <w:rFonts w:asciiTheme="minorHAnsi" w:hAnsiTheme="minorHAnsi"/>
          <w:sz w:val="22"/>
          <w:szCs w:val="22"/>
        </w:rPr>
      </w:pPr>
      <w:bookmarkStart w:id="19" w:name="_Toc415798769"/>
      <w:bookmarkStart w:id="20" w:name="_Toc425532299"/>
      <w:r w:rsidRPr="00325CBB">
        <w:rPr>
          <w:rFonts w:asciiTheme="minorHAnsi" w:hAnsiTheme="minorHAnsi"/>
          <w:sz w:val="22"/>
          <w:szCs w:val="22"/>
        </w:rPr>
        <w:t>3.3 Verantwoording van negatieve goodwill op basis van IFRS en op basis van Dutch GAAP</w:t>
      </w:r>
      <w:bookmarkEnd w:id="19"/>
      <w:bookmarkEnd w:id="20"/>
    </w:p>
    <w:p w:rsidR="00F365D8" w:rsidRPr="00325CBB" w:rsidRDefault="00510297" w:rsidP="00E23E9A">
      <w:pPr>
        <w:spacing w:line="360" w:lineRule="auto"/>
        <w:rPr>
          <w:sz w:val="22"/>
        </w:rPr>
      </w:pPr>
      <w:r w:rsidRPr="00325CBB">
        <w:rPr>
          <w:sz w:val="22"/>
        </w:rPr>
        <w:t xml:space="preserve">Naast de positieve goodwill wordt eveneens de negatieve goodwill toegelicht. Dit </w:t>
      </w:r>
      <w:proofErr w:type="gramStart"/>
      <w:r w:rsidRPr="00325CBB">
        <w:rPr>
          <w:sz w:val="22"/>
        </w:rPr>
        <w:t xml:space="preserve">ontstaat  </w:t>
      </w:r>
      <w:proofErr w:type="gramEnd"/>
      <w:r w:rsidRPr="00325CBB">
        <w:rPr>
          <w:sz w:val="22"/>
        </w:rPr>
        <w:t>indien de reële waarden van de identificeerbare activa en passiva op de dag van overname hoger is dan de verkrijgingsprijs. Voordat de verantwoording daarvan wordt uitgevoerd moet eerst worden vastgesteld of alle activa en verplichtingen zijn geïdentificeerd. Eveneens moeten alle elementen van de overname juist gewaardeerd worden.</w:t>
      </w:r>
      <w:bookmarkStart w:id="21" w:name="_Toc415798770"/>
    </w:p>
    <w:p w:rsidR="00F365D8" w:rsidRPr="00325CBB" w:rsidRDefault="00510297" w:rsidP="00E23E9A">
      <w:pPr>
        <w:pStyle w:val="Heading3"/>
        <w:spacing w:line="360" w:lineRule="auto"/>
        <w:ind w:firstLine="720"/>
        <w:rPr>
          <w:rFonts w:asciiTheme="minorHAnsi" w:hAnsiTheme="minorHAnsi"/>
          <w:b/>
          <w:sz w:val="22"/>
          <w:szCs w:val="22"/>
        </w:rPr>
      </w:pPr>
      <w:bookmarkStart w:id="22" w:name="_Toc425532300"/>
      <w:r w:rsidRPr="00325CBB">
        <w:rPr>
          <w:rFonts w:asciiTheme="minorHAnsi" w:hAnsiTheme="minorHAnsi"/>
          <w:b/>
          <w:sz w:val="22"/>
          <w:szCs w:val="22"/>
        </w:rPr>
        <w:t>3.3.1 RJ</w:t>
      </w:r>
      <w:bookmarkEnd w:id="21"/>
      <w:bookmarkEnd w:id="22"/>
    </w:p>
    <w:p w:rsidR="00510297" w:rsidRPr="00325CBB" w:rsidRDefault="00782921" w:rsidP="00E23E9A">
      <w:pPr>
        <w:spacing w:line="360" w:lineRule="auto"/>
        <w:rPr>
          <w:sz w:val="22"/>
        </w:rPr>
      </w:pPr>
      <w:r>
        <w:rPr>
          <w:sz w:val="22"/>
        </w:rPr>
        <w:t xml:space="preserve">Negatieve goodwill, ook wel badwill genoemd, </w:t>
      </w:r>
      <w:r w:rsidR="00510297" w:rsidRPr="00325CBB">
        <w:rPr>
          <w:sz w:val="22"/>
        </w:rPr>
        <w:t>wordt ten gunste van de winst-en-verliesrekening verantwoord naarmate deze verliezen en lasten ontstaan. Indien deze verwachte verliezen en lasten niet blijken in de periode dat deze werden verwacht, moet de badwill</w:t>
      </w:r>
      <w:r w:rsidR="00C80B69">
        <w:rPr>
          <w:sz w:val="22"/>
        </w:rPr>
        <w:t xml:space="preserve"> </w:t>
      </w:r>
      <w:r w:rsidR="00510297" w:rsidRPr="00325CBB">
        <w:rPr>
          <w:sz w:val="22"/>
        </w:rPr>
        <w:t>worden verantwoord in overeenstemming met de volgende uitgangspunten betreffende een zogenaamde ‘</w:t>
      </w:r>
      <w:proofErr w:type="spellStart"/>
      <w:r w:rsidR="00510297" w:rsidRPr="00325CBB">
        <w:rPr>
          <w:sz w:val="22"/>
        </w:rPr>
        <w:t>lucky</w:t>
      </w:r>
      <w:proofErr w:type="spellEnd"/>
      <w:r w:rsidR="00510297" w:rsidRPr="00325CBB">
        <w:rPr>
          <w:sz w:val="22"/>
        </w:rPr>
        <w:t xml:space="preserve"> </w:t>
      </w:r>
      <w:proofErr w:type="spellStart"/>
      <w:r w:rsidR="00510297" w:rsidRPr="00325CBB">
        <w:rPr>
          <w:sz w:val="22"/>
        </w:rPr>
        <w:t>buy</w:t>
      </w:r>
      <w:proofErr w:type="spellEnd"/>
      <w:r w:rsidR="00510297" w:rsidRPr="00325CBB">
        <w:rPr>
          <w:sz w:val="22"/>
        </w:rPr>
        <w:t>’. Deze badwill als gevolg van een ‘</w:t>
      </w:r>
      <w:proofErr w:type="spellStart"/>
      <w:r w:rsidR="00510297" w:rsidRPr="00325CBB">
        <w:rPr>
          <w:sz w:val="22"/>
        </w:rPr>
        <w:t>lucky</w:t>
      </w:r>
      <w:proofErr w:type="spellEnd"/>
      <w:r w:rsidR="00510297" w:rsidRPr="00325CBB">
        <w:rPr>
          <w:sz w:val="22"/>
        </w:rPr>
        <w:t xml:space="preserve"> </w:t>
      </w:r>
      <w:proofErr w:type="spellStart"/>
      <w:r w:rsidR="00510297" w:rsidRPr="00325CBB">
        <w:rPr>
          <w:sz w:val="22"/>
        </w:rPr>
        <w:t>buy</w:t>
      </w:r>
      <w:proofErr w:type="spellEnd"/>
      <w:r w:rsidR="00510297" w:rsidRPr="00325CBB">
        <w:rPr>
          <w:sz w:val="22"/>
        </w:rPr>
        <w:t>’ wordt als volgt ten gunste van de winst-en-verliesrekening verantwoord (RJ 216.235):</w:t>
      </w:r>
    </w:p>
    <w:p w:rsidR="00510297" w:rsidRPr="00325CBB" w:rsidRDefault="002F61F8" w:rsidP="00510297">
      <w:pPr>
        <w:tabs>
          <w:tab w:val="left" w:pos="1450"/>
        </w:tabs>
        <w:jc w:val="left"/>
        <w:rPr>
          <w:rStyle w:val="Heading3Char"/>
          <w:rFonts w:asciiTheme="minorHAnsi" w:hAnsiTheme="minorHAnsi"/>
          <w:b/>
          <w:sz w:val="22"/>
          <w:szCs w:val="22"/>
        </w:rPr>
      </w:pPr>
      <w:bookmarkStart w:id="23" w:name="_Toc415798771"/>
      <w:r>
        <w:rPr>
          <w:noProof/>
          <w:lang w:val="en-US"/>
        </w:rPr>
        <w:drawing>
          <wp:inline distT="0" distB="0" distL="0" distR="0">
            <wp:extent cx="5731510" cy="1407160"/>
            <wp:effectExtent l="0" t="0" r="2540" b="2540"/>
            <wp:docPr id="11" name="Picture 9"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Screen Clipping"/>
                    <pic:cNvPicPr>
                      <a:picLocks noChangeAspect="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1407160"/>
                    </a:xfrm>
                    <a:prstGeom prst="rect">
                      <a:avLst/>
                    </a:prstGeom>
                  </pic:spPr>
                </pic:pic>
              </a:graphicData>
            </a:graphic>
          </wp:inline>
        </w:drawing>
      </w:r>
      <w:r w:rsidR="00356653" w:rsidRPr="00325CBB">
        <w:rPr>
          <w:rStyle w:val="Heading3Char"/>
          <w:rFonts w:asciiTheme="minorHAnsi" w:hAnsiTheme="minorHAnsi"/>
          <w:b/>
          <w:sz w:val="22"/>
          <w:szCs w:val="22"/>
        </w:rPr>
        <w:t xml:space="preserve">                </w:t>
      </w:r>
      <w:bookmarkStart w:id="24" w:name="_Toc425532301"/>
      <w:r w:rsidR="00510297" w:rsidRPr="00325CBB">
        <w:rPr>
          <w:rStyle w:val="Heading3Char"/>
          <w:rFonts w:asciiTheme="minorHAnsi" w:hAnsiTheme="minorHAnsi"/>
          <w:b/>
          <w:sz w:val="22"/>
          <w:szCs w:val="22"/>
        </w:rPr>
        <w:t>3.3.2 IFRS</w:t>
      </w:r>
      <w:bookmarkEnd w:id="23"/>
      <w:bookmarkEnd w:id="24"/>
    </w:p>
    <w:p w:rsidR="00356653" w:rsidRPr="00325CBB" w:rsidRDefault="00510297" w:rsidP="00E23E9A">
      <w:pPr>
        <w:tabs>
          <w:tab w:val="left" w:pos="1450"/>
        </w:tabs>
        <w:spacing w:line="360" w:lineRule="auto"/>
        <w:jc w:val="left"/>
        <w:rPr>
          <w:sz w:val="22"/>
        </w:rPr>
      </w:pPr>
      <w:r w:rsidRPr="00325CBB">
        <w:rPr>
          <w:sz w:val="22"/>
        </w:rPr>
        <w:t xml:space="preserve">Zojuist is duidelijk geworden op welke wijze de verantwoording van negatieve goodwill op basis van Dutch GAAP wordt uitgevoerd. Op basis van IFRS 3 ‘Business </w:t>
      </w:r>
      <w:proofErr w:type="spellStart"/>
      <w:r w:rsidRPr="00325CBB">
        <w:rPr>
          <w:sz w:val="22"/>
        </w:rPr>
        <w:t>Combinations</w:t>
      </w:r>
      <w:proofErr w:type="spellEnd"/>
      <w:r w:rsidR="00BB5228">
        <w:rPr>
          <w:sz w:val="22"/>
        </w:rPr>
        <w:t>’</w:t>
      </w:r>
      <w:r w:rsidRPr="00325CBB">
        <w:rPr>
          <w:sz w:val="22"/>
        </w:rPr>
        <w:t xml:space="preserve"> wordt de negatieve </w:t>
      </w:r>
      <w:r w:rsidRPr="00325CBB">
        <w:rPr>
          <w:sz w:val="22"/>
        </w:rPr>
        <w:lastRenderedPageBreak/>
        <w:t>goodwill in alle gevallen onmiddellijk ten gunste van de winst-en-verliesrekening verantwoord</w:t>
      </w:r>
      <w:sdt>
        <w:sdtPr>
          <w:rPr>
            <w:sz w:val="22"/>
          </w:rPr>
          <w:id w:val="-2038574315"/>
          <w:citation/>
        </w:sdtPr>
        <w:sdtContent>
          <w:r w:rsidR="00C61760" w:rsidRPr="00325CBB">
            <w:rPr>
              <w:sz w:val="22"/>
            </w:rPr>
            <w:fldChar w:fldCharType="begin"/>
          </w:r>
          <w:r w:rsidRPr="00325CBB">
            <w:rPr>
              <w:sz w:val="22"/>
            </w:rPr>
            <w:instrText xml:space="preserve"> CITATION EY14 \l 2057 </w:instrText>
          </w:r>
          <w:r w:rsidR="00C61760" w:rsidRPr="00325CBB">
            <w:rPr>
              <w:sz w:val="22"/>
            </w:rPr>
            <w:fldChar w:fldCharType="separate"/>
          </w:r>
          <w:r w:rsidR="00B12BDC">
            <w:rPr>
              <w:noProof/>
              <w:sz w:val="22"/>
            </w:rPr>
            <w:t xml:space="preserve"> </w:t>
          </w:r>
          <w:r w:rsidR="00B12BDC" w:rsidRPr="00B12BDC">
            <w:rPr>
              <w:noProof/>
              <w:sz w:val="22"/>
            </w:rPr>
            <w:t>(EY , 2014)</w:t>
          </w:r>
          <w:r w:rsidR="00C61760" w:rsidRPr="00325CBB">
            <w:rPr>
              <w:sz w:val="22"/>
            </w:rPr>
            <w:fldChar w:fldCharType="end"/>
          </w:r>
        </w:sdtContent>
      </w:sdt>
      <w:r w:rsidRPr="00325CBB">
        <w:rPr>
          <w:sz w:val="22"/>
        </w:rPr>
        <w:t>.</w:t>
      </w:r>
    </w:p>
    <w:p w:rsidR="00356653" w:rsidRPr="00325CBB" w:rsidRDefault="00356653" w:rsidP="00E23E9A">
      <w:pPr>
        <w:pStyle w:val="Heading3"/>
        <w:spacing w:line="360" w:lineRule="auto"/>
        <w:rPr>
          <w:rFonts w:asciiTheme="minorHAnsi" w:hAnsiTheme="minorHAnsi"/>
          <w:b/>
          <w:sz w:val="22"/>
          <w:szCs w:val="22"/>
        </w:rPr>
      </w:pPr>
      <w:r w:rsidRPr="00325CBB">
        <w:rPr>
          <w:rFonts w:asciiTheme="minorHAnsi" w:hAnsiTheme="minorHAnsi"/>
          <w:sz w:val="22"/>
          <w:szCs w:val="22"/>
        </w:rPr>
        <w:t xml:space="preserve">  </w:t>
      </w:r>
      <w:bookmarkStart w:id="25" w:name="_Toc425532302"/>
      <w:r w:rsidRPr="00325CBB">
        <w:rPr>
          <w:rFonts w:asciiTheme="minorHAnsi" w:hAnsiTheme="minorHAnsi"/>
          <w:b/>
          <w:sz w:val="22"/>
          <w:szCs w:val="22"/>
        </w:rPr>
        <w:t>Samenvatting</w:t>
      </w:r>
      <w:bookmarkEnd w:id="25"/>
    </w:p>
    <w:p w:rsidR="00C80B69" w:rsidRPr="00B8155F" w:rsidRDefault="00814B21" w:rsidP="00B8155F">
      <w:pPr>
        <w:spacing w:line="360" w:lineRule="auto"/>
        <w:rPr>
          <w:sz w:val="22"/>
        </w:rPr>
      </w:pPr>
      <w:r w:rsidRPr="00325CBB">
        <w:rPr>
          <w:sz w:val="22"/>
        </w:rPr>
        <w:t xml:space="preserve">In hoofdstuk 3 zijn de vier methoden </w:t>
      </w:r>
      <w:r w:rsidR="00C80B69" w:rsidRPr="004F6D56">
        <w:rPr>
          <w:sz w:val="22"/>
        </w:rPr>
        <w:t>besproken</w:t>
      </w:r>
      <w:r w:rsidR="00C80B69">
        <w:rPr>
          <w:color w:val="FF0000"/>
          <w:sz w:val="22"/>
        </w:rPr>
        <w:t xml:space="preserve"> </w:t>
      </w:r>
      <w:r w:rsidR="004F6D56">
        <w:rPr>
          <w:sz w:val="22"/>
        </w:rPr>
        <w:t xml:space="preserve">om goodwill te </w:t>
      </w:r>
      <w:r w:rsidR="004F6D56" w:rsidRPr="002F61F8">
        <w:rPr>
          <w:sz w:val="22"/>
        </w:rPr>
        <w:t>verantwoorden</w:t>
      </w:r>
      <w:r w:rsidRPr="002F61F8">
        <w:rPr>
          <w:sz w:val="22"/>
        </w:rPr>
        <w:t xml:space="preserve">. </w:t>
      </w:r>
      <w:proofErr w:type="gramStart"/>
      <w:r w:rsidR="009A2366" w:rsidRPr="003D3F7B">
        <w:rPr>
          <w:sz w:val="22"/>
        </w:rPr>
        <w:t xml:space="preserve">Van de 4 methoden die zijn besproken staat de Nederlandse wetgeving de verantwoordingswijze van goodwill waarbij de </w:t>
      </w:r>
      <w:proofErr w:type="spellStart"/>
      <w:r w:rsidR="009A2366" w:rsidRPr="003D3F7B">
        <w:rPr>
          <w:sz w:val="22"/>
        </w:rPr>
        <w:t>impairment</w:t>
      </w:r>
      <w:proofErr w:type="spellEnd"/>
      <w:r w:rsidR="009A2366" w:rsidRPr="003D3F7B">
        <w:rPr>
          <w:sz w:val="22"/>
        </w:rPr>
        <w:t xml:space="preserve"> test wordt gebruikt niet toe, de overige 3 methoden zijn wel toegestaan volgens de Nederlandse wetgeving. </w:t>
      </w:r>
      <w:proofErr w:type="gramEnd"/>
      <w:r w:rsidRPr="00325CBB">
        <w:rPr>
          <w:sz w:val="22"/>
        </w:rPr>
        <w:t xml:space="preserve">De RJ beveelt de methode </w:t>
      </w:r>
      <w:r w:rsidR="00C80B69" w:rsidRPr="004F6D56">
        <w:rPr>
          <w:sz w:val="22"/>
        </w:rPr>
        <w:t>aan</w:t>
      </w:r>
      <w:r w:rsidR="00C80B69">
        <w:rPr>
          <w:color w:val="FF0000"/>
          <w:sz w:val="22"/>
        </w:rPr>
        <w:t xml:space="preserve"> </w:t>
      </w:r>
      <w:r w:rsidRPr="00325CBB">
        <w:rPr>
          <w:sz w:val="22"/>
        </w:rPr>
        <w:t xml:space="preserve">waarbij goodwill wordt geactiveerd en vervolgens </w:t>
      </w:r>
      <w:r w:rsidRPr="004F6D56">
        <w:rPr>
          <w:sz w:val="22"/>
        </w:rPr>
        <w:t>af</w:t>
      </w:r>
      <w:r w:rsidR="00C80B69" w:rsidRPr="004F6D56">
        <w:rPr>
          <w:sz w:val="22"/>
        </w:rPr>
        <w:t>ge</w:t>
      </w:r>
      <w:r w:rsidRPr="004F6D56">
        <w:rPr>
          <w:sz w:val="22"/>
        </w:rPr>
        <w:t>schr</w:t>
      </w:r>
      <w:r w:rsidR="00C80B69" w:rsidRPr="004F6D56">
        <w:rPr>
          <w:sz w:val="22"/>
        </w:rPr>
        <w:t>even</w:t>
      </w:r>
      <w:r w:rsidRPr="00325CBB">
        <w:rPr>
          <w:sz w:val="22"/>
        </w:rPr>
        <w:t xml:space="preserve">. De reden hiervoor is dat de RJ van mening is dat de methode waarbij goodwill wordt verantwoord door te activeren en vervolgens af te schrijven beter voldoet aan </w:t>
      </w:r>
      <w:proofErr w:type="gramStart"/>
      <w:r w:rsidRPr="00325CBB">
        <w:rPr>
          <w:sz w:val="22"/>
        </w:rPr>
        <w:t>de</w:t>
      </w:r>
      <w:proofErr w:type="gramEnd"/>
      <w:r w:rsidRPr="00325CBB">
        <w:rPr>
          <w:sz w:val="22"/>
        </w:rPr>
        <w:t xml:space="preserve"> inzichtvereiste waard</w:t>
      </w:r>
      <w:r w:rsidR="00C80B69">
        <w:rPr>
          <w:sz w:val="22"/>
        </w:rPr>
        <w:t>oor de jaarrekening een</w:t>
      </w:r>
      <w:r w:rsidR="00C80B69" w:rsidRPr="004F6D56">
        <w:rPr>
          <w:sz w:val="22"/>
        </w:rPr>
        <w:t xml:space="preserve"> getrouw</w:t>
      </w:r>
      <w:r w:rsidRPr="004F6D56">
        <w:rPr>
          <w:sz w:val="22"/>
        </w:rPr>
        <w:t xml:space="preserve"> </w:t>
      </w:r>
      <w:r w:rsidRPr="00325CBB">
        <w:rPr>
          <w:sz w:val="22"/>
        </w:rPr>
        <w:t xml:space="preserve">beeld </w:t>
      </w:r>
      <w:r w:rsidRPr="004F6D56">
        <w:rPr>
          <w:sz w:val="22"/>
        </w:rPr>
        <w:t>pres</w:t>
      </w:r>
      <w:r w:rsidR="00C80B69" w:rsidRPr="004F6D56">
        <w:rPr>
          <w:sz w:val="22"/>
        </w:rPr>
        <w:t>en</w:t>
      </w:r>
      <w:r w:rsidRPr="004F6D56">
        <w:rPr>
          <w:sz w:val="22"/>
        </w:rPr>
        <w:t xml:space="preserve">teert </w:t>
      </w:r>
      <w:r w:rsidRPr="00325CBB">
        <w:rPr>
          <w:sz w:val="22"/>
        </w:rPr>
        <w:t xml:space="preserve">van de werkelijkheid. De vierde methode om goodwill te verantwoorden is het activeren en vervolgens ieder jaar toetsen met een </w:t>
      </w:r>
      <w:proofErr w:type="spellStart"/>
      <w:r w:rsidRPr="00325CBB">
        <w:rPr>
          <w:sz w:val="22"/>
        </w:rPr>
        <w:t>impairment</w:t>
      </w:r>
      <w:proofErr w:type="spellEnd"/>
      <w:r w:rsidRPr="00325CBB">
        <w:rPr>
          <w:sz w:val="22"/>
        </w:rPr>
        <w:t xml:space="preserve"> test</w:t>
      </w:r>
      <w:r w:rsidRPr="003D3F7B">
        <w:rPr>
          <w:sz w:val="22"/>
        </w:rPr>
        <w:t>.</w:t>
      </w:r>
      <w:r w:rsidR="009A2366" w:rsidRPr="003D3F7B">
        <w:rPr>
          <w:sz w:val="22"/>
        </w:rPr>
        <w:t xml:space="preserve"> Beursgenoteerde ondernemingen in de Europese Unie zijn sinds 2005 verplicht IFRS toe te passen bij het opstellen van de geconsolideerde jaarrekening. De </w:t>
      </w:r>
      <w:r w:rsidR="00E77EB8" w:rsidRPr="003D3F7B">
        <w:rPr>
          <w:sz w:val="22"/>
        </w:rPr>
        <w:t xml:space="preserve">boekwaarde wordt vergeleken met de </w:t>
      </w:r>
      <w:r w:rsidR="009A2366" w:rsidRPr="003D3F7B">
        <w:rPr>
          <w:sz w:val="22"/>
        </w:rPr>
        <w:t>realiseerbare waarde van de kaasstroom genererende eenheden</w:t>
      </w:r>
      <w:r w:rsidR="00E77EB8" w:rsidRPr="003D3F7B">
        <w:rPr>
          <w:sz w:val="22"/>
        </w:rPr>
        <w:t xml:space="preserve"> bij de </w:t>
      </w:r>
      <w:proofErr w:type="spellStart"/>
      <w:r w:rsidR="00E77EB8" w:rsidRPr="003D3F7B">
        <w:rPr>
          <w:sz w:val="22"/>
        </w:rPr>
        <w:t>impairment</w:t>
      </w:r>
      <w:proofErr w:type="spellEnd"/>
      <w:r w:rsidR="00E77EB8" w:rsidRPr="003D3F7B">
        <w:rPr>
          <w:sz w:val="22"/>
        </w:rPr>
        <w:t xml:space="preserve"> </w:t>
      </w:r>
      <w:proofErr w:type="spellStart"/>
      <w:r w:rsidR="00E77EB8" w:rsidRPr="003D3F7B">
        <w:rPr>
          <w:sz w:val="22"/>
        </w:rPr>
        <w:t>test</w:t>
      </w:r>
      <w:r w:rsidRPr="00325CBB">
        <w:rPr>
          <w:sz w:val="22"/>
        </w:rPr>
        <w:t>De</w:t>
      </w:r>
      <w:proofErr w:type="spellEnd"/>
      <w:r w:rsidRPr="00325CBB">
        <w:rPr>
          <w:sz w:val="22"/>
        </w:rPr>
        <w:t xml:space="preserve"> realiseerbare waarde wordt berekend d.m.v. </w:t>
      </w:r>
      <w:proofErr w:type="spellStart"/>
      <w:r w:rsidRPr="00325CBB">
        <w:rPr>
          <w:sz w:val="22"/>
        </w:rPr>
        <w:t>discounted</w:t>
      </w:r>
      <w:proofErr w:type="spellEnd"/>
      <w:r w:rsidRPr="00325CBB">
        <w:rPr>
          <w:sz w:val="22"/>
        </w:rPr>
        <w:t xml:space="preserve"> cashflow methode, hierbij worden de toekomstige kasstromen verdisconteerd</w:t>
      </w:r>
      <w:r w:rsidR="004B196B" w:rsidRPr="00325CBB">
        <w:rPr>
          <w:sz w:val="22"/>
        </w:rPr>
        <w:t xml:space="preserve"> tegen de </w:t>
      </w:r>
      <w:proofErr w:type="spellStart"/>
      <w:r w:rsidR="004B196B" w:rsidRPr="00325CBB">
        <w:rPr>
          <w:sz w:val="22"/>
        </w:rPr>
        <w:t>weighted</w:t>
      </w:r>
      <w:proofErr w:type="spellEnd"/>
      <w:r w:rsidR="004B196B" w:rsidRPr="00325CBB">
        <w:rPr>
          <w:sz w:val="22"/>
        </w:rPr>
        <w:t xml:space="preserve"> average </w:t>
      </w:r>
      <w:proofErr w:type="spellStart"/>
      <w:r w:rsidR="004B196B" w:rsidRPr="00325CBB">
        <w:rPr>
          <w:sz w:val="22"/>
        </w:rPr>
        <w:t>cost</w:t>
      </w:r>
      <w:proofErr w:type="spellEnd"/>
      <w:r w:rsidR="004B196B" w:rsidRPr="00325CBB">
        <w:rPr>
          <w:sz w:val="22"/>
        </w:rPr>
        <w:t xml:space="preserve"> of </w:t>
      </w:r>
      <w:proofErr w:type="spellStart"/>
      <w:r w:rsidR="004B196B" w:rsidRPr="00325CBB">
        <w:rPr>
          <w:sz w:val="22"/>
        </w:rPr>
        <w:t>capital</w:t>
      </w:r>
      <w:proofErr w:type="spellEnd"/>
      <w:r w:rsidR="004B196B" w:rsidRPr="00325CBB">
        <w:rPr>
          <w:sz w:val="22"/>
        </w:rPr>
        <w:t xml:space="preserve"> (WACC)</w:t>
      </w:r>
      <w:r w:rsidRPr="00325CBB">
        <w:rPr>
          <w:sz w:val="22"/>
        </w:rPr>
        <w:t>.</w:t>
      </w:r>
      <w:r w:rsidR="00E77EB8">
        <w:rPr>
          <w:sz w:val="22"/>
        </w:rPr>
        <w:t xml:space="preserve"> </w:t>
      </w:r>
      <w:r w:rsidR="00E77EB8" w:rsidRPr="003D3F7B">
        <w:rPr>
          <w:sz w:val="22"/>
        </w:rPr>
        <w:t xml:space="preserve">Indien de realiseerbare waarde lager is dan de boekwaarde kan er worden gesproken over een waardevermindering van de geactiveerde goodwill, wat uiteindelijk wordt verantwoord in de resultatenrekening. </w:t>
      </w:r>
      <w:r w:rsidRPr="00325CBB">
        <w:rPr>
          <w:sz w:val="22"/>
        </w:rPr>
        <w:t>Ten slotte is het verschil tussen de RJ en IFRS m.b.t. het verantwoorden van negatieve goodwill toegelicht.</w:t>
      </w:r>
      <w:r w:rsidR="00C80B69">
        <w:rPr>
          <w:i/>
          <w:color w:val="000000" w:themeColor="text1"/>
          <w:sz w:val="36"/>
          <w:szCs w:val="36"/>
        </w:rPr>
        <w:br w:type="page"/>
      </w:r>
    </w:p>
    <w:p w:rsidR="00D975C8" w:rsidRPr="00C80B69" w:rsidRDefault="00C80B69" w:rsidP="00B8155F">
      <w:pPr>
        <w:pStyle w:val="Heading4"/>
        <w:spacing w:before="0"/>
        <w:rPr>
          <w:rFonts w:asciiTheme="minorHAnsi" w:hAnsiTheme="minorHAnsi"/>
          <w:i w:val="0"/>
          <w:color w:val="000000" w:themeColor="text1"/>
          <w:sz w:val="36"/>
          <w:szCs w:val="36"/>
        </w:rPr>
      </w:pPr>
      <w:r>
        <w:rPr>
          <w:rFonts w:asciiTheme="minorHAnsi" w:hAnsiTheme="minorHAnsi"/>
          <w:i w:val="0"/>
          <w:color w:val="000000" w:themeColor="text1"/>
          <w:sz w:val="36"/>
          <w:szCs w:val="36"/>
        </w:rPr>
        <w:lastRenderedPageBreak/>
        <w:t xml:space="preserve">4 </w:t>
      </w:r>
      <w:r w:rsidR="00D975C8" w:rsidRPr="00C80B69">
        <w:rPr>
          <w:rFonts w:asciiTheme="minorHAnsi" w:hAnsiTheme="minorHAnsi"/>
          <w:i w:val="0"/>
          <w:color w:val="000000" w:themeColor="text1"/>
          <w:sz w:val="36"/>
          <w:szCs w:val="36"/>
        </w:rPr>
        <w:t>Impact van goo</w:t>
      </w:r>
      <w:r>
        <w:rPr>
          <w:rFonts w:asciiTheme="minorHAnsi" w:hAnsiTheme="minorHAnsi"/>
          <w:i w:val="0"/>
          <w:color w:val="000000" w:themeColor="text1"/>
          <w:sz w:val="36"/>
          <w:szCs w:val="36"/>
        </w:rPr>
        <w:t>dwill</w:t>
      </w:r>
      <w:r w:rsidR="00D975C8" w:rsidRPr="00C80B69">
        <w:rPr>
          <w:rFonts w:asciiTheme="minorHAnsi" w:hAnsiTheme="minorHAnsi"/>
          <w:i w:val="0"/>
          <w:color w:val="000000" w:themeColor="text1"/>
          <w:sz w:val="36"/>
          <w:szCs w:val="36"/>
        </w:rPr>
        <w:t>verantwoording</w:t>
      </w:r>
      <w:r w:rsidR="000D430F" w:rsidRPr="00C80B69">
        <w:rPr>
          <w:rFonts w:asciiTheme="minorHAnsi" w:hAnsiTheme="minorHAnsi"/>
          <w:i w:val="0"/>
          <w:color w:val="000000" w:themeColor="text1"/>
          <w:sz w:val="36"/>
          <w:szCs w:val="36"/>
        </w:rPr>
        <w:t xml:space="preserve"> op de jaarrekening</w:t>
      </w:r>
    </w:p>
    <w:p w:rsidR="00D975C8" w:rsidRPr="00325CBB" w:rsidRDefault="002335AF" w:rsidP="00E23E9A">
      <w:pPr>
        <w:spacing w:line="360" w:lineRule="auto"/>
        <w:rPr>
          <w:sz w:val="22"/>
        </w:rPr>
      </w:pPr>
      <w:r>
        <w:rPr>
          <w:sz w:val="22"/>
        </w:rPr>
        <w:t>Een van de</w:t>
      </w:r>
      <w:r w:rsidR="00D975C8" w:rsidRPr="00325CBB">
        <w:rPr>
          <w:sz w:val="22"/>
        </w:rPr>
        <w:t xml:space="preserve"> belangrijkste immateriële activa in de balans van een onderneming die een materieel effect op het resultaat kan hebben, is goodwill. De literatuur betreffende de voor- en nadelen van de verschillende wijzen van verantwoording is uit</w:t>
      </w:r>
      <w:r w:rsidR="00B73FCA" w:rsidRPr="002335AF">
        <w:rPr>
          <w:sz w:val="22"/>
        </w:rPr>
        <w:t>een</w:t>
      </w:r>
      <w:r w:rsidR="00D975C8" w:rsidRPr="00325CBB">
        <w:rPr>
          <w:sz w:val="22"/>
        </w:rPr>
        <w:t xml:space="preserve">lopend. In het bijzonder zijn de meningen over de toewijzing van de kosten en het inzicht in de jaarrekening verdeeld. In de literatuur betreft dit in het bijzonder de verschillende inzichten die ontstaan door amortiseren en </w:t>
      </w:r>
      <w:proofErr w:type="spellStart"/>
      <w:r w:rsidR="00D975C8" w:rsidRPr="00325CBB">
        <w:rPr>
          <w:sz w:val="22"/>
        </w:rPr>
        <w:t>impairment</w:t>
      </w:r>
      <w:proofErr w:type="spellEnd"/>
      <w:r w:rsidR="00D975C8" w:rsidRPr="00325CBB">
        <w:rPr>
          <w:sz w:val="22"/>
        </w:rPr>
        <w:t xml:space="preserve">. </w:t>
      </w:r>
      <w:proofErr w:type="gramStart"/>
      <w:r w:rsidR="00D975C8" w:rsidRPr="00325CBB">
        <w:rPr>
          <w:sz w:val="22"/>
        </w:rPr>
        <w:t>Deze</w:t>
      </w:r>
      <w:proofErr w:type="gramEnd"/>
      <w:r w:rsidR="00D975C8" w:rsidRPr="00325CBB">
        <w:rPr>
          <w:sz w:val="22"/>
        </w:rPr>
        <w:t xml:space="preserve"> hoofdstuk is gericht op de voor- en nadelen van de wijzen van verantwoording zoals dit op basis de literatuur blijkt. Dit kunnen resultaten uit ond</w:t>
      </w:r>
      <w:r w:rsidR="000D430F" w:rsidRPr="00325CBB">
        <w:rPr>
          <w:sz w:val="22"/>
        </w:rPr>
        <w:t>erzoeken zijn of meningen van</w:t>
      </w:r>
      <w:r w:rsidR="00D975C8" w:rsidRPr="00325CBB">
        <w:rPr>
          <w:sz w:val="22"/>
        </w:rPr>
        <w:t xml:space="preserve"> ondernemingen en onderzoekers.</w:t>
      </w:r>
    </w:p>
    <w:p w:rsidR="00D975C8" w:rsidRPr="00325CBB" w:rsidRDefault="00D975C8" w:rsidP="00E23E9A">
      <w:pPr>
        <w:pStyle w:val="Heading2"/>
        <w:numPr>
          <w:ilvl w:val="1"/>
          <w:numId w:val="12"/>
        </w:numPr>
        <w:spacing w:line="360" w:lineRule="auto"/>
        <w:rPr>
          <w:rFonts w:asciiTheme="minorHAnsi" w:hAnsiTheme="minorHAnsi"/>
          <w:sz w:val="22"/>
          <w:szCs w:val="22"/>
        </w:rPr>
      </w:pPr>
      <w:bookmarkStart w:id="26" w:name="_Toc415655974"/>
      <w:bookmarkStart w:id="27" w:name="_Toc415798774"/>
      <w:r w:rsidRPr="00325CBB">
        <w:rPr>
          <w:rFonts w:asciiTheme="minorHAnsi" w:hAnsiTheme="minorHAnsi"/>
          <w:sz w:val="22"/>
          <w:szCs w:val="22"/>
        </w:rPr>
        <w:t xml:space="preserve"> </w:t>
      </w:r>
      <w:bookmarkStart w:id="28" w:name="_Toc425532303"/>
      <w:r w:rsidRPr="00325CBB">
        <w:rPr>
          <w:rFonts w:asciiTheme="minorHAnsi" w:hAnsiTheme="minorHAnsi"/>
          <w:sz w:val="22"/>
          <w:szCs w:val="22"/>
        </w:rPr>
        <w:t>Impact: direct ten laste van het eigen vermogen of het resultaat</w:t>
      </w:r>
      <w:bookmarkEnd w:id="26"/>
      <w:bookmarkEnd w:id="27"/>
      <w:bookmarkEnd w:id="28"/>
    </w:p>
    <w:p w:rsidR="00D975C8" w:rsidRPr="00325CBB" w:rsidRDefault="00D975C8" w:rsidP="00E23E9A">
      <w:pPr>
        <w:spacing w:line="360" w:lineRule="auto"/>
        <w:rPr>
          <w:sz w:val="22"/>
        </w:rPr>
      </w:pPr>
      <w:r w:rsidRPr="00325CBB">
        <w:rPr>
          <w:sz w:val="22"/>
        </w:rPr>
        <w:t xml:space="preserve">Verschillende onderzoekers communiceren dat direct bij de overname de goodwill ten laste van het eigen vermogen, of ten laste van de winst-en-verliesrekening </w:t>
      </w:r>
      <w:r w:rsidR="00947ECC" w:rsidRPr="00325CBB">
        <w:rPr>
          <w:sz w:val="22"/>
        </w:rPr>
        <w:t>verantwoordt</w:t>
      </w:r>
      <w:r w:rsidRPr="00325CBB">
        <w:rPr>
          <w:sz w:val="22"/>
        </w:rPr>
        <w:t xml:space="preserve"> moet worden </w:t>
      </w:r>
      <w:sdt>
        <w:sdtPr>
          <w:rPr>
            <w:sz w:val="22"/>
          </w:rPr>
          <w:id w:val="375743625"/>
          <w:citation/>
        </w:sdtPr>
        <w:sdtContent>
          <w:r w:rsidR="00C61760" w:rsidRPr="00325CBB">
            <w:rPr>
              <w:sz w:val="22"/>
            </w:rPr>
            <w:fldChar w:fldCharType="begin"/>
          </w:r>
          <w:r w:rsidRPr="00325CBB">
            <w:rPr>
              <w:sz w:val="22"/>
            </w:rPr>
            <w:instrText xml:space="preserve"> CITATION Bru91 \l 1043 </w:instrText>
          </w:r>
          <w:r w:rsidR="00C61760" w:rsidRPr="00325CBB">
            <w:rPr>
              <w:sz w:val="22"/>
            </w:rPr>
            <w:fldChar w:fldCharType="separate"/>
          </w:r>
          <w:r w:rsidR="00B12BDC" w:rsidRPr="00B12BDC">
            <w:rPr>
              <w:noProof/>
              <w:sz w:val="22"/>
            </w:rPr>
            <w:t>(Brunovs &amp; Kirsch, 1991)</w:t>
          </w:r>
          <w:r w:rsidR="00C61760" w:rsidRPr="00325CBB">
            <w:rPr>
              <w:sz w:val="22"/>
            </w:rPr>
            <w:fldChar w:fldCharType="end"/>
          </w:r>
        </w:sdtContent>
      </w:sdt>
      <w:proofErr w:type="gramStart"/>
      <w:r w:rsidRPr="00325CBB">
        <w:rPr>
          <w:sz w:val="22"/>
        </w:rPr>
        <w:t>;</w:t>
      </w:r>
      <w:sdt>
        <w:sdtPr>
          <w:rPr>
            <w:sz w:val="22"/>
          </w:rPr>
          <w:id w:val="-978371031"/>
          <w:citation/>
        </w:sdtPr>
        <w:sdtContent>
          <w:r w:rsidR="00C61760" w:rsidRPr="00325CBB">
            <w:rPr>
              <w:sz w:val="22"/>
            </w:rPr>
            <w:fldChar w:fldCharType="begin"/>
          </w:r>
          <w:r w:rsidRPr="00325CBB">
            <w:rPr>
              <w:sz w:val="22"/>
            </w:rPr>
            <w:instrText xml:space="preserve"> CITATION Nob92 \l 1043 </w:instrText>
          </w:r>
          <w:r w:rsidR="00C61760" w:rsidRPr="00325CBB">
            <w:rPr>
              <w:sz w:val="22"/>
            </w:rPr>
            <w:fldChar w:fldCharType="separate"/>
          </w:r>
          <w:proofErr w:type="gramEnd"/>
          <w:r w:rsidR="00B12BDC">
            <w:rPr>
              <w:noProof/>
              <w:sz w:val="22"/>
            </w:rPr>
            <w:t xml:space="preserve"> </w:t>
          </w:r>
          <w:r w:rsidR="00B12BDC" w:rsidRPr="00B12BDC">
            <w:rPr>
              <w:noProof/>
              <w:sz w:val="22"/>
            </w:rPr>
            <w:t>(Nobes, 1992)</w:t>
          </w:r>
          <w:r w:rsidR="00C61760" w:rsidRPr="00325CBB">
            <w:rPr>
              <w:sz w:val="22"/>
            </w:rPr>
            <w:fldChar w:fldCharType="end"/>
          </w:r>
        </w:sdtContent>
      </w:sdt>
      <w:r w:rsidRPr="00325CBB">
        <w:rPr>
          <w:sz w:val="22"/>
        </w:rPr>
        <w:t>. Zij argumenteren dat goodwi</w:t>
      </w:r>
      <w:r w:rsidR="002335AF">
        <w:rPr>
          <w:sz w:val="22"/>
        </w:rPr>
        <w:t>ll moeilijk te meten is vanwege</w:t>
      </w:r>
      <w:r w:rsidR="002335AF">
        <w:rPr>
          <w:color w:val="FF0000"/>
          <w:sz w:val="22"/>
        </w:rPr>
        <w:t xml:space="preserve"> </w:t>
      </w:r>
      <w:r w:rsidRPr="00325CBB">
        <w:rPr>
          <w:sz w:val="22"/>
        </w:rPr>
        <w:t xml:space="preserve">mogelijk weggelaten identificeerbare activa. Toekomstige economische voordelen kunnen niet betrouwbaar worden gemeten, daardoor wordt gecommuniceerd dat het niet de definitie van een actief omvat, waardoor het direct verantwoord moet worden in de winst- en verlies rekening of </w:t>
      </w:r>
      <w:r w:rsidR="00B73FCA" w:rsidRPr="002335AF">
        <w:rPr>
          <w:sz w:val="22"/>
        </w:rPr>
        <w:t>in</w:t>
      </w:r>
      <w:r w:rsidR="00B73FCA">
        <w:rPr>
          <w:color w:val="FF0000"/>
          <w:sz w:val="22"/>
        </w:rPr>
        <w:t xml:space="preserve"> </w:t>
      </w:r>
      <w:r w:rsidRPr="00325CBB">
        <w:rPr>
          <w:sz w:val="22"/>
        </w:rPr>
        <w:t>het eigen vermogen. Eveneens blijkt uit onderzoek dat indien goodwill langer dan twee jaar in de balans wordt verantwoord dit niet tot relevante informatie leidt voor de investeerders (Hulzen et al</w:t>
      </w:r>
      <w:proofErr w:type="gramStart"/>
      <w:r w:rsidRPr="00325CBB">
        <w:rPr>
          <w:sz w:val="22"/>
        </w:rPr>
        <w:t>.</w:t>
      </w:r>
      <w:proofErr w:type="gramEnd"/>
      <w:r w:rsidRPr="00325CBB">
        <w:rPr>
          <w:sz w:val="22"/>
        </w:rPr>
        <w:t>, 2011). Ten</w:t>
      </w:r>
      <w:r w:rsidR="00947ECC">
        <w:rPr>
          <w:sz w:val="22"/>
        </w:rPr>
        <w:t xml:space="preserve"> </w:t>
      </w:r>
      <w:r w:rsidRPr="00325CBB">
        <w:rPr>
          <w:sz w:val="22"/>
        </w:rPr>
        <w:t>slotte wordt beargumenteerd dat goodwill feitelijk een uitkering is aan de oude eigenaren van de verworven deelneming</w:t>
      </w:r>
      <w:sdt>
        <w:sdtPr>
          <w:rPr>
            <w:sz w:val="22"/>
          </w:rPr>
          <w:id w:val="142778351"/>
          <w:citation/>
        </w:sdtPr>
        <w:sdtContent>
          <w:r w:rsidR="00C61760" w:rsidRPr="00325CBB">
            <w:rPr>
              <w:sz w:val="22"/>
            </w:rPr>
            <w:fldChar w:fldCharType="begin"/>
          </w:r>
          <w:r w:rsidRPr="00325CBB">
            <w:rPr>
              <w:sz w:val="22"/>
            </w:rPr>
            <w:instrText xml:space="preserve"> CITATION Kno00 \l 1043 </w:instrText>
          </w:r>
          <w:r w:rsidR="00C61760" w:rsidRPr="00325CBB">
            <w:rPr>
              <w:sz w:val="22"/>
            </w:rPr>
            <w:fldChar w:fldCharType="separate"/>
          </w:r>
          <w:r w:rsidR="00B12BDC">
            <w:rPr>
              <w:noProof/>
              <w:sz w:val="22"/>
            </w:rPr>
            <w:t xml:space="preserve"> </w:t>
          </w:r>
          <w:r w:rsidR="00B12BDC" w:rsidRPr="00B12BDC">
            <w:rPr>
              <w:noProof/>
              <w:sz w:val="22"/>
            </w:rPr>
            <w:t>(Knoops &amp; Bruijn, 2000)</w:t>
          </w:r>
          <w:r w:rsidR="00C61760" w:rsidRPr="00325CBB">
            <w:rPr>
              <w:sz w:val="22"/>
            </w:rPr>
            <w:fldChar w:fldCharType="end"/>
          </w:r>
        </w:sdtContent>
      </w:sdt>
      <w:r w:rsidRPr="00325CBB">
        <w:rPr>
          <w:sz w:val="22"/>
        </w:rPr>
        <w:t>. Het belangrijkste argument in het voordeel van het direct ten laste verantwoorden van de winst-en-verliesrekening is de korte economische levensduur van goodwill. Voorts zijn ondernemingen van mening dat goodwill geen directe tegenwaarde heeft en dat goodwill op basis van het voorzichtigheidsbeginsel niet moet worden geactiveerd</w:t>
      </w:r>
      <w:sdt>
        <w:sdtPr>
          <w:rPr>
            <w:sz w:val="22"/>
          </w:rPr>
          <w:id w:val="1070382558"/>
          <w:citation/>
        </w:sdtPr>
        <w:sdtContent>
          <w:r w:rsidR="00C61760" w:rsidRPr="00325CBB">
            <w:rPr>
              <w:sz w:val="22"/>
            </w:rPr>
            <w:fldChar w:fldCharType="begin"/>
          </w:r>
          <w:r w:rsidRPr="00325CBB">
            <w:rPr>
              <w:sz w:val="22"/>
            </w:rPr>
            <w:instrText xml:space="preserve"> CITATION Kno00 \l 1043 </w:instrText>
          </w:r>
          <w:r w:rsidR="00C61760" w:rsidRPr="00325CBB">
            <w:rPr>
              <w:sz w:val="22"/>
            </w:rPr>
            <w:fldChar w:fldCharType="separate"/>
          </w:r>
          <w:r w:rsidR="00B12BDC">
            <w:rPr>
              <w:noProof/>
              <w:sz w:val="22"/>
            </w:rPr>
            <w:t xml:space="preserve"> </w:t>
          </w:r>
          <w:r w:rsidR="00B12BDC" w:rsidRPr="00B12BDC">
            <w:rPr>
              <w:noProof/>
              <w:sz w:val="22"/>
            </w:rPr>
            <w:t>(Knoops &amp; Bruijn, 2000)</w:t>
          </w:r>
          <w:r w:rsidR="00C61760" w:rsidRPr="00325CBB">
            <w:rPr>
              <w:sz w:val="22"/>
            </w:rPr>
            <w:fldChar w:fldCharType="end"/>
          </w:r>
        </w:sdtContent>
      </w:sdt>
      <w:r w:rsidRPr="00325CBB">
        <w:rPr>
          <w:sz w:val="22"/>
        </w:rPr>
        <w:t xml:space="preserve">. Een groot nadeel van deze wijze van verantwoorden is de grote impact die het heeft op het resultaat en op de slechtere financiële ratio’s van de overnemende partij. </w:t>
      </w:r>
    </w:p>
    <w:p w:rsidR="00D975C8" w:rsidRPr="00325CBB" w:rsidRDefault="00D975C8" w:rsidP="00E23E9A">
      <w:pPr>
        <w:spacing w:line="360" w:lineRule="auto"/>
        <w:rPr>
          <w:sz w:val="22"/>
        </w:rPr>
      </w:pPr>
      <w:r w:rsidRPr="00325CBB">
        <w:rPr>
          <w:sz w:val="22"/>
        </w:rPr>
        <w:t>Voor de methode waarbij goodwill direct ten laste van het e</w:t>
      </w:r>
      <w:r w:rsidR="00DE6CAB" w:rsidRPr="00325CBB">
        <w:rPr>
          <w:sz w:val="22"/>
        </w:rPr>
        <w:t>igen vermogen wordt verantwoord</w:t>
      </w:r>
      <w:r w:rsidRPr="00325CBB">
        <w:rPr>
          <w:sz w:val="22"/>
        </w:rPr>
        <w:t xml:space="preserve"> wordt als belangrijkste argument gegeven dat het tot een meer </w:t>
      </w:r>
      <w:r w:rsidRPr="009B2BC4">
        <w:rPr>
          <w:sz w:val="22"/>
        </w:rPr>
        <w:t>zuiver</w:t>
      </w:r>
      <w:r w:rsidR="00B73FCA" w:rsidRPr="009B2BC4">
        <w:rPr>
          <w:sz w:val="22"/>
        </w:rPr>
        <w:t>e</w:t>
      </w:r>
      <w:r w:rsidRPr="009B2BC4">
        <w:rPr>
          <w:sz w:val="22"/>
        </w:rPr>
        <w:t xml:space="preserve"> pres</w:t>
      </w:r>
      <w:r w:rsidR="00B73FCA" w:rsidRPr="009B2BC4">
        <w:rPr>
          <w:sz w:val="22"/>
        </w:rPr>
        <w:t>en</w:t>
      </w:r>
      <w:r w:rsidRPr="009B2BC4">
        <w:rPr>
          <w:sz w:val="22"/>
        </w:rPr>
        <w:t xml:space="preserve">tatie </w:t>
      </w:r>
      <w:r w:rsidRPr="00325CBB">
        <w:rPr>
          <w:sz w:val="22"/>
        </w:rPr>
        <w:t>leidt van de bedrijfsresultaten</w:t>
      </w:r>
      <w:r w:rsidR="00CE5C15" w:rsidRPr="00325CBB">
        <w:rPr>
          <w:sz w:val="22"/>
        </w:rPr>
        <w:t xml:space="preserve"> en daarmee ook</w:t>
      </w:r>
      <w:r w:rsidR="00CE5C15" w:rsidRPr="009B2BC4">
        <w:rPr>
          <w:sz w:val="22"/>
        </w:rPr>
        <w:t xml:space="preserve"> </w:t>
      </w:r>
      <w:r w:rsidR="00B73FCA" w:rsidRPr="009B2BC4">
        <w:rPr>
          <w:sz w:val="22"/>
        </w:rPr>
        <w:t xml:space="preserve">van </w:t>
      </w:r>
      <w:r w:rsidR="00CE5C15" w:rsidRPr="00325CBB">
        <w:rPr>
          <w:sz w:val="22"/>
        </w:rPr>
        <w:t xml:space="preserve">zuivere financiële </w:t>
      </w:r>
      <w:r w:rsidR="00947ECC" w:rsidRPr="00325CBB">
        <w:rPr>
          <w:sz w:val="22"/>
        </w:rPr>
        <w:t>kengetallen.</w:t>
      </w:r>
      <w:r w:rsidR="00947ECC">
        <w:rPr>
          <w:sz w:val="22"/>
        </w:rPr>
        <w:t xml:space="preserve"> </w:t>
      </w:r>
      <w:r w:rsidRPr="00325CBB">
        <w:rPr>
          <w:sz w:val="22"/>
        </w:rPr>
        <w:t>Eveneens ontstaat geen vertekening van de resultaten door de toekomstige afschrijvingen op goodwill en presenteert het een meer getrouw beeld van de vermogenspositie. Eveneens kan bij deze wijze van verantwoording het voorzichtigheidsbeginsel worden gekwalificeerd als voordeel (Hogendoorn &amp; Knoop, 2001)</w:t>
      </w:r>
    </w:p>
    <w:p w:rsidR="002603FC" w:rsidRPr="00325CBB" w:rsidRDefault="002603FC" w:rsidP="00E23E9A">
      <w:pPr>
        <w:pStyle w:val="Heading2"/>
        <w:numPr>
          <w:ilvl w:val="1"/>
          <w:numId w:val="12"/>
        </w:numPr>
        <w:spacing w:line="360" w:lineRule="auto"/>
        <w:rPr>
          <w:rFonts w:asciiTheme="minorHAnsi" w:hAnsiTheme="minorHAnsi"/>
          <w:sz w:val="22"/>
          <w:szCs w:val="22"/>
        </w:rPr>
      </w:pPr>
      <w:bookmarkStart w:id="29" w:name="_Toc415655975"/>
      <w:bookmarkStart w:id="30" w:name="_Toc415798775"/>
      <w:bookmarkStart w:id="31" w:name="_Toc425532304"/>
      <w:r w:rsidRPr="00325CBB">
        <w:rPr>
          <w:rFonts w:asciiTheme="minorHAnsi" w:hAnsiTheme="minorHAnsi"/>
          <w:sz w:val="22"/>
          <w:szCs w:val="22"/>
        </w:rPr>
        <w:t>Impact: Activeren of afschrijven</w:t>
      </w:r>
      <w:bookmarkEnd w:id="29"/>
      <w:bookmarkEnd w:id="30"/>
      <w:bookmarkEnd w:id="31"/>
    </w:p>
    <w:p w:rsidR="002603FC" w:rsidRPr="00325CBB" w:rsidRDefault="002603FC" w:rsidP="00E23E9A">
      <w:pPr>
        <w:spacing w:line="360" w:lineRule="auto"/>
        <w:rPr>
          <w:sz w:val="22"/>
        </w:rPr>
      </w:pPr>
      <w:r w:rsidRPr="00325CBB">
        <w:rPr>
          <w:sz w:val="22"/>
        </w:rPr>
        <w:t xml:space="preserve">De wijze van verantwoorden waarbij goodwill wordt geactiveerd en afgeschreven (over de economische levensduur), wordt onder andere nog door de RJ aanbevolen en toegepast. </w:t>
      </w:r>
      <w:r w:rsidRPr="00325CBB">
        <w:rPr>
          <w:sz w:val="22"/>
        </w:rPr>
        <w:lastRenderedPageBreak/>
        <w:t>Internationaal blijft de discussie bestaan over deze wijze van verantwoorden. Naast door de RJ is onlangs de discussie nog in volle gang uitgevoerd in Japan. Japan blijft de regel toepassen die ondernemingen de mogelijkheid biedt goodwill, ontstaan na de overname, af te schrijven</w:t>
      </w:r>
      <w:sdt>
        <w:sdtPr>
          <w:rPr>
            <w:sz w:val="22"/>
          </w:rPr>
          <w:id w:val="-1775160376"/>
          <w:citation/>
        </w:sdtPr>
        <w:sdtContent>
          <w:r w:rsidR="00C61760" w:rsidRPr="00325CBB">
            <w:rPr>
              <w:sz w:val="22"/>
            </w:rPr>
            <w:fldChar w:fldCharType="begin"/>
          </w:r>
          <w:r w:rsidRPr="00325CBB">
            <w:rPr>
              <w:sz w:val="22"/>
            </w:rPr>
            <w:instrText xml:space="preserve">CITATION Jap12 \l 1043 </w:instrText>
          </w:r>
          <w:r w:rsidR="00C61760" w:rsidRPr="00325CBB">
            <w:rPr>
              <w:sz w:val="22"/>
            </w:rPr>
            <w:fldChar w:fldCharType="separate"/>
          </w:r>
          <w:r w:rsidR="00B12BDC">
            <w:rPr>
              <w:noProof/>
              <w:sz w:val="22"/>
            </w:rPr>
            <w:t xml:space="preserve"> </w:t>
          </w:r>
          <w:r w:rsidR="00B12BDC" w:rsidRPr="00B12BDC">
            <w:rPr>
              <w:noProof/>
              <w:sz w:val="22"/>
            </w:rPr>
            <w:t>(Rule, 2012)</w:t>
          </w:r>
          <w:r w:rsidR="00C61760" w:rsidRPr="00325CBB">
            <w:rPr>
              <w:sz w:val="22"/>
            </w:rPr>
            <w:fldChar w:fldCharType="end"/>
          </w:r>
        </w:sdtContent>
      </w:sdt>
      <w:r w:rsidRPr="00325CBB">
        <w:rPr>
          <w:sz w:val="22"/>
        </w:rPr>
        <w:t xml:space="preserve">. Onderzoek blijft echter verdeeld over de voor- en nadelen van activeren en afschrijven. Hierna volgen eerst de voordelen, evenals de argumenten voor activeren en afschrijven, vervolgens volgen de nadelen, evenals de argumenten tegen deze wijze van verantwoorden. </w:t>
      </w:r>
    </w:p>
    <w:p w:rsidR="002603FC" w:rsidRPr="00325CBB" w:rsidRDefault="002603FC" w:rsidP="00E23E9A">
      <w:pPr>
        <w:spacing w:line="360" w:lineRule="auto"/>
        <w:rPr>
          <w:sz w:val="22"/>
        </w:rPr>
      </w:pPr>
      <w:r w:rsidRPr="00325CBB">
        <w:rPr>
          <w:sz w:val="22"/>
        </w:rPr>
        <w:t>Investeerders kwalificeren de afschrijvingen van goodwill als een belangrijk gegeven voor de daling van de waarde van goodwill, voor de waarde van de onderneming en daarmee voor d</w:t>
      </w:r>
      <w:r w:rsidR="00D96CB5">
        <w:rPr>
          <w:sz w:val="22"/>
        </w:rPr>
        <w:t>e aandeelprijs (</w:t>
      </w:r>
      <w:proofErr w:type="spellStart"/>
      <w:r w:rsidR="00D96CB5">
        <w:rPr>
          <w:sz w:val="22"/>
        </w:rPr>
        <w:t>Jennings</w:t>
      </w:r>
      <w:proofErr w:type="spellEnd"/>
      <w:r w:rsidR="00D96CB5">
        <w:rPr>
          <w:sz w:val="22"/>
        </w:rPr>
        <w:t xml:space="preserve"> et al</w:t>
      </w:r>
      <w:proofErr w:type="gramStart"/>
      <w:r w:rsidR="00D96CB5">
        <w:rPr>
          <w:sz w:val="22"/>
        </w:rPr>
        <w:t>.</w:t>
      </w:r>
      <w:proofErr w:type="gramEnd"/>
      <w:r w:rsidR="00D96CB5">
        <w:rPr>
          <w:sz w:val="22"/>
        </w:rPr>
        <w:t>,</w:t>
      </w:r>
      <w:r w:rsidRPr="00325CBB">
        <w:rPr>
          <w:sz w:val="22"/>
        </w:rPr>
        <w:t xml:space="preserve"> 1996). Als gevolg daarvan is de afschrijving van goodwill relevante informatie voor de </w:t>
      </w:r>
      <w:r w:rsidR="00D96CB5" w:rsidRPr="00325CBB">
        <w:rPr>
          <w:sz w:val="22"/>
        </w:rPr>
        <w:t>investeerder.</w:t>
      </w:r>
      <w:r w:rsidRPr="00325CBB">
        <w:rPr>
          <w:sz w:val="22"/>
        </w:rPr>
        <w:t xml:space="preserve"> Een ander voordeel van activeren en afschrijven is dat het teveel betaalde bedrag voor de activa van de overgenomen onderneming een reflectie is van de hogere toekomstige winsten. Afschrijven daarvan waarborgt dat de teveel betaalde bedragen afgestemd worden met de verwachte toekomstige winsten </w:t>
      </w:r>
      <w:sdt>
        <w:sdtPr>
          <w:rPr>
            <w:sz w:val="22"/>
          </w:rPr>
          <w:id w:val="114500898"/>
          <w:citation/>
        </w:sdtPr>
        <w:sdtContent>
          <w:r w:rsidR="00C61760" w:rsidRPr="00325CBB">
            <w:rPr>
              <w:sz w:val="22"/>
            </w:rPr>
            <w:fldChar w:fldCharType="begin"/>
          </w:r>
          <w:r w:rsidRPr="00325CBB">
            <w:rPr>
              <w:sz w:val="22"/>
            </w:rPr>
            <w:instrText xml:space="preserve"> CITATION Fon03 \l 1043 </w:instrText>
          </w:r>
          <w:r w:rsidR="00C61760" w:rsidRPr="00325CBB">
            <w:rPr>
              <w:sz w:val="22"/>
            </w:rPr>
            <w:fldChar w:fldCharType="separate"/>
          </w:r>
          <w:r w:rsidR="00B12BDC" w:rsidRPr="00B12BDC">
            <w:rPr>
              <w:noProof/>
              <w:sz w:val="22"/>
            </w:rPr>
            <w:t>(Fontanot, 2003)</w:t>
          </w:r>
          <w:r w:rsidR="00C61760" w:rsidRPr="00325CBB">
            <w:rPr>
              <w:sz w:val="22"/>
            </w:rPr>
            <w:fldChar w:fldCharType="end"/>
          </w:r>
        </w:sdtContent>
      </w:sdt>
      <w:r w:rsidRPr="00325CBB">
        <w:rPr>
          <w:sz w:val="22"/>
        </w:rPr>
        <w:t xml:space="preserve">. Op basis van Dutch GAAP wordt goodwill, </w:t>
      </w:r>
      <w:proofErr w:type="gramStart"/>
      <w:r w:rsidRPr="00325CBB">
        <w:rPr>
          <w:sz w:val="22"/>
        </w:rPr>
        <w:t>in het algemeen</w:t>
      </w:r>
      <w:proofErr w:type="gramEnd"/>
      <w:r w:rsidRPr="00325CBB">
        <w:rPr>
          <w:sz w:val="22"/>
        </w:rPr>
        <w:t xml:space="preserve">, geactiveerd en afgeschreven en wordt eventueel een bijzondere waardevermindering toegepast. Deze systematische afschrijving met extra </w:t>
      </w:r>
      <w:proofErr w:type="spellStart"/>
      <w:r w:rsidRPr="00325CBB">
        <w:rPr>
          <w:sz w:val="22"/>
        </w:rPr>
        <w:t>impairment</w:t>
      </w:r>
      <w:proofErr w:type="spellEnd"/>
      <w:r w:rsidRPr="00325CBB">
        <w:rPr>
          <w:sz w:val="22"/>
        </w:rPr>
        <w:t xml:space="preserve"> </w:t>
      </w:r>
      <w:proofErr w:type="spellStart"/>
      <w:r w:rsidRPr="00325CBB">
        <w:rPr>
          <w:sz w:val="22"/>
        </w:rPr>
        <w:t>testing</w:t>
      </w:r>
      <w:proofErr w:type="spellEnd"/>
      <w:r w:rsidRPr="00325CBB">
        <w:rPr>
          <w:sz w:val="22"/>
        </w:rPr>
        <w:t xml:space="preserve"> erkent dat de factoren die de verworven goodwill vormen, </w:t>
      </w:r>
      <w:proofErr w:type="gramStart"/>
      <w:r w:rsidRPr="00325CBB">
        <w:rPr>
          <w:sz w:val="22"/>
        </w:rPr>
        <w:t>in het algemeen</w:t>
      </w:r>
      <w:proofErr w:type="gramEnd"/>
      <w:r w:rsidRPr="00325CBB">
        <w:rPr>
          <w:sz w:val="22"/>
        </w:rPr>
        <w:t xml:space="preserve"> in de tijd in waarde dalen en dat de daaraan verbonden kosten systematisch ten laste van de winsten over de gebruiksduur van de goodwill verantwoord moeten worden (EFRAG, 2003). Eveneens indien de gebruiksduur van de goodwill niet altijd betrouwbaar te voorspellen is.</w:t>
      </w:r>
      <w:r w:rsidR="00947ECC">
        <w:rPr>
          <w:sz w:val="22"/>
        </w:rPr>
        <w:t xml:space="preserve"> Ook</w:t>
      </w:r>
      <w:r w:rsidRPr="00325CBB">
        <w:rPr>
          <w:sz w:val="22"/>
        </w:rPr>
        <w:t xml:space="preserve"> </w:t>
      </w:r>
      <w:r w:rsidR="00D96CB5">
        <w:rPr>
          <w:sz w:val="22"/>
        </w:rPr>
        <w:t>o</w:t>
      </w:r>
      <w:r w:rsidR="00947ECC">
        <w:rPr>
          <w:sz w:val="22"/>
        </w:rPr>
        <w:t>ndernemingen</w:t>
      </w:r>
      <w:r w:rsidRPr="00325CBB">
        <w:rPr>
          <w:sz w:val="22"/>
        </w:rPr>
        <w:t xml:space="preserve"> communiceren dat goodwill een actief is en bijdraagt aan de toekomstige inkomensstroom, </w:t>
      </w:r>
      <w:r w:rsidR="00D96CB5">
        <w:rPr>
          <w:sz w:val="22"/>
        </w:rPr>
        <w:t xml:space="preserve">dat </w:t>
      </w:r>
      <w:r w:rsidRPr="00325CBB">
        <w:rPr>
          <w:sz w:val="22"/>
        </w:rPr>
        <w:t>de afschrijving van goodwill ten laste van de resultaten van de verworven deelneming moet worden verantwoord in dezelfde periode dat de deelneming resultaten boekt (</w:t>
      </w:r>
      <w:proofErr w:type="spellStart"/>
      <w:r w:rsidRPr="00325CBB">
        <w:rPr>
          <w:sz w:val="22"/>
        </w:rPr>
        <w:t>matching</w:t>
      </w:r>
      <w:proofErr w:type="spellEnd"/>
      <w:r w:rsidRPr="00325CBB">
        <w:rPr>
          <w:sz w:val="22"/>
        </w:rPr>
        <w:t xml:space="preserve"> </w:t>
      </w:r>
      <w:proofErr w:type="spellStart"/>
      <w:r w:rsidRPr="00325CBB">
        <w:rPr>
          <w:sz w:val="22"/>
        </w:rPr>
        <w:t>principle</w:t>
      </w:r>
      <w:proofErr w:type="spellEnd"/>
      <w:r w:rsidRPr="00325CBB">
        <w:rPr>
          <w:sz w:val="22"/>
        </w:rPr>
        <w:t xml:space="preserve">) en dat het een betere beoordeling van de performance mogelijk maakt </w:t>
      </w:r>
      <w:sdt>
        <w:sdtPr>
          <w:rPr>
            <w:sz w:val="22"/>
          </w:rPr>
          <w:id w:val="-1999113142"/>
          <w:citation/>
        </w:sdtPr>
        <w:sdtContent>
          <w:r w:rsidR="00C61760" w:rsidRPr="00325CBB">
            <w:rPr>
              <w:sz w:val="22"/>
            </w:rPr>
            <w:fldChar w:fldCharType="begin"/>
          </w:r>
          <w:r w:rsidRPr="00325CBB">
            <w:rPr>
              <w:sz w:val="22"/>
            </w:rPr>
            <w:instrText xml:space="preserve"> CITATION Kno00 \l 1043 </w:instrText>
          </w:r>
          <w:r w:rsidR="00C61760" w:rsidRPr="00325CBB">
            <w:rPr>
              <w:sz w:val="22"/>
            </w:rPr>
            <w:fldChar w:fldCharType="separate"/>
          </w:r>
          <w:r w:rsidR="00B12BDC" w:rsidRPr="00B12BDC">
            <w:rPr>
              <w:noProof/>
              <w:sz w:val="22"/>
            </w:rPr>
            <w:t>(Knoops &amp; Bruijn, 2000)</w:t>
          </w:r>
          <w:r w:rsidR="00C61760" w:rsidRPr="00325CBB">
            <w:rPr>
              <w:sz w:val="22"/>
            </w:rPr>
            <w:fldChar w:fldCharType="end"/>
          </w:r>
        </w:sdtContent>
      </w:sdt>
      <w:r w:rsidRPr="00325CBB">
        <w:rPr>
          <w:sz w:val="22"/>
        </w:rPr>
        <w:t xml:space="preserve">. </w:t>
      </w:r>
      <w:r w:rsidR="00A731B6" w:rsidRPr="003D3F7B">
        <w:rPr>
          <w:sz w:val="22"/>
        </w:rPr>
        <w:t xml:space="preserve">Hoogendoorn geeft als belangrijkste argument voor het systematisch afschrijven van goodwill dat naarmate de tijd vordert de gekochte goodwill wordt verbruikt en transformeert in zelfgecreëerde goodwill </w:t>
      </w:r>
      <w:sdt>
        <w:sdtPr>
          <w:rPr>
            <w:sz w:val="22"/>
          </w:rPr>
          <w:id w:val="-576974220"/>
          <w:citation/>
        </w:sdtPr>
        <w:sdtContent>
          <w:r w:rsidR="00C61760" w:rsidRPr="003D3F7B">
            <w:rPr>
              <w:sz w:val="22"/>
            </w:rPr>
            <w:fldChar w:fldCharType="begin"/>
          </w:r>
          <w:r w:rsidR="00A731B6" w:rsidRPr="003D3F7B">
            <w:rPr>
              <w:sz w:val="22"/>
            </w:rPr>
            <w:instrText xml:space="preserve"> CITATION Hoo02 \l 1033 </w:instrText>
          </w:r>
          <w:r w:rsidR="00C61760" w:rsidRPr="003D3F7B">
            <w:rPr>
              <w:sz w:val="22"/>
            </w:rPr>
            <w:fldChar w:fldCharType="separate"/>
          </w:r>
          <w:r w:rsidR="00A731B6" w:rsidRPr="003D3F7B">
            <w:rPr>
              <w:noProof/>
              <w:sz w:val="22"/>
            </w:rPr>
            <w:t>(Hoogendoorn, 2002)</w:t>
          </w:r>
          <w:r w:rsidR="00C61760" w:rsidRPr="003D3F7B">
            <w:rPr>
              <w:sz w:val="22"/>
            </w:rPr>
            <w:fldChar w:fldCharType="end"/>
          </w:r>
        </w:sdtContent>
      </w:sdt>
      <w:r w:rsidR="003D3F7B" w:rsidRPr="003D3F7B">
        <w:rPr>
          <w:sz w:val="22"/>
        </w:rPr>
        <w:t>.</w:t>
      </w:r>
      <w:r w:rsidRPr="00325CBB">
        <w:rPr>
          <w:sz w:val="22"/>
        </w:rPr>
        <w:t xml:space="preserve"> Ondanks dat de waarde van overnemende onderneming zelf niet hoeft te wijzigen, daalt de waarde van de gekochte goodwill. Periodieke afschrijvingen verzekeren dat de gekochte goodwill afgeboekt wordt en geen intern gegenereerde goodwill in plaats daarvan verantwoord wordt </w:t>
      </w:r>
      <w:sdt>
        <w:sdtPr>
          <w:rPr>
            <w:sz w:val="22"/>
          </w:rPr>
          <w:id w:val="1755238656"/>
          <w:citation/>
        </w:sdtPr>
        <w:sdtContent>
          <w:r w:rsidR="00C61760" w:rsidRPr="00325CBB">
            <w:rPr>
              <w:sz w:val="22"/>
            </w:rPr>
            <w:fldChar w:fldCharType="begin"/>
          </w:r>
          <w:r w:rsidRPr="00325CBB">
            <w:rPr>
              <w:sz w:val="22"/>
            </w:rPr>
            <w:instrText xml:space="preserve"> CITATION Hoo02 \l 1043 </w:instrText>
          </w:r>
          <w:r w:rsidR="00C61760" w:rsidRPr="00325CBB">
            <w:rPr>
              <w:sz w:val="22"/>
            </w:rPr>
            <w:fldChar w:fldCharType="separate"/>
          </w:r>
          <w:r w:rsidR="00B12BDC" w:rsidRPr="00B12BDC">
            <w:rPr>
              <w:noProof/>
              <w:sz w:val="22"/>
            </w:rPr>
            <w:t>(Hoogendoorn, 2002)</w:t>
          </w:r>
          <w:r w:rsidR="00C61760" w:rsidRPr="00325CBB">
            <w:rPr>
              <w:sz w:val="22"/>
            </w:rPr>
            <w:fldChar w:fldCharType="end"/>
          </w:r>
        </w:sdtContent>
      </w:sdt>
      <w:r w:rsidRPr="00325CBB">
        <w:rPr>
          <w:sz w:val="22"/>
        </w:rPr>
        <w:t>. De activering van deze zelfontwikkelde goodwill wordt in de accountingwereld gekwalificeerd als ‘</w:t>
      </w:r>
      <w:proofErr w:type="spellStart"/>
      <w:proofErr w:type="gramStart"/>
      <w:r w:rsidRPr="00325CBB">
        <w:rPr>
          <w:sz w:val="22"/>
        </w:rPr>
        <w:t>not</w:t>
      </w:r>
      <w:proofErr w:type="spellEnd"/>
      <w:proofErr w:type="gramEnd"/>
      <w:r w:rsidRPr="00325CBB">
        <w:rPr>
          <w:sz w:val="22"/>
        </w:rPr>
        <w:t xml:space="preserve"> </w:t>
      </w:r>
      <w:proofErr w:type="spellStart"/>
      <w:r w:rsidRPr="00325CBB">
        <w:rPr>
          <w:sz w:val="22"/>
        </w:rPr>
        <w:t>done</w:t>
      </w:r>
      <w:proofErr w:type="spellEnd"/>
      <w:r w:rsidRPr="00325CBB">
        <w:rPr>
          <w:sz w:val="22"/>
        </w:rPr>
        <w:t xml:space="preserve">’ omdat zelfontwikkelde goodwill geen actief is, het is niet  duidelijk te identificeren is en de hoogte ervan niet betrouwbaar kan worden vastgesteld, de reden waarom periodiek op de gekochte goodwill wordt afgeschreven </w:t>
      </w:r>
      <w:sdt>
        <w:sdtPr>
          <w:rPr>
            <w:sz w:val="22"/>
          </w:rPr>
          <w:id w:val="-1943063023"/>
          <w:citation/>
        </w:sdtPr>
        <w:sdtContent>
          <w:r w:rsidR="00C61760" w:rsidRPr="00325CBB">
            <w:rPr>
              <w:sz w:val="22"/>
            </w:rPr>
            <w:fldChar w:fldCharType="begin"/>
          </w:r>
          <w:r w:rsidRPr="00325CBB">
            <w:rPr>
              <w:sz w:val="22"/>
            </w:rPr>
            <w:instrText xml:space="preserve"> CITATION Hoo02 \l 1043 </w:instrText>
          </w:r>
          <w:r w:rsidR="00C61760" w:rsidRPr="00325CBB">
            <w:rPr>
              <w:sz w:val="22"/>
            </w:rPr>
            <w:fldChar w:fldCharType="separate"/>
          </w:r>
          <w:r w:rsidR="00B12BDC" w:rsidRPr="00B12BDC">
            <w:rPr>
              <w:noProof/>
              <w:sz w:val="22"/>
            </w:rPr>
            <w:t>(Hoogendoorn, 2002)</w:t>
          </w:r>
          <w:r w:rsidR="00C61760" w:rsidRPr="00325CBB">
            <w:rPr>
              <w:sz w:val="22"/>
            </w:rPr>
            <w:fldChar w:fldCharType="end"/>
          </w:r>
        </w:sdtContent>
      </w:sdt>
      <w:r w:rsidRPr="00325CBB">
        <w:rPr>
          <w:sz w:val="22"/>
        </w:rPr>
        <w:t>.</w:t>
      </w:r>
      <w:r w:rsidRPr="00325CBB" w:rsidDel="00AB65A6">
        <w:rPr>
          <w:sz w:val="22"/>
        </w:rPr>
        <w:t xml:space="preserve"> </w:t>
      </w:r>
      <w:r w:rsidRPr="00325CBB">
        <w:rPr>
          <w:sz w:val="22"/>
        </w:rPr>
        <w:t xml:space="preserve">Meerdere voordelen bestaan ten opzicht van de wijze van verantwoording op basis van </w:t>
      </w:r>
      <w:proofErr w:type="spellStart"/>
      <w:r w:rsidRPr="00325CBB">
        <w:rPr>
          <w:sz w:val="22"/>
        </w:rPr>
        <w:t>impairment</w:t>
      </w:r>
      <w:proofErr w:type="spellEnd"/>
      <w:r w:rsidRPr="00325CBB">
        <w:rPr>
          <w:sz w:val="22"/>
        </w:rPr>
        <w:t xml:space="preserve"> </w:t>
      </w:r>
      <w:proofErr w:type="spellStart"/>
      <w:r w:rsidRPr="00325CBB">
        <w:rPr>
          <w:sz w:val="22"/>
        </w:rPr>
        <w:t>testing</w:t>
      </w:r>
      <w:proofErr w:type="spellEnd"/>
      <w:r w:rsidRPr="00325CBB">
        <w:rPr>
          <w:sz w:val="22"/>
        </w:rPr>
        <w:t xml:space="preserve">. De </w:t>
      </w:r>
      <w:proofErr w:type="spellStart"/>
      <w:r w:rsidRPr="00325CBB">
        <w:rPr>
          <w:sz w:val="22"/>
        </w:rPr>
        <w:t>impairment-only</w:t>
      </w:r>
      <w:proofErr w:type="spellEnd"/>
      <w:r w:rsidRPr="00325CBB">
        <w:rPr>
          <w:sz w:val="22"/>
        </w:rPr>
        <w:t xml:space="preserve"> benadering impliceert bijvoorbeeld dat geen rekening wordt gehouden met het feit dat de </w:t>
      </w:r>
      <w:r w:rsidRPr="00325CBB">
        <w:rPr>
          <w:sz w:val="22"/>
        </w:rPr>
        <w:lastRenderedPageBreak/>
        <w:t xml:space="preserve">economische levensduur van goodwill in veel gevallen betrouwbaar kan worden geschat </w:t>
      </w:r>
      <w:sdt>
        <w:sdtPr>
          <w:rPr>
            <w:sz w:val="22"/>
          </w:rPr>
          <w:id w:val="-1709330041"/>
          <w:citation/>
        </w:sdtPr>
        <w:sdtContent>
          <w:r w:rsidR="00C61760" w:rsidRPr="00325CBB">
            <w:rPr>
              <w:sz w:val="22"/>
            </w:rPr>
            <w:fldChar w:fldCharType="begin"/>
          </w:r>
          <w:r w:rsidRPr="00325CBB">
            <w:rPr>
              <w:sz w:val="22"/>
            </w:rPr>
            <w:instrText xml:space="preserve"> CITATION EFR04 \l 1043 </w:instrText>
          </w:r>
          <w:r w:rsidR="00C61760" w:rsidRPr="00325CBB">
            <w:rPr>
              <w:sz w:val="22"/>
            </w:rPr>
            <w:fldChar w:fldCharType="separate"/>
          </w:r>
          <w:r w:rsidR="00B12BDC" w:rsidRPr="00B12BDC">
            <w:rPr>
              <w:noProof/>
              <w:sz w:val="22"/>
            </w:rPr>
            <w:t>(EFRAG, 2004)</w:t>
          </w:r>
          <w:r w:rsidR="00C61760" w:rsidRPr="00325CBB">
            <w:rPr>
              <w:sz w:val="22"/>
            </w:rPr>
            <w:fldChar w:fldCharType="end"/>
          </w:r>
        </w:sdtContent>
      </w:sdt>
      <w:r w:rsidRPr="00325CBB">
        <w:rPr>
          <w:sz w:val="22"/>
        </w:rPr>
        <w:t xml:space="preserve">. Uit onderzoek blijkt eveneens dat de afschrijving van goodwill een meer relevante waarde biedt dan door middel van </w:t>
      </w:r>
      <w:proofErr w:type="spellStart"/>
      <w:r w:rsidRPr="00325CBB">
        <w:rPr>
          <w:sz w:val="22"/>
        </w:rPr>
        <w:t>impairment</w:t>
      </w:r>
      <w:proofErr w:type="spellEnd"/>
      <w:r w:rsidRPr="00325CBB">
        <w:rPr>
          <w:sz w:val="22"/>
        </w:rPr>
        <w:t>. De investeerders kwalificeren de afschrijvingskosten als meer relevante informatie voor de investeringsbeslissingen en voor de aandelenprijs</w:t>
      </w:r>
      <w:r w:rsidR="00A731B6">
        <w:rPr>
          <w:sz w:val="22"/>
        </w:rPr>
        <w:t xml:space="preserve"> (Hulzen et al</w:t>
      </w:r>
      <w:proofErr w:type="gramStart"/>
      <w:r w:rsidR="00A731B6">
        <w:rPr>
          <w:sz w:val="22"/>
        </w:rPr>
        <w:t>.</w:t>
      </w:r>
      <w:proofErr w:type="gramEnd"/>
      <w:r w:rsidR="00A731B6">
        <w:rPr>
          <w:sz w:val="22"/>
        </w:rPr>
        <w:t>,</w:t>
      </w:r>
      <w:r w:rsidR="00BE7697" w:rsidRPr="00325CBB">
        <w:rPr>
          <w:sz w:val="22"/>
        </w:rPr>
        <w:t xml:space="preserve"> 2011). </w:t>
      </w:r>
      <w:r w:rsidRPr="00325CBB">
        <w:rPr>
          <w:sz w:val="22"/>
        </w:rPr>
        <w:t xml:space="preserve">Eveneens veroorzaken de afschrijvingen minder volatiliteit in de winst dan bij de gebruikmaking van de </w:t>
      </w:r>
      <w:proofErr w:type="spellStart"/>
      <w:r w:rsidRPr="00325CBB">
        <w:rPr>
          <w:sz w:val="22"/>
        </w:rPr>
        <w:t>impairment-only</w:t>
      </w:r>
      <w:proofErr w:type="spellEnd"/>
      <w:r w:rsidRPr="00325CBB">
        <w:rPr>
          <w:sz w:val="22"/>
        </w:rPr>
        <w:t xml:space="preserve"> benadering. Dit wordt veroorzaakt doordat bijzondere waardeverminderingen onregelmatig en in verschillende hoeveelheden bestaan (Hu</w:t>
      </w:r>
      <w:r w:rsidR="00FF2B3A" w:rsidRPr="00325CBB">
        <w:rPr>
          <w:sz w:val="22"/>
        </w:rPr>
        <w:t>lzen et al</w:t>
      </w:r>
      <w:proofErr w:type="gramStart"/>
      <w:r w:rsidR="00FF2B3A" w:rsidRPr="00325CBB">
        <w:rPr>
          <w:sz w:val="22"/>
        </w:rPr>
        <w:t>.</w:t>
      </w:r>
      <w:proofErr w:type="gramEnd"/>
      <w:r w:rsidRPr="00325CBB">
        <w:rPr>
          <w:sz w:val="22"/>
        </w:rPr>
        <w:t xml:space="preserve">, 2011). </w:t>
      </w:r>
    </w:p>
    <w:p w:rsidR="003058C1" w:rsidRDefault="002603FC" w:rsidP="00E23E9A">
      <w:pPr>
        <w:spacing w:line="360" w:lineRule="auto"/>
        <w:rPr>
          <w:sz w:val="22"/>
        </w:rPr>
      </w:pPr>
      <w:r w:rsidRPr="00325CBB">
        <w:rPr>
          <w:sz w:val="22"/>
        </w:rPr>
        <w:t xml:space="preserve">Anderzijds bestaat veel kritiek op de wijze van verantwoorden waarbij goodwill wordt geactiveerd en afgeschreven. In de literatuur wordt deze methode in het bijzonder ten opzichte van de </w:t>
      </w:r>
      <w:proofErr w:type="spellStart"/>
      <w:r w:rsidRPr="00325CBB">
        <w:rPr>
          <w:sz w:val="22"/>
        </w:rPr>
        <w:t>impairment-only</w:t>
      </w:r>
      <w:proofErr w:type="spellEnd"/>
      <w:r w:rsidRPr="00325CBB">
        <w:rPr>
          <w:sz w:val="22"/>
        </w:rPr>
        <w:t xml:space="preserve"> benadering vergeleken. Afschrijving over de geschatte economische levensduur van goodwill heeft een aantal serieuze </w:t>
      </w:r>
      <w:r w:rsidR="00416EC1">
        <w:rPr>
          <w:sz w:val="22"/>
        </w:rPr>
        <w:t>+</w:t>
      </w:r>
      <w:r w:rsidR="007C7F63" w:rsidRPr="00325CBB">
        <w:rPr>
          <w:sz w:val="22"/>
        </w:rPr>
        <w:t xml:space="preserve">nadelen. </w:t>
      </w:r>
      <w:r w:rsidRPr="00325CBB">
        <w:rPr>
          <w:sz w:val="22"/>
        </w:rPr>
        <w:t>Dit is gebaseerd op de veronderstelling dat de waarde in een rechte lijn in de tijd daalt. Eveneens, zoals eerder gesignaleerd, voldoet goodwill niet aan de definitie van een actief (Hulzen et al</w:t>
      </w:r>
      <w:proofErr w:type="gramStart"/>
      <w:r w:rsidRPr="00325CBB">
        <w:rPr>
          <w:sz w:val="22"/>
        </w:rPr>
        <w:t>.</w:t>
      </w:r>
      <w:proofErr w:type="gramEnd"/>
      <w:r w:rsidRPr="00325CBB">
        <w:rPr>
          <w:sz w:val="22"/>
        </w:rPr>
        <w:t xml:space="preserve">, 2011). </w:t>
      </w:r>
      <w:r w:rsidRPr="00533250">
        <w:rPr>
          <w:sz w:val="22"/>
        </w:rPr>
        <w:t>Meerder</w:t>
      </w:r>
      <w:r w:rsidR="00B73FCA" w:rsidRPr="00533250">
        <w:rPr>
          <w:sz w:val="22"/>
        </w:rPr>
        <w:t>e</w:t>
      </w:r>
      <w:r w:rsidRPr="00325CBB">
        <w:rPr>
          <w:sz w:val="22"/>
        </w:rPr>
        <w:t xml:space="preserve"> studies hebben onderzocht of de afschrijving van goodwill een bruikbaar effect heeft op de winsten. Op basis daarvan bleek dat de afschrijvingen van goodwill voor investeerders niet relevant is </w:t>
      </w:r>
      <w:sdt>
        <w:sdtPr>
          <w:rPr>
            <w:sz w:val="22"/>
          </w:rPr>
          <w:id w:val="-145814062"/>
          <w:citation/>
        </w:sdtPr>
        <w:sdtContent>
          <w:r w:rsidR="00C61760" w:rsidRPr="00325CBB">
            <w:rPr>
              <w:sz w:val="22"/>
            </w:rPr>
            <w:fldChar w:fldCharType="begin"/>
          </w:r>
          <w:r w:rsidRPr="00325CBB">
            <w:rPr>
              <w:sz w:val="22"/>
            </w:rPr>
            <w:instrText xml:space="preserve"> CITATION Moe01 \l 1043 </w:instrText>
          </w:r>
          <w:r w:rsidR="00C61760" w:rsidRPr="00325CBB">
            <w:rPr>
              <w:sz w:val="22"/>
            </w:rPr>
            <w:fldChar w:fldCharType="separate"/>
          </w:r>
          <w:r w:rsidR="00B12BDC" w:rsidRPr="00B12BDC">
            <w:rPr>
              <w:noProof/>
              <w:sz w:val="22"/>
            </w:rPr>
            <w:t>(Moehrle, 2001)</w:t>
          </w:r>
          <w:r w:rsidR="00C61760" w:rsidRPr="00325CBB">
            <w:rPr>
              <w:sz w:val="22"/>
            </w:rPr>
            <w:fldChar w:fldCharType="end"/>
          </w:r>
        </w:sdtContent>
      </w:sdt>
      <w:r w:rsidRPr="00325CBB">
        <w:rPr>
          <w:sz w:val="22"/>
        </w:rPr>
        <w:t xml:space="preserve"> (</w:t>
      </w:r>
      <w:proofErr w:type="spellStart"/>
      <w:r w:rsidRPr="00325CBB">
        <w:rPr>
          <w:sz w:val="22"/>
        </w:rPr>
        <w:t>Jennings</w:t>
      </w:r>
      <w:proofErr w:type="spellEnd"/>
      <w:r w:rsidRPr="00325CBB">
        <w:rPr>
          <w:sz w:val="22"/>
        </w:rPr>
        <w:t xml:space="preserve"> et al</w:t>
      </w:r>
      <w:proofErr w:type="gramStart"/>
      <w:r w:rsidRPr="00325CBB">
        <w:rPr>
          <w:sz w:val="22"/>
        </w:rPr>
        <w:t>.</w:t>
      </w:r>
      <w:proofErr w:type="gramEnd"/>
      <w:r w:rsidRPr="00325CBB">
        <w:rPr>
          <w:sz w:val="22"/>
        </w:rPr>
        <w:t xml:space="preserve">, 1996) (Li &amp; </w:t>
      </w:r>
      <w:proofErr w:type="spellStart"/>
      <w:r w:rsidRPr="00325CBB">
        <w:rPr>
          <w:sz w:val="22"/>
        </w:rPr>
        <w:t>Meeks</w:t>
      </w:r>
      <w:proofErr w:type="spellEnd"/>
      <w:r w:rsidRPr="00325CBB">
        <w:rPr>
          <w:sz w:val="22"/>
        </w:rPr>
        <w:t xml:space="preserve">, 2006). De IASB beargumenteerde gelijke bevindingen ten opzichte van de </w:t>
      </w:r>
      <w:proofErr w:type="spellStart"/>
      <w:r w:rsidRPr="00325CBB">
        <w:rPr>
          <w:sz w:val="22"/>
        </w:rPr>
        <w:t>impairment-only</w:t>
      </w:r>
      <w:proofErr w:type="spellEnd"/>
      <w:r w:rsidRPr="00325CBB">
        <w:rPr>
          <w:sz w:val="22"/>
        </w:rPr>
        <w:t xml:space="preserve"> methode. Dit argument wordt echter niet ondersteund door wetenschappelijke bewijzen (Hulzen et al</w:t>
      </w:r>
      <w:proofErr w:type="gramStart"/>
      <w:r w:rsidRPr="00325CBB">
        <w:rPr>
          <w:sz w:val="22"/>
        </w:rPr>
        <w:t>.</w:t>
      </w:r>
      <w:proofErr w:type="gramEnd"/>
      <w:r w:rsidRPr="00325CBB">
        <w:rPr>
          <w:sz w:val="22"/>
        </w:rPr>
        <w:t>, 2011). Ten</w:t>
      </w:r>
      <w:r w:rsidR="007C7F63">
        <w:rPr>
          <w:sz w:val="22"/>
        </w:rPr>
        <w:t xml:space="preserve"> </w:t>
      </w:r>
      <w:r w:rsidRPr="00325CBB">
        <w:rPr>
          <w:sz w:val="22"/>
        </w:rPr>
        <w:t>slotte kan vanuit het perspectief van de in</w:t>
      </w:r>
      <w:r w:rsidR="00533250">
        <w:rPr>
          <w:sz w:val="22"/>
        </w:rPr>
        <w:t>vesteerder worden vastgesteld</w:t>
      </w:r>
      <w:r w:rsidRPr="00325CBB">
        <w:rPr>
          <w:sz w:val="22"/>
        </w:rPr>
        <w:t xml:space="preserve"> dat de meeste analisten de afschrijving van goodwill negeren bij het berekenen van de ratio’s </w:t>
      </w:r>
      <w:sdt>
        <w:sdtPr>
          <w:rPr>
            <w:sz w:val="22"/>
          </w:rPr>
          <w:id w:val="-1023701786"/>
          <w:citation/>
        </w:sdtPr>
        <w:sdtContent>
          <w:r w:rsidR="00C61760" w:rsidRPr="00325CBB">
            <w:rPr>
              <w:sz w:val="22"/>
            </w:rPr>
            <w:fldChar w:fldCharType="begin"/>
          </w:r>
          <w:r w:rsidRPr="00325CBB">
            <w:rPr>
              <w:sz w:val="22"/>
            </w:rPr>
            <w:instrText xml:space="preserve"> CITATION Hat02 \l 1043 </w:instrText>
          </w:r>
          <w:r w:rsidR="00C61760" w:rsidRPr="00325CBB">
            <w:rPr>
              <w:sz w:val="22"/>
            </w:rPr>
            <w:fldChar w:fldCharType="separate"/>
          </w:r>
          <w:r w:rsidR="00B12BDC" w:rsidRPr="00B12BDC">
            <w:rPr>
              <w:noProof/>
              <w:sz w:val="22"/>
            </w:rPr>
            <w:t>(Hattingh, 2002)</w:t>
          </w:r>
          <w:r w:rsidR="00C61760" w:rsidRPr="00325CBB">
            <w:rPr>
              <w:sz w:val="22"/>
            </w:rPr>
            <w:fldChar w:fldCharType="end"/>
          </w:r>
        </w:sdtContent>
      </w:sdt>
      <w:r w:rsidRPr="00325CBB">
        <w:rPr>
          <w:sz w:val="22"/>
        </w:rPr>
        <w:t>.</w:t>
      </w:r>
    </w:p>
    <w:p w:rsidR="00013538" w:rsidRPr="00325CBB" w:rsidRDefault="00013538" w:rsidP="00E23E9A">
      <w:pPr>
        <w:spacing w:line="360" w:lineRule="auto"/>
        <w:rPr>
          <w:sz w:val="22"/>
        </w:rPr>
      </w:pPr>
    </w:p>
    <w:p w:rsidR="001337B8" w:rsidRPr="00325CBB" w:rsidRDefault="001337B8" w:rsidP="00E23E9A">
      <w:pPr>
        <w:pStyle w:val="Heading2"/>
        <w:numPr>
          <w:ilvl w:val="1"/>
          <w:numId w:val="12"/>
        </w:numPr>
        <w:spacing w:line="360" w:lineRule="auto"/>
        <w:rPr>
          <w:rFonts w:asciiTheme="minorHAnsi" w:hAnsiTheme="minorHAnsi"/>
          <w:sz w:val="22"/>
          <w:szCs w:val="22"/>
        </w:rPr>
      </w:pPr>
      <w:bookmarkStart w:id="32" w:name="_Toc415655976"/>
      <w:bookmarkStart w:id="33" w:name="_Toc415798776"/>
      <w:bookmarkStart w:id="34" w:name="_Toc425532305"/>
      <w:r w:rsidRPr="00325CBB">
        <w:rPr>
          <w:rFonts w:asciiTheme="minorHAnsi" w:hAnsiTheme="minorHAnsi"/>
          <w:sz w:val="22"/>
          <w:szCs w:val="22"/>
        </w:rPr>
        <w:t xml:space="preserve">Impact: </w:t>
      </w:r>
      <w:proofErr w:type="spellStart"/>
      <w:r w:rsidRPr="00325CBB">
        <w:rPr>
          <w:rFonts w:asciiTheme="minorHAnsi" w:hAnsiTheme="minorHAnsi"/>
          <w:sz w:val="22"/>
          <w:szCs w:val="22"/>
        </w:rPr>
        <w:t>impairment</w:t>
      </w:r>
      <w:bookmarkEnd w:id="32"/>
      <w:bookmarkEnd w:id="33"/>
      <w:proofErr w:type="spellEnd"/>
      <w:r w:rsidRPr="00325CBB">
        <w:rPr>
          <w:rFonts w:asciiTheme="minorHAnsi" w:hAnsiTheme="minorHAnsi"/>
          <w:sz w:val="22"/>
          <w:szCs w:val="22"/>
        </w:rPr>
        <w:t xml:space="preserve"> test</w:t>
      </w:r>
      <w:bookmarkEnd w:id="34"/>
    </w:p>
    <w:p w:rsidR="001337B8" w:rsidRPr="00325CBB" w:rsidRDefault="001337B8" w:rsidP="00E23E9A">
      <w:pPr>
        <w:spacing w:line="360" w:lineRule="auto"/>
        <w:rPr>
          <w:sz w:val="22"/>
        </w:rPr>
      </w:pPr>
      <w:r w:rsidRPr="00325CBB">
        <w:rPr>
          <w:sz w:val="22"/>
        </w:rPr>
        <w:t xml:space="preserve">Er zijn een aantal voordelen van de verantwoording van goodwill door het jaarlijks (of vaker) te testen op </w:t>
      </w:r>
      <w:proofErr w:type="spellStart"/>
      <w:r w:rsidRPr="00325CBB">
        <w:rPr>
          <w:sz w:val="22"/>
        </w:rPr>
        <w:t>impairment</w:t>
      </w:r>
      <w:proofErr w:type="spellEnd"/>
      <w:r w:rsidRPr="00325CBB">
        <w:rPr>
          <w:sz w:val="22"/>
        </w:rPr>
        <w:t xml:space="preserve">. Ten eerste is het moeilijk </w:t>
      </w:r>
      <w:r w:rsidR="00B73FCA" w:rsidRPr="00533250">
        <w:rPr>
          <w:sz w:val="22"/>
        </w:rPr>
        <w:t>de</w:t>
      </w:r>
      <w:r w:rsidR="00B73FCA">
        <w:rPr>
          <w:color w:val="FF0000"/>
          <w:sz w:val="22"/>
        </w:rPr>
        <w:t xml:space="preserve"> </w:t>
      </w:r>
      <w:r w:rsidRPr="00325CBB">
        <w:rPr>
          <w:sz w:val="22"/>
        </w:rPr>
        <w:t xml:space="preserve">economische levensduur te schatten, door te testen op </w:t>
      </w:r>
      <w:proofErr w:type="spellStart"/>
      <w:r w:rsidRPr="00325CBB">
        <w:rPr>
          <w:sz w:val="22"/>
        </w:rPr>
        <w:t>impairment</w:t>
      </w:r>
      <w:proofErr w:type="spellEnd"/>
      <w:r w:rsidRPr="00325CBB">
        <w:rPr>
          <w:sz w:val="22"/>
        </w:rPr>
        <w:t xml:space="preserve"> wordt dit probleem voorkomen (Hulzen et al</w:t>
      </w:r>
      <w:proofErr w:type="gramStart"/>
      <w:r w:rsidRPr="00325CBB">
        <w:rPr>
          <w:sz w:val="22"/>
        </w:rPr>
        <w:t>.</w:t>
      </w:r>
      <w:proofErr w:type="gramEnd"/>
      <w:r w:rsidRPr="00325CBB">
        <w:rPr>
          <w:sz w:val="22"/>
        </w:rPr>
        <w:t xml:space="preserve">, 2011). </w:t>
      </w:r>
      <w:proofErr w:type="spellStart"/>
      <w:r w:rsidRPr="00325CBB">
        <w:rPr>
          <w:sz w:val="22"/>
        </w:rPr>
        <w:t>Impairment</w:t>
      </w:r>
      <w:proofErr w:type="spellEnd"/>
      <w:r w:rsidRPr="00325CBB">
        <w:rPr>
          <w:sz w:val="22"/>
        </w:rPr>
        <w:t xml:space="preserve"> is in tegenstelling tot afschrijving niet lineair, daarom is het beter mogelijk de waardeverandering te matchen aan de periode, indien geen waardevermindering bestaat wordt niets verantwoord, anders wel, d</w:t>
      </w:r>
      <w:r w:rsidR="009078CE">
        <w:rPr>
          <w:sz w:val="22"/>
        </w:rPr>
        <w:t>aardoor is deze methode actueler</w:t>
      </w:r>
      <w:r w:rsidR="009078CE">
        <w:rPr>
          <w:color w:val="FF0000"/>
          <w:sz w:val="22"/>
        </w:rPr>
        <w:t xml:space="preserve"> </w:t>
      </w:r>
      <w:r w:rsidRPr="00325CBB">
        <w:rPr>
          <w:sz w:val="22"/>
        </w:rPr>
        <w:t>(Hulzen et al</w:t>
      </w:r>
      <w:proofErr w:type="gramStart"/>
      <w:r w:rsidRPr="00325CBB">
        <w:rPr>
          <w:sz w:val="22"/>
        </w:rPr>
        <w:t>.</w:t>
      </w:r>
      <w:proofErr w:type="gramEnd"/>
      <w:r w:rsidRPr="00325CBB">
        <w:rPr>
          <w:sz w:val="22"/>
        </w:rPr>
        <w:t xml:space="preserve">, 2011). De </w:t>
      </w:r>
      <w:proofErr w:type="spellStart"/>
      <w:r w:rsidRPr="00325CBB">
        <w:rPr>
          <w:sz w:val="22"/>
        </w:rPr>
        <w:t>impairment</w:t>
      </w:r>
      <w:proofErr w:type="spellEnd"/>
      <w:r w:rsidRPr="00325CBB">
        <w:rPr>
          <w:sz w:val="22"/>
        </w:rPr>
        <w:t xml:space="preserve"> test vergroot, op basis van de balansbenadering, de transparantie omdat de waardering van de boekwaarde van de goodwill beter samenhangt met de economische realiteit van een onderneming </w:t>
      </w:r>
      <w:sdt>
        <w:sdtPr>
          <w:rPr>
            <w:sz w:val="22"/>
          </w:rPr>
          <w:id w:val="1377513963"/>
          <w:citation/>
        </w:sdtPr>
        <w:sdtContent>
          <w:r w:rsidR="00C61760" w:rsidRPr="00325CBB">
            <w:rPr>
              <w:sz w:val="22"/>
            </w:rPr>
            <w:fldChar w:fldCharType="begin"/>
          </w:r>
          <w:r w:rsidRPr="00325CBB">
            <w:rPr>
              <w:sz w:val="22"/>
            </w:rPr>
            <w:instrText xml:space="preserve"> CITATION Moe01 \l 1043 </w:instrText>
          </w:r>
          <w:r w:rsidR="00C61760" w:rsidRPr="00325CBB">
            <w:rPr>
              <w:sz w:val="22"/>
            </w:rPr>
            <w:fldChar w:fldCharType="separate"/>
          </w:r>
          <w:r w:rsidR="00B12BDC" w:rsidRPr="00B12BDC">
            <w:rPr>
              <w:noProof/>
              <w:sz w:val="22"/>
            </w:rPr>
            <w:t>(Moehrle, 2001)</w:t>
          </w:r>
          <w:r w:rsidR="00C61760" w:rsidRPr="00325CBB">
            <w:rPr>
              <w:sz w:val="22"/>
            </w:rPr>
            <w:fldChar w:fldCharType="end"/>
          </w:r>
        </w:sdtContent>
      </w:sdt>
      <w:r w:rsidRPr="00325CBB">
        <w:rPr>
          <w:sz w:val="22"/>
        </w:rPr>
        <w:t xml:space="preserve">. Eveneens op basis van de winst-en-verliesrekeningbenadering heeft </w:t>
      </w:r>
      <w:proofErr w:type="spellStart"/>
      <w:r w:rsidRPr="00325CBB">
        <w:rPr>
          <w:sz w:val="22"/>
        </w:rPr>
        <w:t>impairment</w:t>
      </w:r>
      <w:proofErr w:type="spellEnd"/>
      <w:r w:rsidRPr="00325CBB">
        <w:rPr>
          <w:sz w:val="22"/>
        </w:rPr>
        <w:t xml:space="preserve"> een voordeel, de mogelijke waardevermindering is sterk afhankelijk van de economische verslechtering van een </w:t>
      </w:r>
      <w:r w:rsidRPr="00325CBB">
        <w:rPr>
          <w:sz w:val="22"/>
        </w:rPr>
        <w:lastRenderedPageBreak/>
        <w:t xml:space="preserve">onderneming. Sommige commentatoren zijn van mening dat de </w:t>
      </w:r>
      <w:proofErr w:type="spellStart"/>
      <w:r w:rsidRPr="00325CBB">
        <w:rPr>
          <w:sz w:val="22"/>
        </w:rPr>
        <w:t>impairment</w:t>
      </w:r>
      <w:proofErr w:type="spellEnd"/>
      <w:r w:rsidRPr="00325CBB">
        <w:rPr>
          <w:sz w:val="22"/>
        </w:rPr>
        <w:t xml:space="preserve"> beter is dan afschrijvingen als gevolg van het feit dat het de winst en winst per aandeel verhoogt</w:t>
      </w:r>
      <w:r w:rsidR="00A61A23">
        <w:rPr>
          <w:sz w:val="22"/>
        </w:rPr>
        <w:t xml:space="preserve"> (Hulzen et al</w:t>
      </w:r>
      <w:proofErr w:type="gramStart"/>
      <w:r w:rsidR="00A61A23">
        <w:rPr>
          <w:sz w:val="22"/>
        </w:rPr>
        <w:t>.</w:t>
      </w:r>
      <w:proofErr w:type="gramEnd"/>
      <w:r w:rsidR="00A61A23">
        <w:rPr>
          <w:sz w:val="22"/>
        </w:rPr>
        <w:t>, 2011)</w:t>
      </w:r>
      <w:r w:rsidRPr="00325CBB">
        <w:rPr>
          <w:sz w:val="22"/>
        </w:rPr>
        <w:t xml:space="preserve">. </w:t>
      </w:r>
    </w:p>
    <w:p w:rsidR="001337B8" w:rsidRPr="00325CBB" w:rsidRDefault="001337B8" w:rsidP="00E23E9A">
      <w:pPr>
        <w:spacing w:line="360" w:lineRule="auto"/>
        <w:rPr>
          <w:sz w:val="22"/>
        </w:rPr>
      </w:pPr>
      <w:r w:rsidRPr="00325CBB">
        <w:rPr>
          <w:sz w:val="22"/>
        </w:rPr>
        <w:t xml:space="preserve">Eveneens bestaan nadelen betreffende de </w:t>
      </w:r>
      <w:proofErr w:type="spellStart"/>
      <w:r w:rsidRPr="00325CBB">
        <w:rPr>
          <w:sz w:val="22"/>
        </w:rPr>
        <w:t>impairment</w:t>
      </w:r>
      <w:proofErr w:type="spellEnd"/>
      <w:r w:rsidRPr="00325CBB">
        <w:rPr>
          <w:sz w:val="22"/>
        </w:rPr>
        <w:t xml:space="preserve"> test. Ten eerste betreft dit het feit dat de goodwill verkregen bij een overname op een gegeven moment transformeert in eigen goodwill. Dit impliceert dat in de loop van de tijd de eigen goodwill in de balans geactiveerd is. Dat is volgens IAS38.48 niet toegestaan </w:t>
      </w:r>
      <w:sdt>
        <w:sdtPr>
          <w:rPr>
            <w:sz w:val="22"/>
          </w:rPr>
          <w:id w:val="368578135"/>
          <w:citation/>
        </w:sdtPr>
        <w:sdtContent>
          <w:r w:rsidR="00C61760" w:rsidRPr="00325CBB">
            <w:rPr>
              <w:sz w:val="22"/>
            </w:rPr>
            <w:fldChar w:fldCharType="begin"/>
          </w:r>
          <w:r w:rsidRPr="00325CBB">
            <w:rPr>
              <w:sz w:val="22"/>
            </w:rPr>
            <w:instrText xml:space="preserve"> CITATION EY14 \l 1043 </w:instrText>
          </w:r>
          <w:r w:rsidR="00C61760" w:rsidRPr="00325CBB">
            <w:rPr>
              <w:sz w:val="22"/>
            </w:rPr>
            <w:fldChar w:fldCharType="separate"/>
          </w:r>
          <w:r w:rsidR="00B12BDC" w:rsidRPr="00B12BDC">
            <w:rPr>
              <w:noProof/>
              <w:sz w:val="22"/>
            </w:rPr>
            <w:t>(EY , 2014)</w:t>
          </w:r>
          <w:r w:rsidR="00C61760" w:rsidRPr="00325CBB">
            <w:rPr>
              <w:sz w:val="22"/>
            </w:rPr>
            <w:fldChar w:fldCharType="end"/>
          </w:r>
        </w:sdtContent>
      </w:sdt>
      <w:r w:rsidRPr="00325CBB">
        <w:rPr>
          <w:sz w:val="22"/>
        </w:rPr>
        <w:t xml:space="preserve"> </w:t>
      </w:r>
      <w:sdt>
        <w:sdtPr>
          <w:rPr>
            <w:sz w:val="22"/>
          </w:rPr>
          <w:id w:val="1085336816"/>
          <w:citation/>
        </w:sdtPr>
        <w:sdtContent>
          <w:r w:rsidR="00C61760" w:rsidRPr="00325CBB">
            <w:rPr>
              <w:sz w:val="22"/>
            </w:rPr>
            <w:fldChar w:fldCharType="begin"/>
          </w:r>
          <w:r w:rsidRPr="00325CBB">
            <w:rPr>
              <w:sz w:val="22"/>
            </w:rPr>
            <w:instrText xml:space="preserve"> CITATION Moe01 \l 1043 </w:instrText>
          </w:r>
          <w:r w:rsidR="00C61760" w:rsidRPr="00325CBB">
            <w:rPr>
              <w:sz w:val="22"/>
            </w:rPr>
            <w:fldChar w:fldCharType="separate"/>
          </w:r>
          <w:r w:rsidR="00B12BDC" w:rsidRPr="00B12BDC">
            <w:rPr>
              <w:noProof/>
              <w:sz w:val="22"/>
            </w:rPr>
            <w:t>(Moehrle, 2001)</w:t>
          </w:r>
          <w:r w:rsidR="00C61760" w:rsidRPr="00325CBB">
            <w:rPr>
              <w:sz w:val="22"/>
            </w:rPr>
            <w:fldChar w:fldCharType="end"/>
          </w:r>
        </w:sdtContent>
      </w:sdt>
      <w:r w:rsidRPr="00325CBB">
        <w:rPr>
          <w:sz w:val="22"/>
        </w:rPr>
        <w:t xml:space="preserve">. Een ander nadeel is dat de </w:t>
      </w:r>
      <w:proofErr w:type="spellStart"/>
      <w:r w:rsidRPr="00325CBB">
        <w:rPr>
          <w:sz w:val="22"/>
        </w:rPr>
        <w:t>impairment</w:t>
      </w:r>
      <w:proofErr w:type="spellEnd"/>
      <w:r w:rsidRPr="00325CBB">
        <w:rPr>
          <w:sz w:val="22"/>
        </w:rPr>
        <w:t xml:space="preserve"> meer subjectiviteit bevat dan de lineaire afschrijving, dat kan leiden tot het sturen van de winst </w:t>
      </w:r>
      <w:sdt>
        <w:sdtPr>
          <w:rPr>
            <w:sz w:val="22"/>
          </w:rPr>
          <w:id w:val="-2117750910"/>
          <w:citation/>
        </w:sdtPr>
        <w:sdtContent>
          <w:r w:rsidR="00C61760" w:rsidRPr="00325CBB">
            <w:rPr>
              <w:sz w:val="22"/>
            </w:rPr>
            <w:fldChar w:fldCharType="begin"/>
          </w:r>
          <w:r w:rsidRPr="00325CBB">
            <w:rPr>
              <w:sz w:val="22"/>
            </w:rPr>
            <w:instrText xml:space="preserve"> CITATION Sch01 \l 1043 </w:instrText>
          </w:r>
          <w:r w:rsidR="00C61760" w:rsidRPr="00325CBB">
            <w:rPr>
              <w:sz w:val="22"/>
            </w:rPr>
            <w:fldChar w:fldCharType="separate"/>
          </w:r>
          <w:r w:rsidR="00B12BDC" w:rsidRPr="00B12BDC">
            <w:rPr>
              <w:noProof/>
              <w:sz w:val="22"/>
            </w:rPr>
            <w:t>(Schoderbek &amp; Slaubaugh, 2001)</w:t>
          </w:r>
          <w:r w:rsidR="00C61760" w:rsidRPr="00325CBB">
            <w:rPr>
              <w:sz w:val="22"/>
            </w:rPr>
            <w:fldChar w:fldCharType="end"/>
          </w:r>
        </w:sdtContent>
      </w:sdt>
      <w:r w:rsidR="00E278F9">
        <w:rPr>
          <w:sz w:val="22"/>
        </w:rPr>
        <w:t xml:space="preserve">. </w:t>
      </w:r>
      <w:r w:rsidRPr="00325CBB">
        <w:rPr>
          <w:sz w:val="22"/>
        </w:rPr>
        <w:t xml:space="preserve">Eveneens is een nadeel de complexiteit van de </w:t>
      </w:r>
      <w:proofErr w:type="spellStart"/>
      <w:r w:rsidRPr="00325CBB">
        <w:rPr>
          <w:sz w:val="22"/>
        </w:rPr>
        <w:t>impairment</w:t>
      </w:r>
      <w:proofErr w:type="spellEnd"/>
      <w:r w:rsidRPr="00325CBB">
        <w:rPr>
          <w:sz w:val="22"/>
        </w:rPr>
        <w:t xml:space="preserve"> test</w:t>
      </w:r>
      <w:sdt>
        <w:sdtPr>
          <w:rPr>
            <w:sz w:val="22"/>
          </w:rPr>
          <w:id w:val="385843134"/>
          <w:citation/>
        </w:sdtPr>
        <w:sdtContent>
          <w:r w:rsidR="00C61760">
            <w:rPr>
              <w:sz w:val="22"/>
            </w:rPr>
            <w:fldChar w:fldCharType="begin"/>
          </w:r>
          <w:r w:rsidR="00E278F9">
            <w:rPr>
              <w:sz w:val="22"/>
            </w:rPr>
            <w:instrText xml:space="preserve"> CITATION Sch01 \l 1043 </w:instrText>
          </w:r>
          <w:r w:rsidR="00C61760">
            <w:rPr>
              <w:sz w:val="22"/>
            </w:rPr>
            <w:fldChar w:fldCharType="separate"/>
          </w:r>
          <w:r w:rsidR="00E278F9">
            <w:rPr>
              <w:noProof/>
              <w:sz w:val="22"/>
            </w:rPr>
            <w:t xml:space="preserve"> </w:t>
          </w:r>
          <w:r w:rsidR="00E278F9" w:rsidRPr="00E278F9">
            <w:rPr>
              <w:noProof/>
              <w:sz w:val="22"/>
            </w:rPr>
            <w:t>(Schoderbek &amp; Slaubaugh, 2001)</w:t>
          </w:r>
          <w:r w:rsidR="00C61760">
            <w:rPr>
              <w:sz w:val="22"/>
            </w:rPr>
            <w:fldChar w:fldCharType="end"/>
          </w:r>
        </w:sdtContent>
      </w:sdt>
      <w:r w:rsidRPr="00325CBB">
        <w:rPr>
          <w:sz w:val="22"/>
        </w:rPr>
        <w:t xml:space="preserve">. </w:t>
      </w:r>
    </w:p>
    <w:p w:rsidR="001337B8" w:rsidRPr="00325CBB" w:rsidRDefault="001337B8" w:rsidP="00E23E9A">
      <w:pPr>
        <w:spacing w:line="360" w:lineRule="auto"/>
        <w:rPr>
          <w:sz w:val="22"/>
        </w:rPr>
      </w:pPr>
      <w:r w:rsidRPr="00325CBB">
        <w:rPr>
          <w:sz w:val="22"/>
        </w:rPr>
        <w:t>Het is voor een onderneming een forse taak om vast te stellen of er sprake is van een waardevermindering van de kasstroom genererende eenheden waar de goodwill aan is toegerekend. Deze methode kan veel tijd en geld vergen</w:t>
      </w:r>
      <w:r w:rsidR="00E278F9">
        <w:rPr>
          <w:sz w:val="22"/>
        </w:rPr>
        <w:t xml:space="preserve"> (</w:t>
      </w:r>
      <w:proofErr w:type="spellStart"/>
      <w:r w:rsidR="00E278F9">
        <w:rPr>
          <w:sz w:val="22"/>
        </w:rPr>
        <w:t>Wines</w:t>
      </w:r>
      <w:proofErr w:type="spellEnd"/>
      <w:r w:rsidR="00E278F9">
        <w:rPr>
          <w:sz w:val="22"/>
        </w:rPr>
        <w:t xml:space="preserve"> et al</w:t>
      </w:r>
      <w:proofErr w:type="gramStart"/>
      <w:r w:rsidR="00E278F9">
        <w:rPr>
          <w:sz w:val="22"/>
        </w:rPr>
        <w:t>.</w:t>
      </w:r>
      <w:proofErr w:type="gramEnd"/>
      <w:r w:rsidR="00E278F9">
        <w:rPr>
          <w:sz w:val="22"/>
        </w:rPr>
        <w:t xml:space="preserve">, 2007). </w:t>
      </w:r>
      <w:r w:rsidRPr="00325CBB">
        <w:rPr>
          <w:sz w:val="22"/>
        </w:rPr>
        <w:t xml:space="preserve">De verantwoording van goodwill </w:t>
      </w:r>
      <w:r w:rsidR="00156CD7" w:rsidRPr="00325CBB">
        <w:rPr>
          <w:sz w:val="22"/>
        </w:rPr>
        <w:t xml:space="preserve">via </w:t>
      </w:r>
      <w:proofErr w:type="spellStart"/>
      <w:r w:rsidRPr="00325CBB">
        <w:rPr>
          <w:sz w:val="22"/>
        </w:rPr>
        <w:t>impairment-only</w:t>
      </w:r>
      <w:proofErr w:type="spellEnd"/>
      <w:r w:rsidRPr="00325CBB">
        <w:rPr>
          <w:sz w:val="22"/>
        </w:rPr>
        <w:t xml:space="preserve"> methode leidt tot een verstoring in de winst-en-verliesrekening. De winst die toegerekend kan worden aan de overgenomen onderneming wordt wel verantwoord, de kosten van deze winst (afschrijving van goodwill) blijft in de balans gehandhaafd</w:t>
      </w:r>
      <w:r w:rsidR="00E278F9">
        <w:rPr>
          <w:sz w:val="22"/>
        </w:rPr>
        <w:t xml:space="preserve"> (Hoogendoorn, 2008)</w:t>
      </w:r>
      <w:r w:rsidRPr="00325CBB">
        <w:rPr>
          <w:sz w:val="22"/>
        </w:rPr>
        <w:t>. Hierin schuilt het gevaar dat ondernemingen, desnoods tegen hoge prijzen, andere ondernemingen overnemen om de winst te vergroten (Hogendoorn, 2008).</w:t>
      </w:r>
    </w:p>
    <w:p w:rsidR="00233BD6" w:rsidRPr="00325CBB" w:rsidRDefault="001337B8" w:rsidP="00E23E9A">
      <w:pPr>
        <w:spacing w:line="360" w:lineRule="auto"/>
        <w:rPr>
          <w:sz w:val="22"/>
        </w:rPr>
      </w:pPr>
      <w:r w:rsidRPr="00325CBB">
        <w:rPr>
          <w:sz w:val="22"/>
        </w:rPr>
        <w:t xml:space="preserve">De volatiliteit van de winst wat door </w:t>
      </w:r>
      <w:proofErr w:type="spellStart"/>
      <w:r w:rsidRPr="00325CBB">
        <w:rPr>
          <w:sz w:val="22"/>
        </w:rPr>
        <w:t>impairment</w:t>
      </w:r>
      <w:proofErr w:type="spellEnd"/>
      <w:r w:rsidRPr="00325CBB">
        <w:rPr>
          <w:sz w:val="22"/>
        </w:rPr>
        <w:t xml:space="preserve"> afboekingen </w:t>
      </w:r>
      <w:r w:rsidR="00156CD7" w:rsidRPr="00325CBB">
        <w:rPr>
          <w:sz w:val="22"/>
        </w:rPr>
        <w:t>ontstaat,</w:t>
      </w:r>
      <w:r w:rsidRPr="00325CBB">
        <w:rPr>
          <w:sz w:val="22"/>
        </w:rPr>
        <w:t xml:space="preserve"> kan nadelige effecten hebben voor ondernemingen</w:t>
      </w:r>
      <w:r w:rsidR="00156CD7">
        <w:rPr>
          <w:sz w:val="22"/>
        </w:rPr>
        <w:t xml:space="preserve"> zoals minder of geen interesse van bestande/potentiele aandeelhouders en beleggers in een onderneming. </w:t>
      </w:r>
      <w:r w:rsidR="00C30CF9" w:rsidRPr="001B6434">
        <w:rPr>
          <w:sz w:val="22"/>
        </w:rPr>
        <w:t>In</w:t>
      </w:r>
      <w:r w:rsidRPr="001B6434">
        <w:rPr>
          <w:sz w:val="22"/>
        </w:rPr>
        <w:t xml:space="preserve"> </w:t>
      </w:r>
      <w:r w:rsidRPr="00325CBB">
        <w:rPr>
          <w:sz w:val="22"/>
        </w:rPr>
        <w:t>slechte economische tijden zijn de vooruitzichten van de toekomstige cashflow lager, dit zorgt voor een lagere realiseerbare waarde van de kasstroom genererend</w:t>
      </w:r>
      <w:r w:rsidR="00EB0052" w:rsidRPr="00325CBB">
        <w:rPr>
          <w:sz w:val="22"/>
        </w:rPr>
        <w:t xml:space="preserve">e eenheden t.o.v. de boekwaarde </w:t>
      </w:r>
      <w:r w:rsidRPr="00325CBB">
        <w:rPr>
          <w:sz w:val="22"/>
        </w:rPr>
        <w:t xml:space="preserve">waardoor er </w:t>
      </w:r>
      <w:proofErr w:type="spellStart"/>
      <w:r w:rsidR="00C30CF9">
        <w:rPr>
          <w:sz w:val="22"/>
        </w:rPr>
        <w:t>impairments</w:t>
      </w:r>
      <w:proofErr w:type="spellEnd"/>
      <w:r w:rsidR="00C30CF9">
        <w:rPr>
          <w:sz w:val="22"/>
        </w:rPr>
        <w:t xml:space="preserve"> van goodwill </w:t>
      </w:r>
      <w:r w:rsidR="00C30CF9" w:rsidRPr="001B6434">
        <w:rPr>
          <w:sz w:val="22"/>
        </w:rPr>
        <w:t>plaats</w:t>
      </w:r>
      <w:r w:rsidRPr="001B6434">
        <w:rPr>
          <w:sz w:val="22"/>
        </w:rPr>
        <w:t>vinden</w:t>
      </w:r>
      <w:r w:rsidRPr="00325CBB">
        <w:rPr>
          <w:sz w:val="22"/>
        </w:rPr>
        <w:t xml:space="preserve"> tijdens slechte economische tijden. Naast het feit dat de winst van </w:t>
      </w:r>
      <w:r w:rsidR="00156CD7" w:rsidRPr="00325CBB">
        <w:rPr>
          <w:sz w:val="22"/>
        </w:rPr>
        <w:t xml:space="preserve">ondernemingen </w:t>
      </w:r>
      <w:r w:rsidRPr="00325CBB">
        <w:rPr>
          <w:sz w:val="22"/>
        </w:rPr>
        <w:t xml:space="preserve">tegenvalt of zelfs verlies wordt gemaakt tijdens een economische crisis, moet er ook nog een afboeking van de goodwill worden verantwoord dat ten laste wordt gebracht van de winst- en verlies rekening. Daarom kan worden gesteld dat de </w:t>
      </w:r>
      <w:proofErr w:type="spellStart"/>
      <w:r w:rsidRPr="00325CBB">
        <w:rPr>
          <w:sz w:val="22"/>
        </w:rPr>
        <w:t>impairment</w:t>
      </w:r>
      <w:proofErr w:type="spellEnd"/>
      <w:r w:rsidRPr="00325CBB">
        <w:rPr>
          <w:sz w:val="22"/>
        </w:rPr>
        <w:t xml:space="preserve"> test methode als nadeel t.o.v. systematisch afschrijven van goodwill conjunctuur versterkend werkt en een double shock is voor ondernemingen in slechte economische tijden. Ter illustratie hiervan zal het voorbeeld van TomTom worden geanalyseerd.</w:t>
      </w:r>
    </w:p>
    <w:p w:rsidR="003058C1" w:rsidRPr="00325CBB" w:rsidRDefault="003058C1" w:rsidP="00E23E9A">
      <w:pPr>
        <w:spacing w:line="360" w:lineRule="auto"/>
        <w:rPr>
          <w:sz w:val="22"/>
        </w:rPr>
      </w:pPr>
    </w:p>
    <w:p w:rsidR="003058C1" w:rsidRPr="00325CBB" w:rsidRDefault="003058C1" w:rsidP="00325CBB">
      <w:pPr>
        <w:pStyle w:val="Heading4"/>
        <w:spacing w:line="360" w:lineRule="auto"/>
        <w:ind w:firstLine="720"/>
        <w:rPr>
          <w:rFonts w:asciiTheme="minorHAnsi" w:hAnsiTheme="minorHAnsi"/>
          <w:i w:val="0"/>
          <w:color w:val="auto"/>
          <w:sz w:val="22"/>
        </w:rPr>
      </w:pPr>
      <w:proofErr w:type="spellStart"/>
      <w:r w:rsidRPr="00325CBB">
        <w:rPr>
          <w:rFonts w:asciiTheme="minorHAnsi" w:hAnsiTheme="minorHAnsi"/>
          <w:i w:val="0"/>
          <w:color w:val="auto"/>
          <w:sz w:val="22"/>
        </w:rPr>
        <w:lastRenderedPageBreak/>
        <w:t>TomTom</w:t>
      </w:r>
      <w:proofErr w:type="spellEnd"/>
      <w:r w:rsidRPr="00325CBB">
        <w:rPr>
          <w:rFonts w:asciiTheme="minorHAnsi" w:hAnsiTheme="minorHAnsi"/>
          <w:i w:val="0"/>
          <w:color w:val="auto"/>
          <w:sz w:val="22"/>
        </w:rPr>
        <w:t xml:space="preserve"> </w:t>
      </w:r>
      <w:proofErr w:type="spellStart"/>
      <w:r w:rsidRPr="00325CBB">
        <w:rPr>
          <w:rFonts w:asciiTheme="minorHAnsi" w:hAnsiTheme="minorHAnsi"/>
          <w:i w:val="0"/>
          <w:color w:val="auto"/>
          <w:sz w:val="22"/>
        </w:rPr>
        <w:t>impairment</w:t>
      </w:r>
      <w:proofErr w:type="spellEnd"/>
      <w:r w:rsidR="00E606EA" w:rsidRPr="00325CBB">
        <w:rPr>
          <w:rFonts w:asciiTheme="minorHAnsi" w:hAnsiTheme="minorHAnsi"/>
          <w:i w:val="0"/>
          <w:color w:val="auto"/>
          <w:sz w:val="22"/>
        </w:rPr>
        <w:t xml:space="preserve"> goodwill</w:t>
      </w:r>
      <w:r w:rsidRPr="00325CBB">
        <w:rPr>
          <w:rFonts w:asciiTheme="minorHAnsi" w:hAnsiTheme="minorHAnsi"/>
          <w:i w:val="0"/>
          <w:color w:val="auto"/>
          <w:sz w:val="22"/>
        </w:rPr>
        <w:t xml:space="preserve"> </w:t>
      </w:r>
    </w:p>
    <w:p w:rsidR="00156CD7" w:rsidRPr="003D3F7B" w:rsidRDefault="00156CD7" w:rsidP="00156CD7">
      <w:pPr>
        <w:shd w:val="clear" w:color="auto" w:fill="FFFFFF"/>
        <w:spacing w:after="0" w:line="360" w:lineRule="auto"/>
        <w:rPr>
          <w:rFonts w:eastAsia="Times New Roman" w:cs="Times New Roman"/>
          <w:sz w:val="22"/>
        </w:rPr>
      </w:pPr>
      <w:r w:rsidRPr="003D3F7B">
        <w:rPr>
          <w:rFonts w:eastAsia="Times New Roman" w:cs="Times New Roman"/>
          <w:sz w:val="22"/>
        </w:rPr>
        <w:t xml:space="preserve">Het Nederlandse bedrijf TomTom dat marktleider is in navigatie systemen was in 2007 geïnteresseerd in het bedrijf </w:t>
      </w:r>
      <w:proofErr w:type="spellStart"/>
      <w:r w:rsidRPr="003D3F7B">
        <w:rPr>
          <w:rFonts w:eastAsia="Times New Roman" w:cs="Times New Roman"/>
          <w:sz w:val="22"/>
        </w:rPr>
        <w:t>Teleatlas</w:t>
      </w:r>
      <w:proofErr w:type="spellEnd"/>
      <w:r w:rsidRPr="003D3F7B">
        <w:rPr>
          <w:rFonts w:eastAsia="Times New Roman" w:cs="Times New Roman"/>
          <w:sz w:val="22"/>
        </w:rPr>
        <w:t xml:space="preserve">, dat gespecialiseerd is in </w:t>
      </w:r>
      <w:proofErr w:type="gramStart"/>
      <w:r w:rsidRPr="003D3F7B">
        <w:rPr>
          <w:rFonts w:eastAsia="Times New Roman" w:cs="Times New Roman"/>
          <w:sz w:val="22"/>
        </w:rPr>
        <w:t>geografische</w:t>
      </w:r>
      <w:proofErr w:type="gramEnd"/>
      <w:r w:rsidRPr="003D3F7B">
        <w:rPr>
          <w:rFonts w:eastAsia="Times New Roman" w:cs="Times New Roman"/>
          <w:sz w:val="22"/>
        </w:rPr>
        <w:t xml:space="preserve"> databaken (TomTom, 2008). De interesse werd in 2007 getoond door het feit dat TomTom een bod</w:t>
      </w:r>
      <w:r w:rsidR="005A4AFB" w:rsidRPr="003D3F7B">
        <w:rPr>
          <w:rFonts w:eastAsia="Times New Roman" w:cs="Times New Roman"/>
          <w:sz w:val="22"/>
        </w:rPr>
        <w:t xml:space="preserve"> bracht op</w:t>
      </w:r>
      <w:r w:rsidRPr="003D3F7B">
        <w:rPr>
          <w:rFonts w:eastAsia="Times New Roman" w:cs="Times New Roman"/>
          <w:sz w:val="22"/>
        </w:rPr>
        <w:t xml:space="preserve"> </w:t>
      </w:r>
      <w:proofErr w:type="spellStart"/>
      <w:r w:rsidRPr="003D3F7B">
        <w:rPr>
          <w:rFonts w:eastAsia="Times New Roman" w:cs="Times New Roman"/>
          <w:sz w:val="22"/>
        </w:rPr>
        <w:t>Teleatlas</w:t>
      </w:r>
      <w:proofErr w:type="spellEnd"/>
      <w:r w:rsidRPr="003D3F7B">
        <w:rPr>
          <w:rFonts w:eastAsia="Times New Roman" w:cs="Times New Roman"/>
          <w:sz w:val="22"/>
        </w:rPr>
        <w:t xml:space="preserve">. </w:t>
      </w:r>
      <w:proofErr w:type="gramStart"/>
      <w:r w:rsidRPr="003D3F7B">
        <w:rPr>
          <w:rFonts w:eastAsia="Times New Roman" w:cs="Times New Roman"/>
          <w:sz w:val="22"/>
        </w:rPr>
        <w:t>Het</w:t>
      </w:r>
      <w:proofErr w:type="gramEnd"/>
      <w:r w:rsidRPr="003D3F7B">
        <w:rPr>
          <w:rFonts w:eastAsia="Times New Roman" w:cs="Times New Roman"/>
          <w:sz w:val="22"/>
        </w:rPr>
        <w:t xml:space="preserve"> gedachte achter de acquisitie van </w:t>
      </w:r>
      <w:proofErr w:type="spellStart"/>
      <w:r w:rsidRPr="003D3F7B">
        <w:rPr>
          <w:rFonts w:eastAsia="Times New Roman" w:cs="Times New Roman"/>
          <w:sz w:val="22"/>
        </w:rPr>
        <w:t>Teleatlas</w:t>
      </w:r>
      <w:proofErr w:type="spellEnd"/>
      <w:r w:rsidRPr="003D3F7B">
        <w:rPr>
          <w:rFonts w:eastAsia="Times New Roman" w:cs="Times New Roman"/>
          <w:sz w:val="22"/>
        </w:rPr>
        <w:t xml:space="preserve"> was dat er kosten zou worden bespaard omdat de kaarten </w:t>
      </w:r>
      <w:r w:rsidR="005A4AFB" w:rsidRPr="003D3F7B">
        <w:rPr>
          <w:rFonts w:eastAsia="Times New Roman" w:cs="Times New Roman"/>
          <w:sz w:val="22"/>
        </w:rPr>
        <w:t xml:space="preserve">dan niet meer extern zouden </w:t>
      </w:r>
      <w:r w:rsidRPr="003D3F7B">
        <w:rPr>
          <w:rFonts w:eastAsia="Times New Roman" w:cs="Times New Roman"/>
          <w:sz w:val="22"/>
        </w:rPr>
        <w:t>worden aangeschaft. Voordat TomTom een bod had gebracht, plaatste Garmin, die de grootste concurrent is van TomTom, een bod van 2,3 miljard euro</w:t>
      </w:r>
      <w:r w:rsidR="005A4AFB" w:rsidRPr="003D3F7B">
        <w:rPr>
          <w:rFonts w:eastAsia="Times New Roman" w:cs="Times New Roman"/>
          <w:sz w:val="22"/>
        </w:rPr>
        <w:t xml:space="preserve"> op </w:t>
      </w:r>
      <w:proofErr w:type="spellStart"/>
      <w:r w:rsidR="005A4AFB" w:rsidRPr="003D3F7B">
        <w:rPr>
          <w:rFonts w:eastAsia="Times New Roman" w:cs="Times New Roman"/>
          <w:sz w:val="22"/>
        </w:rPr>
        <w:t>Teleatlas</w:t>
      </w:r>
      <w:proofErr w:type="spellEnd"/>
      <w:r w:rsidRPr="003D3F7B">
        <w:rPr>
          <w:rFonts w:eastAsia="Times New Roman" w:cs="Times New Roman"/>
          <w:sz w:val="22"/>
        </w:rPr>
        <w:t xml:space="preserve">. TomTom reageerde met een bod van 2,9 miljard euro, wat genoeg was voor een akkoord van </w:t>
      </w:r>
      <w:proofErr w:type="spellStart"/>
      <w:r w:rsidRPr="003D3F7B">
        <w:rPr>
          <w:rFonts w:eastAsia="Times New Roman" w:cs="Times New Roman"/>
          <w:sz w:val="22"/>
        </w:rPr>
        <w:t>Teleatlas</w:t>
      </w:r>
      <w:proofErr w:type="spellEnd"/>
      <w:r w:rsidRPr="003D3F7B">
        <w:rPr>
          <w:rFonts w:eastAsia="Times New Roman" w:cs="Times New Roman"/>
          <w:sz w:val="22"/>
        </w:rPr>
        <w:t xml:space="preserve">. 989 miljoen euro was het verlies van TomTom in het vierde kwartaal van 2008. Na het bekijken van de financial statements van TomTom m.b.t. 2007 is te zien dat de grootste oorzaak voor het verlies was veroorzaakt door de </w:t>
      </w:r>
      <w:proofErr w:type="spellStart"/>
      <w:r w:rsidRPr="003D3F7B">
        <w:rPr>
          <w:rFonts w:eastAsia="Times New Roman" w:cs="Times New Roman"/>
          <w:sz w:val="22"/>
        </w:rPr>
        <w:t>impairment</w:t>
      </w:r>
      <w:proofErr w:type="spellEnd"/>
      <w:r w:rsidRPr="003D3F7B">
        <w:rPr>
          <w:rFonts w:eastAsia="Times New Roman" w:cs="Times New Roman"/>
          <w:sz w:val="22"/>
        </w:rPr>
        <w:t xml:space="preserve"> afboeking op goodwill ter waarde van </w:t>
      </w:r>
      <w:proofErr w:type="gramStart"/>
      <w:r w:rsidRPr="003D3F7B">
        <w:rPr>
          <w:rFonts w:eastAsia="Times New Roman" w:cs="Times New Roman"/>
          <w:sz w:val="22"/>
        </w:rPr>
        <w:t>1,047,</w:t>
      </w:r>
      <w:proofErr w:type="gramEnd"/>
      <w:r w:rsidRPr="003D3F7B">
        <w:rPr>
          <w:rFonts w:eastAsia="Times New Roman" w:cs="Times New Roman"/>
          <w:sz w:val="22"/>
        </w:rPr>
        <w:t>776</w:t>
      </w:r>
      <w:r w:rsidR="005A4AFB" w:rsidRPr="003D3F7B">
        <w:rPr>
          <w:rFonts w:eastAsia="Times New Roman" w:cs="Times New Roman"/>
          <w:sz w:val="22"/>
        </w:rPr>
        <w:t>,000 euro. TomTom zou 16 miljoen</w:t>
      </w:r>
      <w:r w:rsidRPr="003D3F7B">
        <w:rPr>
          <w:rFonts w:eastAsia="Times New Roman" w:cs="Times New Roman"/>
          <w:sz w:val="22"/>
        </w:rPr>
        <w:t xml:space="preserve"> euro winst hebben gemaakt als de </w:t>
      </w:r>
      <w:proofErr w:type="spellStart"/>
      <w:r w:rsidRPr="003D3F7B">
        <w:rPr>
          <w:rFonts w:eastAsia="Times New Roman" w:cs="Times New Roman"/>
          <w:sz w:val="22"/>
        </w:rPr>
        <w:t>impairment</w:t>
      </w:r>
      <w:proofErr w:type="spellEnd"/>
      <w:r w:rsidRPr="003D3F7B">
        <w:rPr>
          <w:rFonts w:eastAsia="Times New Roman" w:cs="Times New Roman"/>
          <w:sz w:val="22"/>
        </w:rPr>
        <w:t xml:space="preserve"> niet had plaats gevonden. </w:t>
      </w:r>
    </w:p>
    <w:p w:rsidR="00156CD7" w:rsidRDefault="00156CD7" w:rsidP="00E23E9A">
      <w:pPr>
        <w:spacing w:line="360" w:lineRule="auto"/>
        <w:rPr>
          <w:sz w:val="22"/>
        </w:rPr>
      </w:pPr>
    </w:p>
    <w:p w:rsidR="00013538" w:rsidRDefault="00013538" w:rsidP="00E23E9A">
      <w:pPr>
        <w:pStyle w:val="Heading4"/>
        <w:spacing w:line="360" w:lineRule="auto"/>
        <w:rPr>
          <w:rFonts w:asciiTheme="minorHAnsi" w:eastAsiaTheme="minorHAnsi" w:hAnsiTheme="minorHAnsi" w:cstheme="minorBidi"/>
          <w:b w:val="0"/>
          <w:bCs w:val="0"/>
          <w:i w:val="0"/>
          <w:iCs w:val="0"/>
          <w:color w:val="auto"/>
        </w:rPr>
      </w:pPr>
    </w:p>
    <w:p w:rsidR="00013538" w:rsidRDefault="00013538" w:rsidP="00E23E9A">
      <w:pPr>
        <w:pStyle w:val="Heading4"/>
        <w:spacing w:line="360" w:lineRule="auto"/>
        <w:rPr>
          <w:rFonts w:asciiTheme="minorHAnsi" w:eastAsiaTheme="minorHAnsi" w:hAnsiTheme="minorHAnsi" w:cstheme="minorBidi"/>
          <w:b w:val="0"/>
          <w:bCs w:val="0"/>
          <w:i w:val="0"/>
          <w:iCs w:val="0"/>
          <w:color w:val="auto"/>
        </w:rPr>
      </w:pPr>
    </w:p>
    <w:p w:rsidR="005D2EDF" w:rsidRDefault="005D2EDF" w:rsidP="005D2EDF"/>
    <w:p w:rsidR="003D3F7B" w:rsidRDefault="003D3F7B" w:rsidP="005D2EDF"/>
    <w:p w:rsidR="003D3F7B" w:rsidRDefault="003D3F7B" w:rsidP="005D2EDF"/>
    <w:p w:rsidR="003D3F7B" w:rsidRDefault="003D3F7B" w:rsidP="005D2EDF"/>
    <w:p w:rsidR="003D3F7B" w:rsidRDefault="003D3F7B" w:rsidP="005D2EDF"/>
    <w:p w:rsidR="003D3F7B" w:rsidRDefault="003D3F7B" w:rsidP="005D2EDF"/>
    <w:p w:rsidR="003D3F7B" w:rsidRDefault="003D3F7B" w:rsidP="005D2EDF"/>
    <w:p w:rsidR="003D3F7B" w:rsidRDefault="003D3F7B" w:rsidP="005D2EDF"/>
    <w:p w:rsidR="003D3F7B" w:rsidRDefault="003D3F7B" w:rsidP="005D2EDF"/>
    <w:p w:rsidR="003D3F7B" w:rsidRDefault="003D3F7B" w:rsidP="005D2EDF"/>
    <w:p w:rsidR="003D3F7B" w:rsidRDefault="003D3F7B" w:rsidP="005D2EDF"/>
    <w:p w:rsidR="003D3F7B" w:rsidRDefault="003D3F7B" w:rsidP="005D2EDF"/>
    <w:p w:rsidR="003D3F7B" w:rsidRDefault="003D3F7B" w:rsidP="005D2EDF"/>
    <w:p w:rsidR="003D3F7B" w:rsidRDefault="003D3F7B" w:rsidP="005D2EDF"/>
    <w:p w:rsidR="003D3F7B" w:rsidRDefault="003D3F7B" w:rsidP="005D2EDF"/>
    <w:p w:rsidR="003D3F7B" w:rsidRPr="005D2EDF" w:rsidRDefault="003D3F7B" w:rsidP="005D2EDF"/>
    <w:p w:rsidR="00A048F8" w:rsidRPr="00325CBB" w:rsidRDefault="00A048F8" w:rsidP="00E23E9A">
      <w:pPr>
        <w:pStyle w:val="Heading4"/>
        <w:spacing w:line="360" w:lineRule="auto"/>
        <w:rPr>
          <w:rFonts w:asciiTheme="minorHAnsi" w:hAnsiTheme="minorHAnsi"/>
          <w:i w:val="0"/>
          <w:color w:val="auto"/>
          <w:sz w:val="22"/>
        </w:rPr>
      </w:pPr>
      <w:r w:rsidRPr="00325CBB">
        <w:rPr>
          <w:rFonts w:asciiTheme="minorHAnsi" w:hAnsiTheme="minorHAnsi"/>
          <w:i w:val="0"/>
          <w:color w:val="auto"/>
          <w:sz w:val="22"/>
        </w:rPr>
        <w:t xml:space="preserve">Samenvatting </w:t>
      </w:r>
    </w:p>
    <w:p w:rsidR="004764F4" w:rsidRDefault="00C301B8" w:rsidP="00E23E9A">
      <w:pPr>
        <w:spacing w:line="360" w:lineRule="auto"/>
        <w:rPr>
          <w:sz w:val="22"/>
        </w:rPr>
      </w:pPr>
      <w:r w:rsidRPr="00325CBB">
        <w:rPr>
          <w:sz w:val="22"/>
        </w:rPr>
        <w:t>Aan het begin van deze scriptie</w:t>
      </w:r>
      <w:r w:rsidR="00A048F8" w:rsidRPr="00325CBB">
        <w:rPr>
          <w:sz w:val="22"/>
        </w:rPr>
        <w:t xml:space="preserve"> is beschreven waaruit de probleemstelling naar voren is gekomen. </w:t>
      </w:r>
      <w:r w:rsidR="00156CD7">
        <w:rPr>
          <w:sz w:val="22"/>
        </w:rPr>
        <w:t>Er is nog steeds veel discussie m.b.t. de verantwoordingswijze van goodwill</w:t>
      </w:r>
      <w:r w:rsidR="00A048F8" w:rsidRPr="00325CBB">
        <w:rPr>
          <w:sz w:val="22"/>
        </w:rPr>
        <w:t xml:space="preserve">. Zo zijn in Nederland twee standaarden die beide een ander inzicht hebben op goodwill. In de literatuur blijkt de discussie ook nog </w:t>
      </w:r>
      <w:proofErr w:type="gramStart"/>
      <w:r w:rsidR="00A048F8" w:rsidRPr="00325CBB">
        <w:rPr>
          <w:sz w:val="22"/>
        </w:rPr>
        <w:t>nie</w:t>
      </w:r>
      <w:r w:rsidR="00BB3865" w:rsidRPr="00325CBB">
        <w:rPr>
          <w:sz w:val="22"/>
        </w:rPr>
        <w:t>t geheel</w:t>
      </w:r>
      <w:proofErr w:type="gramEnd"/>
      <w:r w:rsidR="00BB3865" w:rsidRPr="00325CBB">
        <w:rPr>
          <w:sz w:val="22"/>
        </w:rPr>
        <w:t xml:space="preserve"> ten einde. </w:t>
      </w:r>
      <w:r w:rsidR="004764F4">
        <w:rPr>
          <w:sz w:val="22"/>
        </w:rPr>
        <w:t>De probleemstelling in deze scriptie is</w:t>
      </w:r>
      <w:r w:rsidR="00A048F8" w:rsidRPr="00325CBB">
        <w:rPr>
          <w:sz w:val="22"/>
        </w:rPr>
        <w:t xml:space="preserve">: </w:t>
      </w:r>
      <w:r w:rsidR="00E32B62" w:rsidRPr="00325CBB">
        <w:rPr>
          <w:i/>
          <w:sz w:val="22"/>
        </w:rPr>
        <w:t>“Hoe leidt de verwerking van goodwill</w:t>
      </w:r>
      <w:r w:rsidR="00F96BFA">
        <w:rPr>
          <w:i/>
          <w:sz w:val="22"/>
        </w:rPr>
        <w:t xml:space="preserve"> volgens IFRS en Dutch GAAP</w:t>
      </w:r>
      <w:r w:rsidR="00E32B62" w:rsidRPr="00325CBB">
        <w:rPr>
          <w:i/>
          <w:sz w:val="22"/>
        </w:rPr>
        <w:t xml:space="preserve"> t</w:t>
      </w:r>
      <w:r w:rsidR="00F96BFA">
        <w:rPr>
          <w:i/>
          <w:sz w:val="22"/>
        </w:rPr>
        <w:t>ot verschillen in het resultaat</w:t>
      </w:r>
      <w:r w:rsidR="00E32B62" w:rsidRPr="00325CBB">
        <w:rPr>
          <w:i/>
          <w:sz w:val="22"/>
        </w:rPr>
        <w:t>?”</w:t>
      </w:r>
      <w:r w:rsidR="00A048F8" w:rsidRPr="00325CBB">
        <w:rPr>
          <w:i/>
          <w:sz w:val="22"/>
        </w:rPr>
        <w:t>.</w:t>
      </w:r>
      <w:r w:rsidR="00A048F8" w:rsidRPr="00325CBB">
        <w:rPr>
          <w:sz w:val="22"/>
        </w:rPr>
        <w:t xml:space="preserve"> </w:t>
      </w:r>
      <w:proofErr w:type="gramStart"/>
      <w:r w:rsidR="00A048F8" w:rsidRPr="00325CBB">
        <w:rPr>
          <w:sz w:val="22"/>
        </w:rPr>
        <w:t>Teneinde</w:t>
      </w:r>
      <w:proofErr w:type="gramEnd"/>
      <w:r w:rsidR="00A048F8" w:rsidRPr="00325CBB">
        <w:rPr>
          <w:sz w:val="22"/>
        </w:rPr>
        <w:t xml:space="preserve"> deze probleemstelling te kunnen beantwoorden moet eerst de definitie van goodwill op basis van IFRS, op basis van de RJ en op basis van de Nederlandse wetgeving vastgesteld. </w:t>
      </w:r>
      <w:r w:rsidR="004764F4">
        <w:rPr>
          <w:sz w:val="22"/>
        </w:rPr>
        <w:t xml:space="preserve">De definitie van goodwill volgens </w:t>
      </w:r>
      <w:r w:rsidR="00A048F8" w:rsidRPr="00325CBB">
        <w:rPr>
          <w:sz w:val="22"/>
        </w:rPr>
        <w:t>IFRS</w:t>
      </w:r>
      <w:r w:rsidR="004764F4">
        <w:rPr>
          <w:sz w:val="22"/>
        </w:rPr>
        <w:t xml:space="preserve"> is:</w:t>
      </w:r>
    </w:p>
    <w:p w:rsidR="004764F4" w:rsidRDefault="004764F4" w:rsidP="00E23E9A">
      <w:pPr>
        <w:spacing w:line="360" w:lineRule="auto"/>
        <w:rPr>
          <w:sz w:val="22"/>
        </w:rPr>
      </w:pPr>
      <w:r>
        <w:rPr>
          <w:noProof/>
          <w:lang w:val="en-US"/>
        </w:rPr>
        <w:drawing>
          <wp:inline distT="0" distB="0" distL="0" distR="0">
            <wp:extent cx="5731510" cy="730250"/>
            <wp:effectExtent l="0" t="0" r="2540" b="0"/>
            <wp:docPr id="13" name="Picture 10"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Screen Clipping"/>
                    <pic:cNvPicPr>
                      <a:picLocks noChangeAspect="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730250"/>
                    </a:xfrm>
                    <a:prstGeom prst="rect">
                      <a:avLst/>
                    </a:prstGeom>
                  </pic:spPr>
                </pic:pic>
              </a:graphicData>
            </a:graphic>
          </wp:inline>
        </w:drawing>
      </w:r>
    </w:p>
    <w:p w:rsidR="00951B12" w:rsidRDefault="00A048F8" w:rsidP="00E23E9A">
      <w:pPr>
        <w:spacing w:line="360" w:lineRule="auto"/>
        <w:rPr>
          <w:sz w:val="22"/>
        </w:rPr>
      </w:pPr>
      <w:r w:rsidRPr="00325CBB">
        <w:rPr>
          <w:sz w:val="22"/>
        </w:rPr>
        <w:t>In lijn met de IFRS geeft de RJ een gelijke definitie van goodwill. De RJ stelt expliciet</w:t>
      </w:r>
      <w:r w:rsidR="00D5003C">
        <w:rPr>
          <w:sz w:val="22"/>
        </w:rPr>
        <w:t xml:space="preserve"> in haar definitie het volgende</w:t>
      </w:r>
      <w:r w:rsidRPr="00325CBB">
        <w:rPr>
          <w:sz w:val="22"/>
        </w:rPr>
        <w:t xml:space="preserve">: </w:t>
      </w:r>
    </w:p>
    <w:p w:rsidR="00951B12" w:rsidRDefault="00951B12" w:rsidP="00E23E9A">
      <w:pPr>
        <w:spacing w:line="360" w:lineRule="auto"/>
        <w:rPr>
          <w:sz w:val="22"/>
        </w:rPr>
      </w:pPr>
      <w:r>
        <w:rPr>
          <w:noProof/>
          <w:lang w:val="en-US"/>
        </w:rPr>
        <w:drawing>
          <wp:inline distT="0" distB="0" distL="0" distR="0">
            <wp:extent cx="5731510" cy="460375"/>
            <wp:effectExtent l="0" t="0" r="2540" b="0"/>
            <wp:docPr id="15" name="Picture 1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Screen Clipping"/>
                    <pic:cNvPicPr>
                      <a:picLocks noChangeAspect="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460375"/>
                    </a:xfrm>
                    <a:prstGeom prst="rect">
                      <a:avLst/>
                    </a:prstGeom>
                  </pic:spPr>
                </pic:pic>
              </a:graphicData>
            </a:graphic>
          </wp:inline>
        </w:drawing>
      </w:r>
    </w:p>
    <w:p w:rsidR="00A048F8" w:rsidRPr="00325CBB" w:rsidRDefault="00A048F8" w:rsidP="00E23E9A">
      <w:pPr>
        <w:spacing w:line="360" w:lineRule="auto"/>
        <w:rPr>
          <w:sz w:val="22"/>
        </w:rPr>
      </w:pPr>
      <w:r w:rsidRPr="00325CBB">
        <w:rPr>
          <w:sz w:val="22"/>
        </w:rPr>
        <w:t xml:space="preserve"> De </w:t>
      </w:r>
      <w:r w:rsidR="00734A75" w:rsidRPr="00325CBB">
        <w:rPr>
          <w:sz w:val="22"/>
        </w:rPr>
        <w:t xml:space="preserve">Nederlandse </w:t>
      </w:r>
      <w:r w:rsidRPr="00325CBB">
        <w:rPr>
          <w:sz w:val="22"/>
        </w:rPr>
        <w:t xml:space="preserve">wet geeft voor de goodwill geen directe definitie voor goodwill. </w:t>
      </w:r>
      <w:r w:rsidR="00951B12">
        <w:rPr>
          <w:sz w:val="22"/>
        </w:rPr>
        <w:t xml:space="preserve">Maar de wet geeft aan dat goodwill geactiveerd moet worden in de balans in de categorie: immateriële vaste </w:t>
      </w:r>
      <w:proofErr w:type="gramStart"/>
      <w:r w:rsidR="00951B12">
        <w:rPr>
          <w:sz w:val="22"/>
        </w:rPr>
        <w:t xml:space="preserve">activa.  </w:t>
      </w:r>
      <w:proofErr w:type="gramEnd"/>
      <w:r w:rsidRPr="00325CBB">
        <w:rPr>
          <w:sz w:val="22"/>
        </w:rPr>
        <w:t xml:space="preserve">IFRS en Dutch GAAP verschillen in dit opzicht niet in hun definitie. </w:t>
      </w:r>
    </w:p>
    <w:p w:rsidR="00A048F8" w:rsidRPr="00325CBB" w:rsidRDefault="00A048F8" w:rsidP="00E23E9A">
      <w:pPr>
        <w:spacing w:line="360" w:lineRule="auto"/>
        <w:rPr>
          <w:sz w:val="22"/>
        </w:rPr>
      </w:pPr>
      <w:r w:rsidRPr="00325CBB">
        <w:rPr>
          <w:sz w:val="22"/>
        </w:rPr>
        <w:t xml:space="preserve">De tweede deelvraag is </w:t>
      </w:r>
      <w:r w:rsidR="00951B12">
        <w:rPr>
          <w:sz w:val="22"/>
        </w:rPr>
        <w:t>een direct vervolg op de eerste</w:t>
      </w:r>
      <w:r w:rsidRPr="00325CBB">
        <w:rPr>
          <w:sz w:val="22"/>
        </w:rPr>
        <w:t xml:space="preserve">: </w:t>
      </w:r>
      <w:r w:rsidRPr="00325CBB">
        <w:rPr>
          <w:i/>
          <w:sz w:val="22"/>
        </w:rPr>
        <w:t>“Hoe wordt de goodwill verwerkt onder zowel IFRS als Dutch GAAP?”</w:t>
      </w:r>
      <w:r w:rsidRPr="00325CBB">
        <w:rPr>
          <w:sz w:val="22"/>
        </w:rPr>
        <w:t xml:space="preserve">. In </w:t>
      </w:r>
      <w:r w:rsidRPr="00013538">
        <w:rPr>
          <w:sz w:val="22"/>
        </w:rPr>
        <w:t>eerst</w:t>
      </w:r>
      <w:r w:rsidR="00C30CF9" w:rsidRPr="00013538">
        <w:rPr>
          <w:sz w:val="22"/>
        </w:rPr>
        <w:t>e</w:t>
      </w:r>
      <w:r w:rsidRPr="00325CBB">
        <w:rPr>
          <w:sz w:val="22"/>
        </w:rPr>
        <w:t xml:space="preserve"> instantie dient Dutch GAAP te worden opgesplitst in de Nederlandse wetgeving en de RJ. Beide regels verschillen namelijk van elkaar.</w:t>
      </w:r>
      <w:r w:rsidR="00951B12">
        <w:rPr>
          <w:sz w:val="22"/>
        </w:rPr>
        <w:t xml:space="preserve"> De drie verantwoordingswijzen zijn toegestaan onder de Nederlandse wet; goodwill ten laste brengen van het resultaat</w:t>
      </w:r>
      <w:r w:rsidR="008A0949">
        <w:rPr>
          <w:sz w:val="22"/>
        </w:rPr>
        <w:t>,</w:t>
      </w:r>
      <w:r w:rsidR="00951B12">
        <w:rPr>
          <w:sz w:val="22"/>
        </w:rPr>
        <w:t xml:space="preserve"> of het eigen vermogen en goodwill activeren en </w:t>
      </w:r>
      <w:r w:rsidR="008A0949">
        <w:rPr>
          <w:sz w:val="22"/>
        </w:rPr>
        <w:t>systematisch</w:t>
      </w:r>
      <w:r w:rsidR="00951B12">
        <w:rPr>
          <w:sz w:val="22"/>
        </w:rPr>
        <w:t xml:space="preserve"> afschrijven over de economische </w:t>
      </w:r>
      <w:r w:rsidR="008A0949">
        <w:rPr>
          <w:sz w:val="22"/>
        </w:rPr>
        <w:t xml:space="preserve">levensduur. </w:t>
      </w:r>
      <w:r w:rsidRPr="00325CBB">
        <w:rPr>
          <w:sz w:val="22"/>
        </w:rPr>
        <w:t xml:space="preserve">De RJ staat in principe alle drie verwerkingswijzen toe, maar adviseert om de laatste methode toe te passen. Onder de IFRS worden alle drie verwerkingswijzen niet toegestaan. Onder IFRS is de </w:t>
      </w:r>
      <w:proofErr w:type="spellStart"/>
      <w:r w:rsidRPr="00325CBB">
        <w:rPr>
          <w:sz w:val="22"/>
        </w:rPr>
        <w:t>purchase</w:t>
      </w:r>
      <w:proofErr w:type="spellEnd"/>
      <w:r w:rsidRPr="00325CBB">
        <w:rPr>
          <w:sz w:val="22"/>
        </w:rPr>
        <w:t xml:space="preserve"> methode, verwerking van goodwill als een actief, de enige toegestane methode voor de eerste verwerking van goodwill. Vanaf 2004 </w:t>
      </w:r>
      <w:r w:rsidR="008A0949" w:rsidRPr="00325CBB">
        <w:rPr>
          <w:sz w:val="22"/>
        </w:rPr>
        <w:t xml:space="preserve">moet </w:t>
      </w:r>
      <w:r w:rsidRPr="00325CBB">
        <w:rPr>
          <w:sz w:val="22"/>
        </w:rPr>
        <w:t xml:space="preserve">jaarlijks een </w:t>
      </w:r>
      <w:proofErr w:type="spellStart"/>
      <w:r w:rsidRPr="00325CBB">
        <w:rPr>
          <w:sz w:val="22"/>
        </w:rPr>
        <w:lastRenderedPageBreak/>
        <w:t>impairment</w:t>
      </w:r>
      <w:proofErr w:type="spellEnd"/>
      <w:r w:rsidRPr="00325CBB">
        <w:rPr>
          <w:sz w:val="22"/>
        </w:rPr>
        <w:t xml:space="preserve"> test worden uitgevoerd op de goodwill</w:t>
      </w:r>
      <w:r w:rsidR="008A0949">
        <w:rPr>
          <w:sz w:val="22"/>
        </w:rPr>
        <w:t>, wat bestaat uit drie stappen</w:t>
      </w:r>
      <w:r w:rsidRPr="00325CBB">
        <w:rPr>
          <w:sz w:val="22"/>
        </w:rPr>
        <w:t>.</w:t>
      </w:r>
      <w:r w:rsidR="008A0949">
        <w:rPr>
          <w:sz w:val="22"/>
        </w:rPr>
        <w:t xml:space="preserve"> </w:t>
      </w:r>
      <w:r w:rsidR="008A0949" w:rsidRPr="003D3F7B">
        <w:rPr>
          <w:sz w:val="22"/>
        </w:rPr>
        <w:t>De eerste stap is onderzoeken of er externe of interne aanwijzingen zijn om te spreken van een bijzondere waarde vermindering (EY, 2014).</w:t>
      </w:r>
      <w:r w:rsidRPr="003D3F7B">
        <w:rPr>
          <w:sz w:val="22"/>
        </w:rPr>
        <w:t xml:space="preserve"> </w:t>
      </w:r>
      <w:r w:rsidR="008A0949" w:rsidRPr="00325CBB">
        <w:rPr>
          <w:sz w:val="22"/>
        </w:rPr>
        <w:t xml:space="preserve">Als </w:t>
      </w:r>
      <w:r w:rsidRPr="00325CBB">
        <w:rPr>
          <w:sz w:val="22"/>
        </w:rPr>
        <w:t>aanwijzingen bestaan, wordt in de tweede fase de realiseerbare waarde</w:t>
      </w:r>
      <w:r w:rsidR="00734A75" w:rsidRPr="00325CBB">
        <w:rPr>
          <w:sz w:val="22"/>
        </w:rPr>
        <w:t xml:space="preserve"> van de kasstroom genererende eenheden</w:t>
      </w:r>
      <w:r w:rsidRPr="00325CBB">
        <w:rPr>
          <w:sz w:val="22"/>
        </w:rPr>
        <w:t xml:space="preserve"> bepaald.</w:t>
      </w:r>
      <w:r w:rsidRPr="003D3F7B">
        <w:rPr>
          <w:sz w:val="22"/>
        </w:rPr>
        <w:t xml:space="preserve"> </w:t>
      </w:r>
      <w:r w:rsidR="008A0949" w:rsidRPr="003D3F7B">
        <w:rPr>
          <w:sz w:val="22"/>
        </w:rPr>
        <w:t>In de laatste stap of handeling wordt de boekwaarde vergeleken met de realiseerbare waarde. Een lagere realiseerbare waarde ten opzichte van de boekwaarde zal resulteren in een bijzondere waardevermindering dat wordt verantwoordt in de resultatenrekening</w:t>
      </w:r>
      <w:sdt>
        <w:sdtPr>
          <w:rPr>
            <w:sz w:val="22"/>
          </w:rPr>
          <w:id w:val="-413393793"/>
          <w:citation/>
        </w:sdtPr>
        <w:sdtContent>
          <w:r w:rsidR="00C61760" w:rsidRPr="003D3F7B">
            <w:rPr>
              <w:sz w:val="22"/>
            </w:rPr>
            <w:fldChar w:fldCharType="begin"/>
          </w:r>
          <w:r w:rsidR="008A0949" w:rsidRPr="003D3F7B">
            <w:rPr>
              <w:sz w:val="22"/>
            </w:rPr>
            <w:instrText xml:space="preserve"> CITATION EY14 \l 1033 </w:instrText>
          </w:r>
          <w:r w:rsidR="00C61760" w:rsidRPr="003D3F7B">
            <w:rPr>
              <w:sz w:val="22"/>
            </w:rPr>
            <w:fldChar w:fldCharType="separate"/>
          </w:r>
          <w:r w:rsidR="008A0949" w:rsidRPr="003D3F7B">
            <w:rPr>
              <w:noProof/>
              <w:sz w:val="22"/>
            </w:rPr>
            <w:t xml:space="preserve"> (EY , 2014)</w:t>
          </w:r>
          <w:r w:rsidR="00C61760" w:rsidRPr="003D3F7B">
            <w:rPr>
              <w:sz w:val="22"/>
            </w:rPr>
            <w:fldChar w:fldCharType="end"/>
          </w:r>
        </w:sdtContent>
      </w:sdt>
      <w:r w:rsidR="008A0949" w:rsidRPr="003D3F7B">
        <w:rPr>
          <w:sz w:val="22"/>
        </w:rPr>
        <w:t xml:space="preserve">. </w:t>
      </w:r>
    </w:p>
    <w:p w:rsidR="00F8197D" w:rsidRPr="00325CBB" w:rsidRDefault="00A048F8" w:rsidP="00325CBB">
      <w:pPr>
        <w:spacing w:line="360" w:lineRule="auto"/>
        <w:rPr>
          <w:sz w:val="22"/>
        </w:rPr>
      </w:pPr>
      <w:r w:rsidRPr="00325CBB">
        <w:rPr>
          <w:sz w:val="22"/>
        </w:rPr>
        <w:t>De l</w:t>
      </w:r>
      <w:r w:rsidR="00663685">
        <w:rPr>
          <w:sz w:val="22"/>
        </w:rPr>
        <w:t xml:space="preserve">aatste deelvraag </w:t>
      </w:r>
      <w:r w:rsidRPr="00325CBB">
        <w:rPr>
          <w:sz w:val="22"/>
        </w:rPr>
        <w:t xml:space="preserve">is: </w:t>
      </w:r>
      <w:r w:rsidRPr="00325CBB">
        <w:rPr>
          <w:i/>
          <w:sz w:val="22"/>
        </w:rPr>
        <w:t>Wat is de impact van de verschillende verwerkingswijzen?</w:t>
      </w:r>
      <w:r w:rsidRPr="00325CBB">
        <w:rPr>
          <w:sz w:val="22"/>
        </w:rPr>
        <w:t xml:space="preserve"> In hoofdstuk 4 komen de voor- en nadelen langs van de verschillende verwerkingswij</w:t>
      </w:r>
      <w:r w:rsidRPr="00321CA0">
        <w:rPr>
          <w:sz w:val="22"/>
        </w:rPr>
        <w:t>ze</w:t>
      </w:r>
      <w:r w:rsidR="00C30CF9" w:rsidRPr="00321CA0">
        <w:rPr>
          <w:sz w:val="22"/>
        </w:rPr>
        <w:t>n</w:t>
      </w:r>
      <w:r w:rsidRPr="00325CBB">
        <w:rPr>
          <w:sz w:val="22"/>
        </w:rPr>
        <w:t xml:space="preserve">. Het grootste nadeel </w:t>
      </w:r>
      <w:r w:rsidR="00233BD6" w:rsidRPr="00325CBB">
        <w:rPr>
          <w:sz w:val="22"/>
        </w:rPr>
        <w:t xml:space="preserve">van goodwill direct ten laste brengen van </w:t>
      </w:r>
      <w:r w:rsidR="00C30CF9" w:rsidRPr="00321CA0">
        <w:rPr>
          <w:sz w:val="22"/>
        </w:rPr>
        <w:t>de</w:t>
      </w:r>
      <w:r w:rsidR="00C30CF9">
        <w:rPr>
          <w:sz w:val="22"/>
        </w:rPr>
        <w:t xml:space="preserve"> winst- en </w:t>
      </w:r>
      <w:r w:rsidR="00C30CF9" w:rsidRPr="00321CA0">
        <w:rPr>
          <w:sz w:val="22"/>
        </w:rPr>
        <w:t>verlies</w:t>
      </w:r>
      <w:r w:rsidR="00233BD6" w:rsidRPr="00321CA0">
        <w:rPr>
          <w:sz w:val="22"/>
        </w:rPr>
        <w:t>rekening</w:t>
      </w:r>
      <w:r w:rsidR="00233BD6" w:rsidRPr="00325CBB">
        <w:rPr>
          <w:sz w:val="22"/>
        </w:rPr>
        <w:t xml:space="preserve"> </w:t>
      </w:r>
      <w:r w:rsidRPr="00325CBB">
        <w:rPr>
          <w:sz w:val="22"/>
        </w:rPr>
        <w:t>is dat de</w:t>
      </w:r>
      <w:r w:rsidR="00233BD6" w:rsidRPr="00325CBB">
        <w:rPr>
          <w:sz w:val="22"/>
        </w:rPr>
        <w:t>ze methode</w:t>
      </w:r>
      <w:r w:rsidRPr="00325CBB">
        <w:rPr>
          <w:sz w:val="22"/>
        </w:rPr>
        <w:t xml:space="preserve"> een grote invloed </w:t>
      </w:r>
      <w:r w:rsidR="00C30CF9" w:rsidRPr="00321CA0">
        <w:rPr>
          <w:sz w:val="22"/>
        </w:rPr>
        <w:t>heeft</w:t>
      </w:r>
      <w:r w:rsidRPr="00325CBB">
        <w:rPr>
          <w:sz w:val="22"/>
        </w:rPr>
        <w:t xml:space="preserve"> op het resultaat in het jaar van overname, en daarmee ook een nadelige invloed op de financiële ratio’s </w:t>
      </w:r>
      <w:r w:rsidRPr="00321CA0">
        <w:rPr>
          <w:sz w:val="22"/>
        </w:rPr>
        <w:t xml:space="preserve">zoals </w:t>
      </w:r>
      <w:r w:rsidR="007C1E93" w:rsidRPr="00321CA0">
        <w:rPr>
          <w:sz w:val="22"/>
        </w:rPr>
        <w:t xml:space="preserve">de </w:t>
      </w:r>
      <w:r w:rsidRPr="00325CBB">
        <w:rPr>
          <w:sz w:val="22"/>
        </w:rPr>
        <w:t xml:space="preserve">winst per aandeel. De methode van activering en systematische afschrijving kent als voordeel </w:t>
      </w:r>
      <w:r w:rsidR="00663685" w:rsidRPr="00325CBB">
        <w:rPr>
          <w:sz w:val="22"/>
        </w:rPr>
        <w:t xml:space="preserve">dat </w:t>
      </w:r>
      <w:r w:rsidRPr="00325CBB">
        <w:rPr>
          <w:sz w:val="22"/>
        </w:rPr>
        <w:t>geen sprake kan zijn van intern verworven goodwill die op de balans komt. Daarnaast is het i</w:t>
      </w:r>
      <w:r w:rsidR="005D2EDF">
        <w:rPr>
          <w:sz w:val="22"/>
        </w:rPr>
        <w:t>n sommige gevallen wel mogelijk</w:t>
      </w:r>
      <w:r w:rsidRPr="00325CBB">
        <w:rPr>
          <w:sz w:val="22"/>
        </w:rPr>
        <w:t xml:space="preserve"> de economische levensduur goed te schatten. De methode van afschrijven zorgt voor een jaarlijkse kostenpost in de resultatenrekening </w:t>
      </w:r>
      <w:r w:rsidRPr="005D2EDF">
        <w:rPr>
          <w:sz w:val="22"/>
        </w:rPr>
        <w:t>d</w:t>
      </w:r>
      <w:r w:rsidR="007C1E93" w:rsidRPr="005D2EDF">
        <w:rPr>
          <w:sz w:val="22"/>
        </w:rPr>
        <w:t>ie</w:t>
      </w:r>
      <w:r w:rsidRPr="00325CBB">
        <w:rPr>
          <w:sz w:val="22"/>
        </w:rPr>
        <w:t xml:space="preserve"> tegenover de winst staat die de verworven deelneming maakt. De methode van jaarlijkse test op </w:t>
      </w:r>
      <w:proofErr w:type="spellStart"/>
      <w:r w:rsidRPr="00325CBB">
        <w:rPr>
          <w:sz w:val="22"/>
        </w:rPr>
        <w:t>impairment</w:t>
      </w:r>
      <w:proofErr w:type="spellEnd"/>
      <w:r w:rsidRPr="00325CBB">
        <w:rPr>
          <w:sz w:val="22"/>
        </w:rPr>
        <w:t xml:space="preserve"> zorgt ervoor </w:t>
      </w:r>
      <w:r w:rsidR="008A2884" w:rsidRPr="00325CBB">
        <w:rPr>
          <w:sz w:val="22"/>
        </w:rPr>
        <w:t xml:space="preserve">dat </w:t>
      </w:r>
      <w:r w:rsidRPr="00325CBB">
        <w:rPr>
          <w:sz w:val="22"/>
        </w:rPr>
        <w:t xml:space="preserve">niet periodiek een bedrag ten laste van het resultaat wordt gebracht, maar dat dit alleen gebeurt </w:t>
      </w:r>
      <w:r w:rsidR="008A2884" w:rsidRPr="00325CBB">
        <w:rPr>
          <w:sz w:val="22"/>
        </w:rPr>
        <w:t xml:space="preserve">wanneer </w:t>
      </w:r>
      <w:r w:rsidRPr="00325CBB">
        <w:rPr>
          <w:sz w:val="22"/>
        </w:rPr>
        <w:t xml:space="preserve">sprake is van een bijzondere waardevermindering. Deze waardevermindering dient dan plaats te vinden in de kasstroom genererende eenheid waaraan de goodwill is toegerekend. </w:t>
      </w:r>
      <w:r w:rsidR="008A2884" w:rsidRPr="00325CBB">
        <w:rPr>
          <w:sz w:val="22"/>
        </w:rPr>
        <w:t xml:space="preserve">Wanneer </w:t>
      </w:r>
      <w:r w:rsidRPr="00325CBB">
        <w:rPr>
          <w:sz w:val="22"/>
        </w:rPr>
        <w:t xml:space="preserve">door goede resultaten van het bedrijf of een gunstig economisch klimaat geen reden is voor </w:t>
      </w:r>
      <w:proofErr w:type="spellStart"/>
      <w:r w:rsidRPr="00325CBB">
        <w:rPr>
          <w:sz w:val="22"/>
        </w:rPr>
        <w:t>impairment</w:t>
      </w:r>
      <w:proofErr w:type="spellEnd"/>
      <w:r w:rsidRPr="00325CBB">
        <w:rPr>
          <w:sz w:val="22"/>
        </w:rPr>
        <w:t>, dan kan de goodwill lang op de balans blijven staan tegen dezelfde waarde. In principe transformeert de gekochte goodwill in eigen goodwill naar verloop van tijd terwijl het niet geactiveerd in de balans mag voorkomen. Het</w:t>
      </w:r>
      <w:r w:rsidR="007C1E93">
        <w:rPr>
          <w:sz w:val="22"/>
        </w:rPr>
        <w:t xml:space="preserve"> resultaat wordt niet </w:t>
      </w:r>
      <w:r w:rsidR="007C1E93" w:rsidRPr="005D2EDF">
        <w:rPr>
          <w:sz w:val="22"/>
        </w:rPr>
        <w:t>beïnvloed</w:t>
      </w:r>
      <w:r w:rsidRPr="00325CBB">
        <w:rPr>
          <w:sz w:val="22"/>
        </w:rPr>
        <w:t xml:space="preserve"> door de goodwill </w:t>
      </w:r>
      <w:r w:rsidR="008A2884" w:rsidRPr="00325CBB">
        <w:rPr>
          <w:sz w:val="22"/>
        </w:rPr>
        <w:t xml:space="preserve">als </w:t>
      </w:r>
      <w:r w:rsidRPr="00325CBB">
        <w:rPr>
          <w:sz w:val="22"/>
        </w:rPr>
        <w:t xml:space="preserve">geen </w:t>
      </w:r>
      <w:proofErr w:type="spellStart"/>
      <w:r w:rsidRPr="00325CBB">
        <w:rPr>
          <w:sz w:val="22"/>
        </w:rPr>
        <w:t>impairment</w:t>
      </w:r>
      <w:proofErr w:type="spellEnd"/>
      <w:r w:rsidRPr="00325CBB">
        <w:rPr>
          <w:sz w:val="22"/>
        </w:rPr>
        <w:t xml:space="preserve"> plaatsvindt, terwijl de winst die gegenereerd wordt door de gekochte deelneming wel geboekt wordt als resultaat. Dit kan ertoe leiden dat bedrijven een prikkel hebben om overnames te doen met als doel de winst per aandeel te verhogen. </w:t>
      </w:r>
    </w:p>
    <w:p w:rsidR="00013538" w:rsidRDefault="00013538" w:rsidP="00E23E9A">
      <w:pPr>
        <w:pStyle w:val="Heading4"/>
        <w:spacing w:line="360" w:lineRule="auto"/>
        <w:rPr>
          <w:rFonts w:asciiTheme="minorHAnsi" w:hAnsiTheme="minorHAnsi"/>
          <w:i w:val="0"/>
          <w:color w:val="auto"/>
          <w:sz w:val="22"/>
        </w:rPr>
      </w:pPr>
    </w:p>
    <w:p w:rsidR="00013538" w:rsidRDefault="00013538" w:rsidP="00E23E9A">
      <w:pPr>
        <w:pStyle w:val="Heading4"/>
        <w:spacing w:line="360" w:lineRule="auto"/>
        <w:rPr>
          <w:rFonts w:asciiTheme="minorHAnsi" w:eastAsiaTheme="minorHAnsi" w:hAnsiTheme="minorHAnsi" w:cstheme="minorBidi"/>
          <w:b w:val="0"/>
          <w:bCs w:val="0"/>
          <w:i w:val="0"/>
          <w:iCs w:val="0"/>
          <w:color w:val="auto"/>
        </w:rPr>
      </w:pPr>
    </w:p>
    <w:p w:rsidR="00013538" w:rsidRDefault="00013538" w:rsidP="00013538"/>
    <w:p w:rsidR="005D2EDF" w:rsidRDefault="005D2EDF" w:rsidP="00013538"/>
    <w:p w:rsidR="003D3F7B" w:rsidRDefault="003D3F7B" w:rsidP="00013538"/>
    <w:p w:rsidR="003D3F7B" w:rsidRPr="00013538" w:rsidRDefault="003D3F7B" w:rsidP="00013538"/>
    <w:p w:rsidR="005D2EDF" w:rsidRDefault="005D2EDF" w:rsidP="00E23E9A">
      <w:pPr>
        <w:pStyle w:val="Heading4"/>
        <w:spacing w:line="360" w:lineRule="auto"/>
        <w:rPr>
          <w:rFonts w:asciiTheme="minorHAnsi" w:hAnsiTheme="minorHAnsi"/>
          <w:i w:val="0"/>
          <w:color w:val="auto"/>
          <w:sz w:val="22"/>
        </w:rPr>
      </w:pPr>
    </w:p>
    <w:p w:rsidR="005D2EDF" w:rsidRDefault="005D2EDF" w:rsidP="00E23E9A">
      <w:pPr>
        <w:pStyle w:val="Heading4"/>
        <w:spacing w:line="360" w:lineRule="auto"/>
        <w:rPr>
          <w:rFonts w:asciiTheme="minorHAnsi" w:hAnsiTheme="minorHAnsi"/>
          <w:i w:val="0"/>
          <w:color w:val="auto"/>
          <w:sz w:val="22"/>
        </w:rPr>
      </w:pPr>
    </w:p>
    <w:p w:rsidR="00A048F8" w:rsidRPr="00325CBB" w:rsidRDefault="00A048F8" w:rsidP="00E23E9A">
      <w:pPr>
        <w:pStyle w:val="Heading4"/>
        <w:spacing w:line="360" w:lineRule="auto"/>
        <w:rPr>
          <w:rFonts w:asciiTheme="minorHAnsi" w:hAnsiTheme="minorHAnsi"/>
          <w:i w:val="0"/>
          <w:color w:val="auto"/>
          <w:sz w:val="22"/>
        </w:rPr>
      </w:pPr>
      <w:r w:rsidRPr="00325CBB">
        <w:rPr>
          <w:rFonts w:asciiTheme="minorHAnsi" w:hAnsiTheme="minorHAnsi"/>
          <w:i w:val="0"/>
          <w:color w:val="auto"/>
          <w:sz w:val="22"/>
        </w:rPr>
        <w:t>Conclusie</w:t>
      </w:r>
    </w:p>
    <w:p w:rsidR="00A048F8" w:rsidRPr="00325CBB" w:rsidRDefault="00A048F8" w:rsidP="00E23E9A">
      <w:pPr>
        <w:spacing w:line="360" w:lineRule="auto"/>
        <w:rPr>
          <w:sz w:val="22"/>
        </w:rPr>
      </w:pPr>
      <w:r w:rsidRPr="00325CBB">
        <w:rPr>
          <w:sz w:val="22"/>
        </w:rPr>
        <w:t xml:space="preserve">Al met al kunnen we concluderen </w:t>
      </w:r>
      <w:r w:rsidR="008A2884" w:rsidRPr="00325CBB">
        <w:rPr>
          <w:sz w:val="22"/>
        </w:rPr>
        <w:t xml:space="preserve">dat </w:t>
      </w:r>
      <w:r w:rsidR="00233BD6" w:rsidRPr="00325CBB">
        <w:rPr>
          <w:sz w:val="22"/>
        </w:rPr>
        <w:t xml:space="preserve">er </w:t>
      </w:r>
      <w:r w:rsidRPr="00325CBB">
        <w:rPr>
          <w:sz w:val="22"/>
        </w:rPr>
        <w:t xml:space="preserve">grote verschillen bestaan tussen de verwerking van de goodwill tussen IFRS en Dutch GAAP. In beide gevallen wordt de gekochte goodwill geactiveerd op de balans, maar in het geval van Dutch GAAP wordt deze systematisch afgeschreven, wat leidt tot periodieke bedragen die ten laste van het resultaat komen. Onder IFRS </w:t>
      </w:r>
      <w:r w:rsidR="008A2884" w:rsidRPr="00325CBB">
        <w:rPr>
          <w:sz w:val="22"/>
        </w:rPr>
        <w:t xml:space="preserve">wordt </w:t>
      </w:r>
      <w:r w:rsidRPr="00325CBB">
        <w:rPr>
          <w:sz w:val="22"/>
        </w:rPr>
        <w:t xml:space="preserve">jaarlijks getest op </w:t>
      </w:r>
      <w:proofErr w:type="spellStart"/>
      <w:r w:rsidRPr="00325CBB">
        <w:rPr>
          <w:sz w:val="22"/>
        </w:rPr>
        <w:t>impairment</w:t>
      </w:r>
      <w:proofErr w:type="spellEnd"/>
      <w:r w:rsidRPr="00325CBB">
        <w:rPr>
          <w:sz w:val="22"/>
        </w:rPr>
        <w:t xml:space="preserve">, deze test is aan subjectiviteit onderhevig en daardoor </w:t>
      </w:r>
      <w:r w:rsidR="008A2884" w:rsidRPr="00325CBB">
        <w:rPr>
          <w:sz w:val="22"/>
        </w:rPr>
        <w:t xml:space="preserve">kan </w:t>
      </w:r>
      <w:r w:rsidRPr="00325CBB">
        <w:rPr>
          <w:sz w:val="22"/>
        </w:rPr>
        <w:t xml:space="preserve">makkelijker gestuurd worden met de winst. De impact die beide methodes hebben op het resultaat </w:t>
      </w:r>
      <w:proofErr w:type="gramStart"/>
      <w:r w:rsidRPr="00325CBB">
        <w:rPr>
          <w:sz w:val="22"/>
        </w:rPr>
        <w:t>verschilt</w:t>
      </w:r>
      <w:proofErr w:type="gramEnd"/>
      <w:r w:rsidRPr="00325CBB">
        <w:rPr>
          <w:sz w:val="22"/>
        </w:rPr>
        <w:t xml:space="preserve">. Onder Dutch GAAP </w:t>
      </w:r>
      <w:r w:rsidR="008A2884" w:rsidRPr="00325CBB">
        <w:rPr>
          <w:sz w:val="22"/>
        </w:rPr>
        <w:t xml:space="preserve">is </w:t>
      </w:r>
      <w:r w:rsidRPr="00325CBB">
        <w:rPr>
          <w:sz w:val="22"/>
        </w:rPr>
        <w:t xml:space="preserve">een jaarlijks vast bedrag dat ten laste wordt gebracht en dus het resultaat vermindert. Onder IFRS is het afhankelijk van vele factoren die bepalen </w:t>
      </w:r>
      <w:r w:rsidR="008A2884" w:rsidRPr="00325CBB">
        <w:rPr>
          <w:sz w:val="22"/>
        </w:rPr>
        <w:t xml:space="preserve">of </w:t>
      </w:r>
      <w:r w:rsidRPr="00325CBB">
        <w:rPr>
          <w:sz w:val="22"/>
        </w:rPr>
        <w:t xml:space="preserve">sprake is van </w:t>
      </w:r>
      <w:proofErr w:type="spellStart"/>
      <w:r w:rsidRPr="00325CBB">
        <w:rPr>
          <w:sz w:val="22"/>
        </w:rPr>
        <w:t>impairment</w:t>
      </w:r>
      <w:proofErr w:type="spellEnd"/>
      <w:r w:rsidRPr="00325CBB">
        <w:rPr>
          <w:sz w:val="22"/>
        </w:rPr>
        <w:t xml:space="preserve">. In slechte economische omstandigheden kan dat leiden tot grote bedragen van </w:t>
      </w:r>
      <w:proofErr w:type="spellStart"/>
      <w:r w:rsidRPr="00325CBB">
        <w:rPr>
          <w:sz w:val="22"/>
        </w:rPr>
        <w:t>impairment</w:t>
      </w:r>
      <w:proofErr w:type="spellEnd"/>
      <w:r w:rsidRPr="00325CBB">
        <w:rPr>
          <w:sz w:val="22"/>
        </w:rPr>
        <w:t xml:space="preserve">, in tijden dat het goed gaat </w:t>
      </w:r>
      <w:r w:rsidR="008A2884" w:rsidRPr="00325CBB">
        <w:rPr>
          <w:sz w:val="22"/>
        </w:rPr>
        <w:t xml:space="preserve">wordt </w:t>
      </w:r>
      <w:r w:rsidRPr="00325CBB">
        <w:rPr>
          <w:sz w:val="22"/>
        </w:rPr>
        <w:t>waarschijnlijk ni</w:t>
      </w:r>
      <w:r w:rsidR="005D2EDF">
        <w:rPr>
          <w:sz w:val="22"/>
        </w:rPr>
        <w:t>ets afgeschreven</w:t>
      </w:r>
      <w:r w:rsidRPr="00325CBB">
        <w:rPr>
          <w:sz w:val="22"/>
        </w:rPr>
        <w:t xml:space="preserve">. De methode van </w:t>
      </w:r>
      <w:proofErr w:type="spellStart"/>
      <w:r w:rsidRPr="00325CBB">
        <w:rPr>
          <w:sz w:val="22"/>
        </w:rPr>
        <w:t>impairment</w:t>
      </w:r>
      <w:proofErr w:type="spellEnd"/>
      <w:r w:rsidRPr="00325CBB">
        <w:rPr>
          <w:sz w:val="22"/>
        </w:rPr>
        <w:t xml:space="preserve"> is gefocust op de balans, maar leidt tot een verstoring wat betreft de winst- en verliesrekening. De afschrijvingskosten van goodwill, die kunnen worden beschouwd als tegenpost voor de winst die een gekochte onderneming maakt, worden niet geboekt met als gevolg </w:t>
      </w:r>
      <w:r w:rsidR="00580FA7" w:rsidRPr="005D2EDF">
        <w:rPr>
          <w:sz w:val="22"/>
        </w:rPr>
        <w:t>een</w:t>
      </w:r>
      <w:r w:rsidR="00580FA7">
        <w:rPr>
          <w:color w:val="FF0000"/>
          <w:sz w:val="22"/>
        </w:rPr>
        <w:t xml:space="preserve"> </w:t>
      </w:r>
      <w:r w:rsidRPr="00325CBB">
        <w:rPr>
          <w:sz w:val="22"/>
        </w:rPr>
        <w:t xml:space="preserve">hogere winst. </w:t>
      </w:r>
    </w:p>
    <w:p w:rsidR="00C57E7E" w:rsidRPr="003D3F7B" w:rsidRDefault="00C57E7E" w:rsidP="00C57E7E">
      <w:pPr>
        <w:shd w:val="clear" w:color="auto" w:fill="FFFFFF"/>
        <w:spacing w:after="0" w:line="360" w:lineRule="auto"/>
        <w:rPr>
          <w:rFonts w:eastAsia="Times New Roman" w:cs="Times New Roman"/>
          <w:sz w:val="22"/>
        </w:rPr>
      </w:pPr>
      <w:r w:rsidRPr="003D3F7B">
        <w:rPr>
          <w:rFonts w:eastAsia="Times New Roman" w:cs="Times New Roman"/>
          <w:sz w:val="22"/>
        </w:rPr>
        <w:t xml:space="preserve">Een </w:t>
      </w:r>
      <w:proofErr w:type="gramStart"/>
      <w:r w:rsidRPr="003D3F7B">
        <w:rPr>
          <w:rFonts w:eastAsia="Times New Roman" w:cs="Times New Roman"/>
          <w:sz w:val="22"/>
        </w:rPr>
        <w:t>zuivere</w:t>
      </w:r>
      <w:proofErr w:type="gramEnd"/>
      <w:r w:rsidRPr="003D3F7B">
        <w:rPr>
          <w:rFonts w:eastAsia="Times New Roman" w:cs="Times New Roman"/>
          <w:sz w:val="22"/>
        </w:rPr>
        <w:t xml:space="preserve"> beeld scheppen dat in lijn is met werkelijkheid van een onderneming is een van de doelen van een jaarrekening.</w:t>
      </w:r>
      <w:r w:rsidRPr="003D3F7B">
        <w:rPr>
          <w:sz w:val="22"/>
        </w:rPr>
        <w:t xml:space="preserve"> Ook al is er sprake van complexiteit en subjectiviteit bij de </w:t>
      </w:r>
      <w:proofErr w:type="spellStart"/>
      <w:r w:rsidRPr="003D3F7B">
        <w:rPr>
          <w:sz w:val="22"/>
        </w:rPr>
        <w:t>impairment</w:t>
      </w:r>
      <w:proofErr w:type="spellEnd"/>
      <w:r w:rsidRPr="003D3F7B">
        <w:rPr>
          <w:sz w:val="22"/>
        </w:rPr>
        <w:t xml:space="preserve"> test, leidt IFRS ten opzichte van de RJ tot een betere en </w:t>
      </w:r>
      <w:proofErr w:type="gramStart"/>
      <w:r w:rsidRPr="003D3F7B">
        <w:rPr>
          <w:sz w:val="22"/>
        </w:rPr>
        <w:t>waarheidsgetrouwe</w:t>
      </w:r>
      <w:proofErr w:type="gramEnd"/>
      <w:r w:rsidRPr="003D3F7B">
        <w:rPr>
          <w:sz w:val="22"/>
        </w:rPr>
        <w:t xml:space="preserve"> beeld van de waarde van goodwill in de geconsolideerde jaarrekening van ondernemingen. </w:t>
      </w:r>
    </w:p>
    <w:p w:rsidR="00C57E7E" w:rsidRDefault="00C57E7E" w:rsidP="00E23E9A">
      <w:pPr>
        <w:spacing w:line="360" w:lineRule="auto"/>
        <w:rPr>
          <w:sz w:val="22"/>
        </w:rPr>
      </w:pPr>
    </w:p>
    <w:p w:rsidR="008A2884" w:rsidRPr="008A2884" w:rsidRDefault="00580FA7" w:rsidP="008A2884">
      <w:pPr>
        <w:spacing w:after="160" w:line="259" w:lineRule="auto"/>
        <w:jc w:val="left"/>
        <w:rPr>
          <w:szCs w:val="24"/>
        </w:rPr>
      </w:pPr>
      <w:r>
        <w:rPr>
          <w:szCs w:val="24"/>
        </w:rPr>
        <w:br w:type="page"/>
      </w:r>
    </w:p>
    <w:p w:rsidR="008A2884" w:rsidRDefault="008A2884" w:rsidP="00646C55">
      <w:pPr>
        <w:spacing w:after="0" w:line="360" w:lineRule="auto"/>
        <w:jc w:val="left"/>
        <w:rPr>
          <w:rFonts w:ascii="Trebuchet MS" w:hAnsi="Trebuchet MS"/>
          <w:szCs w:val="24"/>
        </w:rPr>
      </w:pPr>
      <w:r>
        <w:rPr>
          <w:noProof/>
          <w:lang w:val="en-US"/>
        </w:rPr>
        <w:lastRenderedPageBreak/>
        <w:drawing>
          <wp:inline distT="0" distB="0" distL="0" distR="0">
            <wp:extent cx="6372130" cy="8621116"/>
            <wp:effectExtent l="0" t="0" r="0" b="8890"/>
            <wp:docPr id="17"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 Clipping"/>
                    <pic:cNvPicPr>
                      <a:picLocks noChangeAspect="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79031" cy="8630452"/>
                    </a:xfrm>
                    <a:prstGeom prst="rect">
                      <a:avLst/>
                    </a:prstGeom>
                  </pic:spPr>
                </pic:pic>
              </a:graphicData>
            </a:graphic>
          </wp:inline>
        </w:drawing>
      </w:r>
    </w:p>
    <w:p w:rsidR="008A2884" w:rsidRPr="000F5D42" w:rsidRDefault="008A2884" w:rsidP="00646C55">
      <w:pPr>
        <w:spacing w:after="0" w:line="360" w:lineRule="auto"/>
        <w:jc w:val="left"/>
        <w:rPr>
          <w:rFonts w:ascii="Trebuchet MS" w:hAnsi="Trebuchet MS"/>
          <w:szCs w:val="24"/>
        </w:rPr>
      </w:pPr>
      <w:r>
        <w:rPr>
          <w:noProof/>
          <w:lang w:val="en-US"/>
        </w:rPr>
        <w:lastRenderedPageBreak/>
        <w:drawing>
          <wp:inline distT="0" distB="0" distL="0" distR="0">
            <wp:extent cx="6508321" cy="8352544"/>
            <wp:effectExtent l="0" t="0" r="6985" b="0"/>
            <wp:docPr id="18"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43322" cy="8397463"/>
                    </a:xfrm>
                    <a:prstGeom prst="rect">
                      <a:avLst/>
                    </a:prstGeom>
                  </pic:spPr>
                </pic:pic>
              </a:graphicData>
            </a:graphic>
          </wp:inline>
        </w:drawing>
      </w:r>
    </w:p>
    <w:sectPr w:rsidR="008A2884" w:rsidRPr="000F5D42" w:rsidSect="00136A20">
      <w:footerReference w:type="default" r:id="rId28"/>
      <w:pgSz w:w="11906" w:h="16838"/>
      <w:pgMar w:top="1440" w:right="1440" w:bottom="1440" w:left="144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B2E" w:rsidRDefault="00593B2E" w:rsidP="00136A20">
      <w:pPr>
        <w:spacing w:after="0" w:line="240" w:lineRule="auto"/>
      </w:pPr>
      <w:r>
        <w:separator/>
      </w:r>
    </w:p>
  </w:endnote>
  <w:endnote w:type="continuationSeparator" w:id="0">
    <w:p w:rsidR="00593B2E" w:rsidRDefault="00593B2E" w:rsidP="00136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741005"/>
      <w:docPartObj>
        <w:docPartGallery w:val="Page Numbers (Bottom of Page)"/>
      </w:docPartObj>
    </w:sdtPr>
    <w:sdtContent>
      <w:p w:rsidR="000205B3" w:rsidRDefault="00C61760">
        <w:pPr>
          <w:pStyle w:val="Footer"/>
          <w:jc w:val="right"/>
        </w:pPr>
        <w:r>
          <w:fldChar w:fldCharType="begin"/>
        </w:r>
        <w:r w:rsidR="000205B3">
          <w:instrText>PAGE   \* MERGEFORMAT</w:instrText>
        </w:r>
        <w:r>
          <w:fldChar w:fldCharType="separate"/>
        </w:r>
        <w:r w:rsidR="00A53AF1">
          <w:rPr>
            <w:noProof/>
          </w:rPr>
          <w:t>28</w:t>
        </w:r>
        <w:r>
          <w:rPr>
            <w:noProof/>
          </w:rPr>
          <w:fldChar w:fldCharType="end"/>
        </w:r>
      </w:p>
    </w:sdtContent>
  </w:sdt>
  <w:p w:rsidR="000205B3" w:rsidRDefault="000205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B2E" w:rsidRDefault="00593B2E" w:rsidP="00136A20">
      <w:pPr>
        <w:spacing w:after="0" w:line="240" w:lineRule="auto"/>
      </w:pPr>
      <w:r>
        <w:separator/>
      </w:r>
    </w:p>
  </w:footnote>
  <w:footnote w:type="continuationSeparator" w:id="0">
    <w:p w:rsidR="00593B2E" w:rsidRDefault="00593B2E" w:rsidP="00136A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310E2"/>
    <w:multiLevelType w:val="multilevel"/>
    <w:tmpl w:val="A7145C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2917811"/>
    <w:multiLevelType w:val="hybridMultilevel"/>
    <w:tmpl w:val="CE2AAF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6B3350"/>
    <w:multiLevelType w:val="hybridMultilevel"/>
    <w:tmpl w:val="6916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151C69"/>
    <w:multiLevelType w:val="hybridMultilevel"/>
    <w:tmpl w:val="4498E69E"/>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1282ACE"/>
    <w:multiLevelType w:val="hybridMultilevel"/>
    <w:tmpl w:val="FBB6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E34657"/>
    <w:multiLevelType w:val="hybridMultilevel"/>
    <w:tmpl w:val="8846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E86AD5"/>
    <w:multiLevelType w:val="multilevel"/>
    <w:tmpl w:val="810C4E46"/>
    <w:lvl w:ilvl="0">
      <w:start w:val="4"/>
      <w:numFmt w:val="decimal"/>
      <w:lvlText w:val="%1."/>
      <w:lvlJc w:val="left"/>
      <w:pPr>
        <w:ind w:left="630" w:hanging="630"/>
      </w:pPr>
      <w:rPr>
        <w:rFonts w:hint="default"/>
      </w:rPr>
    </w:lvl>
    <w:lvl w:ilvl="1">
      <w:start w:val="3"/>
      <w:numFmt w:val="decimal"/>
      <w:lvlText w:val="%1.%2."/>
      <w:lvlJc w:val="left"/>
      <w:pPr>
        <w:ind w:left="810" w:hanging="6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nsid w:val="22C93C8D"/>
    <w:multiLevelType w:val="hybridMultilevel"/>
    <w:tmpl w:val="E27A244E"/>
    <w:lvl w:ilvl="0" w:tplc="8D569C48">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C62E01"/>
    <w:multiLevelType w:val="multilevel"/>
    <w:tmpl w:val="531CC7B4"/>
    <w:lvl w:ilvl="0">
      <w:start w:val="3"/>
      <w:numFmt w:val="decimal"/>
      <w:lvlText w:val="%1"/>
      <w:lvlJc w:val="left"/>
      <w:pPr>
        <w:ind w:left="720" w:hanging="360"/>
      </w:pPr>
      <w:rPr>
        <w:rFonts w:hint="default"/>
        <w:b/>
        <w:sz w:val="26"/>
      </w:rPr>
    </w:lvl>
    <w:lvl w:ilvl="1">
      <w:start w:val="1"/>
      <w:numFmt w:val="decimal"/>
      <w:isLgl/>
      <w:lvlText w:val="%1.%2"/>
      <w:lvlJc w:val="left"/>
      <w:pPr>
        <w:ind w:left="1080" w:hanging="540"/>
      </w:pPr>
      <w:rPr>
        <w:rFonts w:hint="default"/>
      </w:rPr>
    </w:lvl>
    <w:lvl w:ilvl="2">
      <w:start w:val="2"/>
      <w:numFmt w:val="decimal"/>
      <w:isLgl/>
      <w:lvlText w:val="%1.%2.%3"/>
      <w:lvlJc w:val="left"/>
      <w:pPr>
        <w:ind w:left="1440" w:hanging="720"/>
      </w:pPr>
      <w:rPr>
        <w:rFonts w:asciiTheme="minorHAnsi" w:hAnsiTheme="minorHAnsi"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31CE7B24"/>
    <w:multiLevelType w:val="hybridMultilevel"/>
    <w:tmpl w:val="EC5A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6C43F1"/>
    <w:multiLevelType w:val="hybridMultilevel"/>
    <w:tmpl w:val="79DE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CF2DF3"/>
    <w:multiLevelType w:val="multilevel"/>
    <w:tmpl w:val="810C4E46"/>
    <w:lvl w:ilvl="0">
      <w:start w:val="4"/>
      <w:numFmt w:val="decimal"/>
      <w:lvlText w:val="%1."/>
      <w:lvlJc w:val="left"/>
      <w:pPr>
        <w:ind w:left="630" w:hanging="630"/>
      </w:pPr>
      <w:rPr>
        <w:rFonts w:hint="default"/>
      </w:rPr>
    </w:lvl>
    <w:lvl w:ilvl="1">
      <w:start w:val="3"/>
      <w:numFmt w:val="decimal"/>
      <w:lvlText w:val="%1.%2."/>
      <w:lvlJc w:val="left"/>
      <w:pPr>
        <w:ind w:left="810" w:hanging="63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nsid w:val="46E61B9E"/>
    <w:multiLevelType w:val="hybridMultilevel"/>
    <w:tmpl w:val="824295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2426994"/>
    <w:multiLevelType w:val="multilevel"/>
    <w:tmpl w:val="51F22C4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3A76F5A"/>
    <w:multiLevelType w:val="hybridMultilevel"/>
    <w:tmpl w:val="504023CA"/>
    <w:lvl w:ilvl="0" w:tplc="97CACDA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54075445"/>
    <w:multiLevelType w:val="hybridMultilevel"/>
    <w:tmpl w:val="49C80D0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44261EC"/>
    <w:multiLevelType w:val="multilevel"/>
    <w:tmpl w:val="5EE88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4"/>
  </w:num>
  <w:num w:numId="3">
    <w:abstractNumId w:val="16"/>
  </w:num>
  <w:num w:numId="4">
    <w:abstractNumId w:val="13"/>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14"/>
  </w:num>
  <w:num w:numId="10">
    <w:abstractNumId w:val="5"/>
  </w:num>
  <w:num w:numId="11">
    <w:abstractNumId w:val="2"/>
  </w:num>
  <w:num w:numId="12">
    <w:abstractNumId w:val="0"/>
  </w:num>
  <w:num w:numId="13">
    <w:abstractNumId w:val="12"/>
  </w:num>
  <w:num w:numId="14">
    <w:abstractNumId w:val="1"/>
  </w:num>
  <w:num w:numId="15">
    <w:abstractNumId w:val="6"/>
  </w:num>
  <w:num w:numId="16">
    <w:abstractNumId w:val="11"/>
  </w:num>
  <w:num w:numId="17">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1B1459"/>
    <w:rsid w:val="00000FDC"/>
    <w:rsid w:val="00013538"/>
    <w:rsid w:val="000205B3"/>
    <w:rsid w:val="00025EC6"/>
    <w:rsid w:val="00031623"/>
    <w:rsid w:val="00032DD5"/>
    <w:rsid w:val="000505E2"/>
    <w:rsid w:val="00055B09"/>
    <w:rsid w:val="00056A13"/>
    <w:rsid w:val="00060846"/>
    <w:rsid w:val="00065F93"/>
    <w:rsid w:val="00067C87"/>
    <w:rsid w:val="00073D69"/>
    <w:rsid w:val="0007698B"/>
    <w:rsid w:val="000B00DE"/>
    <w:rsid w:val="000B7675"/>
    <w:rsid w:val="000B7681"/>
    <w:rsid w:val="000C3748"/>
    <w:rsid w:val="000D430F"/>
    <w:rsid w:val="000D43F8"/>
    <w:rsid w:val="000F403A"/>
    <w:rsid w:val="000F4B12"/>
    <w:rsid w:val="000F5D42"/>
    <w:rsid w:val="000F766F"/>
    <w:rsid w:val="00103092"/>
    <w:rsid w:val="00113FF2"/>
    <w:rsid w:val="00114A3B"/>
    <w:rsid w:val="00116B4B"/>
    <w:rsid w:val="00121E19"/>
    <w:rsid w:val="001239DD"/>
    <w:rsid w:val="001337B8"/>
    <w:rsid w:val="001344FB"/>
    <w:rsid w:val="0013653F"/>
    <w:rsid w:val="00136A20"/>
    <w:rsid w:val="00136C46"/>
    <w:rsid w:val="001408FD"/>
    <w:rsid w:val="001419CE"/>
    <w:rsid w:val="001449B0"/>
    <w:rsid w:val="00154B64"/>
    <w:rsid w:val="00156CD7"/>
    <w:rsid w:val="00163949"/>
    <w:rsid w:val="00164C79"/>
    <w:rsid w:val="0016553F"/>
    <w:rsid w:val="00175F61"/>
    <w:rsid w:val="0019008E"/>
    <w:rsid w:val="001900E5"/>
    <w:rsid w:val="00190D54"/>
    <w:rsid w:val="001964A8"/>
    <w:rsid w:val="001B1459"/>
    <w:rsid w:val="001B2455"/>
    <w:rsid w:val="001B6400"/>
    <w:rsid w:val="001B6434"/>
    <w:rsid w:val="001C20C4"/>
    <w:rsid w:val="001D0FD9"/>
    <w:rsid w:val="001E29F6"/>
    <w:rsid w:val="001E3C57"/>
    <w:rsid w:val="002007B1"/>
    <w:rsid w:val="002144DE"/>
    <w:rsid w:val="0021678E"/>
    <w:rsid w:val="00220748"/>
    <w:rsid w:val="002335AF"/>
    <w:rsid w:val="00233BD6"/>
    <w:rsid w:val="0023595D"/>
    <w:rsid w:val="00246AFB"/>
    <w:rsid w:val="0024783E"/>
    <w:rsid w:val="00247DC6"/>
    <w:rsid w:val="002603FC"/>
    <w:rsid w:val="00282084"/>
    <w:rsid w:val="00283648"/>
    <w:rsid w:val="00290D39"/>
    <w:rsid w:val="0029552A"/>
    <w:rsid w:val="002A3455"/>
    <w:rsid w:val="002A5A60"/>
    <w:rsid w:val="002A6346"/>
    <w:rsid w:val="002B2C54"/>
    <w:rsid w:val="002B490F"/>
    <w:rsid w:val="002B708C"/>
    <w:rsid w:val="002C22A0"/>
    <w:rsid w:val="002C32B3"/>
    <w:rsid w:val="002D08E6"/>
    <w:rsid w:val="002D237A"/>
    <w:rsid w:val="002D7161"/>
    <w:rsid w:val="002D764A"/>
    <w:rsid w:val="002E0B5D"/>
    <w:rsid w:val="002E24FE"/>
    <w:rsid w:val="002E51A2"/>
    <w:rsid w:val="002E59C4"/>
    <w:rsid w:val="002E7079"/>
    <w:rsid w:val="002F2B90"/>
    <w:rsid w:val="002F61F8"/>
    <w:rsid w:val="0030271A"/>
    <w:rsid w:val="00304147"/>
    <w:rsid w:val="003058C1"/>
    <w:rsid w:val="003069CD"/>
    <w:rsid w:val="00307C63"/>
    <w:rsid w:val="00320A50"/>
    <w:rsid w:val="00321CA0"/>
    <w:rsid w:val="00325CBB"/>
    <w:rsid w:val="003263C9"/>
    <w:rsid w:val="00332B7F"/>
    <w:rsid w:val="00341AE9"/>
    <w:rsid w:val="00341BC7"/>
    <w:rsid w:val="00341E96"/>
    <w:rsid w:val="003549A3"/>
    <w:rsid w:val="00355AE5"/>
    <w:rsid w:val="00356653"/>
    <w:rsid w:val="00360D7E"/>
    <w:rsid w:val="003713EF"/>
    <w:rsid w:val="00372E77"/>
    <w:rsid w:val="003824F5"/>
    <w:rsid w:val="00384A3E"/>
    <w:rsid w:val="0038512D"/>
    <w:rsid w:val="003854DB"/>
    <w:rsid w:val="0039018C"/>
    <w:rsid w:val="00397CCB"/>
    <w:rsid w:val="003A156C"/>
    <w:rsid w:val="003A18B2"/>
    <w:rsid w:val="003B11AA"/>
    <w:rsid w:val="003B758B"/>
    <w:rsid w:val="003C57C7"/>
    <w:rsid w:val="003D3F7B"/>
    <w:rsid w:val="003E0850"/>
    <w:rsid w:val="004000A4"/>
    <w:rsid w:val="0040246B"/>
    <w:rsid w:val="00416736"/>
    <w:rsid w:val="00416EC1"/>
    <w:rsid w:val="00420A62"/>
    <w:rsid w:val="00422140"/>
    <w:rsid w:val="0042232E"/>
    <w:rsid w:val="0042431A"/>
    <w:rsid w:val="0043059D"/>
    <w:rsid w:val="00451B34"/>
    <w:rsid w:val="00455956"/>
    <w:rsid w:val="00467E0E"/>
    <w:rsid w:val="004764F4"/>
    <w:rsid w:val="0047656B"/>
    <w:rsid w:val="00481C2B"/>
    <w:rsid w:val="004829F0"/>
    <w:rsid w:val="00482D9B"/>
    <w:rsid w:val="004837B3"/>
    <w:rsid w:val="00490470"/>
    <w:rsid w:val="00495F48"/>
    <w:rsid w:val="004A084A"/>
    <w:rsid w:val="004A5E92"/>
    <w:rsid w:val="004A73A0"/>
    <w:rsid w:val="004B04DB"/>
    <w:rsid w:val="004B110B"/>
    <w:rsid w:val="004B196B"/>
    <w:rsid w:val="004B7CFB"/>
    <w:rsid w:val="004C167B"/>
    <w:rsid w:val="004D7997"/>
    <w:rsid w:val="004E345E"/>
    <w:rsid w:val="004F6D56"/>
    <w:rsid w:val="00501DCC"/>
    <w:rsid w:val="00502DB8"/>
    <w:rsid w:val="0050364E"/>
    <w:rsid w:val="00510297"/>
    <w:rsid w:val="00514DC0"/>
    <w:rsid w:val="0052547E"/>
    <w:rsid w:val="005301F2"/>
    <w:rsid w:val="00533250"/>
    <w:rsid w:val="00540E71"/>
    <w:rsid w:val="0054637E"/>
    <w:rsid w:val="005532F9"/>
    <w:rsid w:val="00564B86"/>
    <w:rsid w:val="00564D13"/>
    <w:rsid w:val="00565049"/>
    <w:rsid w:val="00570EE2"/>
    <w:rsid w:val="00573510"/>
    <w:rsid w:val="00580409"/>
    <w:rsid w:val="00580FA7"/>
    <w:rsid w:val="005830CF"/>
    <w:rsid w:val="00584295"/>
    <w:rsid w:val="00593B2E"/>
    <w:rsid w:val="00594B43"/>
    <w:rsid w:val="005967D5"/>
    <w:rsid w:val="005A1CE0"/>
    <w:rsid w:val="005A2670"/>
    <w:rsid w:val="005A48B1"/>
    <w:rsid w:val="005A4AFB"/>
    <w:rsid w:val="005B10A3"/>
    <w:rsid w:val="005B193D"/>
    <w:rsid w:val="005C1B68"/>
    <w:rsid w:val="005D2377"/>
    <w:rsid w:val="005D2EDF"/>
    <w:rsid w:val="005D6A9C"/>
    <w:rsid w:val="005E1436"/>
    <w:rsid w:val="005F090D"/>
    <w:rsid w:val="005F2D21"/>
    <w:rsid w:val="005F4058"/>
    <w:rsid w:val="005F5DB1"/>
    <w:rsid w:val="0060384D"/>
    <w:rsid w:val="00614E8F"/>
    <w:rsid w:val="00632375"/>
    <w:rsid w:val="00635159"/>
    <w:rsid w:val="006355B9"/>
    <w:rsid w:val="006416DA"/>
    <w:rsid w:val="00644BE2"/>
    <w:rsid w:val="00646611"/>
    <w:rsid w:val="00646879"/>
    <w:rsid w:val="00646C55"/>
    <w:rsid w:val="006471BE"/>
    <w:rsid w:val="00647C34"/>
    <w:rsid w:val="00652C6B"/>
    <w:rsid w:val="0066240B"/>
    <w:rsid w:val="00662C19"/>
    <w:rsid w:val="00663685"/>
    <w:rsid w:val="006649AD"/>
    <w:rsid w:val="006656E8"/>
    <w:rsid w:val="006659FD"/>
    <w:rsid w:val="00673570"/>
    <w:rsid w:val="00673A8F"/>
    <w:rsid w:val="006768D5"/>
    <w:rsid w:val="006801E8"/>
    <w:rsid w:val="006913C9"/>
    <w:rsid w:val="00694FB3"/>
    <w:rsid w:val="0069543F"/>
    <w:rsid w:val="006A1D0F"/>
    <w:rsid w:val="006A4AD9"/>
    <w:rsid w:val="006A4D7E"/>
    <w:rsid w:val="006C0C41"/>
    <w:rsid w:val="006C42FE"/>
    <w:rsid w:val="006D2EC0"/>
    <w:rsid w:val="006D561E"/>
    <w:rsid w:val="006E7073"/>
    <w:rsid w:val="006F5B97"/>
    <w:rsid w:val="007171AA"/>
    <w:rsid w:val="007177D6"/>
    <w:rsid w:val="007201BA"/>
    <w:rsid w:val="007227F6"/>
    <w:rsid w:val="00723FA1"/>
    <w:rsid w:val="00724886"/>
    <w:rsid w:val="007271E5"/>
    <w:rsid w:val="007279A3"/>
    <w:rsid w:val="007309C9"/>
    <w:rsid w:val="00734A75"/>
    <w:rsid w:val="00741C53"/>
    <w:rsid w:val="00744B42"/>
    <w:rsid w:val="007469DA"/>
    <w:rsid w:val="007640ED"/>
    <w:rsid w:val="007770B5"/>
    <w:rsid w:val="00782921"/>
    <w:rsid w:val="00785C2D"/>
    <w:rsid w:val="007A048C"/>
    <w:rsid w:val="007A1441"/>
    <w:rsid w:val="007A2A4F"/>
    <w:rsid w:val="007A5FFD"/>
    <w:rsid w:val="007B2F79"/>
    <w:rsid w:val="007B7085"/>
    <w:rsid w:val="007C1B8E"/>
    <w:rsid w:val="007C1E93"/>
    <w:rsid w:val="007C4949"/>
    <w:rsid w:val="007C523B"/>
    <w:rsid w:val="007C5E85"/>
    <w:rsid w:val="007C681C"/>
    <w:rsid w:val="007C7F63"/>
    <w:rsid w:val="007E10FC"/>
    <w:rsid w:val="007F2E35"/>
    <w:rsid w:val="008023CE"/>
    <w:rsid w:val="00806C28"/>
    <w:rsid w:val="00810426"/>
    <w:rsid w:val="0081426C"/>
    <w:rsid w:val="00814B21"/>
    <w:rsid w:val="00820582"/>
    <w:rsid w:val="00821721"/>
    <w:rsid w:val="00826CF8"/>
    <w:rsid w:val="008316EF"/>
    <w:rsid w:val="00831870"/>
    <w:rsid w:val="0083658A"/>
    <w:rsid w:val="00861164"/>
    <w:rsid w:val="00881D22"/>
    <w:rsid w:val="00891234"/>
    <w:rsid w:val="008A0949"/>
    <w:rsid w:val="008A2884"/>
    <w:rsid w:val="008A60E1"/>
    <w:rsid w:val="008B2B57"/>
    <w:rsid w:val="008C2B14"/>
    <w:rsid w:val="008C747F"/>
    <w:rsid w:val="008E691D"/>
    <w:rsid w:val="008E77C2"/>
    <w:rsid w:val="008F2B43"/>
    <w:rsid w:val="008F2B44"/>
    <w:rsid w:val="008F4192"/>
    <w:rsid w:val="008F6802"/>
    <w:rsid w:val="00902A96"/>
    <w:rsid w:val="009078CE"/>
    <w:rsid w:val="00910391"/>
    <w:rsid w:val="009203D7"/>
    <w:rsid w:val="009210B9"/>
    <w:rsid w:val="00927928"/>
    <w:rsid w:val="00932F81"/>
    <w:rsid w:val="00947ECC"/>
    <w:rsid w:val="00951B12"/>
    <w:rsid w:val="009607F4"/>
    <w:rsid w:val="00960E6E"/>
    <w:rsid w:val="009623AB"/>
    <w:rsid w:val="00967B76"/>
    <w:rsid w:val="00976C2F"/>
    <w:rsid w:val="0098309D"/>
    <w:rsid w:val="00987C9B"/>
    <w:rsid w:val="009A2366"/>
    <w:rsid w:val="009A3AF7"/>
    <w:rsid w:val="009A44A1"/>
    <w:rsid w:val="009A5F96"/>
    <w:rsid w:val="009A6DDF"/>
    <w:rsid w:val="009B17D9"/>
    <w:rsid w:val="009B184F"/>
    <w:rsid w:val="009B2BC4"/>
    <w:rsid w:val="009D0F18"/>
    <w:rsid w:val="009F1020"/>
    <w:rsid w:val="009F63BD"/>
    <w:rsid w:val="00A048F8"/>
    <w:rsid w:val="00A16E7B"/>
    <w:rsid w:val="00A408CE"/>
    <w:rsid w:val="00A4372F"/>
    <w:rsid w:val="00A51ABA"/>
    <w:rsid w:val="00A53AF1"/>
    <w:rsid w:val="00A61A23"/>
    <w:rsid w:val="00A731B6"/>
    <w:rsid w:val="00A748C3"/>
    <w:rsid w:val="00A82B40"/>
    <w:rsid w:val="00A9030C"/>
    <w:rsid w:val="00A91CBD"/>
    <w:rsid w:val="00A94C9F"/>
    <w:rsid w:val="00A9529F"/>
    <w:rsid w:val="00A95F3C"/>
    <w:rsid w:val="00AA689E"/>
    <w:rsid w:val="00AA7B82"/>
    <w:rsid w:val="00AB12CE"/>
    <w:rsid w:val="00AC680D"/>
    <w:rsid w:val="00AD2E7B"/>
    <w:rsid w:val="00B02F1D"/>
    <w:rsid w:val="00B04287"/>
    <w:rsid w:val="00B11CE9"/>
    <w:rsid w:val="00B12BDC"/>
    <w:rsid w:val="00B47952"/>
    <w:rsid w:val="00B54ACC"/>
    <w:rsid w:val="00B57154"/>
    <w:rsid w:val="00B604A0"/>
    <w:rsid w:val="00B62B68"/>
    <w:rsid w:val="00B640C9"/>
    <w:rsid w:val="00B73FCA"/>
    <w:rsid w:val="00B747BB"/>
    <w:rsid w:val="00B771CB"/>
    <w:rsid w:val="00B777D0"/>
    <w:rsid w:val="00B8155F"/>
    <w:rsid w:val="00B92333"/>
    <w:rsid w:val="00B94911"/>
    <w:rsid w:val="00B95225"/>
    <w:rsid w:val="00BA38D2"/>
    <w:rsid w:val="00BA4F8E"/>
    <w:rsid w:val="00BA6300"/>
    <w:rsid w:val="00BB3865"/>
    <w:rsid w:val="00BB5228"/>
    <w:rsid w:val="00BB5681"/>
    <w:rsid w:val="00BC0A5B"/>
    <w:rsid w:val="00BC28A8"/>
    <w:rsid w:val="00BC421A"/>
    <w:rsid w:val="00BD2B58"/>
    <w:rsid w:val="00BE7697"/>
    <w:rsid w:val="00BE78BD"/>
    <w:rsid w:val="00BF029C"/>
    <w:rsid w:val="00BF3505"/>
    <w:rsid w:val="00C07478"/>
    <w:rsid w:val="00C10A52"/>
    <w:rsid w:val="00C1146F"/>
    <w:rsid w:val="00C2447C"/>
    <w:rsid w:val="00C25177"/>
    <w:rsid w:val="00C2743C"/>
    <w:rsid w:val="00C301B8"/>
    <w:rsid w:val="00C30CF9"/>
    <w:rsid w:val="00C3300C"/>
    <w:rsid w:val="00C36C00"/>
    <w:rsid w:val="00C37127"/>
    <w:rsid w:val="00C421F5"/>
    <w:rsid w:val="00C47242"/>
    <w:rsid w:val="00C47609"/>
    <w:rsid w:val="00C54D7A"/>
    <w:rsid w:val="00C55773"/>
    <w:rsid w:val="00C57C17"/>
    <w:rsid w:val="00C57E7E"/>
    <w:rsid w:val="00C61760"/>
    <w:rsid w:val="00C6386B"/>
    <w:rsid w:val="00C7503C"/>
    <w:rsid w:val="00C76A71"/>
    <w:rsid w:val="00C7772A"/>
    <w:rsid w:val="00C80B69"/>
    <w:rsid w:val="00C8237A"/>
    <w:rsid w:val="00C90D12"/>
    <w:rsid w:val="00C91B91"/>
    <w:rsid w:val="00C95D3F"/>
    <w:rsid w:val="00C96083"/>
    <w:rsid w:val="00C97F66"/>
    <w:rsid w:val="00CB218D"/>
    <w:rsid w:val="00CC224A"/>
    <w:rsid w:val="00CC7494"/>
    <w:rsid w:val="00CD4FDC"/>
    <w:rsid w:val="00CE089B"/>
    <w:rsid w:val="00CE5C15"/>
    <w:rsid w:val="00CE704F"/>
    <w:rsid w:val="00CF1AE3"/>
    <w:rsid w:val="00CF708D"/>
    <w:rsid w:val="00CF7CD4"/>
    <w:rsid w:val="00D00DBC"/>
    <w:rsid w:val="00D068CF"/>
    <w:rsid w:val="00D151B1"/>
    <w:rsid w:val="00D15861"/>
    <w:rsid w:val="00D2129F"/>
    <w:rsid w:val="00D21DE1"/>
    <w:rsid w:val="00D223FF"/>
    <w:rsid w:val="00D241D7"/>
    <w:rsid w:val="00D30E1A"/>
    <w:rsid w:val="00D37223"/>
    <w:rsid w:val="00D414CE"/>
    <w:rsid w:val="00D5003C"/>
    <w:rsid w:val="00D528B1"/>
    <w:rsid w:val="00D64318"/>
    <w:rsid w:val="00D738AF"/>
    <w:rsid w:val="00D73CC2"/>
    <w:rsid w:val="00D76F40"/>
    <w:rsid w:val="00D96CB5"/>
    <w:rsid w:val="00D975C8"/>
    <w:rsid w:val="00DC58E5"/>
    <w:rsid w:val="00DC7385"/>
    <w:rsid w:val="00DC778C"/>
    <w:rsid w:val="00DD4F52"/>
    <w:rsid w:val="00DE34E6"/>
    <w:rsid w:val="00DE3A23"/>
    <w:rsid w:val="00DE6862"/>
    <w:rsid w:val="00DE6CAB"/>
    <w:rsid w:val="00E23E9A"/>
    <w:rsid w:val="00E270F3"/>
    <w:rsid w:val="00E278F9"/>
    <w:rsid w:val="00E312D4"/>
    <w:rsid w:val="00E32B62"/>
    <w:rsid w:val="00E338AA"/>
    <w:rsid w:val="00E3441D"/>
    <w:rsid w:val="00E374F1"/>
    <w:rsid w:val="00E40546"/>
    <w:rsid w:val="00E417C3"/>
    <w:rsid w:val="00E50C3C"/>
    <w:rsid w:val="00E54560"/>
    <w:rsid w:val="00E55696"/>
    <w:rsid w:val="00E606EA"/>
    <w:rsid w:val="00E62C2A"/>
    <w:rsid w:val="00E64055"/>
    <w:rsid w:val="00E64A0D"/>
    <w:rsid w:val="00E721A7"/>
    <w:rsid w:val="00E77EB8"/>
    <w:rsid w:val="00E846BC"/>
    <w:rsid w:val="00E84E5B"/>
    <w:rsid w:val="00E864A2"/>
    <w:rsid w:val="00E923DD"/>
    <w:rsid w:val="00E9731D"/>
    <w:rsid w:val="00E97AF3"/>
    <w:rsid w:val="00EB0052"/>
    <w:rsid w:val="00EC100F"/>
    <w:rsid w:val="00ED0042"/>
    <w:rsid w:val="00ED2233"/>
    <w:rsid w:val="00ED6445"/>
    <w:rsid w:val="00EE15F7"/>
    <w:rsid w:val="00EE4303"/>
    <w:rsid w:val="00EE6FB4"/>
    <w:rsid w:val="00EF2EDF"/>
    <w:rsid w:val="00EF3105"/>
    <w:rsid w:val="00EF3B33"/>
    <w:rsid w:val="00F01EE1"/>
    <w:rsid w:val="00F03ABE"/>
    <w:rsid w:val="00F055E1"/>
    <w:rsid w:val="00F12801"/>
    <w:rsid w:val="00F1411B"/>
    <w:rsid w:val="00F23B85"/>
    <w:rsid w:val="00F25ECB"/>
    <w:rsid w:val="00F31875"/>
    <w:rsid w:val="00F338B2"/>
    <w:rsid w:val="00F365D8"/>
    <w:rsid w:val="00F36A78"/>
    <w:rsid w:val="00F43C4D"/>
    <w:rsid w:val="00F44503"/>
    <w:rsid w:val="00F4460B"/>
    <w:rsid w:val="00F60942"/>
    <w:rsid w:val="00F647B3"/>
    <w:rsid w:val="00F714C3"/>
    <w:rsid w:val="00F7683F"/>
    <w:rsid w:val="00F8197D"/>
    <w:rsid w:val="00F82619"/>
    <w:rsid w:val="00F931E6"/>
    <w:rsid w:val="00F96BFA"/>
    <w:rsid w:val="00FA2D80"/>
    <w:rsid w:val="00FB0953"/>
    <w:rsid w:val="00FB2748"/>
    <w:rsid w:val="00FB68D4"/>
    <w:rsid w:val="00FC2B0D"/>
    <w:rsid w:val="00FE593B"/>
    <w:rsid w:val="00FF2B3A"/>
    <w:rsid w:val="00FF3A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6E8"/>
    <w:pPr>
      <w:spacing w:after="200" w:line="276" w:lineRule="auto"/>
      <w:jc w:val="both"/>
    </w:pPr>
    <w:rPr>
      <w:sz w:val="24"/>
      <w:lang w:val="nl-NL"/>
    </w:rPr>
  </w:style>
  <w:style w:type="paragraph" w:styleId="Heading1">
    <w:name w:val="heading 1"/>
    <w:basedOn w:val="Normal"/>
    <w:next w:val="Normal"/>
    <w:link w:val="Heading1Char"/>
    <w:uiPriority w:val="9"/>
    <w:qFormat/>
    <w:rsid w:val="001E29F6"/>
    <w:pPr>
      <w:keepNext/>
      <w:keepLines/>
      <w:spacing w:before="240" w:after="0"/>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420A62"/>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D30E1A"/>
    <w:pPr>
      <w:keepNext/>
      <w:keepLines/>
      <w:spacing w:before="40" w:after="0"/>
      <w:jc w:val="left"/>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D975C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34"/>
    <w:pPr>
      <w:ind w:left="720"/>
      <w:contextualSpacing/>
    </w:pPr>
  </w:style>
  <w:style w:type="character" w:styleId="Hyperlink">
    <w:name w:val="Hyperlink"/>
    <w:basedOn w:val="DefaultParagraphFont"/>
    <w:uiPriority w:val="99"/>
    <w:unhideWhenUsed/>
    <w:rsid w:val="00891234"/>
    <w:rPr>
      <w:color w:val="0563C1" w:themeColor="hyperlink"/>
      <w:u w:val="single"/>
    </w:rPr>
  </w:style>
  <w:style w:type="paragraph" w:styleId="Title">
    <w:name w:val="Title"/>
    <w:basedOn w:val="Normal"/>
    <w:next w:val="Normal"/>
    <w:link w:val="TitleChar"/>
    <w:uiPriority w:val="10"/>
    <w:qFormat/>
    <w:rsid w:val="008E77C2"/>
    <w:pPr>
      <w:spacing w:after="0" w:line="240" w:lineRule="auto"/>
      <w:contextualSpacing/>
    </w:pPr>
    <w:rPr>
      <w:rFonts w:asciiTheme="majorHAnsi" w:eastAsiaTheme="majorEastAsia" w:hAnsiTheme="majorHAnsi" w:cstheme="majorBidi"/>
      <w:spacing w:val="-10"/>
      <w:kern w:val="28"/>
      <w:sz w:val="60"/>
      <w:szCs w:val="56"/>
    </w:rPr>
  </w:style>
  <w:style w:type="character" w:customStyle="1" w:styleId="TitleChar">
    <w:name w:val="Title Char"/>
    <w:basedOn w:val="DefaultParagraphFont"/>
    <w:link w:val="Title"/>
    <w:uiPriority w:val="10"/>
    <w:rsid w:val="008E77C2"/>
    <w:rPr>
      <w:rFonts w:asciiTheme="majorHAnsi" w:eastAsiaTheme="majorEastAsia" w:hAnsiTheme="majorHAnsi" w:cstheme="majorBidi"/>
      <w:spacing w:val="-10"/>
      <w:kern w:val="28"/>
      <w:sz w:val="60"/>
      <w:szCs w:val="56"/>
      <w:lang w:val="nl-NL"/>
    </w:rPr>
  </w:style>
  <w:style w:type="paragraph" w:styleId="Subtitle">
    <w:name w:val="Subtitle"/>
    <w:basedOn w:val="Normal"/>
    <w:next w:val="Normal"/>
    <w:link w:val="SubtitleChar"/>
    <w:uiPriority w:val="11"/>
    <w:qFormat/>
    <w:rsid w:val="008E77C2"/>
    <w:pPr>
      <w:numPr>
        <w:ilvl w:val="1"/>
      </w:numPr>
      <w:spacing w:after="160"/>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8E77C2"/>
    <w:rPr>
      <w:rFonts w:eastAsiaTheme="minorEastAsia"/>
      <w:color w:val="5A5A5A" w:themeColor="text1" w:themeTint="A5"/>
      <w:spacing w:val="15"/>
      <w:sz w:val="28"/>
      <w:lang w:val="nl-NL"/>
    </w:rPr>
  </w:style>
  <w:style w:type="character" w:customStyle="1" w:styleId="Heading1Char">
    <w:name w:val="Heading 1 Char"/>
    <w:basedOn w:val="DefaultParagraphFont"/>
    <w:link w:val="Heading1"/>
    <w:uiPriority w:val="9"/>
    <w:rsid w:val="001E29F6"/>
    <w:rPr>
      <w:rFonts w:asciiTheme="majorHAnsi" w:eastAsiaTheme="majorEastAsia" w:hAnsiTheme="majorHAnsi" w:cstheme="majorBidi"/>
      <w:b/>
      <w:sz w:val="36"/>
      <w:szCs w:val="32"/>
      <w:lang w:val="nl-NL"/>
    </w:rPr>
  </w:style>
  <w:style w:type="paragraph" w:styleId="TOCHeading">
    <w:name w:val="TOC Heading"/>
    <w:basedOn w:val="Heading1"/>
    <w:next w:val="Normal"/>
    <w:uiPriority w:val="39"/>
    <w:unhideWhenUsed/>
    <w:qFormat/>
    <w:rsid w:val="008E77C2"/>
    <w:pPr>
      <w:spacing w:line="259" w:lineRule="auto"/>
      <w:outlineLvl w:val="9"/>
    </w:pPr>
    <w:rPr>
      <w:lang w:val="en-GB" w:eastAsia="en-GB"/>
    </w:rPr>
  </w:style>
  <w:style w:type="character" w:customStyle="1" w:styleId="Heading2Char">
    <w:name w:val="Heading 2 Char"/>
    <w:basedOn w:val="DefaultParagraphFont"/>
    <w:link w:val="Heading2"/>
    <w:uiPriority w:val="9"/>
    <w:rsid w:val="00420A62"/>
    <w:rPr>
      <w:rFonts w:asciiTheme="majorHAnsi" w:eastAsiaTheme="majorEastAsia" w:hAnsiTheme="majorHAnsi" w:cstheme="majorBidi"/>
      <w:b/>
      <w:sz w:val="26"/>
      <w:szCs w:val="26"/>
      <w:lang w:val="nl-NL"/>
    </w:rPr>
  </w:style>
  <w:style w:type="paragraph" w:styleId="TOC1">
    <w:name w:val="toc 1"/>
    <w:basedOn w:val="Normal"/>
    <w:next w:val="Normal"/>
    <w:autoRedefine/>
    <w:uiPriority w:val="39"/>
    <w:unhideWhenUsed/>
    <w:rsid w:val="008F4192"/>
    <w:pPr>
      <w:spacing w:after="100"/>
    </w:pPr>
  </w:style>
  <w:style w:type="paragraph" w:styleId="TOC2">
    <w:name w:val="toc 2"/>
    <w:basedOn w:val="Normal"/>
    <w:next w:val="Normal"/>
    <w:autoRedefine/>
    <w:uiPriority w:val="39"/>
    <w:unhideWhenUsed/>
    <w:rsid w:val="008F4192"/>
    <w:pPr>
      <w:spacing w:after="100"/>
      <w:ind w:left="220"/>
    </w:pPr>
  </w:style>
  <w:style w:type="paragraph" w:styleId="Bibliography">
    <w:name w:val="Bibliography"/>
    <w:basedOn w:val="Normal"/>
    <w:next w:val="Normal"/>
    <w:uiPriority w:val="37"/>
    <w:unhideWhenUsed/>
    <w:rsid w:val="00C7503C"/>
  </w:style>
  <w:style w:type="paragraph" w:styleId="Header">
    <w:name w:val="header"/>
    <w:basedOn w:val="Normal"/>
    <w:link w:val="HeaderChar"/>
    <w:uiPriority w:val="99"/>
    <w:unhideWhenUsed/>
    <w:rsid w:val="00136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A20"/>
    <w:rPr>
      <w:lang w:val="nl-NL"/>
    </w:rPr>
  </w:style>
  <w:style w:type="paragraph" w:styleId="Footer">
    <w:name w:val="footer"/>
    <w:basedOn w:val="Normal"/>
    <w:link w:val="FooterChar"/>
    <w:uiPriority w:val="99"/>
    <w:unhideWhenUsed/>
    <w:rsid w:val="00136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A20"/>
    <w:rPr>
      <w:lang w:val="nl-NL"/>
    </w:rPr>
  </w:style>
  <w:style w:type="character" w:customStyle="1" w:styleId="Heading3Char">
    <w:name w:val="Heading 3 Char"/>
    <w:basedOn w:val="DefaultParagraphFont"/>
    <w:link w:val="Heading3"/>
    <w:uiPriority w:val="9"/>
    <w:rsid w:val="00D30E1A"/>
    <w:rPr>
      <w:rFonts w:asciiTheme="majorHAnsi" w:eastAsiaTheme="majorEastAsia" w:hAnsiTheme="majorHAnsi" w:cstheme="majorBidi"/>
      <w:szCs w:val="24"/>
      <w:lang w:val="nl-NL"/>
    </w:rPr>
  </w:style>
  <w:style w:type="paragraph" w:styleId="TOC3">
    <w:name w:val="toc 3"/>
    <w:basedOn w:val="Normal"/>
    <w:next w:val="Normal"/>
    <w:autoRedefine/>
    <w:uiPriority w:val="39"/>
    <w:unhideWhenUsed/>
    <w:rsid w:val="009F63BD"/>
    <w:pPr>
      <w:spacing w:after="100"/>
      <w:ind w:left="440"/>
    </w:pPr>
  </w:style>
  <w:style w:type="character" w:styleId="CommentReference">
    <w:name w:val="annotation reference"/>
    <w:basedOn w:val="DefaultParagraphFont"/>
    <w:uiPriority w:val="99"/>
    <w:semiHidden/>
    <w:unhideWhenUsed/>
    <w:rsid w:val="00976C2F"/>
    <w:rPr>
      <w:sz w:val="16"/>
      <w:szCs w:val="16"/>
    </w:rPr>
  </w:style>
  <w:style w:type="paragraph" w:styleId="CommentText">
    <w:name w:val="annotation text"/>
    <w:basedOn w:val="Normal"/>
    <w:link w:val="CommentTextChar"/>
    <w:uiPriority w:val="99"/>
    <w:semiHidden/>
    <w:unhideWhenUsed/>
    <w:rsid w:val="00976C2F"/>
    <w:pPr>
      <w:spacing w:line="240" w:lineRule="auto"/>
    </w:pPr>
    <w:rPr>
      <w:sz w:val="20"/>
      <w:szCs w:val="20"/>
    </w:rPr>
  </w:style>
  <w:style w:type="character" w:customStyle="1" w:styleId="CommentTextChar">
    <w:name w:val="Comment Text Char"/>
    <w:basedOn w:val="DefaultParagraphFont"/>
    <w:link w:val="CommentText"/>
    <w:uiPriority w:val="99"/>
    <w:semiHidden/>
    <w:rsid w:val="00976C2F"/>
    <w:rPr>
      <w:sz w:val="20"/>
      <w:szCs w:val="20"/>
      <w:lang w:val="nl-NL"/>
    </w:rPr>
  </w:style>
  <w:style w:type="paragraph" w:styleId="CommentSubject">
    <w:name w:val="annotation subject"/>
    <w:basedOn w:val="CommentText"/>
    <w:next w:val="CommentText"/>
    <w:link w:val="CommentSubjectChar"/>
    <w:uiPriority w:val="99"/>
    <w:semiHidden/>
    <w:unhideWhenUsed/>
    <w:rsid w:val="00976C2F"/>
    <w:rPr>
      <w:b/>
      <w:bCs/>
    </w:rPr>
  </w:style>
  <w:style w:type="character" w:customStyle="1" w:styleId="CommentSubjectChar">
    <w:name w:val="Comment Subject Char"/>
    <w:basedOn w:val="CommentTextChar"/>
    <w:link w:val="CommentSubject"/>
    <w:uiPriority w:val="99"/>
    <w:semiHidden/>
    <w:rsid w:val="00976C2F"/>
    <w:rPr>
      <w:b/>
      <w:bCs/>
      <w:sz w:val="20"/>
      <w:szCs w:val="20"/>
      <w:lang w:val="nl-NL"/>
    </w:rPr>
  </w:style>
  <w:style w:type="paragraph" w:styleId="BalloonText">
    <w:name w:val="Balloon Text"/>
    <w:basedOn w:val="Normal"/>
    <w:link w:val="BalloonTextChar"/>
    <w:uiPriority w:val="99"/>
    <w:semiHidden/>
    <w:unhideWhenUsed/>
    <w:rsid w:val="00976C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C2F"/>
    <w:rPr>
      <w:rFonts w:ascii="Segoe UI" w:hAnsi="Segoe UI" w:cs="Segoe UI"/>
      <w:sz w:val="18"/>
      <w:szCs w:val="18"/>
      <w:lang w:val="nl-NL"/>
    </w:rPr>
  </w:style>
  <w:style w:type="character" w:customStyle="1" w:styleId="Heading4Char">
    <w:name w:val="Heading 4 Char"/>
    <w:basedOn w:val="DefaultParagraphFont"/>
    <w:link w:val="Heading4"/>
    <w:uiPriority w:val="9"/>
    <w:rsid w:val="00D975C8"/>
    <w:rPr>
      <w:rFonts w:asciiTheme="majorHAnsi" w:eastAsiaTheme="majorEastAsia" w:hAnsiTheme="majorHAnsi" w:cstheme="majorBidi"/>
      <w:b/>
      <w:bCs/>
      <w:i/>
      <w:iCs/>
      <w:color w:val="5B9BD5" w:themeColor="accent1"/>
      <w:sz w:val="24"/>
      <w:lang w:val="nl-NL"/>
    </w:rPr>
  </w:style>
  <w:style w:type="paragraph" w:styleId="FootnoteText">
    <w:name w:val="footnote text"/>
    <w:basedOn w:val="Normal"/>
    <w:link w:val="FootnoteTextChar"/>
    <w:uiPriority w:val="99"/>
    <w:semiHidden/>
    <w:unhideWhenUsed/>
    <w:rsid w:val="00BB56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681"/>
    <w:rPr>
      <w:sz w:val="20"/>
      <w:szCs w:val="20"/>
      <w:lang w:val="nl-NL"/>
    </w:rPr>
  </w:style>
  <w:style w:type="character" w:styleId="FootnoteReference">
    <w:name w:val="footnote reference"/>
    <w:basedOn w:val="DefaultParagraphFont"/>
    <w:uiPriority w:val="99"/>
    <w:semiHidden/>
    <w:unhideWhenUsed/>
    <w:rsid w:val="00BB5681"/>
    <w:rPr>
      <w:vertAlign w:val="superscript"/>
    </w:rPr>
  </w:style>
</w:styles>
</file>

<file path=word/webSettings.xml><?xml version="1.0" encoding="utf-8"?>
<w:webSettings xmlns:r="http://schemas.openxmlformats.org/officeDocument/2006/relationships" xmlns:w="http://schemas.openxmlformats.org/wordprocessingml/2006/main">
  <w:divs>
    <w:div w:id="27068227">
      <w:bodyDiv w:val="1"/>
      <w:marLeft w:val="0"/>
      <w:marRight w:val="0"/>
      <w:marTop w:val="0"/>
      <w:marBottom w:val="0"/>
      <w:divBdr>
        <w:top w:val="none" w:sz="0" w:space="0" w:color="auto"/>
        <w:left w:val="none" w:sz="0" w:space="0" w:color="auto"/>
        <w:bottom w:val="none" w:sz="0" w:space="0" w:color="auto"/>
        <w:right w:val="none" w:sz="0" w:space="0" w:color="auto"/>
      </w:divBdr>
    </w:div>
    <w:div w:id="37704614">
      <w:bodyDiv w:val="1"/>
      <w:marLeft w:val="0"/>
      <w:marRight w:val="0"/>
      <w:marTop w:val="0"/>
      <w:marBottom w:val="0"/>
      <w:divBdr>
        <w:top w:val="none" w:sz="0" w:space="0" w:color="auto"/>
        <w:left w:val="none" w:sz="0" w:space="0" w:color="auto"/>
        <w:bottom w:val="none" w:sz="0" w:space="0" w:color="auto"/>
        <w:right w:val="none" w:sz="0" w:space="0" w:color="auto"/>
      </w:divBdr>
    </w:div>
    <w:div w:id="48967686">
      <w:bodyDiv w:val="1"/>
      <w:marLeft w:val="0"/>
      <w:marRight w:val="0"/>
      <w:marTop w:val="0"/>
      <w:marBottom w:val="0"/>
      <w:divBdr>
        <w:top w:val="none" w:sz="0" w:space="0" w:color="auto"/>
        <w:left w:val="none" w:sz="0" w:space="0" w:color="auto"/>
        <w:bottom w:val="none" w:sz="0" w:space="0" w:color="auto"/>
        <w:right w:val="none" w:sz="0" w:space="0" w:color="auto"/>
      </w:divBdr>
    </w:div>
    <w:div w:id="51782828">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
    <w:div w:id="71247414">
      <w:bodyDiv w:val="1"/>
      <w:marLeft w:val="0"/>
      <w:marRight w:val="0"/>
      <w:marTop w:val="0"/>
      <w:marBottom w:val="0"/>
      <w:divBdr>
        <w:top w:val="none" w:sz="0" w:space="0" w:color="auto"/>
        <w:left w:val="none" w:sz="0" w:space="0" w:color="auto"/>
        <w:bottom w:val="none" w:sz="0" w:space="0" w:color="auto"/>
        <w:right w:val="none" w:sz="0" w:space="0" w:color="auto"/>
      </w:divBdr>
    </w:div>
    <w:div w:id="120153322">
      <w:bodyDiv w:val="1"/>
      <w:marLeft w:val="0"/>
      <w:marRight w:val="0"/>
      <w:marTop w:val="0"/>
      <w:marBottom w:val="0"/>
      <w:divBdr>
        <w:top w:val="none" w:sz="0" w:space="0" w:color="auto"/>
        <w:left w:val="none" w:sz="0" w:space="0" w:color="auto"/>
        <w:bottom w:val="none" w:sz="0" w:space="0" w:color="auto"/>
        <w:right w:val="none" w:sz="0" w:space="0" w:color="auto"/>
      </w:divBdr>
    </w:div>
    <w:div w:id="130095255">
      <w:bodyDiv w:val="1"/>
      <w:marLeft w:val="0"/>
      <w:marRight w:val="0"/>
      <w:marTop w:val="0"/>
      <w:marBottom w:val="0"/>
      <w:divBdr>
        <w:top w:val="none" w:sz="0" w:space="0" w:color="auto"/>
        <w:left w:val="none" w:sz="0" w:space="0" w:color="auto"/>
        <w:bottom w:val="none" w:sz="0" w:space="0" w:color="auto"/>
        <w:right w:val="none" w:sz="0" w:space="0" w:color="auto"/>
      </w:divBdr>
    </w:div>
    <w:div w:id="130825649">
      <w:bodyDiv w:val="1"/>
      <w:marLeft w:val="0"/>
      <w:marRight w:val="0"/>
      <w:marTop w:val="0"/>
      <w:marBottom w:val="0"/>
      <w:divBdr>
        <w:top w:val="none" w:sz="0" w:space="0" w:color="auto"/>
        <w:left w:val="none" w:sz="0" w:space="0" w:color="auto"/>
        <w:bottom w:val="none" w:sz="0" w:space="0" w:color="auto"/>
        <w:right w:val="none" w:sz="0" w:space="0" w:color="auto"/>
      </w:divBdr>
    </w:div>
    <w:div w:id="150876949">
      <w:bodyDiv w:val="1"/>
      <w:marLeft w:val="0"/>
      <w:marRight w:val="0"/>
      <w:marTop w:val="0"/>
      <w:marBottom w:val="0"/>
      <w:divBdr>
        <w:top w:val="none" w:sz="0" w:space="0" w:color="auto"/>
        <w:left w:val="none" w:sz="0" w:space="0" w:color="auto"/>
        <w:bottom w:val="none" w:sz="0" w:space="0" w:color="auto"/>
        <w:right w:val="none" w:sz="0" w:space="0" w:color="auto"/>
      </w:divBdr>
    </w:div>
    <w:div w:id="151798215">
      <w:bodyDiv w:val="1"/>
      <w:marLeft w:val="0"/>
      <w:marRight w:val="0"/>
      <w:marTop w:val="0"/>
      <w:marBottom w:val="0"/>
      <w:divBdr>
        <w:top w:val="none" w:sz="0" w:space="0" w:color="auto"/>
        <w:left w:val="none" w:sz="0" w:space="0" w:color="auto"/>
        <w:bottom w:val="none" w:sz="0" w:space="0" w:color="auto"/>
        <w:right w:val="none" w:sz="0" w:space="0" w:color="auto"/>
      </w:divBdr>
    </w:div>
    <w:div w:id="161547659">
      <w:bodyDiv w:val="1"/>
      <w:marLeft w:val="0"/>
      <w:marRight w:val="0"/>
      <w:marTop w:val="0"/>
      <w:marBottom w:val="0"/>
      <w:divBdr>
        <w:top w:val="none" w:sz="0" w:space="0" w:color="auto"/>
        <w:left w:val="none" w:sz="0" w:space="0" w:color="auto"/>
        <w:bottom w:val="none" w:sz="0" w:space="0" w:color="auto"/>
        <w:right w:val="none" w:sz="0" w:space="0" w:color="auto"/>
      </w:divBdr>
    </w:div>
    <w:div w:id="184102114">
      <w:bodyDiv w:val="1"/>
      <w:marLeft w:val="0"/>
      <w:marRight w:val="0"/>
      <w:marTop w:val="0"/>
      <w:marBottom w:val="0"/>
      <w:divBdr>
        <w:top w:val="none" w:sz="0" w:space="0" w:color="auto"/>
        <w:left w:val="none" w:sz="0" w:space="0" w:color="auto"/>
        <w:bottom w:val="none" w:sz="0" w:space="0" w:color="auto"/>
        <w:right w:val="none" w:sz="0" w:space="0" w:color="auto"/>
      </w:divBdr>
    </w:div>
    <w:div w:id="231043966">
      <w:bodyDiv w:val="1"/>
      <w:marLeft w:val="0"/>
      <w:marRight w:val="0"/>
      <w:marTop w:val="0"/>
      <w:marBottom w:val="0"/>
      <w:divBdr>
        <w:top w:val="none" w:sz="0" w:space="0" w:color="auto"/>
        <w:left w:val="none" w:sz="0" w:space="0" w:color="auto"/>
        <w:bottom w:val="none" w:sz="0" w:space="0" w:color="auto"/>
        <w:right w:val="none" w:sz="0" w:space="0" w:color="auto"/>
      </w:divBdr>
    </w:div>
    <w:div w:id="234516031">
      <w:bodyDiv w:val="1"/>
      <w:marLeft w:val="0"/>
      <w:marRight w:val="0"/>
      <w:marTop w:val="0"/>
      <w:marBottom w:val="0"/>
      <w:divBdr>
        <w:top w:val="none" w:sz="0" w:space="0" w:color="auto"/>
        <w:left w:val="none" w:sz="0" w:space="0" w:color="auto"/>
        <w:bottom w:val="none" w:sz="0" w:space="0" w:color="auto"/>
        <w:right w:val="none" w:sz="0" w:space="0" w:color="auto"/>
      </w:divBdr>
    </w:div>
    <w:div w:id="236288688">
      <w:bodyDiv w:val="1"/>
      <w:marLeft w:val="0"/>
      <w:marRight w:val="0"/>
      <w:marTop w:val="0"/>
      <w:marBottom w:val="0"/>
      <w:divBdr>
        <w:top w:val="none" w:sz="0" w:space="0" w:color="auto"/>
        <w:left w:val="none" w:sz="0" w:space="0" w:color="auto"/>
        <w:bottom w:val="none" w:sz="0" w:space="0" w:color="auto"/>
        <w:right w:val="none" w:sz="0" w:space="0" w:color="auto"/>
      </w:divBdr>
    </w:div>
    <w:div w:id="237520507">
      <w:bodyDiv w:val="1"/>
      <w:marLeft w:val="0"/>
      <w:marRight w:val="0"/>
      <w:marTop w:val="0"/>
      <w:marBottom w:val="0"/>
      <w:divBdr>
        <w:top w:val="none" w:sz="0" w:space="0" w:color="auto"/>
        <w:left w:val="none" w:sz="0" w:space="0" w:color="auto"/>
        <w:bottom w:val="none" w:sz="0" w:space="0" w:color="auto"/>
        <w:right w:val="none" w:sz="0" w:space="0" w:color="auto"/>
      </w:divBdr>
    </w:div>
    <w:div w:id="269245877">
      <w:bodyDiv w:val="1"/>
      <w:marLeft w:val="0"/>
      <w:marRight w:val="0"/>
      <w:marTop w:val="0"/>
      <w:marBottom w:val="0"/>
      <w:divBdr>
        <w:top w:val="none" w:sz="0" w:space="0" w:color="auto"/>
        <w:left w:val="none" w:sz="0" w:space="0" w:color="auto"/>
        <w:bottom w:val="none" w:sz="0" w:space="0" w:color="auto"/>
        <w:right w:val="none" w:sz="0" w:space="0" w:color="auto"/>
      </w:divBdr>
    </w:div>
    <w:div w:id="342442877">
      <w:bodyDiv w:val="1"/>
      <w:marLeft w:val="0"/>
      <w:marRight w:val="0"/>
      <w:marTop w:val="0"/>
      <w:marBottom w:val="0"/>
      <w:divBdr>
        <w:top w:val="none" w:sz="0" w:space="0" w:color="auto"/>
        <w:left w:val="none" w:sz="0" w:space="0" w:color="auto"/>
        <w:bottom w:val="none" w:sz="0" w:space="0" w:color="auto"/>
        <w:right w:val="none" w:sz="0" w:space="0" w:color="auto"/>
      </w:divBdr>
    </w:div>
    <w:div w:id="365719616">
      <w:bodyDiv w:val="1"/>
      <w:marLeft w:val="0"/>
      <w:marRight w:val="0"/>
      <w:marTop w:val="0"/>
      <w:marBottom w:val="0"/>
      <w:divBdr>
        <w:top w:val="none" w:sz="0" w:space="0" w:color="auto"/>
        <w:left w:val="none" w:sz="0" w:space="0" w:color="auto"/>
        <w:bottom w:val="none" w:sz="0" w:space="0" w:color="auto"/>
        <w:right w:val="none" w:sz="0" w:space="0" w:color="auto"/>
      </w:divBdr>
    </w:div>
    <w:div w:id="372387505">
      <w:bodyDiv w:val="1"/>
      <w:marLeft w:val="0"/>
      <w:marRight w:val="0"/>
      <w:marTop w:val="0"/>
      <w:marBottom w:val="0"/>
      <w:divBdr>
        <w:top w:val="none" w:sz="0" w:space="0" w:color="auto"/>
        <w:left w:val="none" w:sz="0" w:space="0" w:color="auto"/>
        <w:bottom w:val="none" w:sz="0" w:space="0" w:color="auto"/>
        <w:right w:val="none" w:sz="0" w:space="0" w:color="auto"/>
      </w:divBdr>
    </w:div>
    <w:div w:id="380324974">
      <w:bodyDiv w:val="1"/>
      <w:marLeft w:val="0"/>
      <w:marRight w:val="0"/>
      <w:marTop w:val="0"/>
      <w:marBottom w:val="0"/>
      <w:divBdr>
        <w:top w:val="none" w:sz="0" w:space="0" w:color="auto"/>
        <w:left w:val="none" w:sz="0" w:space="0" w:color="auto"/>
        <w:bottom w:val="none" w:sz="0" w:space="0" w:color="auto"/>
        <w:right w:val="none" w:sz="0" w:space="0" w:color="auto"/>
      </w:divBdr>
    </w:div>
    <w:div w:id="388920228">
      <w:bodyDiv w:val="1"/>
      <w:marLeft w:val="0"/>
      <w:marRight w:val="0"/>
      <w:marTop w:val="0"/>
      <w:marBottom w:val="0"/>
      <w:divBdr>
        <w:top w:val="none" w:sz="0" w:space="0" w:color="auto"/>
        <w:left w:val="none" w:sz="0" w:space="0" w:color="auto"/>
        <w:bottom w:val="none" w:sz="0" w:space="0" w:color="auto"/>
        <w:right w:val="none" w:sz="0" w:space="0" w:color="auto"/>
      </w:divBdr>
    </w:div>
    <w:div w:id="405151000">
      <w:bodyDiv w:val="1"/>
      <w:marLeft w:val="0"/>
      <w:marRight w:val="0"/>
      <w:marTop w:val="0"/>
      <w:marBottom w:val="0"/>
      <w:divBdr>
        <w:top w:val="none" w:sz="0" w:space="0" w:color="auto"/>
        <w:left w:val="none" w:sz="0" w:space="0" w:color="auto"/>
        <w:bottom w:val="none" w:sz="0" w:space="0" w:color="auto"/>
        <w:right w:val="none" w:sz="0" w:space="0" w:color="auto"/>
      </w:divBdr>
    </w:div>
    <w:div w:id="434061345">
      <w:bodyDiv w:val="1"/>
      <w:marLeft w:val="0"/>
      <w:marRight w:val="0"/>
      <w:marTop w:val="0"/>
      <w:marBottom w:val="0"/>
      <w:divBdr>
        <w:top w:val="none" w:sz="0" w:space="0" w:color="auto"/>
        <w:left w:val="none" w:sz="0" w:space="0" w:color="auto"/>
        <w:bottom w:val="none" w:sz="0" w:space="0" w:color="auto"/>
        <w:right w:val="none" w:sz="0" w:space="0" w:color="auto"/>
      </w:divBdr>
    </w:div>
    <w:div w:id="436415948">
      <w:bodyDiv w:val="1"/>
      <w:marLeft w:val="0"/>
      <w:marRight w:val="0"/>
      <w:marTop w:val="0"/>
      <w:marBottom w:val="0"/>
      <w:divBdr>
        <w:top w:val="none" w:sz="0" w:space="0" w:color="auto"/>
        <w:left w:val="none" w:sz="0" w:space="0" w:color="auto"/>
        <w:bottom w:val="none" w:sz="0" w:space="0" w:color="auto"/>
        <w:right w:val="none" w:sz="0" w:space="0" w:color="auto"/>
      </w:divBdr>
    </w:div>
    <w:div w:id="446437628">
      <w:bodyDiv w:val="1"/>
      <w:marLeft w:val="0"/>
      <w:marRight w:val="0"/>
      <w:marTop w:val="0"/>
      <w:marBottom w:val="0"/>
      <w:divBdr>
        <w:top w:val="none" w:sz="0" w:space="0" w:color="auto"/>
        <w:left w:val="none" w:sz="0" w:space="0" w:color="auto"/>
        <w:bottom w:val="none" w:sz="0" w:space="0" w:color="auto"/>
        <w:right w:val="none" w:sz="0" w:space="0" w:color="auto"/>
      </w:divBdr>
    </w:div>
    <w:div w:id="450782075">
      <w:bodyDiv w:val="1"/>
      <w:marLeft w:val="0"/>
      <w:marRight w:val="0"/>
      <w:marTop w:val="0"/>
      <w:marBottom w:val="0"/>
      <w:divBdr>
        <w:top w:val="none" w:sz="0" w:space="0" w:color="auto"/>
        <w:left w:val="none" w:sz="0" w:space="0" w:color="auto"/>
        <w:bottom w:val="none" w:sz="0" w:space="0" w:color="auto"/>
        <w:right w:val="none" w:sz="0" w:space="0" w:color="auto"/>
      </w:divBdr>
    </w:div>
    <w:div w:id="465393516">
      <w:bodyDiv w:val="1"/>
      <w:marLeft w:val="0"/>
      <w:marRight w:val="0"/>
      <w:marTop w:val="0"/>
      <w:marBottom w:val="0"/>
      <w:divBdr>
        <w:top w:val="none" w:sz="0" w:space="0" w:color="auto"/>
        <w:left w:val="none" w:sz="0" w:space="0" w:color="auto"/>
        <w:bottom w:val="none" w:sz="0" w:space="0" w:color="auto"/>
        <w:right w:val="none" w:sz="0" w:space="0" w:color="auto"/>
      </w:divBdr>
    </w:div>
    <w:div w:id="502087659">
      <w:bodyDiv w:val="1"/>
      <w:marLeft w:val="0"/>
      <w:marRight w:val="0"/>
      <w:marTop w:val="0"/>
      <w:marBottom w:val="0"/>
      <w:divBdr>
        <w:top w:val="none" w:sz="0" w:space="0" w:color="auto"/>
        <w:left w:val="none" w:sz="0" w:space="0" w:color="auto"/>
        <w:bottom w:val="none" w:sz="0" w:space="0" w:color="auto"/>
        <w:right w:val="none" w:sz="0" w:space="0" w:color="auto"/>
      </w:divBdr>
    </w:div>
    <w:div w:id="519198479">
      <w:bodyDiv w:val="1"/>
      <w:marLeft w:val="0"/>
      <w:marRight w:val="0"/>
      <w:marTop w:val="0"/>
      <w:marBottom w:val="0"/>
      <w:divBdr>
        <w:top w:val="none" w:sz="0" w:space="0" w:color="auto"/>
        <w:left w:val="none" w:sz="0" w:space="0" w:color="auto"/>
        <w:bottom w:val="none" w:sz="0" w:space="0" w:color="auto"/>
        <w:right w:val="none" w:sz="0" w:space="0" w:color="auto"/>
      </w:divBdr>
    </w:div>
    <w:div w:id="539244667">
      <w:bodyDiv w:val="1"/>
      <w:marLeft w:val="0"/>
      <w:marRight w:val="0"/>
      <w:marTop w:val="0"/>
      <w:marBottom w:val="0"/>
      <w:divBdr>
        <w:top w:val="none" w:sz="0" w:space="0" w:color="auto"/>
        <w:left w:val="none" w:sz="0" w:space="0" w:color="auto"/>
        <w:bottom w:val="none" w:sz="0" w:space="0" w:color="auto"/>
        <w:right w:val="none" w:sz="0" w:space="0" w:color="auto"/>
      </w:divBdr>
    </w:div>
    <w:div w:id="557474164">
      <w:bodyDiv w:val="1"/>
      <w:marLeft w:val="0"/>
      <w:marRight w:val="0"/>
      <w:marTop w:val="0"/>
      <w:marBottom w:val="0"/>
      <w:divBdr>
        <w:top w:val="none" w:sz="0" w:space="0" w:color="auto"/>
        <w:left w:val="none" w:sz="0" w:space="0" w:color="auto"/>
        <w:bottom w:val="none" w:sz="0" w:space="0" w:color="auto"/>
        <w:right w:val="none" w:sz="0" w:space="0" w:color="auto"/>
      </w:divBdr>
    </w:div>
    <w:div w:id="580339170">
      <w:bodyDiv w:val="1"/>
      <w:marLeft w:val="0"/>
      <w:marRight w:val="0"/>
      <w:marTop w:val="0"/>
      <w:marBottom w:val="0"/>
      <w:divBdr>
        <w:top w:val="none" w:sz="0" w:space="0" w:color="auto"/>
        <w:left w:val="none" w:sz="0" w:space="0" w:color="auto"/>
        <w:bottom w:val="none" w:sz="0" w:space="0" w:color="auto"/>
        <w:right w:val="none" w:sz="0" w:space="0" w:color="auto"/>
      </w:divBdr>
    </w:div>
    <w:div w:id="583799460">
      <w:bodyDiv w:val="1"/>
      <w:marLeft w:val="0"/>
      <w:marRight w:val="0"/>
      <w:marTop w:val="0"/>
      <w:marBottom w:val="0"/>
      <w:divBdr>
        <w:top w:val="none" w:sz="0" w:space="0" w:color="auto"/>
        <w:left w:val="none" w:sz="0" w:space="0" w:color="auto"/>
        <w:bottom w:val="none" w:sz="0" w:space="0" w:color="auto"/>
        <w:right w:val="none" w:sz="0" w:space="0" w:color="auto"/>
      </w:divBdr>
    </w:div>
    <w:div w:id="586885997">
      <w:bodyDiv w:val="1"/>
      <w:marLeft w:val="0"/>
      <w:marRight w:val="0"/>
      <w:marTop w:val="0"/>
      <w:marBottom w:val="0"/>
      <w:divBdr>
        <w:top w:val="none" w:sz="0" w:space="0" w:color="auto"/>
        <w:left w:val="none" w:sz="0" w:space="0" w:color="auto"/>
        <w:bottom w:val="none" w:sz="0" w:space="0" w:color="auto"/>
        <w:right w:val="none" w:sz="0" w:space="0" w:color="auto"/>
      </w:divBdr>
    </w:div>
    <w:div w:id="589048262">
      <w:bodyDiv w:val="1"/>
      <w:marLeft w:val="0"/>
      <w:marRight w:val="0"/>
      <w:marTop w:val="0"/>
      <w:marBottom w:val="0"/>
      <w:divBdr>
        <w:top w:val="none" w:sz="0" w:space="0" w:color="auto"/>
        <w:left w:val="none" w:sz="0" w:space="0" w:color="auto"/>
        <w:bottom w:val="none" w:sz="0" w:space="0" w:color="auto"/>
        <w:right w:val="none" w:sz="0" w:space="0" w:color="auto"/>
      </w:divBdr>
    </w:div>
    <w:div w:id="599218971">
      <w:bodyDiv w:val="1"/>
      <w:marLeft w:val="0"/>
      <w:marRight w:val="0"/>
      <w:marTop w:val="0"/>
      <w:marBottom w:val="0"/>
      <w:divBdr>
        <w:top w:val="none" w:sz="0" w:space="0" w:color="auto"/>
        <w:left w:val="none" w:sz="0" w:space="0" w:color="auto"/>
        <w:bottom w:val="none" w:sz="0" w:space="0" w:color="auto"/>
        <w:right w:val="none" w:sz="0" w:space="0" w:color="auto"/>
      </w:divBdr>
    </w:div>
    <w:div w:id="606425943">
      <w:bodyDiv w:val="1"/>
      <w:marLeft w:val="0"/>
      <w:marRight w:val="0"/>
      <w:marTop w:val="0"/>
      <w:marBottom w:val="0"/>
      <w:divBdr>
        <w:top w:val="none" w:sz="0" w:space="0" w:color="auto"/>
        <w:left w:val="none" w:sz="0" w:space="0" w:color="auto"/>
        <w:bottom w:val="none" w:sz="0" w:space="0" w:color="auto"/>
        <w:right w:val="none" w:sz="0" w:space="0" w:color="auto"/>
      </w:divBdr>
    </w:div>
    <w:div w:id="607851015">
      <w:bodyDiv w:val="1"/>
      <w:marLeft w:val="0"/>
      <w:marRight w:val="0"/>
      <w:marTop w:val="0"/>
      <w:marBottom w:val="0"/>
      <w:divBdr>
        <w:top w:val="none" w:sz="0" w:space="0" w:color="auto"/>
        <w:left w:val="none" w:sz="0" w:space="0" w:color="auto"/>
        <w:bottom w:val="none" w:sz="0" w:space="0" w:color="auto"/>
        <w:right w:val="none" w:sz="0" w:space="0" w:color="auto"/>
      </w:divBdr>
    </w:div>
    <w:div w:id="611399656">
      <w:bodyDiv w:val="1"/>
      <w:marLeft w:val="0"/>
      <w:marRight w:val="0"/>
      <w:marTop w:val="0"/>
      <w:marBottom w:val="0"/>
      <w:divBdr>
        <w:top w:val="none" w:sz="0" w:space="0" w:color="auto"/>
        <w:left w:val="none" w:sz="0" w:space="0" w:color="auto"/>
        <w:bottom w:val="none" w:sz="0" w:space="0" w:color="auto"/>
        <w:right w:val="none" w:sz="0" w:space="0" w:color="auto"/>
      </w:divBdr>
    </w:div>
    <w:div w:id="638070638">
      <w:bodyDiv w:val="1"/>
      <w:marLeft w:val="0"/>
      <w:marRight w:val="0"/>
      <w:marTop w:val="0"/>
      <w:marBottom w:val="0"/>
      <w:divBdr>
        <w:top w:val="none" w:sz="0" w:space="0" w:color="auto"/>
        <w:left w:val="none" w:sz="0" w:space="0" w:color="auto"/>
        <w:bottom w:val="none" w:sz="0" w:space="0" w:color="auto"/>
        <w:right w:val="none" w:sz="0" w:space="0" w:color="auto"/>
      </w:divBdr>
    </w:div>
    <w:div w:id="641542122">
      <w:bodyDiv w:val="1"/>
      <w:marLeft w:val="0"/>
      <w:marRight w:val="0"/>
      <w:marTop w:val="0"/>
      <w:marBottom w:val="0"/>
      <w:divBdr>
        <w:top w:val="none" w:sz="0" w:space="0" w:color="auto"/>
        <w:left w:val="none" w:sz="0" w:space="0" w:color="auto"/>
        <w:bottom w:val="none" w:sz="0" w:space="0" w:color="auto"/>
        <w:right w:val="none" w:sz="0" w:space="0" w:color="auto"/>
      </w:divBdr>
    </w:div>
    <w:div w:id="643319734">
      <w:bodyDiv w:val="1"/>
      <w:marLeft w:val="0"/>
      <w:marRight w:val="0"/>
      <w:marTop w:val="0"/>
      <w:marBottom w:val="0"/>
      <w:divBdr>
        <w:top w:val="none" w:sz="0" w:space="0" w:color="auto"/>
        <w:left w:val="none" w:sz="0" w:space="0" w:color="auto"/>
        <w:bottom w:val="none" w:sz="0" w:space="0" w:color="auto"/>
        <w:right w:val="none" w:sz="0" w:space="0" w:color="auto"/>
      </w:divBdr>
    </w:div>
    <w:div w:id="690498455">
      <w:bodyDiv w:val="1"/>
      <w:marLeft w:val="0"/>
      <w:marRight w:val="0"/>
      <w:marTop w:val="0"/>
      <w:marBottom w:val="0"/>
      <w:divBdr>
        <w:top w:val="none" w:sz="0" w:space="0" w:color="auto"/>
        <w:left w:val="none" w:sz="0" w:space="0" w:color="auto"/>
        <w:bottom w:val="none" w:sz="0" w:space="0" w:color="auto"/>
        <w:right w:val="none" w:sz="0" w:space="0" w:color="auto"/>
      </w:divBdr>
    </w:div>
    <w:div w:id="692920055">
      <w:bodyDiv w:val="1"/>
      <w:marLeft w:val="0"/>
      <w:marRight w:val="0"/>
      <w:marTop w:val="0"/>
      <w:marBottom w:val="0"/>
      <w:divBdr>
        <w:top w:val="none" w:sz="0" w:space="0" w:color="auto"/>
        <w:left w:val="none" w:sz="0" w:space="0" w:color="auto"/>
        <w:bottom w:val="none" w:sz="0" w:space="0" w:color="auto"/>
        <w:right w:val="none" w:sz="0" w:space="0" w:color="auto"/>
      </w:divBdr>
    </w:div>
    <w:div w:id="698310966">
      <w:bodyDiv w:val="1"/>
      <w:marLeft w:val="0"/>
      <w:marRight w:val="0"/>
      <w:marTop w:val="0"/>
      <w:marBottom w:val="0"/>
      <w:divBdr>
        <w:top w:val="none" w:sz="0" w:space="0" w:color="auto"/>
        <w:left w:val="none" w:sz="0" w:space="0" w:color="auto"/>
        <w:bottom w:val="none" w:sz="0" w:space="0" w:color="auto"/>
        <w:right w:val="none" w:sz="0" w:space="0" w:color="auto"/>
      </w:divBdr>
    </w:div>
    <w:div w:id="703360350">
      <w:bodyDiv w:val="1"/>
      <w:marLeft w:val="0"/>
      <w:marRight w:val="0"/>
      <w:marTop w:val="0"/>
      <w:marBottom w:val="0"/>
      <w:divBdr>
        <w:top w:val="none" w:sz="0" w:space="0" w:color="auto"/>
        <w:left w:val="none" w:sz="0" w:space="0" w:color="auto"/>
        <w:bottom w:val="none" w:sz="0" w:space="0" w:color="auto"/>
        <w:right w:val="none" w:sz="0" w:space="0" w:color="auto"/>
      </w:divBdr>
    </w:div>
    <w:div w:id="727188204">
      <w:bodyDiv w:val="1"/>
      <w:marLeft w:val="0"/>
      <w:marRight w:val="0"/>
      <w:marTop w:val="0"/>
      <w:marBottom w:val="0"/>
      <w:divBdr>
        <w:top w:val="none" w:sz="0" w:space="0" w:color="auto"/>
        <w:left w:val="none" w:sz="0" w:space="0" w:color="auto"/>
        <w:bottom w:val="none" w:sz="0" w:space="0" w:color="auto"/>
        <w:right w:val="none" w:sz="0" w:space="0" w:color="auto"/>
      </w:divBdr>
    </w:div>
    <w:div w:id="733502098">
      <w:bodyDiv w:val="1"/>
      <w:marLeft w:val="0"/>
      <w:marRight w:val="0"/>
      <w:marTop w:val="0"/>
      <w:marBottom w:val="0"/>
      <w:divBdr>
        <w:top w:val="none" w:sz="0" w:space="0" w:color="auto"/>
        <w:left w:val="none" w:sz="0" w:space="0" w:color="auto"/>
        <w:bottom w:val="none" w:sz="0" w:space="0" w:color="auto"/>
        <w:right w:val="none" w:sz="0" w:space="0" w:color="auto"/>
      </w:divBdr>
    </w:div>
    <w:div w:id="736903270">
      <w:bodyDiv w:val="1"/>
      <w:marLeft w:val="0"/>
      <w:marRight w:val="0"/>
      <w:marTop w:val="0"/>
      <w:marBottom w:val="0"/>
      <w:divBdr>
        <w:top w:val="none" w:sz="0" w:space="0" w:color="auto"/>
        <w:left w:val="none" w:sz="0" w:space="0" w:color="auto"/>
        <w:bottom w:val="none" w:sz="0" w:space="0" w:color="auto"/>
        <w:right w:val="none" w:sz="0" w:space="0" w:color="auto"/>
      </w:divBdr>
    </w:div>
    <w:div w:id="765154026">
      <w:bodyDiv w:val="1"/>
      <w:marLeft w:val="0"/>
      <w:marRight w:val="0"/>
      <w:marTop w:val="0"/>
      <w:marBottom w:val="0"/>
      <w:divBdr>
        <w:top w:val="none" w:sz="0" w:space="0" w:color="auto"/>
        <w:left w:val="none" w:sz="0" w:space="0" w:color="auto"/>
        <w:bottom w:val="none" w:sz="0" w:space="0" w:color="auto"/>
        <w:right w:val="none" w:sz="0" w:space="0" w:color="auto"/>
      </w:divBdr>
    </w:div>
    <w:div w:id="767043473">
      <w:bodyDiv w:val="1"/>
      <w:marLeft w:val="0"/>
      <w:marRight w:val="0"/>
      <w:marTop w:val="0"/>
      <w:marBottom w:val="0"/>
      <w:divBdr>
        <w:top w:val="none" w:sz="0" w:space="0" w:color="auto"/>
        <w:left w:val="none" w:sz="0" w:space="0" w:color="auto"/>
        <w:bottom w:val="none" w:sz="0" w:space="0" w:color="auto"/>
        <w:right w:val="none" w:sz="0" w:space="0" w:color="auto"/>
      </w:divBdr>
    </w:div>
    <w:div w:id="787890226">
      <w:bodyDiv w:val="1"/>
      <w:marLeft w:val="0"/>
      <w:marRight w:val="0"/>
      <w:marTop w:val="0"/>
      <w:marBottom w:val="0"/>
      <w:divBdr>
        <w:top w:val="none" w:sz="0" w:space="0" w:color="auto"/>
        <w:left w:val="none" w:sz="0" w:space="0" w:color="auto"/>
        <w:bottom w:val="none" w:sz="0" w:space="0" w:color="auto"/>
        <w:right w:val="none" w:sz="0" w:space="0" w:color="auto"/>
      </w:divBdr>
    </w:div>
    <w:div w:id="800803865">
      <w:bodyDiv w:val="1"/>
      <w:marLeft w:val="0"/>
      <w:marRight w:val="0"/>
      <w:marTop w:val="0"/>
      <w:marBottom w:val="0"/>
      <w:divBdr>
        <w:top w:val="none" w:sz="0" w:space="0" w:color="auto"/>
        <w:left w:val="none" w:sz="0" w:space="0" w:color="auto"/>
        <w:bottom w:val="none" w:sz="0" w:space="0" w:color="auto"/>
        <w:right w:val="none" w:sz="0" w:space="0" w:color="auto"/>
      </w:divBdr>
    </w:div>
    <w:div w:id="801775185">
      <w:bodyDiv w:val="1"/>
      <w:marLeft w:val="0"/>
      <w:marRight w:val="0"/>
      <w:marTop w:val="0"/>
      <w:marBottom w:val="0"/>
      <w:divBdr>
        <w:top w:val="none" w:sz="0" w:space="0" w:color="auto"/>
        <w:left w:val="none" w:sz="0" w:space="0" w:color="auto"/>
        <w:bottom w:val="none" w:sz="0" w:space="0" w:color="auto"/>
        <w:right w:val="none" w:sz="0" w:space="0" w:color="auto"/>
      </w:divBdr>
    </w:div>
    <w:div w:id="816990657">
      <w:bodyDiv w:val="1"/>
      <w:marLeft w:val="0"/>
      <w:marRight w:val="0"/>
      <w:marTop w:val="0"/>
      <w:marBottom w:val="0"/>
      <w:divBdr>
        <w:top w:val="none" w:sz="0" w:space="0" w:color="auto"/>
        <w:left w:val="none" w:sz="0" w:space="0" w:color="auto"/>
        <w:bottom w:val="none" w:sz="0" w:space="0" w:color="auto"/>
        <w:right w:val="none" w:sz="0" w:space="0" w:color="auto"/>
      </w:divBdr>
    </w:div>
    <w:div w:id="830757441">
      <w:bodyDiv w:val="1"/>
      <w:marLeft w:val="0"/>
      <w:marRight w:val="0"/>
      <w:marTop w:val="0"/>
      <w:marBottom w:val="0"/>
      <w:divBdr>
        <w:top w:val="none" w:sz="0" w:space="0" w:color="auto"/>
        <w:left w:val="none" w:sz="0" w:space="0" w:color="auto"/>
        <w:bottom w:val="none" w:sz="0" w:space="0" w:color="auto"/>
        <w:right w:val="none" w:sz="0" w:space="0" w:color="auto"/>
      </w:divBdr>
    </w:div>
    <w:div w:id="846211550">
      <w:bodyDiv w:val="1"/>
      <w:marLeft w:val="0"/>
      <w:marRight w:val="0"/>
      <w:marTop w:val="0"/>
      <w:marBottom w:val="0"/>
      <w:divBdr>
        <w:top w:val="none" w:sz="0" w:space="0" w:color="auto"/>
        <w:left w:val="none" w:sz="0" w:space="0" w:color="auto"/>
        <w:bottom w:val="none" w:sz="0" w:space="0" w:color="auto"/>
        <w:right w:val="none" w:sz="0" w:space="0" w:color="auto"/>
      </w:divBdr>
    </w:div>
    <w:div w:id="857549200">
      <w:bodyDiv w:val="1"/>
      <w:marLeft w:val="0"/>
      <w:marRight w:val="0"/>
      <w:marTop w:val="0"/>
      <w:marBottom w:val="0"/>
      <w:divBdr>
        <w:top w:val="none" w:sz="0" w:space="0" w:color="auto"/>
        <w:left w:val="none" w:sz="0" w:space="0" w:color="auto"/>
        <w:bottom w:val="none" w:sz="0" w:space="0" w:color="auto"/>
        <w:right w:val="none" w:sz="0" w:space="0" w:color="auto"/>
      </w:divBdr>
    </w:div>
    <w:div w:id="864371859">
      <w:bodyDiv w:val="1"/>
      <w:marLeft w:val="0"/>
      <w:marRight w:val="0"/>
      <w:marTop w:val="0"/>
      <w:marBottom w:val="0"/>
      <w:divBdr>
        <w:top w:val="none" w:sz="0" w:space="0" w:color="auto"/>
        <w:left w:val="none" w:sz="0" w:space="0" w:color="auto"/>
        <w:bottom w:val="none" w:sz="0" w:space="0" w:color="auto"/>
        <w:right w:val="none" w:sz="0" w:space="0" w:color="auto"/>
      </w:divBdr>
    </w:div>
    <w:div w:id="867597596">
      <w:bodyDiv w:val="1"/>
      <w:marLeft w:val="0"/>
      <w:marRight w:val="0"/>
      <w:marTop w:val="0"/>
      <w:marBottom w:val="0"/>
      <w:divBdr>
        <w:top w:val="none" w:sz="0" w:space="0" w:color="auto"/>
        <w:left w:val="none" w:sz="0" w:space="0" w:color="auto"/>
        <w:bottom w:val="none" w:sz="0" w:space="0" w:color="auto"/>
        <w:right w:val="none" w:sz="0" w:space="0" w:color="auto"/>
      </w:divBdr>
    </w:div>
    <w:div w:id="895554016">
      <w:bodyDiv w:val="1"/>
      <w:marLeft w:val="0"/>
      <w:marRight w:val="0"/>
      <w:marTop w:val="0"/>
      <w:marBottom w:val="0"/>
      <w:divBdr>
        <w:top w:val="none" w:sz="0" w:space="0" w:color="auto"/>
        <w:left w:val="none" w:sz="0" w:space="0" w:color="auto"/>
        <w:bottom w:val="none" w:sz="0" w:space="0" w:color="auto"/>
        <w:right w:val="none" w:sz="0" w:space="0" w:color="auto"/>
      </w:divBdr>
    </w:div>
    <w:div w:id="911043785">
      <w:bodyDiv w:val="1"/>
      <w:marLeft w:val="0"/>
      <w:marRight w:val="0"/>
      <w:marTop w:val="0"/>
      <w:marBottom w:val="0"/>
      <w:divBdr>
        <w:top w:val="none" w:sz="0" w:space="0" w:color="auto"/>
        <w:left w:val="none" w:sz="0" w:space="0" w:color="auto"/>
        <w:bottom w:val="none" w:sz="0" w:space="0" w:color="auto"/>
        <w:right w:val="none" w:sz="0" w:space="0" w:color="auto"/>
      </w:divBdr>
    </w:div>
    <w:div w:id="919676734">
      <w:bodyDiv w:val="1"/>
      <w:marLeft w:val="0"/>
      <w:marRight w:val="0"/>
      <w:marTop w:val="0"/>
      <w:marBottom w:val="0"/>
      <w:divBdr>
        <w:top w:val="none" w:sz="0" w:space="0" w:color="auto"/>
        <w:left w:val="none" w:sz="0" w:space="0" w:color="auto"/>
        <w:bottom w:val="none" w:sz="0" w:space="0" w:color="auto"/>
        <w:right w:val="none" w:sz="0" w:space="0" w:color="auto"/>
      </w:divBdr>
    </w:div>
    <w:div w:id="958098963">
      <w:bodyDiv w:val="1"/>
      <w:marLeft w:val="0"/>
      <w:marRight w:val="0"/>
      <w:marTop w:val="0"/>
      <w:marBottom w:val="0"/>
      <w:divBdr>
        <w:top w:val="none" w:sz="0" w:space="0" w:color="auto"/>
        <w:left w:val="none" w:sz="0" w:space="0" w:color="auto"/>
        <w:bottom w:val="none" w:sz="0" w:space="0" w:color="auto"/>
        <w:right w:val="none" w:sz="0" w:space="0" w:color="auto"/>
      </w:divBdr>
    </w:div>
    <w:div w:id="963315825">
      <w:bodyDiv w:val="1"/>
      <w:marLeft w:val="0"/>
      <w:marRight w:val="0"/>
      <w:marTop w:val="0"/>
      <w:marBottom w:val="0"/>
      <w:divBdr>
        <w:top w:val="none" w:sz="0" w:space="0" w:color="auto"/>
        <w:left w:val="none" w:sz="0" w:space="0" w:color="auto"/>
        <w:bottom w:val="none" w:sz="0" w:space="0" w:color="auto"/>
        <w:right w:val="none" w:sz="0" w:space="0" w:color="auto"/>
      </w:divBdr>
    </w:div>
    <w:div w:id="978412327">
      <w:bodyDiv w:val="1"/>
      <w:marLeft w:val="0"/>
      <w:marRight w:val="0"/>
      <w:marTop w:val="0"/>
      <w:marBottom w:val="0"/>
      <w:divBdr>
        <w:top w:val="none" w:sz="0" w:space="0" w:color="auto"/>
        <w:left w:val="none" w:sz="0" w:space="0" w:color="auto"/>
        <w:bottom w:val="none" w:sz="0" w:space="0" w:color="auto"/>
        <w:right w:val="none" w:sz="0" w:space="0" w:color="auto"/>
      </w:divBdr>
    </w:div>
    <w:div w:id="989292379">
      <w:bodyDiv w:val="1"/>
      <w:marLeft w:val="0"/>
      <w:marRight w:val="0"/>
      <w:marTop w:val="0"/>
      <w:marBottom w:val="0"/>
      <w:divBdr>
        <w:top w:val="none" w:sz="0" w:space="0" w:color="auto"/>
        <w:left w:val="none" w:sz="0" w:space="0" w:color="auto"/>
        <w:bottom w:val="none" w:sz="0" w:space="0" w:color="auto"/>
        <w:right w:val="none" w:sz="0" w:space="0" w:color="auto"/>
      </w:divBdr>
    </w:div>
    <w:div w:id="996959832">
      <w:bodyDiv w:val="1"/>
      <w:marLeft w:val="0"/>
      <w:marRight w:val="0"/>
      <w:marTop w:val="0"/>
      <w:marBottom w:val="0"/>
      <w:divBdr>
        <w:top w:val="none" w:sz="0" w:space="0" w:color="auto"/>
        <w:left w:val="none" w:sz="0" w:space="0" w:color="auto"/>
        <w:bottom w:val="none" w:sz="0" w:space="0" w:color="auto"/>
        <w:right w:val="none" w:sz="0" w:space="0" w:color="auto"/>
      </w:divBdr>
    </w:div>
    <w:div w:id="1003582487">
      <w:bodyDiv w:val="1"/>
      <w:marLeft w:val="0"/>
      <w:marRight w:val="0"/>
      <w:marTop w:val="0"/>
      <w:marBottom w:val="0"/>
      <w:divBdr>
        <w:top w:val="none" w:sz="0" w:space="0" w:color="auto"/>
        <w:left w:val="none" w:sz="0" w:space="0" w:color="auto"/>
        <w:bottom w:val="none" w:sz="0" w:space="0" w:color="auto"/>
        <w:right w:val="none" w:sz="0" w:space="0" w:color="auto"/>
      </w:divBdr>
    </w:div>
    <w:div w:id="1017120603">
      <w:bodyDiv w:val="1"/>
      <w:marLeft w:val="0"/>
      <w:marRight w:val="0"/>
      <w:marTop w:val="0"/>
      <w:marBottom w:val="0"/>
      <w:divBdr>
        <w:top w:val="none" w:sz="0" w:space="0" w:color="auto"/>
        <w:left w:val="none" w:sz="0" w:space="0" w:color="auto"/>
        <w:bottom w:val="none" w:sz="0" w:space="0" w:color="auto"/>
        <w:right w:val="none" w:sz="0" w:space="0" w:color="auto"/>
      </w:divBdr>
    </w:div>
    <w:div w:id="1046223921">
      <w:bodyDiv w:val="1"/>
      <w:marLeft w:val="0"/>
      <w:marRight w:val="0"/>
      <w:marTop w:val="0"/>
      <w:marBottom w:val="0"/>
      <w:divBdr>
        <w:top w:val="none" w:sz="0" w:space="0" w:color="auto"/>
        <w:left w:val="none" w:sz="0" w:space="0" w:color="auto"/>
        <w:bottom w:val="none" w:sz="0" w:space="0" w:color="auto"/>
        <w:right w:val="none" w:sz="0" w:space="0" w:color="auto"/>
      </w:divBdr>
    </w:div>
    <w:div w:id="1081369225">
      <w:bodyDiv w:val="1"/>
      <w:marLeft w:val="0"/>
      <w:marRight w:val="0"/>
      <w:marTop w:val="0"/>
      <w:marBottom w:val="0"/>
      <w:divBdr>
        <w:top w:val="none" w:sz="0" w:space="0" w:color="auto"/>
        <w:left w:val="none" w:sz="0" w:space="0" w:color="auto"/>
        <w:bottom w:val="none" w:sz="0" w:space="0" w:color="auto"/>
        <w:right w:val="none" w:sz="0" w:space="0" w:color="auto"/>
      </w:divBdr>
    </w:div>
    <w:div w:id="1087969452">
      <w:bodyDiv w:val="1"/>
      <w:marLeft w:val="0"/>
      <w:marRight w:val="0"/>
      <w:marTop w:val="0"/>
      <w:marBottom w:val="0"/>
      <w:divBdr>
        <w:top w:val="none" w:sz="0" w:space="0" w:color="auto"/>
        <w:left w:val="none" w:sz="0" w:space="0" w:color="auto"/>
        <w:bottom w:val="none" w:sz="0" w:space="0" w:color="auto"/>
        <w:right w:val="none" w:sz="0" w:space="0" w:color="auto"/>
      </w:divBdr>
    </w:div>
    <w:div w:id="1104500975">
      <w:bodyDiv w:val="1"/>
      <w:marLeft w:val="0"/>
      <w:marRight w:val="0"/>
      <w:marTop w:val="0"/>
      <w:marBottom w:val="0"/>
      <w:divBdr>
        <w:top w:val="none" w:sz="0" w:space="0" w:color="auto"/>
        <w:left w:val="none" w:sz="0" w:space="0" w:color="auto"/>
        <w:bottom w:val="none" w:sz="0" w:space="0" w:color="auto"/>
        <w:right w:val="none" w:sz="0" w:space="0" w:color="auto"/>
      </w:divBdr>
    </w:div>
    <w:div w:id="1124545360">
      <w:bodyDiv w:val="1"/>
      <w:marLeft w:val="0"/>
      <w:marRight w:val="0"/>
      <w:marTop w:val="0"/>
      <w:marBottom w:val="0"/>
      <w:divBdr>
        <w:top w:val="none" w:sz="0" w:space="0" w:color="auto"/>
        <w:left w:val="none" w:sz="0" w:space="0" w:color="auto"/>
        <w:bottom w:val="none" w:sz="0" w:space="0" w:color="auto"/>
        <w:right w:val="none" w:sz="0" w:space="0" w:color="auto"/>
      </w:divBdr>
    </w:div>
    <w:div w:id="1136025422">
      <w:bodyDiv w:val="1"/>
      <w:marLeft w:val="0"/>
      <w:marRight w:val="0"/>
      <w:marTop w:val="0"/>
      <w:marBottom w:val="0"/>
      <w:divBdr>
        <w:top w:val="none" w:sz="0" w:space="0" w:color="auto"/>
        <w:left w:val="none" w:sz="0" w:space="0" w:color="auto"/>
        <w:bottom w:val="none" w:sz="0" w:space="0" w:color="auto"/>
        <w:right w:val="none" w:sz="0" w:space="0" w:color="auto"/>
      </w:divBdr>
    </w:div>
    <w:div w:id="1141580937">
      <w:bodyDiv w:val="1"/>
      <w:marLeft w:val="0"/>
      <w:marRight w:val="0"/>
      <w:marTop w:val="0"/>
      <w:marBottom w:val="0"/>
      <w:divBdr>
        <w:top w:val="none" w:sz="0" w:space="0" w:color="auto"/>
        <w:left w:val="none" w:sz="0" w:space="0" w:color="auto"/>
        <w:bottom w:val="none" w:sz="0" w:space="0" w:color="auto"/>
        <w:right w:val="none" w:sz="0" w:space="0" w:color="auto"/>
      </w:divBdr>
    </w:div>
    <w:div w:id="1152333607">
      <w:bodyDiv w:val="1"/>
      <w:marLeft w:val="0"/>
      <w:marRight w:val="0"/>
      <w:marTop w:val="0"/>
      <w:marBottom w:val="0"/>
      <w:divBdr>
        <w:top w:val="none" w:sz="0" w:space="0" w:color="auto"/>
        <w:left w:val="none" w:sz="0" w:space="0" w:color="auto"/>
        <w:bottom w:val="none" w:sz="0" w:space="0" w:color="auto"/>
        <w:right w:val="none" w:sz="0" w:space="0" w:color="auto"/>
      </w:divBdr>
    </w:div>
    <w:div w:id="1161891968">
      <w:bodyDiv w:val="1"/>
      <w:marLeft w:val="0"/>
      <w:marRight w:val="0"/>
      <w:marTop w:val="0"/>
      <w:marBottom w:val="0"/>
      <w:divBdr>
        <w:top w:val="none" w:sz="0" w:space="0" w:color="auto"/>
        <w:left w:val="none" w:sz="0" w:space="0" w:color="auto"/>
        <w:bottom w:val="none" w:sz="0" w:space="0" w:color="auto"/>
        <w:right w:val="none" w:sz="0" w:space="0" w:color="auto"/>
      </w:divBdr>
    </w:div>
    <w:div w:id="1165393572">
      <w:bodyDiv w:val="1"/>
      <w:marLeft w:val="0"/>
      <w:marRight w:val="0"/>
      <w:marTop w:val="0"/>
      <w:marBottom w:val="0"/>
      <w:divBdr>
        <w:top w:val="none" w:sz="0" w:space="0" w:color="auto"/>
        <w:left w:val="none" w:sz="0" w:space="0" w:color="auto"/>
        <w:bottom w:val="none" w:sz="0" w:space="0" w:color="auto"/>
        <w:right w:val="none" w:sz="0" w:space="0" w:color="auto"/>
      </w:divBdr>
    </w:div>
    <w:div w:id="1216699191">
      <w:bodyDiv w:val="1"/>
      <w:marLeft w:val="0"/>
      <w:marRight w:val="0"/>
      <w:marTop w:val="0"/>
      <w:marBottom w:val="0"/>
      <w:divBdr>
        <w:top w:val="none" w:sz="0" w:space="0" w:color="auto"/>
        <w:left w:val="none" w:sz="0" w:space="0" w:color="auto"/>
        <w:bottom w:val="none" w:sz="0" w:space="0" w:color="auto"/>
        <w:right w:val="none" w:sz="0" w:space="0" w:color="auto"/>
      </w:divBdr>
    </w:div>
    <w:div w:id="1218541930">
      <w:bodyDiv w:val="1"/>
      <w:marLeft w:val="0"/>
      <w:marRight w:val="0"/>
      <w:marTop w:val="0"/>
      <w:marBottom w:val="0"/>
      <w:divBdr>
        <w:top w:val="none" w:sz="0" w:space="0" w:color="auto"/>
        <w:left w:val="none" w:sz="0" w:space="0" w:color="auto"/>
        <w:bottom w:val="none" w:sz="0" w:space="0" w:color="auto"/>
        <w:right w:val="none" w:sz="0" w:space="0" w:color="auto"/>
      </w:divBdr>
    </w:div>
    <w:div w:id="1247154472">
      <w:bodyDiv w:val="1"/>
      <w:marLeft w:val="0"/>
      <w:marRight w:val="0"/>
      <w:marTop w:val="0"/>
      <w:marBottom w:val="0"/>
      <w:divBdr>
        <w:top w:val="none" w:sz="0" w:space="0" w:color="auto"/>
        <w:left w:val="none" w:sz="0" w:space="0" w:color="auto"/>
        <w:bottom w:val="none" w:sz="0" w:space="0" w:color="auto"/>
        <w:right w:val="none" w:sz="0" w:space="0" w:color="auto"/>
      </w:divBdr>
    </w:div>
    <w:div w:id="1257250284">
      <w:bodyDiv w:val="1"/>
      <w:marLeft w:val="0"/>
      <w:marRight w:val="0"/>
      <w:marTop w:val="0"/>
      <w:marBottom w:val="0"/>
      <w:divBdr>
        <w:top w:val="none" w:sz="0" w:space="0" w:color="auto"/>
        <w:left w:val="none" w:sz="0" w:space="0" w:color="auto"/>
        <w:bottom w:val="none" w:sz="0" w:space="0" w:color="auto"/>
        <w:right w:val="none" w:sz="0" w:space="0" w:color="auto"/>
      </w:divBdr>
    </w:div>
    <w:div w:id="1260529446">
      <w:bodyDiv w:val="1"/>
      <w:marLeft w:val="0"/>
      <w:marRight w:val="0"/>
      <w:marTop w:val="0"/>
      <w:marBottom w:val="0"/>
      <w:divBdr>
        <w:top w:val="none" w:sz="0" w:space="0" w:color="auto"/>
        <w:left w:val="none" w:sz="0" w:space="0" w:color="auto"/>
        <w:bottom w:val="none" w:sz="0" w:space="0" w:color="auto"/>
        <w:right w:val="none" w:sz="0" w:space="0" w:color="auto"/>
      </w:divBdr>
    </w:div>
    <w:div w:id="1264074137">
      <w:bodyDiv w:val="1"/>
      <w:marLeft w:val="0"/>
      <w:marRight w:val="0"/>
      <w:marTop w:val="0"/>
      <w:marBottom w:val="0"/>
      <w:divBdr>
        <w:top w:val="none" w:sz="0" w:space="0" w:color="auto"/>
        <w:left w:val="none" w:sz="0" w:space="0" w:color="auto"/>
        <w:bottom w:val="none" w:sz="0" w:space="0" w:color="auto"/>
        <w:right w:val="none" w:sz="0" w:space="0" w:color="auto"/>
      </w:divBdr>
    </w:div>
    <w:div w:id="1270160906">
      <w:bodyDiv w:val="1"/>
      <w:marLeft w:val="0"/>
      <w:marRight w:val="0"/>
      <w:marTop w:val="0"/>
      <w:marBottom w:val="0"/>
      <w:divBdr>
        <w:top w:val="none" w:sz="0" w:space="0" w:color="auto"/>
        <w:left w:val="none" w:sz="0" w:space="0" w:color="auto"/>
        <w:bottom w:val="none" w:sz="0" w:space="0" w:color="auto"/>
        <w:right w:val="none" w:sz="0" w:space="0" w:color="auto"/>
      </w:divBdr>
    </w:div>
    <w:div w:id="1279220233">
      <w:bodyDiv w:val="1"/>
      <w:marLeft w:val="0"/>
      <w:marRight w:val="0"/>
      <w:marTop w:val="0"/>
      <w:marBottom w:val="0"/>
      <w:divBdr>
        <w:top w:val="none" w:sz="0" w:space="0" w:color="auto"/>
        <w:left w:val="none" w:sz="0" w:space="0" w:color="auto"/>
        <w:bottom w:val="none" w:sz="0" w:space="0" w:color="auto"/>
        <w:right w:val="none" w:sz="0" w:space="0" w:color="auto"/>
      </w:divBdr>
    </w:div>
    <w:div w:id="1284724683">
      <w:bodyDiv w:val="1"/>
      <w:marLeft w:val="0"/>
      <w:marRight w:val="0"/>
      <w:marTop w:val="0"/>
      <w:marBottom w:val="0"/>
      <w:divBdr>
        <w:top w:val="none" w:sz="0" w:space="0" w:color="auto"/>
        <w:left w:val="none" w:sz="0" w:space="0" w:color="auto"/>
        <w:bottom w:val="none" w:sz="0" w:space="0" w:color="auto"/>
        <w:right w:val="none" w:sz="0" w:space="0" w:color="auto"/>
      </w:divBdr>
    </w:div>
    <w:div w:id="1299530711">
      <w:bodyDiv w:val="1"/>
      <w:marLeft w:val="0"/>
      <w:marRight w:val="0"/>
      <w:marTop w:val="0"/>
      <w:marBottom w:val="0"/>
      <w:divBdr>
        <w:top w:val="none" w:sz="0" w:space="0" w:color="auto"/>
        <w:left w:val="none" w:sz="0" w:space="0" w:color="auto"/>
        <w:bottom w:val="none" w:sz="0" w:space="0" w:color="auto"/>
        <w:right w:val="none" w:sz="0" w:space="0" w:color="auto"/>
      </w:divBdr>
    </w:div>
    <w:div w:id="1344939078">
      <w:bodyDiv w:val="1"/>
      <w:marLeft w:val="0"/>
      <w:marRight w:val="0"/>
      <w:marTop w:val="0"/>
      <w:marBottom w:val="0"/>
      <w:divBdr>
        <w:top w:val="none" w:sz="0" w:space="0" w:color="auto"/>
        <w:left w:val="none" w:sz="0" w:space="0" w:color="auto"/>
        <w:bottom w:val="none" w:sz="0" w:space="0" w:color="auto"/>
        <w:right w:val="none" w:sz="0" w:space="0" w:color="auto"/>
      </w:divBdr>
    </w:div>
    <w:div w:id="1357003849">
      <w:bodyDiv w:val="1"/>
      <w:marLeft w:val="0"/>
      <w:marRight w:val="0"/>
      <w:marTop w:val="0"/>
      <w:marBottom w:val="0"/>
      <w:divBdr>
        <w:top w:val="none" w:sz="0" w:space="0" w:color="auto"/>
        <w:left w:val="none" w:sz="0" w:space="0" w:color="auto"/>
        <w:bottom w:val="none" w:sz="0" w:space="0" w:color="auto"/>
        <w:right w:val="none" w:sz="0" w:space="0" w:color="auto"/>
      </w:divBdr>
    </w:div>
    <w:div w:id="1385790754">
      <w:bodyDiv w:val="1"/>
      <w:marLeft w:val="0"/>
      <w:marRight w:val="0"/>
      <w:marTop w:val="0"/>
      <w:marBottom w:val="0"/>
      <w:divBdr>
        <w:top w:val="none" w:sz="0" w:space="0" w:color="auto"/>
        <w:left w:val="none" w:sz="0" w:space="0" w:color="auto"/>
        <w:bottom w:val="none" w:sz="0" w:space="0" w:color="auto"/>
        <w:right w:val="none" w:sz="0" w:space="0" w:color="auto"/>
      </w:divBdr>
    </w:div>
    <w:div w:id="1406805529">
      <w:bodyDiv w:val="1"/>
      <w:marLeft w:val="0"/>
      <w:marRight w:val="0"/>
      <w:marTop w:val="0"/>
      <w:marBottom w:val="0"/>
      <w:divBdr>
        <w:top w:val="none" w:sz="0" w:space="0" w:color="auto"/>
        <w:left w:val="none" w:sz="0" w:space="0" w:color="auto"/>
        <w:bottom w:val="none" w:sz="0" w:space="0" w:color="auto"/>
        <w:right w:val="none" w:sz="0" w:space="0" w:color="auto"/>
      </w:divBdr>
    </w:div>
    <w:div w:id="1409231249">
      <w:bodyDiv w:val="1"/>
      <w:marLeft w:val="0"/>
      <w:marRight w:val="0"/>
      <w:marTop w:val="0"/>
      <w:marBottom w:val="0"/>
      <w:divBdr>
        <w:top w:val="none" w:sz="0" w:space="0" w:color="auto"/>
        <w:left w:val="none" w:sz="0" w:space="0" w:color="auto"/>
        <w:bottom w:val="none" w:sz="0" w:space="0" w:color="auto"/>
        <w:right w:val="none" w:sz="0" w:space="0" w:color="auto"/>
      </w:divBdr>
    </w:div>
    <w:div w:id="1432896102">
      <w:bodyDiv w:val="1"/>
      <w:marLeft w:val="0"/>
      <w:marRight w:val="0"/>
      <w:marTop w:val="0"/>
      <w:marBottom w:val="0"/>
      <w:divBdr>
        <w:top w:val="none" w:sz="0" w:space="0" w:color="auto"/>
        <w:left w:val="none" w:sz="0" w:space="0" w:color="auto"/>
        <w:bottom w:val="none" w:sz="0" w:space="0" w:color="auto"/>
        <w:right w:val="none" w:sz="0" w:space="0" w:color="auto"/>
      </w:divBdr>
    </w:div>
    <w:div w:id="1461998515">
      <w:bodyDiv w:val="1"/>
      <w:marLeft w:val="0"/>
      <w:marRight w:val="0"/>
      <w:marTop w:val="0"/>
      <w:marBottom w:val="0"/>
      <w:divBdr>
        <w:top w:val="none" w:sz="0" w:space="0" w:color="auto"/>
        <w:left w:val="none" w:sz="0" w:space="0" w:color="auto"/>
        <w:bottom w:val="none" w:sz="0" w:space="0" w:color="auto"/>
        <w:right w:val="none" w:sz="0" w:space="0" w:color="auto"/>
      </w:divBdr>
    </w:div>
    <w:div w:id="1470783190">
      <w:bodyDiv w:val="1"/>
      <w:marLeft w:val="0"/>
      <w:marRight w:val="0"/>
      <w:marTop w:val="0"/>
      <w:marBottom w:val="0"/>
      <w:divBdr>
        <w:top w:val="none" w:sz="0" w:space="0" w:color="auto"/>
        <w:left w:val="none" w:sz="0" w:space="0" w:color="auto"/>
        <w:bottom w:val="none" w:sz="0" w:space="0" w:color="auto"/>
        <w:right w:val="none" w:sz="0" w:space="0" w:color="auto"/>
      </w:divBdr>
    </w:div>
    <w:div w:id="1480270589">
      <w:bodyDiv w:val="1"/>
      <w:marLeft w:val="0"/>
      <w:marRight w:val="0"/>
      <w:marTop w:val="0"/>
      <w:marBottom w:val="0"/>
      <w:divBdr>
        <w:top w:val="none" w:sz="0" w:space="0" w:color="auto"/>
        <w:left w:val="none" w:sz="0" w:space="0" w:color="auto"/>
        <w:bottom w:val="none" w:sz="0" w:space="0" w:color="auto"/>
        <w:right w:val="none" w:sz="0" w:space="0" w:color="auto"/>
      </w:divBdr>
    </w:div>
    <w:div w:id="1498881184">
      <w:bodyDiv w:val="1"/>
      <w:marLeft w:val="0"/>
      <w:marRight w:val="0"/>
      <w:marTop w:val="0"/>
      <w:marBottom w:val="0"/>
      <w:divBdr>
        <w:top w:val="none" w:sz="0" w:space="0" w:color="auto"/>
        <w:left w:val="none" w:sz="0" w:space="0" w:color="auto"/>
        <w:bottom w:val="none" w:sz="0" w:space="0" w:color="auto"/>
        <w:right w:val="none" w:sz="0" w:space="0" w:color="auto"/>
      </w:divBdr>
    </w:div>
    <w:div w:id="1507137143">
      <w:bodyDiv w:val="1"/>
      <w:marLeft w:val="0"/>
      <w:marRight w:val="0"/>
      <w:marTop w:val="0"/>
      <w:marBottom w:val="0"/>
      <w:divBdr>
        <w:top w:val="none" w:sz="0" w:space="0" w:color="auto"/>
        <w:left w:val="none" w:sz="0" w:space="0" w:color="auto"/>
        <w:bottom w:val="none" w:sz="0" w:space="0" w:color="auto"/>
        <w:right w:val="none" w:sz="0" w:space="0" w:color="auto"/>
      </w:divBdr>
    </w:div>
    <w:div w:id="1514605591">
      <w:bodyDiv w:val="1"/>
      <w:marLeft w:val="0"/>
      <w:marRight w:val="0"/>
      <w:marTop w:val="0"/>
      <w:marBottom w:val="0"/>
      <w:divBdr>
        <w:top w:val="none" w:sz="0" w:space="0" w:color="auto"/>
        <w:left w:val="none" w:sz="0" w:space="0" w:color="auto"/>
        <w:bottom w:val="none" w:sz="0" w:space="0" w:color="auto"/>
        <w:right w:val="none" w:sz="0" w:space="0" w:color="auto"/>
      </w:divBdr>
    </w:div>
    <w:div w:id="1532911618">
      <w:bodyDiv w:val="1"/>
      <w:marLeft w:val="0"/>
      <w:marRight w:val="0"/>
      <w:marTop w:val="0"/>
      <w:marBottom w:val="0"/>
      <w:divBdr>
        <w:top w:val="none" w:sz="0" w:space="0" w:color="auto"/>
        <w:left w:val="none" w:sz="0" w:space="0" w:color="auto"/>
        <w:bottom w:val="none" w:sz="0" w:space="0" w:color="auto"/>
        <w:right w:val="none" w:sz="0" w:space="0" w:color="auto"/>
      </w:divBdr>
    </w:div>
    <w:div w:id="1548839365">
      <w:bodyDiv w:val="1"/>
      <w:marLeft w:val="0"/>
      <w:marRight w:val="0"/>
      <w:marTop w:val="0"/>
      <w:marBottom w:val="0"/>
      <w:divBdr>
        <w:top w:val="none" w:sz="0" w:space="0" w:color="auto"/>
        <w:left w:val="none" w:sz="0" w:space="0" w:color="auto"/>
        <w:bottom w:val="none" w:sz="0" w:space="0" w:color="auto"/>
        <w:right w:val="none" w:sz="0" w:space="0" w:color="auto"/>
      </w:divBdr>
    </w:div>
    <w:div w:id="1550649534">
      <w:bodyDiv w:val="1"/>
      <w:marLeft w:val="0"/>
      <w:marRight w:val="0"/>
      <w:marTop w:val="0"/>
      <w:marBottom w:val="0"/>
      <w:divBdr>
        <w:top w:val="none" w:sz="0" w:space="0" w:color="auto"/>
        <w:left w:val="none" w:sz="0" w:space="0" w:color="auto"/>
        <w:bottom w:val="none" w:sz="0" w:space="0" w:color="auto"/>
        <w:right w:val="none" w:sz="0" w:space="0" w:color="auto"/>
      </w:divBdr>
    </w:div>
    <w:div w:id="1559704243">
      <w:bodyDiv w:val="1"/>
      <w:marLeft w:val="0"/>
      <w:marRight w:val="0"/>
      <w:marTop w:val="0"/>
      <w:marBottom w:val="0"/>
      <w:divBdr>
        <w:top w:val="none" w:sz="0" w:space="0" w:color="auto"/>
        <w:left w:val="none" w:sz="0" w:space="0" w:color="auto"/>
        <w:bottom w:val="none" w:sz="0" w:space="0" w:color="auto"/>
        <w:right w:val="none" w:sz="0" w:space="0" w:color="auto"/>
      </w:divBdr>
    </w:div>
    <w:div w:id="1563641773">
      <w:bodyDiv w:val="1"/>
      <w:marLeft w:val="0"/>
      <w:marRight w:val="0"/>
      <w:marTop w:val="0"/>
      <w:marBottom w:val="0"/>
      <w:divBdr>
        <w:top w:val="none" w:sz="0" w:space="0" w:color="auto"/>
        <w:left w:val="none" w:sz="0" w:space="0" w:color="auto"/>
        <w:bottom w:val="none" w:sz="0" w:space="0" w:color="auto"/>
        <w:right w:val="none" w:sz="0" w:space="0" w:color="auto"/>
      </w:divBdr>
    </w:div>
    <w:div w:id="1578324433">
      <w:bodyDiv w:val="1"/>
      <w:marLeft w:val="0"/>
      <w:marRight w:val="0"/>
      <w:marTop w:val="0"/>
      <w:marBottom w:val="0"/>
      <w:divBdr>
        <w:top w:val="none" w:sz="0" w:space="0" w:color="auto"/>
        <w:left w:val="none" w:sz="0" w:space="0" w:color="auto"/>
        <w:bottom w:val="none" w:sz="0" w:space="0" w:color="auto"/>
        <w:right w:val="none" w:sz="0" w:space="0" w:color="auto"/>
      </w:divBdr>
    </w:div>
    <w:div w:id="1600141564">
      <w:bodyDiv w:val="1"/>
      <w:marLeft w:val="0"/>
      <w:marRight w:val="0"/>
      <w:marTop w:val="0"/>
      <w:marBottom w:val="0"/>
      <w:divBdr>
        <w:top w:val="none" w:sz="0" w:space="0" w:color="auto"/>
        <w:left w:val="none" w:sz="0" w:space="0" w:color="auto"/>
        <w:bottom w:val="none" w:sz="0" w:space="0" w:color="auto"/>
        <w:right w:val="none" w:sz="0" w:space="0" w:color="auto"/>
      </w:divBdr>
    </w:div>
    <w:div w:id="1608737105">
      <w:bodyDiv w:val="1"/>
      <w:marLeft w:val="0"/>
      <w:marRight w:val="0"/>
      <w:marTop w:val="0"/>
      <w:marBottom w:val="0"/>
      <w:divBdr>
        <w:top w:val="none" w:sz="0" w:space="0" w:color="auto"/>
        <w:left w:val="none" w:sz="0" w:space="0" w:color="auto"/>
        <w:bottom w:val="none" w:sz="0" w:space="0" w:color="auto"/>
        <w:right w:val="none" w:sz="0" w:space="0" w:color="auto"/>
      </w:divBdr>
    </w:div>
    <w:div w:id="1612468636">
      <w:bodyDiv w:val="1"/>
      <w:marLeft w:val="0"/>
      <w:marRight w:val="0"/>
      <w:marTop w:val="0"/>
      <w:marBottom w:val="0"/>
      <w:divBdr>
        <w:top w:val="none" w:sz="0" w:space="0" w:color="auto"/>
        <w:left w:val="none" w:sz="0" w:space="0" w:color="auto"/>
        <w:bottom w:val="none" w:sz="0" w:space="0" w:color="auto"/>
        <w:right w:val="none" w:sz="0" w:space="0" w:color="auto"/>
      </w:divBdr>
    </w:div>
    <w:div w:id="1693802106">
      <w:bodyDiv w:val="1"/>
      <w:marLeft w:val="0"/>
      <w:marRight w:val="0"/>
      <w:marTop w:val="0"/>
      <w:marBottom w:val="0"/>
      <w:divBdr>
        <w:top w:val="none" w:sz="0" w:space="0" w:color="auto"/>
        <w:left w:val="none" w:sz="0" w:space="0" w:color="auto"/>
        <w:bottom w:val="none" w:sz="0" w:space="0" w:color="auto"/>
        <w:right w:val="none" w:sz="0" w:space="0" w:color="auto"/>
      </w:divBdr>
    </w:div>
    <w:div w:id="1696346094">
      <w:bodyDiv w:val="1"/>
      <w:marLeft w:val="0"/>
      <w:marRight w:val="0"/>
      <w:marTop w:val="0"/>
      <w:marBottom w:val="0"/>
      <w:divBdr>
        <w:top w:val="none" w:sz="0" w:space="0" w:color="auto"/>
        <w:left w:val="none" w:sz="0" w:space="0" w:color="auto"/>
        <w:bottom w:val="none" w:sz="0" w:space="0" w:color="auto"/>
        <w:right w:val="none" w:sz="0" w:space="0" w:color="auto"/>
      </w:divBdr>
    </w:div>
    <w:div w:id="1731809385">
      <w:bodyDiv w:val="1"/>
      <w:marLeft w:val="0"/>
      <w:marRight w:val="0"/>
      <w:marTop w:val="0"/>
      <w:marBottom w:val="0"/>
      <w:divBdr>
        <w:top w:val="none" w:sz="0" w:space="0" w:color="auto"/>
        <w:left w:val="none" w:sz="0" w:space="0" w:color="auto"/>
        <w:bottom w:val="none" w:sz="0" w:space="0" w:color="auto"/>
        <w:right w:val="none" w:sz="0" w:space="0" w:color="auto"/>
      </w:divBdr>
    </w:div>
    <w:div w:id="1735394426">
      <w:bodyDiv w:val="1"/>
      <w:marLeft w:val="0"/>
      <w:marRight w:val="0"/>
      <w:marTop w:val="0"/>
      <w:marBottom w:val="0"/>
      <w:divBdr>
        <w:top w:val="none" w:sz="0" w:space="0" w:color="auto"/>
        <w:left w:val="none" w:sz="0" w:space="0" w:color="auto"/>
        <w:bottom w:val="none" w:sz="0" w:space="0" w:color="auto"/>
        <w:right w:val="none" w:sz="0" w:space="0" w:color="auto"/>
      </w:divBdr>
    </w:div>
    <w:div w:id="1761026407">
      <w:bodyDiv w:val="1"/>
      <w:marLeft w:val="0"/>
      <w:marRight w:val="0"/>
      <w:marTop w:val="0"/>
      <w:marBottom w:val="0"/>
      <w:divBdr>
        <w:top w:val="none" w:sz="0" w:space="0" w:color="auto"/>
        <w:left w:val="none" w:sz="0" w:space="0" w:color="auto"/>
        <w:bottom w:val="none" w:sz="0" w:space="0" w:color="auto"/>
        <w:right w:val="none" w:sz="0" w:space="0" w:color="auto"/>
      </w:divBdr>
    </w:div>
    <w:div w:id="1793553136">
      <w:bodyDiv w:val="1"/>
      <w:marLeft w:val="0"/>
      <w:marRight w:val="0"/>
      <w:marTop w:val="0"/>
      <w:marBottom w:val="0"/>
      <w:divBdr>
        <w:top w:val="none" w:sz="0" w:space="0" w:color="auto"/>
        <w:left w:val="none" w:sz="0" w:space="0" w:color="auto"/>
        <w:bottom w:val="none" w:sz="0" w:space="0" w:color="auto"/>
        <w:right w:val="none" w:sz="0" w:space="0" w:color="auto"/>
      </w:divBdr>
    </w:div>
    <w:div w:id="1796027086">
      <w:bodyDiv w:val="1"/>
      <w:marLeft w:val="0"/>
      <w:marRight w:val="0"/>
      <w:marTop w:val="0"/>
      <w:marBottom w:val="0"/>
      <w:divBdr>
        <w:top w:val="none" w:sz="0" w:space="0" w:color="auto"/>
        <w:left w:val="none" w:sz="0" w:space="0" w:color="auto"/>
        <w:bottom w:val="none" w:sz="0" w:space="0" w:color="auto"/>
        <w:right w:val="none" w:sz="0" w:space="0" w:color="auto"/>
      </w:divBdr>
    </w:div>
    <w:div w:id="1798912907">
      <w:bodyDiv w:val="1"/>
      <w:marLeft w:val="0"/>
      <w:marRight w:val="0"/>
      <w:marTop w:val="0"/>
      <w:marBottom w:val="0"/>
      <w:divBdr>
        <w:top w:val="none" w:sz="0" w:space="0" w:color="auto"/>
        <w:left w:val="none" w:sz="0" w:space="0" w:color="auto"/>
        <w:bottom w:val="none" w:sz="0" w:space="0" w:color="auto"/>
        <w:right w:val="none" w:sz="0" w:space="0" w:color="auto"/>
      </w:divBdr>
    </w:div>
    <w:div w:id="1800369978">
      <w:bodyDiv w:val="1"/>
      <w:marLeft w:val="0"/>
      <w:marRight w:val="0"/>
      <w:marTop w:val="0"/>
      <w:marBottom w:val="0"/>
      <w:divBdr>
        <w:top w:val="none" w:sz="0" w:space="0" w:color="auto"/>
        <w:left w:val="none" w:sz="0" w:space="0" w:color="auto"/>
        <w:bottom w:val="none" w:sz="0" w:space="0" w:color="auto"/>
        <w:right w:val="none" w:sz="0" w:space="0" w:color="auto"/>
      </w:divBdr>
    </w:div>
    <w:div w:id="1878540136">
      <w:bodyDiv w:val="1"/>
      <w:marLeft w:val="0"/>
      <w:marRight w:val="0"/>
      <w:marTop w:val="0"/>
      <w:marBottom w:val="0"/>
      <w:divBdr>
        <w:top w:val="none" w:sz="0" w:space="0" w:color="auto"/>
        <w:left w:val="none" w:sz="0" w:space="0" w:color="auto"/>
        <w:bottom w:val="none" w:sz="0" w:space="0" w:color="auto"/>
        <w:right w:val="none" w:sz="0" w:space="0" w:color="auto"/>
      </w:divBdr>
    </w:div>
    <w:div w:id="1886334746">
      <w:bodyDiv w:val="1"/>
      <w:marLeft w:val="0"/>
      <w:marRight w:val="0"/>
      <w:marTop w:val="0"/>
      <w:marBottom w:val="0"/>
      <w:divBdr>
        <w:top w:val="none" w:sz="0" w:space="0" w:color="auto"/>
        <w:left w:val="none" w:sz="0" w:space="0" w:color="auto"/>
        <w:bottom w:val="none" w:sz="0" w:space="0" w:color="auto"/>
        <w:right w:val="none" w:sz="0" w:space="0" w:color="auto"/>
      </w:divBdr>
    </w:div>
    <w:div w:id="1888642692">
      <w:bodyDiv w:val="1"/>
      <w:marLeft w:val="0"/>
      <w:marRight w:val="0"/>
      <w:marTop w:val="0"/>
      <w:marBottom w:val="0"/>
      <w:divBdr>
        <w:top w:val="none" w:sz="0" w:space="0" w:color="auto"/>
        <w:left w:val="none" w:sz="0" w:space="0" w:color="auto"/>
        <w:bottom w:val="none" w:sz="0" w:space="0" w:color="auto"/>
        <w:right w:val="none" w:sz="0" w:space="0" w:color="auto"/>
      </w:divBdr>
    </w:div>
    <w:div w:id="1889225120">
      <w:bodyDiv w:val="1"/>
      <w:marLeft w:val="0"/>
      <w:marRight w:val="0"/>
      <w:marTop w:val="0"/>
      <w:marBottom w:val="0"/>
      <w:divBdr>
        <w:top w:val="none" w:sz="0" w:space="0" w:color="auto"/>
        <w:left w:val="none" w:sz="0" w:space="0" w:color="auto"/>
        <w:bottom w:val="none" w:sz="0" w:space="0" w:color="auto"/>
        <w:right w:val="none" w:sz="0" w:space="0" w:color="auto"/>
      </w:divBdr>
    </w:div>
    <w:div w:id="1896773046">
      <w:bodyDiv w:val="1"/>
      <w:marLeft w:val="0"/>
      <w:marRight w:val="0"/>
      <w:marTop w:val="0"/>
      <w:marBottom w:val="0"/>
      <w:divBdr>
        <w:top w:val="none" w:sz="0" w:space="0" w:color="auto"/>
        <w:left w:val="none" w:sz="0" w:space="0" w:color="auto"/>
        <w:bottom w:val="none" w:sz="0" w:space="0" w:color="auto"/>
        <w:right w:val="none" w:sz="0" w:space="0" w:color="auto"/>
      </w:divBdr>
    </w:div>
    <w:div w:id="1928925254">
      <w:bodyDiv w:val="1"/>
      <w:marLeft w:val="0"/>
      <w:marRight w:val="0"/>
      <w:marTop w:val="0"/>
      <w:marBottom w:val="0"/>
      <w:divBdr>
        <w:top w:val="none" w:sz="0" w:space="0" w:color="auto"/>
        <w:left w:val="none" w:sz="0" w:space="0" w:color="auto"/>
        <w:bottom w:val="none" w:sz="0" w:space="0" w:color="auto"/>
        <w:right w:val="none" w:sz="0" w:space="0" w:color="auto"/>
      </w:divBdr>
    </w:div>
    <w:div w:id="1946842105">
      <w:bodyDiv w:val="1"/>
      <w:marLeft w:val="0"/>
      <w:marRight w:val="0"/>
      <w:marTop w:val="0"/>
      <w:marBottom w:val="0"/>
      <w:divBdr>
        <w:top w:val="none" w:sz="0" w:space="0" w:color="auto"/>
        <w:left w:val="none" w:sz="0" w:space="0" w:color="auto"/>
        <w:bottom w:val="none" w:sz="0" w:space="0" w:color="auto"/>
        <w:right w:val="none" w:sz="0" w:space="0" w:color="auto"/>
      </w:divBdr>
    </w:div>
    <w:div w:id="1951039388">
      <w:bodyDiv w:val="1"/>
      <w:marLeft w:val="0"/>
      <w:marRight w:val="0"/>
      <w:marTop w:val="0"/>
      <w:marBottom w:val="0"/>
      <w:divBdr>
        <w:top w:val="none" w:sz="0" w:space="0" w:color="auto"/>
        <w:left w:val="none" w:sz="0" w:space="0" w:color="auto"/>
        <w:bottom w:val="none" w:sz="0" w:space="0" w:color="auto"/>
        <w:right w:val="none" w:sz="0" w:space="0" w:color="auto"/>
      </w:divBdr>
    </w:div>
    <w:div w:id="1985893621">
      <w:bodyDiv w:val="1"/>
      <w:marLeft w:val="0"/>
      <w:marRight w:val="0"/>
      <w:marTop w:val="0"/>
      <w:marBottom w:val="0"/>
      <w:divBdr>
        <w:top w:val="none" w:sz="0" w:space="0" w:color="auto"/>
        <w:left w:val="none" w:sz="0" w:space="0" w:color="auto"/>
        <w:bottom w:val="none" w:sz="0" w:space="0" w:color="auto"/>
        <w:right w:val="none" w:sz="0" w:space="0" w:color="auto"/>
      </w:divBdr>
    </w:div>
    <w:div w:id="2006399025">
      <w:bodyDiv w:val="1"/>
      <w:marLeft w:val="0"/>
      <w:marRight w:val="0"/>
      <w:marTop w:val="0"/>
      <w:marBottom w:val="0"/>
      <w:divBdr>
        <w:top w:val="none" w:sz="0" w:space="0" w:color="auto"/>
        <w:left w:val="none" w:sz="0" w:space="0" w:color="auto"/>
        <w:bottom w:val="none" w:sz="0" w:space="0" w:color="auto"/>
        <w:right w:val="none" w:sz="0" w:space="0" w:color="auto"/>
      </w:divBdr>
    </w:div>
    <w:div w:id="2037458214">
      <w:bodyDiv w:val="1"/>
      <w:marLeft w:val="0"/>
      <w:marRight w:val="0"/>
      <w:marTop w:val="0"/>
      <w:marBottom w:val="0"/>
      <w:divBdr>
        <w:top w:val="none" w:sz="0" w:space="0" w:color="auto"/>
        <w:left w:val="none" w:sz="0" w:space="0" w:color="auto"/>
        <w:bottom w:val="none" w:sz="0" w:space="0" w:color="auto"/>
        <w:right w:val="none" w:sz="0" w:space="0" w:color="auto"/>
      </w:divBdr>
    </w:div>
    <w:div w:id="2039546573">
      <w:bodyDiv w:val="1"/>
      <w:marLeft w:val="0"/>
      <w:marRight w:val="0"/>
      <w:marTop w:val="0"/>
      <w:marBottom w:val="0"/>
      <w:divBdr>
        <w:top w:val="none" w:sz="0" w:space="0" w:color="auto"/>
        <w:left w:val="none" w:sz="0" w:space="0" w:color="auto"/>
        <w:bottom w:val="none" w:sz="0" w:space="0" w:color="auto"/>
        <w:right w:val="none" w:sz="0" w:space="0" w:color="auto"/>
      </w:divBdr>
    </w:div>
    <w:div w:id="2061635373">
      <w:bodyDiv w:val="1"/>
      <w:marLeft w:val="0"/>
      <w:marRight w:val="0"/>
      <w:marTop w:val="0"/>
      <w:marBottom w:val="0"/>
      <w:divBdr>
        <w:top w:val="none" w:sz="0" w:space="0" w:color="auto"/>
        <w:left w:val="none" w:sz="0" w:space="0" w:color="auto"/>
        <w:bottom w:val="none" w:sz="0" w:space="0" w:color="auto"/>
        <w:right w:val="none" w:sz="0" w:space="0" w:color="auto"/>
      </w:divBdr>
    </w:div>
    <w:div w:id="2067754339">
      <w:bodyDiv w:val="1"/>
      <w:marLeft w:val="0"/>
      <w:marRight w:val="0"/>
      <w:marTop w:val="0"/>
      <w:marBottom w:val="0"/>
      <w:divBdr>
        <w:top w:val="none" w:sz="0" w:space="0" w:color="auto"/>
        <w:left w:val="none" w:sz="0" w:space="0" w:color="auto"/>
        <w:bottom w:val="none" w:sz="0" w:space="0" w:color="auto"/>
        <w:right w:val="none" w:sz="0" w:space="0" w:color="auto"/>
      </w:divBdr>
    </w:div>
    <w:div w:id="21234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EY14</b:Tag>
    <b:SourceType>Book</b:SourceType>
    <b:Guid>{294902A5-0101-4068-9130-7B91D6CBA08D}</b:Guid>
    <b:Author>
      <b:Author>
        <b:Corporate>EY </b:Corporate>
      </b:Author>
    </b:Author>
    <b:Title>EY Handboek jaarrekening 2014 - Toepassing van de Nederlandse wet- en regelgeving en IFRS</b:Title>
    <b:Year>2014</b:Year>
    <b:RefOrder>5</b:RefOrder>
  </b:Source>
  <b:Source>
    <b:Tag>Del13</b:Tag>
    <b:SourceType>Book</b:SourceType>
    <b:Guid>{EF152314-1EC4-42CE-99F9-9556DA5A6F41}</b:Guid>
    <b:Author>
      <b:Author>
        <b:Corporate>Deloitte</b:Corporate>
      </b:Author>
    </b:Author>
    <b:Title>Handboek Externe Verslaggeving - Een praktische handreiking voor toepassing NL GAAP</b:Title>
    <b:Year>2013</b:Year>
    <b:RefOrder>9</b:RefOrder>
  </b:Source>
  <b:Source>
    <b:Tag>Joh93</b:Tag>
    <b:SourceType>JournalArticle</b:SourceType>
    <b:Guid>{B9393306-7B61-4415-A58A-D848933CB934}</b:Guid>
    <b:Title>Goodwill - an Eternal Controversy</b:Title>
    <b:Year>1993</b:Year>
    <b:Author>
      <b:Author>
        <b:NameList>
          <b:Person>
            <b:Last>Johnson</b:Last>
            <b:First>Jeannie</b:First>
            <b:Middle>D</b:Middle>
          </b:Person>
          <b:Person>
            <b:Last>Tearney</b:Last>
            <b:First>Michael</b:First>
            <b:Middle>G</b:Middle>
          </b:Person>
        </b:NameList>
      </b:Author>
    </b:Author>
    <b:JournalName>The CPA Journal </b:JournalName>
    <b:Pages>58-62</b:Pages>
    <b:RefOrder>21</b:RefOrder>
  </b:Source>
  <b:Source>
    <b:Tag>Kno00</b:Tag>
    <b:SourceType>JournalArticle</b:SourceType>
    <b:Guid>{D01BF355-23E9-45A4-9863-1106E33FEF8C}</b:Guid>
    <b:Author>
      <b:Author>
        <b:NameList>
          <b:Person>
            <b:Last>Knoops</b:Last>
            <b:First>C</b:First>
          </b:Person>
          <b:Person>
            <b:Last>Bruijn</b:Last>
            <b:First>D.C</b:First>
          </b:Person>
        </b:NameList>
      </b:Author>
    </b:Author>
    <b:Title>Goodwill bij acquisities: percepties van het management van</b:Title>
    <b:JournalName>Maandblad voor Accountancy en Bedrijfseconomie , 16</b:JournalName>
    <b:Year>2000</b:Year>
    <b:RefOrder>14</b:RefOrder>
  </b:Source>
  <b:Source>
    <b:Tag>Bac01</b:Tag>
    <b:SourceType>JournalArticle</b:SourceType>
    <b:Guid>{5FFE1101-B64C-4C66-8561-461E489C589C}</b:Guid>
    <b:Author>
      <b:Author>
        <b:NameList>
          <b:Person>
            <b:Last>Backhuijs</b:Last>
            <b:First>J</b:First>
            <b:Middle>B</b:Middle>
          </b:Person>
          <b:Person>
            <b:Last>Mertens</b:Last>
            <b:First>G</b:First>
            <b:Middle>M H</b:Middle>
          </b:Person>
        </b:NameList>
      </b:Author>
    </b:Author>
    <b:JournalName>Nivra geschriften: Onderzoek jaarverslaggeving Nederlandse ondernemingen</b:JournalName>
    <b:Year>2001</b:Year>
    <b:RefOrder>6</b:RefOrder>
  </b:Source>
  <b:Source>
    <b:Tag>Hoo02</b:Tag>
    <b:SourceType>JournalArticle</b:SourceType>
    <b:Guid>{22663D70-B566-4BE2-B60F-36ADFFC43006}</b:Guid>
    <b:Author>
      <b:Author>
        <b:NameList>
          <b:Person>
            <b:Last>Hoogendoorn</b:Last>
          </b:Person>
        </b:NameList>
      </b:Author>
    </b:Author>
    <b:Title>Goodwill: afschrijven of niet afschrijven?</b:Title>
    <b:JournalName>Maandblad voor Accountancy en Bedrijfseconomie</b:JournalName>
    <b:Year>2002</b:Year>
    <b:Pages>18-23</b:Pages>
    <b:RefOrder>4</b:RefOrder>
  </b:Source>
  <b:Source>
    <b:Tag>CSt86</b:Tag>
    <b:SourceType>JournalArticle</b:SourceType>
    <b:Guid>{E2DA3B65-DAE8-4E8E-B380-D2251F59F68B}</b:Guid>
    <b:Author>
      <b:Author>
        <b:NameList>
          <b:Person>
            <b:Last>Sterk</b:Last>
            <b:First>C.</b:First>
          </b:Person>
          <b:Person>
            <b:Last>Veenstra</b:Last>
            <b:First>R.H.</b:First>
          </b:Person>
        </b:NameList>
      </b:Author>
    </b:Author>
    <b:Title>Verworven goodwill anders verwerken in jaarrekening</b:Title>
    <b:JournalName>Harvard Holland Review, nr 9</b:JournalName>
    <b:Year>1986</b:Year>
    <b:RefOrder>8</b:RefOrder>
  </b:Source>
  <b:Source>
    <b:Tag>Hoo01</b:Tag>
    <b:SourceType>JournalArticle</b:SourceType>
    <b:Guid>{F878F7CF-5FE3-4A2F-9DBE-F788FA50EB07}</b:Guid>
    <b:Author>
      <b:Author>
        <b:NameList>
          <b:Person>
            <b:Last>Hoogendoorn</b:Last>
            <b:First>M</b:First>
          </b:Person>
          <b:Person>
            <b:Last>Knoops</b:Last>
            <b:First>C.D</b:First>
          </b:Person>
        </b:NameList>
      </b:Author>
    </b:Author>
    <b:Title>Het meten van de kwaliteit van de financiële verslaggeving</b:Title>
    <b:JournalName>Maandblad voor Accountancy en Bedrijfseconomie</b:JournalName>
    <b:Year>2001</b:Year>
    <b:Pages>1-13</b:Pages>
    <b:RefOrder>22</b:RefOrder>
  </b:Source>
  <b:Source>
    <b:Tag>Bli01</b:Tag>
    <b:SourceType>JournalArticle</b:SourceType>
    <b:Guid>{B4E89567-9790-4CB1-9F80-0FC98A18A186}</b:Guid>
    <b:Author>
      <b:Author>
        <b:NameList>
          <b:Person>
            <b:Last>Blij</b:Last>
            <b:First>I</b:First>
          </b:Person>
        </b:NameList>
      </b:Author>
    </b:Author>
    <b:Title>Het gebruik van jaarrekeningen door analisten</b:Title>
    <b:JournalName>Maandblad voor Accountancy en Bedrijfseconomie</b:JournalName>
    <b:Year>2001</b:Year>
    <b:Pages>421-431</b:Pages>
    <b:RefOrder>1</b:RefOrder>
  </b:Source>
  <b:Source>
    <b:Tag>Bee081</b:Tag>
    <b:SourceType>JournalArticle</b:SourceType>
    <b:Guid>{9BF32AF5-2C11-45DF-AE8C-F68F0F7923AC}</b:Guid>
    <b:Author>
      <b:Author>
        <b:NameList>
          <b:Person>
            <b:Last>Beest</b:Last>
            <b:First>F.v.</b:First>
          </b:Person>
        </b:NameList>
      </b:Author>
    </b:Author>
    <b:Title>Invoering IFRS leidt tot meer winststuring</b:Title>
    <b:JournalName>Accountancynieuws</b:JournalName>
    <b:Year>2008</b:Year>
    <b:Pages>14-16</b:Pages>
    <b:RefOrder>2</b:RefOrder>
  </b:Source>
  <b:Source>
    <b:Tag>Cam071</b:Tag>
    <b:SourceType>JournalArticle</b:SourceType>
    <b:Guid>{93066C50-C3C6-463A-96B3-50FD3B460019}</b:Guid>
    <b:Author>
      <b:Author>
        <b:NameList>
          <b:Person>
            <b:Last>Camfferman</b:Last>
            <b:First>K</b:First>
          </b:Person>
        </b:NameList>
      </b:Author>
    </b:Author>
    <b:Title>Het aggregatieprobleem in IFRS: een terreinverkenning</b:Title>
    <b:JournalName> Maandblad voor Accountacy en Bedrijfseconomie</b:JournalName>
    <b:Year>2007</b:Year>
    <b:Pages>130</b:Pages>
    <b:RefOrder>3</b:RefOrder>
  </b:Source>
  <b:Source>
    <b:Tag>HOOG</b:Tag>
    <b:SourceType>JournalArticle</b:SourceType>
    <b:Guid>{496C64D1-39CD-475F-92D5-B3FD1D659E77}</b:Guid>
    <b:Author>
      <b:Author>
        <b:NameList>
          <b:Person>
            <b:Last>Hoogendoorn</b:Last>
            <b:First>M</b:First>
          </b:Person>
        </b:NameList>
      </b:Author>
    </b:Author>
    <b:Title>Uit Balans</b:Title>
    <b:JournalName>Maandblad voor Accountancy en Bedrijfseconomie</b:JournalName>
    <b:Year>2008</b:Year>
    <b:Pages>361</b:Pages>
    <b:RefOrder>23</b:RefOrder>
  </b:Source>
  <b:Source>
    <b:Tag>Hoo08</b:Tag>
    <b:SourceType>JournalArticle</b:SourceType>
    <b:Guid>{1F5B6AA7-8FDC-476F-99A4-4AB2CB877AE0}</b:Guid>
    <b:Author>
      <b:Author>
        <b:NameList>
          <b:Person>
            <b:Last>Hoogendoorn</b:Last>
            <b:First>M</b:First>
          </b:Person>
        </b:NameList>
      </b:Author>
    </b:Author>
    <b:Title>Uit Balans</b:Title>
    <b:JournalName>Maandblad voor Accountancy en Bedrijfseconomie</b:JournalName>
    <b:Year>2008</b:Year>
    <b:Pages>361</b:Pages>
    <b:RefOrder>24</b:RefOrder>
  </b:Source>
  <b:Source>
    <b:Tag>Hoo021</b:Tag>
    <b:SourceType>JournalArticle</b:SourceType>
    <b:Guid>{9ED042C5-50AE-4BBE-8541-E9B91D5847E7}</b:Guid>
    <b:Author>
      <b:Author>
        <b:NameList>
          <b:Person>
            <b:Last>Hoogendoorn</b:Last>
            <b:First>M</b:First>
          </b:Person>
        </b:NameList>
      </b:Author>
    </b:Author>
    <b:Title>Goodwill: afschrijven of niet afschrijven?</b:Title>
    <b:JournalName>Maandblad voor Accountancy en Bedrijfseconomie</b:JournalName>
    <b:Year>2002</b:Year>
    <b:Pages>18-23</b:Pages>
    <b:RefOrder>25</b:RefOrder>
  </b:Source>
  <b:Source>
    <b:Tag>Bru91</b:Tag>
    <b:SourceType>JournalArticle</b:SourceType>
    <b:Guid>{E6EEE800-08A7-447D-A48C-FD3C0F0F5D8C}</b:Guid>
    <b:Author>
      <b:Author>
        <b:NameList>
          <b:Person>
            <b:Last>Brunovs</b:Last>
            <b:First>R</b:First>
          </b:Person>
          <b:Person>
            <b:Last>Kirsch</b:Last>
            <b:First>J</b:First>
          </b:Person>
        </b:NameList>
      </b:Author>
    </b:Author>
    <b:Title>Goodwill Accounting in Selected Countries and the Harmonization of international Acounting Standards</b:Title>
    <b:JournalName>Abacus</b:JournalName>
    <b:Year>1991</b:Year>
    <b:Pages>135-161</b:Pages>
    <b:RefOrder>12</b:RefOrder>
  </b:Source>
  <b:Source>
    <b:Tag>Nob92</b:Tag>
    <b:SourceType>JournalArticle</b:SourceType>
    <b:Guid>{DD8D80FE-67D8-4294-B39A-BDF6E9ECCE0A}</b:Guid>
    <b:Author>
      <b:Author>
        <b:NameList>
          <b:Person>
            <b:Last>Nobes</b:Last>
            <b:First>C.</b:First>
          </b:Person>
        </b:NameList>
      </b:Author>
    </b:Author>
    <b:Title>A Political History of Goodwill in the U.K.: an Illustration of Cyclical Standard</b:Title>
    <b:JournalName>Abacus</b:JournalName>
    <b:Year>1992</b:Year>
    <b:Pages>142-167</b:Pages>
    <b:RefOrder>13</b:RefOrder>
  </b:Source>
  <b:Source>
    <b:Tag>Hul11</b:Tag>
    <b:SourceType>JournalArticle</b:SourceType>
    <b:Guid>{93C28CCB-4409-4567-A93E-0290E0657E2B}</b:Guid>
    <b:Author>
      <b:Author>
        <b:NameList>
          <b:Person>
            <b:Last>Hulzen</b:Last>
            <b:First>P.v.</b:First>
          </b:Person>
          <b:Person>
            <b:Last>Alfonso</b:Last>
            <b:First>L.</b:First>
          </b:Person>
          <b:Person>
            <b:Last>Georgakopoulos</b:Last>
            <b:First>.</b:First>
          </b:Person>
          <b:Person>
            <b:Last>Sotiropoulos</b:Last>
            <b:First>I</b:First>
          </b:Person>
        </b:NameList>
      </b:Author>
    </b:Author>
    <b:Title>Amortisation Versus</b:Title>
    <b:JournalName>International Journal of Economic Sciences and</b:JournalName>
    <b:Year>2011</b:Year>
    <b:Pages>93-118</b:Pages>
    <b:RefOrder>26</b:RefOrder>
  </b:Source>
  <b:Source>
    <b:Tag>Jen96</b:Tag>
    <b:SourceType>JournalArticle</b:SourceType>
    <b:Guid>{72C5F9C1-8718-48D3-89E2-81211102DA77}</b:Guid>
    <b:Author>
      <b:Author>
        <b:NameList>
          <b:Person>
            <b:Last>Jennings</b:Last>
          </b:Person>
          <b:Person>
            <b:Last>Robinson</b:Last>
          </b:Person>
          <b:Person>
            <b:Last>Thompson</b:Last>
          </b:Person>
          <b:Person>
            <b:Last>Duvall</b:Last>
          </b:Person>
        </b:NameList>
      </b:Author>
    </b:Author>
    <b:Title> The Relation Between Accounting Goodwill Numbers and Equity Values</b:Title>
    <b:JournalName>Journal of Business Finance &amp; Accounting</b:JournalName>
    <b:Year>1996</b:Year>
    <b:Pages>513-533</b:Pages>
    <b:RefOrder>27</b:RefOrder>
  </b:Source>
  <b:Source>
    <b:Tag>Jap12</b:Tag>
    <b:SourceType>JournalArticle</b:SourceType>
    <b:Guid>{67E0C9ED-63AF-40CA-9118-5631F5164FA7}</b:Guid>
    <b:Author>
      <b:Author>
        <b:NameList>
          <b:Person>
            <b:Last>Rule</b:Last>
            <b:First>Japan</b:First>
            <b:Middle>to Maintain Goodwill Amortization</b:Middle>
          </b:Person>
        </b:NameList>
      </b:Author>
    </b:Author>
    <b:Title>Japan to Maintain Goodwill Amortization Rule</b:Title>
    <b:JournalName>JIJI Press America, Ltd</b:JournalName>
    <b:Year>2012</b:Year>
    <b:RefOrder>15</b:RefOrder>
  </b:Source>
  <b:Source>
    <b:Tag>Fon03</b:Tag>
    <b:SourceType>JournalArticle</b:SourceType>
    <b:Guid>{10D58586-7263-4D2C-B679-F258FA8B32A9}</b:Guid>
    <b:Author>
      <b:Author>
        <b:NameList>
          <b:Person>
            <b:Last>Fontanot</b:Last>
            <b:First>P</b:First>
          </b:Person>
        </b:NameList>
      </b:Author>
    </b:Author>
    <b:Title>How good is goodwill – you decide</b:Title>
    <b:JournalName>Accountancy SA</b:JournalName>
    <b:Year>2003</b:Year>
    <b:Pages>9-11</b:Pages>
    <b:RefOrder>16</b:RefOrder>
  </b:Source>
  <b:Source>
    <b:Tag>EFR04</b:Tag>
    <b:SourceType>DocumentFromInternetSite</b:SourceType>
    <b:Guid>{D386DE1A-AEFD-467C-8F4E-CB63F8218F6D}</b:Guid>
    <b:Author>
      <b:Author>
        <b:NameList>
          <b:Person>
            <b:Last>EFRAG</b:Last>
          </b:Person>
        </b:NameList>
      </b:Author>
    </b:Author>
    <b:Title>Comment on IFRS 3 Business Combinations and IAS 36 and IAS 38</b:Title>
    <b:Year>2004</b:Year>
    <b:InternetSiteTitle>http://www.accountingeducation.com</b:InternetSiteTitle>
    <b:Month>september</b:Month>
    <b:Day>10</b:Day>
    <b:RefOrder>10</b:RefOrder>
  </b:Source>
  <b:Source>
    <b:Tag>Moe01</b:Tag>
    <b:SourceType>JournalArticle</b:SourceType>
    <b:Guid>{35DDA2C1-7889-48CF-8E98-FB9EDD3DC91E}</b:Guid>
    <b:Author>
      <b:Author>
        <b:NameList>
          <b:Person>
            <b:Last>Moehrle</b:Last>
            <b:First>S</b:First>
          </b:Person>
        </b:NameList>
      </b:Author>
    </b:Author>
    <b:Title> Say good-bye to pooling and goodwill amortisation</b:Title>
    <b:Year>2001</b:Year>
    <b:JournalName>Journal of Accountancy</b:JournalName>
    <b:RefOrder>17</b:RefOrder>
  </b:Source>
  <b:Source>
    <b:Tag>LiK06</b:Tag>
    <b:SourceType>JournalArticle</b:SourceType>
    <b:Guid>{05EC6AD5-7B63-4841-829D-4AAFE69C8C0F}</b:Guid>
    <b:Author>
      <b:Author>
        <b:NameList>
          <b:Person>
            <b:Last>Li</b:Last>
            <b:First>K</b:First>
          </b:Person>
          <b:Person>
            <b:Last>Meeks</b:Last>
            <b:First>G</b:First>
          </b:Person>
        </b:NameList>
      </b:Author>
    </b:Author>
    <b:Title>The Impairment of Purchased Goodwill: Effects on the Market Value</b:Title>
    <b:JournalName>Working Paper, University of Cambridge</b:JournalName>
    <b:Year>2006</b:Year>
    <b:RefOrder>28</b:RefOrder>
  </b:Source>
  <b:Source>
    <b:Tag>Hat02</b:Tag>
    <b:SourceType>JournalArticle</b:SourceType>
    <b:Guid>{9DE5E89F-02E1-4E14-BCAD-C9ED9995ECD9}</b:Guid>
    <b:Author>
      <b:Author>
        <b:NameList>
          <b:Person>
            <b:Last>Hattingh</b:Last>
            <b:First>C</b:First>
          </b:Person>
        </b:NameList>
      </b:Author>
    </b:Author>
    <b:Title>We’re old fashioned?</b:Title>
    <b:JournalName>Accountancy SA</b:JournalName>
    <b:Year>2002</b:Year>
    <b:Pages>27-28</b:Pages>
    <b:RefOrder>18</b:RefOrder>
  </b:Source>
  <b:Source>
    <b:Tag>Sch01</b:Tag>
    <b:SourceType>JournalArticle</b:SourceType>
    <b:Guid>{F08A32E1-D747-4451-BE70-27526633719C}</b:Guid>
    <b:Author>
      <b:Author>
        <b:NameList>
          <b:Person>
            <b:Last>Schoderbek</b:Last>
            <b:First>M</b:First>
          </b:Person>
          <b:Person>
            <b:Last>Slaubaugh</b:Last>
            <b:First>M</b:First>
          </b:Person>
        </b:NameList>
      </b:Author>
    </b:Author>
    <b:Title>The FASB exposure draft on accounting for business combinations and intangible assets: an instructional assignment</b:Title>
    <b:JournalName>Journal of Accounting Education</b:JournalName>
    <b:Year>2001</b:Year>
    <b:Pages>265-281</b:Pages>
    <b:RefOrder>19</b:RefOrder>
  </b:Source>
  <b:Source>
    <b:Tag>Win07</b:Tag>
    <b:SourceType>JournalArticle</b:SourceType>
    <b:Guid>{321B6E37-3A55-4050-A45A-154E6DBF639F}</b:Guid>
    <b:Author>
      <b:Author>
        <b:NameList>
          <b:Person>
            <b:Last>Wines</b:Last>
            <b:First>G.</b:First>
          </b:Person>
          <b:Person>
            <b:Last>Dagwell</b:Last>
            <b:First>R.</b:First>
          </b:Person>
          <b:Person>
            <b:Last>Windsor</b:Last>
            <b:First>C.</b:First>
          </b:Person>
        </b:NameList>
      </b:Author>
    </b:Author>
    <b:Title>Implications of the IFRS goodwill accounting treatment</b:Title>
    <b:JournalName>Managerial auditing journal</b:JournalName>
    <b:Year>2007</b:Year>
    <b:Pages>862-880</b:Pages>
    <b:RefOrder>29</b:RefOrder>
  </b:Source>
  <b:Source>
    <b:Tag>MaN12</b:Tag>
    <b:SourceType>Book</b:SourceType>
    <b:Guid>{6FE2DB49-668C-4C12-8377-2AA4988D85A4}</b:Guid>
    <b:Author>
      <b:Author>
        <b:NameList>
          <b:Person>
            <b:Last>Nijeholt</b:Last>
            <b:First>M.</b:First>
            <b:Middle>a</b:Middle>
          </b:Person>
        </b:NameList>
      </b:Author>
    </b:Author>
    <b:Title>Goodwill and Value Creation of Acquisition</b:Title>
    <b:Year>2012</b:Year>
    <b:RefOrder>11</b:RefOrder>
  </b:Source>
  <b:Source>
    <b:Tag>RDA14</b:Tag>
    <b:SourceType>Book</b:SourceType>
    <b:Guid>{BAB88ACC-1EA9-4E5C-8145-45608715FBBA}</b:Guid>
    <b:Title>Comptabele informatie en verslaggeving</b:Title>
    <b:Year>2014</b:Year>
    <b:City>Rotterdam</b:City>
    <b:Publisher>A &amp; E</b:Publisher>
    <b:Author>
      <b:Author>
        <b:NameList>
          <b:Person>
            <b:Last>Achaibersing</b:Last>
            <b:First>R.D.</b:First>
          </b:Person>
          <b:Person>
            <b:Last>Esseboom</b:Last>
            <b:First>C.</b:First>
          </b:Person>
        </b:NameList>
      </b:Author>
    </b:Author>
    <b:RefOrder>7</b:RefOrder>
  </b:Source>
  <b:Source>
    <b:Tag>Tom08</b:Tag>
    <b:SourceType>InternetSite</b:SourceType>
    <b:Guid>{5262C18B-6371-45BC-9997-1129770F043F}</b:Guid>
    <b:Author>
      <b:Author>
        <b:NameList>
          <b:Person>
            <b:Last>TomTom</b:Last>
          </b:Person>
        </b:NameList>
      </b:Author>
    </b:Author>
    <b:Year>2008</b:Year>
    <b:InternetSiteTitle>TomTom </b:InternetSiteTitle>
    <b:Month>7</b:Month>
    <b:Day>20</b:Day>
    <b:URL>http://ar2008.tomtom.com/info.html</b:URL>
    <b:RefOrder>20</b:RefOrder>
  </b:Source>
</b:Sources>
</file>

<file path=customXml/itemProps1.xml><?xml version="1.0" encoding="utf-8"?>
<ds:datastoreItem xmlns:ds="http://schemas.openxmlformats.org/officeDocument/2006/customXml" ds:itemID="{6589F80A-E0A1-4DCC-913E-52D0DCB20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7150</Words>
  <Characters>40757</Characters>
  <Application>Microsoft Office Word</Application>
  <DocSecurity>0</DocSecurity>
  <Lines>339</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Koninklijke KPN NV</Company>
  <LinksUpToDate>false</LinksUpToDate>
  <CharactersWithSpaces>47812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Kingereli</dc:creator>
  <cp:lastModifiedBy>Roy Achaibersing</cp:lastModifiedBy>
  <cp:revision>2</cp:revision>
  <dcterms:created xsi:type="dcterms:W3CDTF">2015-08-25T06:54:00Z</dcterms:created>
  <dcterms:modified xsi:type="dcterms:W3CDTF">2015-08-25T06:54:00Z</dcterms:modified>
</cp:coreProperties>
</file>