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297" w:rsidRPr="002A2E36" w:rsidRDefault="00870297" w:rsidP="00870297">
      <w:pPr>
        <w:spacing w:line="360" w:lineRule="auto"/>
        <w:jc w:val="both"/>
        <w:rPr>
          <w:rFonts w:ascii="Arial" w:hAnsi="Arial" w:cs="Arial"/>
          <w:color w:val="000000" w:themeColor="text1"/>
        </w:rPr>
      </w:pPr>
    </w:p>
    <w:p w:rsidR="00870297" w:rsidRPr="002A2E36" w:rsidRDefault="00870297" w:rsidP="00870297">
      <w:pPr>
        <w:spacing w:line="360" w:lineRule="auto"/>
        <w:rPr>
          <w:rFonts w:ascii="Arial" w:hAnsi="Arial" w:cs="Arial"/>
          <w:color w:val="000000" w:themeColor="text1"/>
        </w:rPr>
      </w:pPr>
    </w:p>
    <w:p w:rsidR="00870297" w:rsidRPr="002A2E36" w:rsidRDefault="00870297" w:rsidP="00870297">
      <w:pPr>
        <w:spacing w:line="360" w:lineRule="auto"/>
        <w:rPr>
          <w:rFonts w:ascii="Arial" w:hAnsi="Arial" w:cs="Arial"/>
          <w:color w:val="000000" w:themeColor="text1"/>
        </w:rPr>
      </w:pPr>
    </w:p>
    <w:p w:rsidR="00870297" w:rsidRPr="002A2E36" w:rsidRDefault="00870297" w:rsidP="00870297">
      <w:pPr>
        <w:spacing w:line="360" w:lineRule="auto"/>
        <w:jc w:val="center"/>
        <w:rPr>
          <w:rFonts w:ascii="Arial" w:hAnsi="Arial" w:cs="Arial"/>
          <w:color w:val="000000" w:themeColor="text1"/>
        </w:rPr>
      </w:pPr>
    </w:p>
    <w:p w:rsidR="00870297" w:rsidRPr="002A2E36" w:rsidRDefault="00870297" w:rsidP="00870297">
      <w:pPr>
        <w:spacing w:line="360" w:lineRule="auto"/>
        <w:jc w:val="center"/>
        <w:rPr>
          <w:rFonts w:ascii="Arial" w:hAnsi="Arial" w:cs="Arial"/>
          <w:color w:val="000000" w:themeColor="text1"/>
          <w:sz w:val="48"/>
          <w:szCs w:val="48"/>
        </w:rPr>
      </w:pPr>
      <w:r w:rsidRPr="002A2E36">
        <w:rPr>
          <w:rFonts w:ascii="Arial" w:hAnsi="Arial" w:cs="Arial"/>
          <w:color w:val="000000" w:themeColor="text1"/>
          <w:sz w:val="48"/>
          <w:szCs w:val="48"/>
        </w:rPr>
        <w:t xml:space="preserve">Impact </w:t>
      </w:r>
      <w:r w:rsidR="00BD0D40">
        <w:rPr>
          <w:rFonts w:ascii="Arial" w:hAnsi="Arial" w:cs="Arial"/>
          <w:color w:val="000000" w:themeColor="text1"/>
          <w:sz w:val="48"/>
          <w:szCs w:val="48"/>
        </w:rPr>
        <w:t>op de voorraden door</w:t>
      </w:r>
      <w:r w:rsidRPr="002A2E36">
        <w:rPr>
          <w:rFonts w:ascii="Arial" w:hAnsi="Arial" w:cs="Arial"/>
          <w:color w:val="000000" w:themeColor="text1"/>
          <w:sz w:val="48"/>
          <w:szCs w:val="48"/>
        </w:rPr>
        <w:t xml:space="preserve"> </w:t>
      </w:r>
      <w:r w:rsidR="00101670">
        <w:rPr>
          <w:rFonts w:ascii="Arial" w:hAnsi="Arial" w:cs="Arial"/>
          <w:color w:val="000000" w:themeColor="text1"/>
          <w:sz w:val="48"/>
          <w:szCs w:val="48"/>
        </w:rPr>
        <w:t>de</w:t>
      </w:r>
      <w:r w:rsidR="00BD0D40">
        <w:rPr>
          <w:rFonts w:ascii="Arial" w:hAnsi="Arial" w:cs="Arial"/>
          <w:color w:val="000000" w:themeColor="text1"/>
          <w:sz w:val="48"/>
          <w:szCs w:val="48"/>
        </w:rPr>
        <w:t xml:space="preserve"> verplichte invoering van IFRS</w:t>
      </w:r>
      <w:r w:rsidRPr="002A2E36">
        <w:rPr>
          <w:rFonts w:ascii="Arial" w:hAnsi="Arial" w:cs="Arial"/>
          <w:color w:val="000000" w:themeColor="text1"/>
          <w:sz w:val="48"/>
          <w:szCs w:val="48"/>
        </w:rPr>
        <w:t>.</w:t>
      </w:r>
    </w:p>
    <w:p w:rsidR="006E7F5B" w:rsidRPr="002A2E36" w:rsidRDefault="006E7F5B" w:rsidP="00870297">
      <w:pPr>
        <w:spacing w:line="360" w:lineRule="auto"/>
        <w:jc w:val="center"/>
        <w:rPr>
          <w:rFonts w:ascii="Arial" w:hAnsi="Arial" w:cs="Arial"/>
          <w:color w:val="000000" w:themeColor="text1"/>
          <w:sz w:val="32"/>
          <w:szCs w:val="32"/>
        </w:rPr>
      </w:pPr>
      <w:r w:rsidRPr="002A2E36">
        <w:rPr>
          <w:rFonts w:ascii="Arial" w:hAnsi="Arial" w:cs="Arial"/>
          <w:color w:val="000000" w:themeColor="text1"/>
          <w:sz w:val="32"/>
          <w:szCs w:val="32"/>
        </w:rPr>
        <w:t>Vergelijking tussen RJ en IAS.</w:t>
      </w:r>
    </w:p>
    <w:p w:rsidR="00870297" w:rsidRPr="002A2E36" w:rsidRDefault="00870297" w:rsidP="00870297">
      <w:pPr>
        <w:spacing w:line="360" w:lineRule="auto"/>
        <w:jc w:val="both"/>
        <w:rPr>
          <w:rFonts w:ascii="Arial" w:hAnsi="Arial" w:cs="Arial"/>
          <w:color w:val="000000" w:themeColor="text1"/>
        </w:rPr>
      </w:pPr>
    </w:p>
    <w:p w:rsidR="00870297" w:rsidRPr="002A2E36" w:rsidRDefault="006E7F5B" w:rsidP="00870297">
      <w:pPr>
        <w:spacing w:line="360" w:lineRule="auto"/>
        <w:jc w:val="center"/>
        <w:rPr>
          <w:rFonts w:ascii="Arial" w:hAnsi="Arial" w:cs="Arial"/>
          <w:color w:val="000000" w:themeColor="text1"/>
        </w:rPr>
      </w:pPr>
      <w:r w:rsidRPr="002A2E36">
        <w:rPr>
          <w:rFonts w:ascii="Arial" w:hAnsi="Arial" w:cs="Arial"/>
          <w:color w:val="000000" w:themeColor="text1"/>
        </w:rPr>
        <w:t>Giuliano Ramsaroep, 312749</w:t>
      </w:r>
    </w:p>
    <w:p w:rsidR="00870297" w:rsidRPr="002A2E36" w:rsidRDefault="00870297" w:rsidP="00870297">
      <w:pPr>
        <w:spacing w:line="360" w:lineRule="auto"/>
        <w:jc w:val="center"/>
        <w:rPr>
          <w:rFonts w:ascii="Arial" w:hAnsi="Arial" w:cs="Arial"/>
          <w:color w:val="000000" w:themeColor="text1"/>
        </w:rPr>
      </w:pPr>
      <w:r w:rsidRPr="002A2E36">
        <w:rPr>
          <w:rFonts w:ascii="Arial" w:hAnsi="Arial" w:cs="Arial"/>
          <w:color w:val="000000" w:themeColor="text1"/>
        </w:rPr>
        <w:t xml:space="preserve">Begeleider: </w:t>
      </w:r>
      <w:r w:rsidR="006E7F5B" w:rsidRPr="002A2E36">
        <w:rPr>
          <w:rFonts w:ascii="Arial" w:hAnsi="Arial" w:cs="Arial"/>
          <w:color w:val="000000" w:themeColor="text1"/>
        </w:rPr>
        <w:t>drs. R.D. Achaibersing RA</w:t>
      </w:r>
    </w:p>
    <w:p w:rsidR="00870297" w:rsidRPr="002A2E36" w:rsidRDefault="00870297" w:rsidP="00870297">
      <w:pPr>
        <w:spacing w:line="360" w:lineRule="auto"/>
        <w:jc w:val="center"/>
        <w:rPr>
          <w:rFonts w:ascii="Arial" w:hAnsi="Arial" w:cs="Arial"/>
          <w:color w:val="000000" w:themeColor="text1"/>
        </w:rPr>
      </w:pPr>
      <w:r w:rsidRPr="002A2E36">
        <w:rPr>
          <w:rFonts w:ascii="Arial" w:hAnsi="Arial" w:cs="Arial"/>
          <w:color w:val="000000" w:themeColor="text1"/>
        </w:rPr>
        <w:t>Erasmus School of Economics</w:t>
      </w:r>
    </w:p>
    <w:p w:rsidR="00870297" w:rsidRPr="002A2E36" w:rsidRDefault="00870297" w:rsidP="00870297">
      <w:pPr>
        <w:spacing w:line="360" w:lineRule="auto"/>
        <w:jc w:val="center"/>
        <w:rPr>
          <w:rFonts w:ascii="Arial" w:hAnsi="Arial" w:cs="Arial"/>
          <w:color w:val="000000" w:themeColor="text1"/>
        </w:rPr>
      </w:pPr>
    </w:p>
    <w:p w:rsidR="00870297" w:rsidRPr="002A2E36" w:rsidRDefault="00870297" w:rsidP="00870297">
      <w:pPr>
        <w:spacing w:line="360" w:lineRule="auto"/>
        <w:jc w:val="center"/>
        <w:rPr>
          <w:rFonts w:ascii="Arial" w:hAnsi="Arial" w:cs="Arial"/>
          <w:color w:val="000000" w:themeColor="text1"/>
        </w:rPr>
      </w:pPr>
    </w:p>
    <w:p w:rsidR="00870297" w:rsidRPr="002A2E36" w:rsidRDefault="00870297" w:rsidP="00870297">
      <w:pPr>
        <w:spacing w:line="360" w:lineRule="auto"/>
        <w:jc w:val="center"/>
        <w:rPr>
          <w:rFonts w:ascii="Arial" w:hAnsi="Arial" w:cs="Arial"/>
          <w:color w:val="000000" w:themeColor="text1"/>
        </w:rPr>
      </w:pPr>
    </w:p>
    <w:p w:rsidR="00870297" w:rsidRPr="002A2E36" w:rsidRDefault="00870297" w:rsidP="00870297">
      <w:pPr>
        <w:spacing w:line="360" w:lineRule="auto"/>
        <w:rPr>
          <w:rFonts w:ascii="Arial" w:hAnsi="Arial" w:cs="Arial"/>
          <w:color w:val="000000" w:themeColor="text1"/>
        </w:rPr>
      </w:pPr>
    </w:p>
    <w:p w:rsidR="00870297" w:rsidRPr="002A2E36" w:rsidRDefault="00870297" w:rsidP="00870297">
      <w:pPr>
        <w:spacing w:line="360" w:lineRule="auto"/>
        <w:jc w:val="both"/>
        <w:rPr>
          <w:rFonts w:ascii="Arial" w:hAnsi="Arial" w:cs="Arial"/>
          <w:b/>
          <w:color w:val="000000" w:themeColor="text1"/>
        </w:rPr>
      </w:pPr>
      <w:r w:rsidRPr="002A2E36">
        <w:rPr>
          <w:rFonts w:ascii="Arial" w:hAnsi="Arial" w:cs="Arial"/>
          <w:b/>
          <w:color w:val="000000" w:themeColor="text1"/>
        </w:rPr>
        <w:t>Abstract</w:t>
      </w:r>
    </w:p>
    <w:p w:rsidR="009A17B2" w:rsidRDefault="00D72A8A" w:rsidP="00D72A8A">
      <w:pPr>
        <w:spacing w:line="360" w:lineRule="auto"/>
        <w:rPr>
          <w:rFonts w:ascii="Arial" w:hAnsi="Arial" w:cs="Arial"/>
          <w:color w:val="000000" w:themeColor="text1"/>
        </w:rPr>
      </w:pPr>
      <w:r w:rsidRPr="00D72A8A">
        <w:rPr>
          <w:rFonts w:ascii="Arial" w:hAnsi="Arial" w:cs="Arial"/>
          <w:color w:val="000000" w:themeColor="text1"/>
        </w:rPr>
        <w:t xml:space="preserve">Dit onderzoek tracht de invloed </w:t>
      </w:r>
      <w:r w:rsidR="00B149AA">
        <w:rPr>
          <w:rFonts w:ascii="Arial" w:hAnsi="Arial" w:cs="Arial"/>
          <w:color w:val="000000" w:themeColor="text1"/>
        </w:rPr>
        <w:t>van de verplichte IFRS</w:t>
      </w:r>
      <w:r w:rsidRPr="00D72A8A">
        <w:rPr>
          <w:rFonts w:ascii="Arial" w:hAnsi="Arial" w:cs="Arial"/>
          <w:color w:val="000000" w:themeColor="text1"/>
        </w:rPr>
        <w:t xml:space="preserve"> </w:t>
      </w:r>
      <w:r w:rsidR="00B149AA">
        <w:rPr>
          <w:rFonts w:ascii="Arial" w:hAnsi="Arial" w:cs="Arial"/>
          <w:color w:val="000000" w:themeColor="text1"/>
        </w:rPr>
        <w:t xml:space="preserve">invoering </w:t>
      </w:r>
      <w:r w:rsidRPr="00D72A8A">
        <w:rPr>
          <w:rFonts w:ascii="Arial" w:hAnsi="Arial" w:cs="Arial"/>
          <w:color w:val="000000" w:themeColor="text1"/>
        </w:rPr>
        <w:t xml:space="preserve">te bepalen </w:t>
      </w:r>
      <w:r w:rsidR="00B149AA">
        <w:rPr>
          <w:rFonts w:ascii="Arial" w:hAnsi="Arial" w:cs="Arial"/>
          <w:color w:val="000000" w:themeColor="text1"/>
        </w:rPr>
        <w:t>op de voorraden</w:t>
      </w:r>
      <w:r w:rsidRPr="00D72A8A">
        <w:rPr>
          <w:rFonts w:ascii="Arial" w:hAnsi="Arial" w:cs="Arial"/>
          <w:color w:val="000000" w:themeColor="text1"/>
        </w:rPr>
        <w:t>. Sinds 2005 is het verplicht, voor beursgenoteerde ondernemingen, om deze standaarden toe te passen. Er wordt een beschrijving gegeven van IAS 2 en IAS 41 en de verschillen</w:t>
      </w:r>
      <w:r w:rsidR="00B761F4">
        <w:rPr>
          <w:rFonts w:ascii="Arial" w:hAnsi="Arial" w:cs="Arial"/>
          <w:color w:val="000000" w:themeColor="text1"/>
        </w:rPr>
        <w:t xml:space="preserve"> met RJ. vervolgens</w:t>
      </w:r>
      <w:r w:rsidRPr="00D72A8A">
        <w:rPr>
          <w:rFonts w:ascii="Arial" w:hAnsi="Arial" w:cs="Arial"/>
          <w:color w:val="000000" w:themeColor="text1"/>
        </w:rPr>
        <w:t xml:space="preserve"> een onderscheid gemaakt in de voorraden en zullen deze met elk</w:t>
      </w:r>
      <w:r w:rsidR="00B761F4">
        <w:rPr>
          <w:rFonts w:ascii="Arial" w:hAnsi="Arial" w:cs="Arial"/>
          <w:color w:val="000000" w:themeColor="text1"/>
        </w:rPr>
        <w:t>aar vergeleken worden. Hierop volgend</w:t>
      </w:r>
      <w:r w:rsidRPr="00D72A8A">
        <w:rPr>
          <w:rFonts w:ascii="Arial" w:hAnsi="Arial" w:cs="Arial"/>
          <w:color w:val="000000" w:themeColor="text1"/>
        </w:rPr>
        <w:t xml:space="preserve"> zullen de voor- en nadelen uiteengezet worden van beide standaarden. De wij</w:t>
      </w:r>
      <w:r w:rsidR="00B761F4">
        <w:rPr>
          <w:rFonts w:ascii="Arial" w:hAnsi="Arial" w:cs="Arial"/>
          <w:color w:val="000000" w:themeColor="text1"/>
        </w:rPr>
        <w:t>zigingen in IAS hebben een positieve</w:t>
      </w:r>
      <w:r w:rsidRPr="00D72A8A">
        <w:rPr>
          <w:rFonts w:ascii="Arial" w:hAnsi="Arial" w:cs="Arial"/>
          <w:color w:val="000000" w:themeColor="text1"/>
        </w:rPr>
        <w:t xml:space="preserve"> invloed op de waardering van voorraden tew</w:t>
      </w:r>
      <w:r w:rsidR="00B761F4">
        <w:rPr>
          <w:rFonts w:ascii="Arial" w:hAnsi="Arial" w:cs="Arial"/>
          <w:color w:val="000000" w:themeColor="text1"/>
        </w:rPr>
        <w:t>eeg</w:t>
      </w:r>
      <w:r>
        <w:rPr>
          <w:rFonts w:ascii="Arial" w:hAnsi="Arial" w:cs="Arial"/>
          <w:color w:val="000000" w:themeColor="text1"/>
        </w:rPr>
        <w:t>gebracht door de afschaffing</w:t>
      </w:r>
      <w:r w:rsidRPr="00D72A8A">
        <w:rPr>
          <w:rFonts w:ascii="Arial" w:hAnsi="Arial" w:cs="Arial"/>
          <w:color w:val="000000" w:themeColor="text1"/>
        </w:rPr>
        <w:t xml:space="preserve"> van het LIFO systeem.</w:t>
      </w:r>
    </w:p>
    <w:p w:rsidR="005A31C0" w:rsidRPr="005A31C0" w:rsidRDefault="005A31C0" w:rsidP="00D72A8A">
      <w:pPr>
        <w:spacing w:line="360" w:lineRule="auto"/>
        <w:rPr>
          <w:rFonts w:ascii="Arial" w:hAnsi="Arial" w:cs="Arial"/>
          <w:color w:val="000000" w:themeColor="text1"/>
          <w:lang w:val="en-GB"/>
        </w:rPr>
      </w:pPr>
      <w:r w:rsidRPr="005A31C0">
        <w:rPr>
          <w:rFonts w:ascii="Arial" w:hAnsi="Arial" w:cs="Arial"/>
          <w:b/>
          <w:color w:val="000000" w:themeColor="text1"/>
          <w:lang w:val="en-GB"/>
        </w:rPr>
        <w:t xml:space="preserve">Keywords: </w:t>
      </w:r>
      <w:r w:rsidRPr="005A31C0">
        <w:rPr>
          <w:rFonts w:ascii="Arial" w:hAnsi="Arial" w:cs="Arial"/>
          <w:color w:val="000000" w:themeColor="text1"/>
          <w:lang w:val="en-GB"/>
        </w:rPr>
        <w:t xml:space="preserve">Accounting, </w:t>
      </w:r>
      <w:proofErr w:type="spellStart"/>
      <w:r w:rsidRPr="005A31C0">
        <w:rPr>
          <w:rFonts w:ascii="Arial" w:hAnsi="Arial" w:cs="Arial"/>
          <w:color w:val="000000" w:themeColor="text1"/>
          <w:lang w:val="en-GB"/>
        </w:rPr>
        <w:t>Voorraden</w:t>
      </w:r>
      <w:proofErr w:type="spellEnd"/>
      <w:r w:rsidRPr="005A31C0">
        <w:rPr>
          <w:rFonts w:ascii="Arial" w:hAnsi="Arial" w:cs="Arial"/>
          <w:color w:val="000000" w:themeColor="text1"/>
          <w:lang w:val="en-GB"/>
        </w:rPr>
        <w:t>, FIFO, LIFO</w:t>
      </w:r>
      <w:r>
        <w:rPr>
          <w:rFonts w:ascii="Arial" w:hAnsi="Arial" w:cs="Arial"/>
          <w:color w:val="000000" w:themeColor="text1"/>
          <w:lang w:val="en-GB"/>
        </w:rPr>
        <w:t>,</w:t>
      </w:r>
      <w:r w:rsidRPr="005A31C0">
        <w:rPr>
          <w:rFonts w:ascii="Arial" w:hAnsi="Arial" w:cs="Arial"/>
          <w:color w:val="000000" w:themeColor="text1"/>
          <w:lang w:val="en-GB"/>
        </w:rPr>
        <w:t xml:space="preserve"> IFRS</w:t>
      </w:r>
      <w:r>
        <w:rPr>
          <w:rFonts w:ascii="Arial" w:hAnsi="Arial" w:cs="Arial"/>
          <w:color w:val="000000" w:themeColor="text1"/>
          <w:lang w:val="en-GB"/>
        </w:rPr>
        <w:t xml:space="preserve">, IAS. </w:t>
      </w:r>
    </w:p>
    <w:sdt>
      <w:sdtPr>
        <w:rPr>
          <w:rFonts w:ascii="Arial" w:eastAsiaTheme="minorHAnsi" w:hAnsi="Arial" w:cs="Arial"/>
          <w:b w:val="0"/>
          <w:bCs w:val="0"/>
          <w:color w:val="auto"/>
          <w:sz w:val="22"/>
          <w:szCs w:val="22"/>
          <w:lang w:eastAsia="en-US"/>
        </w:rPr>
        <w:id w:val="1614488047"/>
        <w:docPartObj>
          <w:docPartGallery w:val="Table of Contents"/>
          <w:docPartUnique/>
        </w:docPartObj>
      </w:sdtPr>
      <w:sdtContent>
        <w:p w:rsidR="009A17B2" w:rsidRPr="002A2E36" w:rsidRDefault="009A17B2">
          <w:pPr>
            <w:pStyle w:val="TOCHeading"/>
            <w:rPr>
              <w:rFonts w:ascii="Arial" w:hAnsi="Arial" w:cs="Arial"/>
            </w:rPr>
          </w:pPr>
          <w:r w:rsidRPr="002A2E36">
            <w:rPr>
              <w:rFonts w:ascii="Arial" w:hAnsi="Arial" w:cs="Arial"/>
            </w:rPr>
            <w:t>Inhoudsopgave</w:t>
          </w:r>
        </w:p>
        <w:bookmarkStart w:id="0" w:name="_GoBack"/>
        <w:bookmarkEnd w:id="0"/>
        <w:p w:rsidR="005A31C0" w:rsidRDefault="007A6E22">
          <w:pPr>
            <w:pStyle w:val="TOC1"/>
            <w:rPr>
              <w:rFonts w:asciiTheme="minorHAnsi" w:eastAsiaTheme="minorEastAsia" w:hAnsiTheme="minorHAnsi" w:cstheme="minorBidi"/>
              <w:b w:val="0"/>
              <w:lang w:eastAsia="nl-NL"/>
            </w:rPr>
          </w:pPr>
          <w:r w:rsidRPr="007A6E22">
            <w:rPr>
              <w:color w:val="000000" w:themeColor="text1"/>
            </w:rPr>
            <w:fldChar w:fldCharType="begin"/>
          </w:r>
          <w:r w:rsidR="009A17B2" w:rsidRPr="002A2E36">
            <w:rPr>
              <w:color w:val="000000" w:themeColor="text1"/>
            </w:rPr>
            <w:instrText xml:space="preserve"> TOC \o "1-3" \h \z \u </w:instrText>
          </w:r>
          <w:r w:rsidRPr="007A6E22">
            <w:rPr>
              <w:color w:val="000000" w:themeColor="text1"/>
            </w:rPr>
            <w:fldChar w:fldCharType="separate"/>
          </w:r>
          <w:hyperlink w:anchor="_Toc426984345" w:history="1">
            <w:r w:rsidR="005A31C0" w:rsidRPr="00376EE6">
              <w:rPr>
                <w:rStyle w:val="Hyperlink"/>
              </w:rPr>
              <w:t>1.</w:t>
            </w:r>
            <w:r w:rsidR="005A31C0">
              <w:rPr>
                <w:rFonts w:asciiTheme="minorHAnsi" w:eastAsiaTheme="minorEastAsia" w:hAnsiTheme="minorHAnsi" w:cstheme="minorBidi"/>
                <w:b w:val="0"/>
                <w:lang w:eastAsia="nl-NL"/>
              </w:rPr>
              <w:tab/>
            </w:r>
            <w:r w:rsidR="005A31C0" w:rsidRPr="00376EE6">
              <w:rPr>
                <w:rStyle w:val="Hyperlink"/>
              </w:rPr>
              <w:t>Inleiding</w:t>
            </w:r>
            <w:r w:rsidR="005A31C0">
              <w:rPr>
                <w:webHidden/>
              </w:rPr>
              <w:tab/>
            </w:r>
            <w:r>
              <w:rPr>
                <w:webHidden/>
              </w:rPr>
              <w:fldChar w:fldCharType="begin"/>
            </w:r>
            <w:r w:rsidR="005A31C0">
              <w:rPr>
                <w:webHidden/>
              </w:rPr>
              <w:instrText xml:space="preserve"> PAGEREF _Toc426984345 \h </w:instrText>
            </w:r>
            <w:r>
              <w:rPr>
                <w:webHidden/>
              </w:rPr>
            </w:r>
            <w:r>
              <w:rPr>
                <w:webHidden/>
              </w:rPr>
              <w:fldChar w:fldCharType="separate"/>
            </w:r>
            <w:r w:rsidR="005A31C0">
              <w:rPr>
                <w:webHidden/>
              </w:rPr>
              <w:t>1</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46" w:history="1">
            <w:r w:rsidR="005A31C0" w:rsidRPr="00376EE6">
              <w:rPr>
                <w:rStyle w:val="Hyperlink"/>
                <w:rFonts w:cs="Arial"/>
                <w:noProof/>
              </w:rPr>
              <w:t>1.1 Relevantie</w:t>
            </w:r>
            <w:r w:rsidR="005A31C0">
              <w:rPr>
                <w:noProof/>
                <w:webHidden/>
              </w:rPr>
              <w:tab/>
            </w:r>
            <w:r>
              <w:rPr>
                <w:noProof/>
                <w:webHidden/>
              </w:rPr>
              <w:fldChar w:fldCharType="begin"/>
            </w:r>
            <w:r w:rsidR="005A31C0">
              <w:rPr>
                <w:noProof/>
                <w:webHidden/>
              </w:rPr>
              <w:instrText xml:space="preserve"> PAGEREF _Toc426984346 \h </w:instrText>
            </w:r>
            <w:r>
              <w:rPr>
                <w:noProof/>
                <w:webHidden/>
              </w:rPr>
            </w:r>
            <w:r>
              <w:rPr>
                <w:noProof/>
                <w:webHidden/>
              </w:rPr>
              <w:fldChar w:fldCharType="separate"/>
            </w:r>
            <w:r w:rsidR="005A31C0">
              <w:rPr>
                <w:noProof/>
                <w:webHidden/>
              </w:rPr>
              <w:t>1</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47" w:history="1">
            <w:r w:rsidR="005A31C0" w:rsidRPr="00376EE6">
              <w:rPr>
                <w:rStyle w:val="Hyperlink"/>
                <w:rFonts w:cs="Arial"/>
                <w:noProof/>
              </w:rPr>
              <w:t>1.2 Probleemstelling</w:t>
            </w:r>
            <w:r w:rsidR="005A31C0">
              <w:rPr>
                <w:noProof/>
                <w:webHidden/>
              </w:rPr>
              <w:tab/>
            </w:r>
            <w:r>
              <w:rPr>
                <w:noProof/>
                <w:webHidden/>
              </w:rPr>
              <w:fldChar w:fldCharType="begin"/>
            </w:r>
            <w:r w:rsidR="005A31C0">
              <w:rPr>
                <w:noProof/>
                <w:webHidden/>
              </w:rPr>
              <w:instrText xml:space="preserve"> PAGEREF _Toc426984347 \h </w:instrText>
            </w:r>
            <w:r>
              <w:rPr>
                <w:noProof/>
                <w:webHidden/>
              </w:rPr>
            </w:r>
            <w:r>
              <w:rPr>
                <w:noProof/>
                <w:webHidden/>
              </w:rPr>
              <w:fldChar w:fldCharType="separate"/>
            </w:r>
            <w:r w:rsidR="005A31C0">
              <w:rPr>
                <w:noProof/>
                <w:webHidden/>
              </w:rPr>
              <w:t>2</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48" w:history="1">
            <w:r w:rsidR="005A31C0" w:rsidRPr="00376EE6">
              <w:rPr>
                <w:rStyle w:val="Hyperlink"/>
                <w:rFonts w:cs="Arial"/>
                <w:noProof/>
              </w:rPr>
              <w:t>1.3 Onderzoeksmethode</w:t>
            </w:r>
            <w:r w:rsidR="005A31C0">
              <w:rPr>
                <w:noProof/>
                <w:webHidden/>
              </w:rPr>
              <w:tab/>
            </w:r>
            <w:r>
              <w:rPr>
                <w:noProof/>
                <w:webHidden/>
              </w:rPr>
              <w:fldChar w:fldCharType="begin"/>
            </w:r>
            <w:r w:rsidR="005A31C0">
              <w:rPr>
                <w:noProof/>
                <w:webHidden/>
              </w:rPr>
              <w:instrText xml:space="preserve"> PAGEREF _Toc426984348 \h </w:instrText>
            </w:r>
            <w:r>
              <w:rPr>
                <w:noProof/>
                <w:webHidden/>
              </w:rPr>
            </w:r>
            <w:r>
              <w:rPr>
                <w:noProof/>
                <w:webHidden/>
              </w:rPr>
              <w:fldChar w:fldCharType="separate"/>
            </w:r>
            <w:r w:rsidR="005A31C0">
              <w:rPr>
                <w:noProof/>
                <w:webHidden/>
              </w:rPr>
              <w:t>3</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49" w:history="1">
            <w:r w:rsidR="005A31C0" w:rsidRPr="00376EE6">
              <w:rPr>
                <w:rStyle w:val="Hyperlink"/>
              </w:rPr>
              <w:t>2.</w:t>
            </w:r>
            <w:r w:rsidR="005A31C0">
              <w:rPr>
                <w:rFonts w:asciiTheme="minorHAnsi" w:eastAsiaTheme="minorEastAsia" w:hAnsiTheme="minorHAnsi" w:cstheme="minorBidi"/>
                <w:b w:val="0"/>
                <w:lang w:eastAsia="nl-NL"/>
              </w:rPr>
              <w:tab/>
            </w:r>
            <w:r w:rsidR="005A31C0" w:rsidRPr="00376EE6">
              <w:rPr>
                <w:rStyle w:val="Hyperlink"/>
              </w:rPr>
              <w:t>Wat houd IAS 2 in?</w:t>
            </w:r>
            <w:r w:rsidR="005A31C0">
              <w:rPr>
                <w:webHidden/>
              </w:rPr>
              <w:tab/>
            </w:r>
            <w:r>
              <w:rPr>
                <w:webHidden/>
              </w:rPr>
              <w:fldChar w:fldCharType="begin"/>
            </w:r>
            <w:r w:rsidR="005A31C0">
              <w:rPr>
                <w:webHidden/>
              </w:rPr>
              <w:instrText xml:space="preserve"> PAGEREF _Toc426984349 \h </w:instrText>
            </w:r>
            <w:r>
              <w:rPr>
                <w:webHidden/>
              </w:rPr>
            </w:r>
            <w:r>
              <w:rPr>
                <w:webHidden/>
              </w:rPr>
              <w:fldChar w:fldCharType="separate"/>
            </w:r>
            <w:r w:rsidR="005A31C0">
              <w:rPr>
                <w:webHidden/>
              </w:rPr>
              <w:t>4</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50" w:history="1">
            <w:r w:rsidR="005A31C0" w:rsidRPr="00376EE6">
              <w:rPr>
                <w:rStyle w:val="Hyperlink"/>
                <w:rFonts w:cs="Arial"/>
                <w:noProof/>
              </w:rPr>
              <w:t>2.1 Wat is in IAS 2 veranderd in 2003?</w:t>
            </w:r>
            <w:r w:rsidR="005A31C0">
              <w:rPr>
                <w:noProof/>
                <w:webHidden/>
              </w:rPr>
              <w:tab/>
            </w:r>
            <w:r>
              <w:rPr>
                <w:noProof/>
                <w:webHidden/>
              </w:rPr>
              <w:fldChar w:fldCharType="begin"/>
            </w:r>
            <w:r w:rsidR="005A31C0">
              <w:rPr>
                <w:noProof/>
                <w:webHidden/>
              </w:rPr>
              <w:instrText xml:space="preserve"> PAGEREF _Toc426984350 \h </w:instrText>
            </w:r>
            <w:r>
              <w:rPr>
                <w:noProof/>
                <w:webHidden/>
              </w:rPr>
            </w:r>
            <w:r>
              <w:rPr>
                <w:noProof/>
                <w:webHidden/>
              </w:rPr>
              <w:fldChar w:fldCharType="separate"/>
            </w:r>
            <w:r w:rsidR="005A31C0">
              <w:rPr>
                <w:noProof/>
                <w:webHidden/>
              </w:rPr>
              <w:t>4</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51" w:history="1">
            <w:r w:rsidR="005A31C0" w:rsidRPr="00376EE6">
              <w:rPr>
                <w:rStyle w:val="Hyperlink"/>
                <w:rFonts w:cs="Arial"/>
                <w:noProof/>
              </w:rPr>
              <w:t>2.1.1 FIFO</w:t>
            </w:r>
            <w:r w:rsidR="005A31C0">
              <w:rPr>
                <w:noProof/>
                <w:webHidden/>
              </w:rPr>
              <w:tab/>
            </w:r>
            <w:r>
              <w:rPr>
                <w:noProof/>
                <w:webHidden/>
              </w:rPr>
              <w:fldChar w:fldCharType="begin"/>
            </w:r>
            <w:r w:rsidR="005A31C0">
              <w:rPr>
                <w:noProof/>
                <w:webHidden/>
              </w:rPr>
              <w:instrText xml:space="preserve"> PAGEREF _Toc426984351 \h </w:instrText>
            </w:r>
            <w:r>
              <w:rPr>
                <w:noProof/>
                <w:webHidden/>
              </w:rPr>
            </w:r>
            <w:r>
              <w:rPr>
                <w:noProof/>
                <w:webHidden/>
              </w:rPr>
              <w:fldChar w:fldCharType="separate"/>
            </w:r>
            <w:r w:rsidR="005A31C0">
              <w:rPr>
                <w:noProof/>
                <w:webHidden/>
              </w:rPr>
              <w:t>4</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52" w:history="1">
            <w:r w:rsidR="005A31C0" w:rsidRPr="00376EE6">
              <w:rPr>
                <w:rStyle w:val="Hyperlink"/>
                <w:rFonts w:cs="Arial"/>
                <w:noProof/>
              </w:rPr>
              <w:t>2.1.2 LIFO</w:t>
            </w:r>
            <w:r w:rsidR="005A31C0">
              <w:rPr>
                <w:noProof/>
                <w:webHidden/>
              </w:rPr>
              <w:tab/>
            </w:r>
            <w:r>
              <w:rPr>
                <w:noProof/>
                <w:webHidden/>
              </w:rPr>
              <w:fldChar w:fldCharType="begin"/>
            </w:r>
            <w:r w:rsidR="005A31C0">
              <w:rPr>
                <w:noProof/>
                <w:webHidden/>
              </w:rPr>
              <w:instrText xml:space="preserve"> PAGEREF _Toc426984352 \h </w:instrText>
            </w:r>
            <w:r>
              <w:rPr>
                <w:noProof/>
                <w:webHidden/>
              </w:rPr>
            </w:r>
            <w:r>
              <w:rPr>
                <w:noProof/>
                <w:webHidden/>
              </w:rPr>
              <w:fldChar w:fldCharType="separate"/>
            </w:r>
            <w:r w:rsidR="005A31C0">
              <w:rPr>
                <w:noProof/>
                <w:webHidden/>
              </w:rPr>
              <w:t>4</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53" w:history="1">
            <w:r w:rsidR="005A31C0" w:rsidRPr="00376EE6">
              <w:rPr>
                <w:rStyle w:val="Hyperlink"/>
                <w:noProof/>
              </w:rPr>
              <w:t>2.1.3 Het gewogen gemiddelde van de inkoopprijzen</w:t>
            </w:r>
            <w:r w:rsidR="005A31C0">
              <w:rPr>
                <w:noProof/>
                <w:webHidden/>
              </w:rPr>
              <w:tab/>
            </w:r>
            <w:r>
              <w:rPr>
                <w:noProof/>
                <w:webHidden/>
              </w:rPr>
              <w:fldChar w:fldCharType="begin"/>
            </w:r>
            <w:r w:rsidR="005A31C0">
              <w:rPr>
                <w:noProof/>
                <w:webHidden/>
              </w:rPr>
              <w:instrText xml:space="preserve"> PAGEREF _Toc426984353 \h </w:instrText>
            </w:r>
            <w:r>
              <w:rPr>
                <w:noProof/>
                <w:webHidden/>
              </w:rPr>
            </w:r>
            <w:r>
              <w:rPr>
                <w:noProof/>
                <w:webHidden/>
              </w:rPr>
              <w:fldChar w:fldCharType="separate"/>
            </w:r>
            <w:r w:rsidR="005A31C0">
              <w:rPr>
                <w:noProof/>
                <w:webHidden/>
              </w:rPr>
              <w:t>5</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54" w:history="1">
            <w:r w:rsidR="005A31C0" w:rsidRPr="00376EE6">
              <w:rPr>
                <w:rStyle w:val="Hyperlink"/>
                <w:rFonts w:cs="Arial"/>
                <w:noProof/>
              </w:rPr>
              <w:t>2.2 Wat was het effect van deze wijziging?</w:t>
            </w:r>
            <w:r w:rsidR="005A31C0">
              <w:rPr>
                <w:noProof/>
                <w:webHidden/>
              </w:rPr>
              <w:tab/>
            </w:r>
            <w:r>
              <w:rPr>
                <w:noProof/>
                <w:webHidden/>
              </w:rPr>
              <w:fldChar w:fldCharType="begin"/>
            </w:r>
            <w:r w:rsidR="005A31C0">
              <w:rPr>
                <w:noProof/>
                <w:webHidden/>
              </w:rPr>
              <w:instrText xml:space="preserve"> PAGEREF _Toc426984354 \h </w:instrText>
            </w:r>
            <w:r>
              <w:rPr>
                <w:noProof/>
                <w:webHidden/>
              </w:rPr>
            </w:r>
            <w:r>
              <w:rPr>
                <w:noProof/>
                <w:webHidden/>
              </w:rPr>
              <w:fldChar w:fldCharType="separate"/>
            </w:r>
            <w:r w:rsidR="005A31C0">
              <w:rPr>
                <w:noProof/>
                <w:webHidden/>
              </w:rPr>
              <w:t>6</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55" w:history="1">
            <w:r w:rsidR="005A31C0" w:rsidRPr="00376EE6">
              <w:rPr>
                <w:rStyle w:val="Hyperlink"/>
                <w:rFonts w:cs="Arial"/>
                <w:noProof/>
              </w:rPr>
              <w:t>2.3 Conclusie</w:t>
            </w:r>
            <w:r w:rsidR="005A31C0">
              <w:rPr>
                <w:noProof/>
                <w:webHidden/>
              </w:rPr>
              <w:tab/>
            </w:r>
            <w:r>
              <w:rPr>
                <w:noProof/>
                <w:webHidden/>
              </w:rPr>
              <w:fldChar w:fldCharType="begin"/>
            </w:r>
            <w:r w:rsidR="005A31C0">
              <w:rPr>
                <w:noProof/>
                <w:webHidden/>
              </w:rPr>
              <w:instrText xml:space="preserve"> PAGEREF _Toc426984355 \h </w:instrText>
            </w:r>
            <w:r>
              <w:rPr>
                <w:noProof/>
                <w:webHidden/>
              </w:rPr>
            </w:r>
            <w:r>
              <w:rPr>
                <w:noProof/>
                <w:webHidden/>
              </w:rPr>
              <w:fldChar w:fldCharType="separate"/>
            </w:r>
            <w:r w:rsidR="005A31C0">
              <w:rPr>
                <w:noProof/>
                <w:webHidden/>
              </w:rPr>
              <w:t>8</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56" w:history="1">
            <w:r w:rsidR="005A31C0" w:rsidRPr="00376EE6">
              <w:rPr>
                <w:rStyle w:val="Hyperlink"/>
              </w:rPr>
              <w:t>3.</w:t>
            </w:r>
            <w:r w:rsidR="005A31C0">
              <w:rPr>
                <w:rFonts w:asciiTheme="minorHAnsi" w:eastAsiaTheme="minorEastAsia" w:hAnsiTheme="minorHAnsi" w:cstheme="minorBidi"/>
                <w:b w:val="0"/>
                <w:lang w:eastAsia="nl-NL"/>
              </w:rPr>
              <w:tab/>
            </w:r>
            <w:r w:rsidR="005A31C0" w:rsidRPr="00376EE6">
              <w:rPr>
                <w:rStyle w:val="Hyperlink"/>
              </w:rPr>
              <w:t>Wat verstaat men onder het begrip voorraden?</w:t>
            </w:r>
            <w:r w:rsidR="005A31C0">
              <w:rPr>
                <w:webHidden/>
              </w:rPr>
              <w:tab/>
            </w:r>
            <w:r>
              <w:rPr>
                <w:webHidden/>
              </w:rPr>
              <w:fldChar w:fldCharType="begin"/>
            </w:r>
            <w:r w:rsidR="005A31C0">
              <w:rPr>
                <w:webHidden/>
              </w:rPr>
              <w:instrText xml:space="preserve"> PAGEREF _Toc426984356 \h </w:instrText>
            </w:r>
            <w:r>
              <w:rPr>
                <w:webHidden/>
              </w:rPr>
            </w:r>
            <w:r>
              <w:rPr>
                <w:webHidden/>
              </w:rPr>
              <w:fldChar w:fldCharType="separate"/>
            </w:r>
            <w:r w:rsidR="005A31C0">
              <w:rPr>
                <w:webHidden/>
              </w:rPr>
              <w:t>9</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57" w:history="1">
            <w:r w:rsidR="005A31C0" w:rsidRPr="00376EE6">
              <w:rPr>
                <w:rStyle w:val="Hyperlink"/>
                <w:rFonts w:cs="Arial"/>
                <w:noProof/>
              </w:rPr>
              <w:t>3.1 Wat zijn voorraden volgens IAS en de RJ?</w:t>
            </w:r>
            <w:r w:rsidR="005A31C0">
              <w:rPr>
                <w:noProof/>
                <w:webHidden/>
              </w:rPr>
              <w:tab/>
            </w:r>
            <w:r>
              <w:rPr>
                <w:noProof/>
                <w:webHidden/>
              </w:rPr>
              <w:fldChar w:fldCharType="begin"/>
            </w:r>
            <w:r w:rsidR="005A31C0">
              <w:rPr>
                <w:noProof/>
                <w:webHidden/>
              </w:rPr>
              <w:instrText xml:space="preserve"> PAGEREF _Toc426984357 \h </w:instrText>
            </w:r>
            <w:r>
              <w:rPr>
                <w:noProof/>
                <w:webHidden/>
              </w:rPr>
            </w:r>
            <w:r>
              <w:rPr>
                <w:noProof/>
                <w:webHidden/>
              </w:rPr>
              <w:fldChar w:fldCharType="separate"/>
            </w:r>
            <w:r w:rsidR="005A31C0">
              <w:rPr>
                <w:noProof/>
                <w:webHidden/>
              </w:rPr>
              <w:t>9</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58" w:history="1">
            <w:r w:rsidR="005A31C0" w:rsidRPr="00376EE6">
              <w:rPr>
                <w:rStyle w:val="Hyperlink"/>
                <w:rFonts w:cs="Arial"/>
                <w:noProof/>
              </w:rPr>
              <w:t>3.2 Welk onderscheid bestaat in de voorraden?</w:t>
            </w:r>
            <w:r w:rsidR="005A31C0">
              <w:rPr>
                <w:noProof/>
                <w:webHidden/>
              </w:rPr>
              <w:tab/>
            </w:r>
            <w:r>
              <w:rPr>
                <w:noProof/>
                <w:webHidden/>
              </w:rPr>
              <w:fldChar w:fldCharType="begin"/>
            </w:r>
            <w:r w:rsidR="005A31C0">
              <w:rPr>
                <w:noProof/>
                <w:webHidden/>
              </w:rPr>
              <w:instrText xml:space="preserve"> PAGEREF _Toc426984358 \h </w:instrText>
            </w:r>
            <w:r>
              <w:rPr>
                <w:noProof/>
                <w:webHidden/>
              </w:rPr>
            </w:r>
            <w:r>
              <w:rPr>
                <w:noProof/>
                <w:webHidden/>
              </w:rPr>
              <w:fldChar w:fldCharType="separate"/>
            </w:r>
            <w:r w:rsidR="005A31C0">
              <w:rPr>
                <w:noProof/>
                <w:webHidden/>
              </w:rPr>
              <w:t>9</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59" w:history="1">
            <w:r w:rsidR="005A31C0" w:rsidRPr="00376EE6">
              <w:rPr>
                <w:rStyle w:val="Hyperlink"/>
                <w:rFonts w:cs="Arial"/>
                <w:noProof/>
              </w:rPr>
              <w:t>3.3 Wat zijn agrarische en fungibele producten?</w:t>
            </w:r>
            <w:r w:rsidR="005A31C0">
              <w:rPr>
                <w:noProof/>
                <w:webHidden/>
              </w:rPr>
              <w:tab/>
            </w:r>
            <w:r>
              <w:rPr>
                <w:noProof/>
                <w:webHidden/>
              </w:rPr>
              <w:fldChar w:fldCharType="begin"/>
            </w:r>
            <w:r w:rsidR="005A31C0">
              <w:rPr>
                <w:noProof/>
                <w:webHidden/>
              </w:rPr>
              <w:instrText xml:space="preserve"> PAGEREF _Toc426984359 \h </w:instrText>
            </w:r>
            <w:r>
              <w:rPr>
                <w:noProof/>
                <w:webHidden/>
              </w:rPr>
            </w:r>
            <w:r>
              <w:rPr>
                <w:noProof/>
                <w:webHidden/>
              </w:rPr>
              <w:fldChar w:fldCharType="separate"/>
            </w:r>
            <w:r w:rsidR="005A31C0">
              <w:rPr>
                <w:noProof/>
                <w:webHidden/>
              </w:rPr>
              <w:t>10</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60" w:history="1">
            <w:r w:rsidR="005A31C0" w:rsidRPr="00376EE6">
              <w:rPr>
                <w:rStyle w:val="Hyperlink"/>
                <w:rFonts w:cs="Arial"/>
                <w:noProof/>
              </w:rPr>
              <w:t>3.3.1 Agrarische producten</w:t>
            </w:r>
            <w:r w:rsidR="005A31C0">
              <w:rPr>
                <w:noProof/>
                <w:webHidden/>
              </w:rPr>
              <w:tab/>
            </w:r>
            <w:r>
              <w:rPr>
                <w:noProof/>
                <w:webHidden/>
              </w:rPr>
              <w:fldChar w:fldCharType="begin"/>
            </w:r>
            <w:r w:rsidR="005A31C0">
              <w:rPr>
                <w:noProof/>
                <w:webHidden/>
              </w:rPr>
              <w:instrText xml:space="preserve"> PAGEREF _Toc426984360 \h </w:instrText>
            </w:r>
            <w:r>
              <w:rPr>
                <w:noProof/>
                <w:webHidden/>
              </w:rPr>
            </w:r>
            <w:r>
              <w:rPr>
                <w:noProof/>
                <w:webHidden/>
              </w:rPr>
              <w:fldChar w:fldCharType="separate"/>
            </w:r>
            <w:r w:rsidR="005A31C0">
              <w:rPr>
                <w:noProof/>
                <w:webHidden/>
              </w:rPr>
              <w:t>10</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61" w:history="1">
            <w:r w:rsidR="005A31C0" w:rsidRPr="00376EE6">
              <w:rPr>
                <w:rStyle w:val="Hyperlink"/>
                <w:rFonts w:cs="Arial"/>
                <w:noProof/>
              </w:rPr>
              <w:t>3.3.1 Fungibele producten</w:t>
            </w:r>
            <w:r w:rsidR="005A31C0">
              <w:rPr>
                <w:noProof/>
                <w:webHidden/>
              </w:rPr>
              <w:tab/>
            </w:r>
            <w:r>
              <w:rPr>
                <w:noProof/>
                <w:webHidden/>
              </w:rPr>
              <w:fldChar w:fldCharType="begin"/>
            </w:r>
            <w:r w:rsidR="005A31C0">
              <w:rPr>
                <w:noProof/>
                <w:webHidden/>
              </w:rPr>
              <w:instrText xml:space="preserve"> PAGEREF _Toc426984361 \h </w:instrText>
            </w:r>
            <w:r>
              <w:rPr>
                <w:noProof/>
                <w:webHidden/>
              </w:rPr>
            </w:r>
            <w:r>
              <w:rPr>
                <w:noProof/>
                <w:webHidden/>
              </w:rPr>
              <w:fldChar w:fldCharType="separate"/>
            </w:r>
            <w:r w:rsidR="005A31C0">
              <w:rPr>
                <w:noProof/>
                <w:webHidden/>
              </w:rPr>
              <w:t>12</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62" w:history="1">
            <w:r w:rsidR="005A31C0" w:rsidRPr="00376EE6">
              <w:rPr>
                <w:rStyle w:val="Hyperlink"/>
                <w:rFonts w:cs="Arial"/>
                <w:noProof/>
              </w:rPr>
              <w:t>3.3.4 Conclusie</w:t>
            </w:r>
            <w:r w:rsidR="005A31C0">
              <w:rPr>
                <w:noProof/>
                <w:webHidden/>
              </w:rPr>
              <w:tab/>
            </w:r>
            <w:r>
              <w:rPr>
                <w:noProof/>
                <w:webHidden/>
              </w:rPr>
              <w:fldChar w:fldCharType="begin"/>
            </w:r>
            <w:r w:rsidR="005A31C0">
              <w:rPr>
                <w:noProof/>
                <w:webHidden/>
              </w:rPr>
              <w:instrText xml:space="preserve"> PAGEREF _Toc426984362 \h </w:instrText>
            </w:r>
            <w:r>
              <w:rPr>
                <w:noProof/>
                <w:webHidden/>
              </w:rPr>
            </w:r>
            <w:r>
              <w:rPr>
                <w:noProof/>
                <w:webHidden/>
              </w:rPr>
              <w:fldChar w:fldCharType="separate"/>
            </w:r>
            <w:r w:rsidR="005A31C0">
              <w:rPr>
                <w:noProof/>
                <w:webHidden/>
              </w:rPr>
              <w:t>12</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63" w:history="1">
            <w:r w:rsidR="005A31C0" w:rsidRPr="00376EE6">
              <w:rPr>
                <w:rStyle w:val="Hyperlink"/>
              </w:rPr>
              <w:t>4.</w:t>
            </w:r>
            <w:r w:rsidR="005A31C0">
              <w:rPr>
                <w:rFonts w:asciiTheme="minorHAnsi" w:eastAsiaTheme="minorEastAsia" w:hAnsiTheme="minorHAnsi" w:cstheme="minorBidi"/>
                <w:b w:val="0"/>
                <w:lang w:eastAsia="nl-NL"/>
              </w:rPr>
              <w:tab/>
            </w:r>
            <w:r w:rsidR="005A31C0" w:rsidRPr="00376EE6">
              <w:rPr>
                <w:rStyle w:val="Hyperlink"/>
              </w:rPr>
              <w:t>Hoe worden de voorraden gewaardeerd?</w:t>
            </w:r>
            <w:r w:rsidR="005A31C0">
              <w:rPr>
                <w:webHidden/>
              </w:rPr>
              <w:tab/>
            </w:r>
            <w:r>
              <w:rPr>
                <w:webHidden/>
              </w:rPr>
              <w:fldChar w:fldCharType="begin"/>
            </w:r>
            <w:r w:rsidR="005A31C0">
              <w:rPr>
                <w:webHidden/>
              </w:rPr>
              <w:instrText xml:space="preserve"> PAGEREF _Toc426984363 \h </w:instrText>
            </w:r>
            <w:r>
              <w:rPr>
                <w:webHidden/>
              </w:rPr>
            </w:r>
            <w:r>
              <w:rPr>
                <w:webHidden/>
              </w:rPr>
              <w:fldChar w:fldCharType="separate"/>
            </w:r>
            <w:r w:rsidR="005A31C0">
              <w:rPr>
                <w:webHidden/>
              </w:rPr>
              <w:t>13</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64" w:history="1">
            <w:r w:rsidR="005A31C0" w:rsidRPr="00376EE6">
              <w:rPr>
                <w:rStyle w:val="Hyperlink"/>
                <w:rFonts w:cs="Arial"/>
                <w:noProof/>
              </w:rPr>
              <w:t>4.1 Waardering op basis van de kostprijs</w:t>
            </w:r>
            <w:r w:rsidR="005A31C0">
              <w:rPr>
                <w:noProof/>
                <w:webHidden/>
              </w:rPr>
              <w:tab/>
            </w:r>
            <w:r>
              <w:rPr>
                <w:noProof/>
                <w:webHidden/>
              </w:rPr>
              <w:fldChar w:fldCharType="begin"/>
            </w:r>
            <w:r w:rsidR="005A31C0">
              <w:rPr>
                <w:noProof/>
                <w:webHidden/>
              </w:rPr>
              <w:instrText xml:space="preserve"> PAGEREF _Toc426984364 \h </w:instrText>
            </w:r>
            <w:r>
              <w:rPr>
                <w:noProof/>
                <w:webHidden/>
              </w:rPr>
            </w:r>
            <w:r>
              <w:rPr>
                <w:noProof/>
                <w:webHidden/>
              </w:rPr>
              <w:fldChar w:fldCharType="separate"/>
            </w:r>
            <w:r w:rsidR="005A31C0">
              <w:rPr>
                <w:noProof/>
                <w:webHidden/>
              </w:rPr>
              <w:t>13</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65" w:history="1">
            <w:r w:rsidR="005A31C0" w:rsidRPr="00376EE6">
              <w:rPr>
                <w:rStyle w:val="Hyperlink"/>
                <w:rFonts w:cs="Arial"/>
                <w:noProof/>
              </w:rPr>
              <w:t>4.2 Waardering op basis van de actuele waarde</w:t>
            </w:r>
            <w:r w:rsidR="005A31C0">
              <w:rPr>
                <w:noProof/>
                <w:webHidden/>
              </w:rPr>
              <w:tab/>
            </w:r>
            <w:r>
              <w:rPr>
                <w:noProof/>
                <w:webHidden/>
              </w:rPr>
              <w:fldChar w:fldCharType="begin"/>
            </w:r>
            <w:r w:rsidR="005A31C0">
              <w:rPr>
                <w:noProof/>
                <w:webHidden/>
              </w:rPr>
              <w:instrText xml:space="preserve"> PAGEREF _Toc426984365 \h </w:instrText>
            </w:r>
            <w:r>
              <w:rPr>
                <w:noProof/>
                <w:webHidden/>
              </w:rPr>
            </w:r>
            <w:r>
              <w:rPr>
                <w:noProof/>
                <w:webHidden/>
              </w:rPr>
              <w:fldChar w:fldCharType="separate"/>
            </w:r>
            <w:r w:rsidR="005A31C0">
              <w:rPr>
                <w:noProof/>
                <w:webHidden/>
              </w:rPr>
              <w:t>14</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66" w:history="1">
            <w:r w:rsidR="005A31C0" w:rsidRPr="00376EE6">
              <w:rPr>
                <w:rStyle w:val="Hyperlink"/>
                <w:noProof/>
              </w:rPr>
              <w:t>4.3 Agrarische producten en fungibele goederen</w:t>
            </w:r>
            <w:r w:rsidR="005A31C0">
              <w:rPr>
                <w:noProof/>
                <w:webHidden/>
              </w:rPr>
              <w:tab/>
            </w:r>
            <w:r>
              <w:rPr>
                <w:noProof/>
                <w:webHidden/>
              </w:rPr>
              <w:fldChar w:fldCharType="begin"/>
            </w:r>
            <w:r w:rsidR="005A31C0">
              <w:rPr>
                <w:noProof/>
                <w:webHidden/>
              </w:rPr>
              <w:instrText xml:space="preserve"> PAGEREF _Toc426984366 \h </w:instrText>
            </w:r>
            <w:r>
              <w:rPr>
                <w:noProof/>
                <w:webHidden/>
              </w:rPr>
            </w:r>
            <w:r>
              <w:rPr>
                <w:noProof/>
                <w:webHidden/>
              </w:rPr>
              <w:fldChar w:fldCharType="separate"/>
            </w:r>
            <w:r w:rsidR="005A31C0">
              <w:rPr>
                <w:noProof/>
                <w:webHidden/>
              </w:rPr>
              <w:t>15</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67" w:history="1">
            <w:r w:rsidR="005A31C0" w:rsidRPr="00376EE6">
              <w:rPr>
                <w:rStyle w:val="Hyperlink"/>
                <w:rFonts w:cs="Arial"/>
                <w:noProof/>
              </w:rPr>
              <w:t>4.3.1 Agrarische producten</w:t>
            </w:r>
            <w:r w:rsidR="005A31C0">
              <w:rPr>
                <w:noProof/>
                <w:webHidden/>
              </w:rPr>
              <w:tab/>
            </w:r>
            <w:r>
              <w:rPr>
                <w:noProof/>
                <w:webHidden/>
              </w:rPr>
              <w:fldChar w:fldCharType="begin"/>
            </w:r>
            <w:r w:rsidR="005A31C0">
              <w:rPr>
                <w:noProof/>
                <w:webHidden/>
              </w:rPr>
              <w:instrText xml:space="preserve"> PAGEREF _Toc426984367 \h </w:instrText>
            </w:r>
            <w:r>
              <w:rPr>
                <w:noProof/>
                <w:webHidden/>
              </w:rPr>
            </w:r>
            <w:r>
              <w:rPr>
                <w:noProof/>
                <w:webHidden/>
              </w:rPr>
              <w:fldChar w:fldCharType="separate"/>
            </w:r>
            <w:r w:rsidR="005A31C0">
              <w:rPr>
                <w:noProof/>
                <w:webHidden/>
              </w:rPr>
              <w:t>15</w:t>
            </w:r>
            <w:r>
              <w:rPr>
                <w:noProof/>
                <w:webHidden/>
              </w:rPr>
              <w:fldChar w:fldCharType="end"/>
            </w:r>
          </w:hyperlink>
        </w:p>
        <w:p w:rsidR="005A31C0" w:rsidRDefault="007A6E22">
          <w:pPr>
            <w:pStyle w:val="TOC3"/>
            <w:tabs>
              <w:tab w:val="right" w:leader="dot" w:pos="9060"/>
            </w:tabs>
            <w:rPr>
              <w:rFonts w:eastAsiaTheme="minorEastAsia"/>
              <w:noProof/>
              <w:lang w:eastAsia="nl-NL"/>
            </w:rPr>
          </w:pPr>
          <w:hyperlink w:anchor="_Toc426984368" w:history="1">
            <w:r w:rsidR="005A31C0" w:rsidRPr="00376EE6">
              <w:rPr>
                <w:rStyle w:val="Hyperlink"/>
                <w:noProof/>
              </w:rPr>
              <w:t>4.3.2 Fungibele goederen</w:t>
            </w:r>
            <w:r w:rsidR="005A31C0">
              <w:rPr>
                <w:noProof/>
                <w:webHidden/>
              </w:rPr>
              <w:tab/>
            </w:r>
            <w:r>
              <w:rPr>
                <w:noProof/>
                <w:webHidden/>
              </w:rPr>
              <w:fldChar w:fldCharType="begin"/>
            </w:r>
            <w:r w:rsidR="005A31C0">
              <w:rPr>
                <w:noProof/>
                <w:webHidden/>
              </w:rPr>
              <w:instrText xml:space="preserve"> PAGEREF _Toc426984368 \h </w:instrText>
            </w:r>
            <w:r>
              <w:rPr>
                <w:noProof/>
                <w:webHidden/>
              </w:rPr>
            </w:r>
            <w:r>
              <w:rPr>
                <w:noProof/>
                <w:webHidden/>
              </w:rPr>
              <w:fldChar w:fldCharType="separate"/>
            </w:r>
            <w:r w:rsidR="005A31C0">
              <w:rPr>
                <w:noProof/>
                <w:webHidden/>
              </w:rPr>
              <w:t>15</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69" w:history="1">
            <w:r w:rsidR="005A31C0" w:rsidRPr="00376EE6">
              <w:rPr>
                <w:rStyle w:val="Hyperlink"/>
                <w:noProof/>
              </w:rPr>
              <w:t>4.4 Conclusie</w:t>
            </w:r>
            <w:r w:rsidR="005A31C0">
              <w:rPr>
                <w:noProof/>
                <w:webHidden/>
              </w:rPr>
              <w:tab/>
            </w:r>
            <w:r>
              <w:rPr>
                <w:noProof/>
                <w:webHidden/>
              </w:rPr>
              <w:fldChar w:fldCharType="begin"/>
            </w:r>
            <w:r w:rsidR="005A31C0">
              <w:rPr>
                <w:noProof/>
                <w:webHidden/>
              </w:rPr>
              <w:instrText xml:space="preserve"> PAGEREF _Toc426984369 \h </w:instrText>
            </w:r>
            <w:r>
              <w:rPr>
                <w:noProof/>
                <w:webHidden/>
              </w:rPr>
            </w:r>
            <w:r>
              <w:rPr>
                <w:noProof/>
                <w:webHidden/>
              </w:rPr>
              <w:fldChar w:fldCharType="separate"/>
            </w:r>
            <w:r w:rsidR="005A31C0">
              <w:rPr>
                <w:noProof/>
                <w:webHidden/>
              </w:rPr>
              <w:t>16</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70" w:history="1">
            <w:r w:rsidR="005A31C0" w:rsidRPr="00376EE6">
              <w:rPr>
                <w:rStyle w:val="Hyperlink"/>
              </w:rPr>
              <w:t>5.</w:t>
            </w:r>
            <w:r w:rsidR="005A31C0">
              <w:rPr>
                <w:rFonts w:asciiTheme="minorHAnsi" w:eastAsiaTheme="minorEastAsia" w:hAnsiTheme="minorHAnsi" w:cstheme="minorBidi"/>
                <w:b w:val="0"/>
                <w:lang w:eastAsia="nl-NL"/>
              </w:rPr>
              <w:tab/>
            </w:r>
            <w:r w:rsidR="005A31C0" w:rsidRPr="00376EE6">
              <w:rPr>
                <w:rStyle w:val="Hyperlink"/>
              </w:rPr>
              <w:t>Wat zijn de voor- en nadelen van IAS?</w:t>
            </w:r>
            <w:r w:rsidR="005A31C0">
              <w:rPr>
                <w:webHidden/>
              </w:rPr>
              <w:tab/>
            </w:r>
            <w:r>
              <w:rPr>
                <w:webHidden/>
              </w:rPr>
              <w:fldChar w:fldCharType="begin"/>
            </w:r>
            <w:r w:rsidR="005A31C0">
              <w:rPr>
                <w:webHidden/>
              </w:rPr>
              <w:instrText xml:space="preserve"> PAGEREF _Toc426984370 \h </w:instrText>
            </w:r>
            <w:r>
              <w:rPr>
                <w:webHidden/>
              </w:rPr>
            </w:r>
            <w:r>
              <w:rPr>
                <w:webHidden/>
              </w:rPr>
              <w:fldChar w:fldCharType="separate"/>
            </w:r>
            <w:r w:rsidR="005A31C0">
              <w:rPr>
                <w:webHidden/>
              </w:rPr>
              <w:t>18</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71" w:history="1">
            <w:r w:rsidR="005A31C0" w:rsidRPr="00376EE6">
              <w:rPr>
                <w:rStyle w:val="Hyperlink"/>
                <w:rFonts w:cs="Arial"/>
                <w:noProof/>
              </w:rPr>
              <w:t>5.1 De voordelen van IAS</w:t>
            </w:r>
            <w:r w:rsidR="005A31C0">
              <w:rPr>
                <w:noProof/>
                <w:webHidden/>
              </w:rPr>
              <w:tab/>
            </w:r>
            <w:r>
              <w:rPr>
                <w:noProof/>
                <w:webHidden/>
              </w:rPr>
              <w:fldChar w:fldCharType="begin"/>
            </w:r>
            <w:r w:rsidR="005A31C0">
              <w:rPr>
                <w:noProof/>
                <w:webHidden/>
              </w:rPr>
              <w:instrText xml:space="preserve"> PAGEREF _Toc426984371 \h </w:instrText>
            </w:r>
            <w:r>
              <w:rPr>
                <w:noProof/>
                <w:webHidden/>
              </w:rPr>
            </w:r>
            <w:r>
              <w:rPr>
                <w:noProof/>
                <w:webHidden/>
              </w:rPr>
              <w:fldChar w:fldCharType="separate"/>
            </w:r>
            <w:r w:rsidR="005A31C0">
              <w:rPr>
                <w:noProof/>
                <w:webHidden/>
              </w:rPr>
              <w:t>18</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72" w:history="1">
            <w:r w:rsidR="005A31C0" w:rsidRPr="00376EE6">
              <w:rPr>
                <w:rStyle w:val="Hyperlink"/>
                <w:rFonts w:cs="Arial"/>
                <w:noProof/>
              </w:rPr>
              <w:t>5.2 Kritiek op IAS</w:t>
            </w:r>
            <w:r w:rsidR="005A31C0">
              <w:rPr>
                <w:noProof/>
                <w:webHidden/>
              </w:rPr>
              <w:tab/>
            </w:r>
            <w:r>
              <w:rPr>
                <w:noProof/>
                <w:webHidden/>
              </w:rPr>
              <w:fldChar w:fldCharType="begin"/>
            </w:r>
            <w:r w:rsidR="005A31C0">
              <w:rPr>
                <w:noProof/>
                <w:webHidden/>
              </w:rPr>
              <w:instrText xml:space="preserve"> PAGEREF _Toc426984372 \h </w:instrText>
            </w:r>
            <w:r>
              <w:rPr>
                <w:noProof/>
                <w:webHidden/>
              </w:rPr>
            </w:r>
            <w:r>
              <w:rPr>
                <w:noProof/>
                <w:webHidden/>
              </w:rPr>
              <w:fldChar w:fldCharType="separate"/>
            </w:r>
            <w:r w:rsidR="005A31C0">
              <w:rPr>
                <w:noProof/>
                <w:webHidden/>
              </w:rPr>
              <w:t>20</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73" w:history="1">
            <w:r w:rsidR="005A31C0" w:rsidRPr="00376EE6">
              <w:rPr>
                <w:rStyle w:val="Hyperlink"/>
                <w:rFonts w:cs="Arial"/>
                <w:noProof/>
              </w:rPr>
              <w:t>5.3 De voordelen van RJ</w:t>
            </w:r>
            <w:r w:rsidR="005A31C0">
              <w:rPr>
                <w:noProof/>
                <w:webHidden/>
              </w:rPr>
              <w:tab/>
            </w:r>
            <w:r>
              <w:rPr>
                <w:noProof/>
                <w:webHidden/>
              </w:rPr>
              <w:fldChar w:fldCharType="begin"/>
            </w:r>
            <w:r w:rsidR="005A31C0">
              <w:rPr>
                <w:noProof/>
                <w:webHidden/>
              </w:rPr>
              <w:instrText xml:space="preserve"> PAGEREF _Toc426984373 \h </w:instrText>
            </w:r>
            <w:r>
              <w:rPr>
                <w:noProof/>
                <w:webHidden/>
              </w:rPr>
            </w:r>
            <w:r>
              <w:rPr>
                <w:noProof/>
                <w:webHidden/>
              </w:rPr>
              <w:fldChar w:fldCharType="separate"/>
            </w:r>
            <w:r w:rsidR="005A31C0">
              <w:rPr>
                <w:noProof/>
                <w:webHidden/>
              </w:rPr>
              <w:t>21</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74" w:history="1">
            <w:r w:rsidR="005A31C0" w:rsidRPr="00376EE6">
              <w:rPr>
                <w:rStyle w:val="Hyperlink"/>
                <w:noProof/>
              </w:rPr>
              <w:t>5.4 Conclusie</w:t>
            </w:r>
            <w:r w:rsidR="005A31C0">
              <w:rPr>
                <w:noProof/>
                <w:webHidden/>
              </w:rPr>
              <w:tab/>
            </w:r>
            <w:r>
              <w:rPr>
                <w:noProof/>
                <w:webHidden/>
              </w:rPr>
              <w:fldChar w:fldCharType="begin"/>
            </w:r>
            <w:r w:rsidR="005A31C0">
              <w:rPr>
                <w:noProof/>
                <w:webHidden/>
              </w:rPr>
              <w:instrText xml:space="preserve"> PAGEREF _Toc426984374 \h </w:instrText>
            </w:r>
            <w:r>
              <w:rPr>
                <w:noProof/>
                <w:webHidden/>
              </w:rPr>
            </w:r>
            <w:r>
              <w:rPr>
                <w:noProof/>
                <w:webHidden/>
              </w:rPr>
              <w:fldChar w:fldCharType="separate"/>
            </w:r>
            <w:r w:rsidR="005A31C0">
              <w:rPr>
                <w:noProof/>
                <w:webHidden/>
              </w:rPr>
              <w:t>22</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75" w:history="1">
            <w:r w:rsidR="005A31C0" w:rsidRPr="00376EE6">
              <w:rPr>
                <w:rStyle w:val="Hyperlink"/>
              </w:rPr>
              <w:t>6.</w:t>
            </w:r>
            <w:r w:rsidR="005A31C0">
              <w:rPr>
                <w:rFonts w:asciiTheme="minorHAnsi" w:eastAsiaTheme="minorEastAsia" w:hAnsiTheme="minorHAnsi" w:cstheme="minorBidi"/>
                <w:b w:val="0"/>
                <w:lang w:eastAsia="nl-NL"/>
              </w:rPr>
              <w:tab/>
            </w:r>
            <w:r w:rsidR="005A31C0" w:rsidRPr="00376EE6">
              <w:rPr>
                <w:rStyle w:val="Hyperlink"/>
              </w:rPr>
              <w:t>Conclusie</w:t>
            </w:r>
            <w:r w:rsidR="005A31C0">
              <w:rPr>
                <w:webHidden/>
              </w:rPr>
              <w:tab/>
            </w:r>
            <w:r>
              <w:rPr>
                <w:webHidden/>
              </w:rPr>
              <w:fldChar w:fldCharType="begin"/>
            </w:r>
            <w:r w:rsidR="005A31C0">
              <w:rPr>
                <w:webHidden/>
              </w:rPr>
              <w:instrText xml:space="preserve"> PAGEREF _Toc426984375 \h </w:instrText>
            </w:r>
            <w:r>
              <w:rPr>
                <w:webHidden/>
              </w:rPr>
            </w:r>
            <w:r>
              <w:rPr>
                <w:webHidden/>
              </w:rPr>
              <w:fldChar w:fldCharType="separate"/>
            </w:r>
            <w:r w:rsidR="005A31C0">
              <w:rPr>
                <w:webHidden/>
              </w:rPr>
              <w:t>23</w:t>
            </w:r>
            <w:r>
              <w:rPr>
                <w:webHidden/>
              </w:rPr>
              <w:fldChar w:fldCharType="end"/>
            </w:r>
          </w:hyperlink>
        </w:p>
        <w:p w:rsidR="005A31C0" w:rsidRDefault="007A6E22">
          <w:pPr>
            <w:pStyle w:val="TOC2"/>
            <w:tabs>
              <w:tab w:val="right" w:leader="dot" w:pos="9060"/>
            </w:tabs>
            <w:rPr>
              <w:rFonts w:eastAsiaTheme="minorEastAsia"/>
              <w:noProof/>
              <w:lang w:eastAsia="nl-NL"/>
            </w:rPr>
          </w:pPr>
          <w:hyperlink w:anchor="_Toc426984376" w:history="1">
            <w:r w:rsidR="005A31C0" w:rsidRPr="00376EE6">
              <w:rPr>
                <w:rStyle w:val="Hyperlink"/>
                <w:noProof/>
              </w:rPr>
              <w:t>6.1 Conclusie</w:t>
            </w:r>
            <w:r w:rsidR="005A31C0">
              <w:rPr>
                <w:noProof/>
                <w:webHidden/>
              </w:rPr>
              <w:tab/>
            </w:r>
            <w:r>
              <w:rPr>
                <w:noProof/>
                <w:webHidden/>
              </w:rPr>
              <w:fldChar w:fldCharType="begin"/>
            </w:r>
            <w:r w:rsidR="005A31C0">
              <w:rPr>
                <w:noProof/>
                <w:webHidden/>
              </w:rPr>
              <w:instrText xml:space="preserve"> PAGEREF _Toc426984376 \h </w:instrText>
            </w:r>
            <w:r>
              <w:rPr>
                <w:noProof/>
                <w:webHidden/>
              </w:rPr>
            </w:r>
            <w:r>
              <w:rPr>
                <w:noProof/>
                <w:webHidden/>
              </w:rPr>
              <w:fldChar w:fldCharType="separate"/>
            </w:r>
            <w:r w:rsidR="005A31C0">
              <w:rPr>
                <w:noProof/>
                <w:webHidden/>
              </w:rPr>
              <w:t>23</w:t>
            </w:r>
            <w:r>
              <w:rPr>
                <w:noProof/>
                <w:webHidden/>
              </w:rPr>
              <w:fldChar w:fldCharType="end"/>
            </w:r>
          </w:hyperlink>
        </w:p>
        <w:p w:rsidR="005A31C0" w:rsidRDefault="007A6E22">
          <w:pPr>
            <w:pStyle w:val="TOC2"/>
            <w:tabs>
              <w:tab w:val="right" w:leader="dot" w:pos="9060"/>
            </w:tabs>
            <w:rPr>
              <w:rFonts w:eastAsiaTheme="minorEastAsia"/>
              <w:noProof/>
              <w:lang w:eastAsia="nl-NL"/>
            </w:rPr>
          </w:pPr>
          <w:hyperlink w:anchor="_Toc426984377" w:history="1">
            <w:r w:rsidR="005A31C0" w:rsidRPr="00376EE6">
              <w:rPr>
                <w:rStyle w:val="Hyperlink"/>
                <w:noProof/>
              </w:rPr>
              <w:t>6.2 Beperkingen</w:t>
            </w:r>
            <w:r w:rsidR="005A31C0">
              <w:rPr>
                <w:noProof/>
                <w:webHidden/>
              </w:rPr>
              <w:tab/>
            </w:r>
            <w:r>
              <w:rPr>
                <w:noProof/>
                <w:webHidden/>
              </w:rPr>
              <w:fldChar w:fldCharType="begin"/>
            </w:r>
            <w:r w:rsidR="005A31C0">
              <w:rPr>
                <w:noProof/>
                <w:webHidden/>
              </w:rPr>
              <w:instrText xml:space="preserve"> PAGEREF _Toc426984377 \h </w:instrText>
            </w:r>
            <w:r>
              <w:rPr>
                <w:noProof/>
                <w:webHidden/>
              </w:rPr>
            </w:r>
            <w:r>
              <w:rPr>
                <w:noProof/>
                <w:webHidden/>
              </w:rPr>
              <w:fldChar w:fldCharType="separate"/>
            </w:r>
            <w:r w:rsidR="005A31C0">
              <w:rPr>
                <w:noProof/>
                <w:webHidden/>
              </w:rPr>
              <w:t>25</w:t>
            </w:r>
            <w:r>
              <w:rPr>
                <w:noProof/>
                <w:webHidden/>
              </w:rPr>
              <w:fldChar w:fldCharType="end"/>
            </w:r>
          </w:hyperlink>
        </w:p>
        <w:p w:rsidR="005A31C0" w:rsidRDefault="007A6E22">
          <w:pPr>
            <w:pStyle w:val="TOC1"/>
            <w:rPr>
              <w:rFonts w:asciiTheme="minorHAnsi" w:eastAsiaTheme="minorEastAsia" w:hAnsiTheme="minorHAnsi" w:cstheme="minorBidi"/>
              <w:b w:val="0"/>
              <w:lang w:eastAsia="nl-NL"/>
            </w:rPr>
          </w:pPr>
          <w:hyperlink w:anchor="_Toc426984378" w:history="1">
            <w:r w:rsidR="005A31C0" w:rsidRPr="00376EE6">
              <w:rPr>
                <w:rStyle w:val="Hyperlink"/>
              </w:rPr>
              <w:t>7.</w:t>
            </w:r>
            <w:r w:rsidR="005A31C0">
              <w:rPr>
                <w:rFonts w:asciiTheme="minorHAnsi" w:eastAsiaTheme="minorEastAsia" w:hAnsiTheme="minorHAnsi" w:cstheme="minorBidi"/>
                <w:b w:val="0"/>
                <w:lang w:eastAsia="nl-NL"/>
              </w:rPr>
              <w:tab/>
            </w:r>
            <w:r w:rsidR="005A31C0" w:rsidRPr="00376EE6">
              <w:rPr>
                <w:rStyle w:val="Hyperlink"/>
              </w:rPr>
              <w:t>Bibliografie</w:t>
            </w:r>
            <w:r w:rsidR="005A31C0">
              <w:rPr>
                <w:webHidden/>
              </w:rPr>
              <w:tab/>
            </w:r>
            <w:r>
              <w:rPr>
                <w:webHidden/>
              </w:rPr>
              <w:fldChar w:fldCharType="begin"/>
            </w:r>
            <w:r w:rsidR="005A31C0">
              <w:rPr>
                <w:webHidden/>
              </w:rPr>
              <w:instrText xml:space="preserve"> PAGEREF _Toc426984378 \h </w:instrText>
            </w:r>
            <w:r>
              <w:rPr>
                <w:webHidden/>
              </w:rPr>
            </w:r>
            <w:r>
              <w:rPr>
                <w:webHidden/>
              </w:rPr>
              <w:fldChar w:fldCharType="separate"/>
            </w:r>
            <w:r w:rsidR="005A31C0">
              <w:rPr>
                <w:webHidden/>
              </w:rPr>
              <w:t>26</w:t>
            </w:r>
            <w:r>
              <w:rPr>
                <w:webHidden/>
              </w:rPr>
              <w:fldChar w:fldCharType="end"/>
            </w:r>
          </w:hyperlink>
        </w:p>
        <w:p w:rsidR="009A17B2" w:rsidRPr="002A2E36" w:rsidRDefault="007A6E22">
          <w:pPr>
            <w:rPr>
              <w:rFonts w:ascii="Arial" w:hAnsi="Arial" w:cs="Arial"/>
              <w:color w:val="000000" w:themeColor="text1"/>
            </w:rPr>
          </w:pPr>
          <w:r w:rsidRPr="002A2E36">
            <w:rPr>
              <w:rFonts w:ascii="Arial" w:hAnsi="Arial" w:cs="Arial"/>
              <w:b/>
              <w:bCs/>
              <w:color w:val="000000" w:themeColor="text1"/>
            </w:rPr>
            <w:fldChar w:fldCharType="end"/>
          </w:r>
        </w:p>
      </w:sdtContent>
    </w:sdt>
    <w:p w:rsidR="00E91A39" w:rsidRPr="002A2E36" w:rsidRDefault="00E91A39" w:rsidP="00F523EC">
      <w:pPr>
        <w:spacing w:line="360" w:lineRule="auto"/>
        <w:rPr>
          <w:rFonts w:ascii="Arial" w:hAnsi="Arial" w:cs="Arial"/>
          <w:color w:val="000000" w:themeColor="text1"/>
        </w:rPr>
      </w:pPr>
      <w:r w:rsidRPr="002A2E36">
        <w:rPr>
          <w:rFonts w:ascii="Arial" w:hAnsi="Arial" w:cs="Arial"/>
          <w:color w:val="000000" w:themeColor="text1"/>
        </w:rPr>
        <w:br w:type="page"/>
      </w:r>
    </w:p>
    <w:p w:rsidR="00B44E50" w:rsidRDefault="00B44E50" w:rsidP="00F523EC">
      <w:pPr>
        <w:pStyle w:val="Heading1"/>
        <w:numPr>
          <w:ilvl w:val="0"/>
          <w:numId w:val="2"/>
        </w:numPr>
        <w:spacing w:line="360" w:lineRule="auto"/>
        <w:rPr>
          <w:rFonts w:ascii="Arial" w:hAnsi="Arial" w:cs="Arial"/>
        </w:rPr>
        <w:sectPr w:rsidR="00B44E50" w:rsidSect="009A17B2">
          <w:footerReference w:type="default" r:id="rId8"/>
          <w:pgSz w:w="11906" w:h="16838" w:code="9"/>
          <w:pgMar w:top="1418" w:right="1418" w:bottom="1418" w:left="1418" w:header="709" w:footer="709" w:gutter="0"/>
          <w:cols w:space="708"/>
          <w:docGrid w:linePitch="360"/>
        </w:sectPr>
      </w:pPr>
    </w:p>
    <w:p w:rsidR="00E91A39" w:rsidRPr="002A2E36" w:rsidRDefault="00E91A39" w:rsidP="00F523EC">
      <w:pPr>
        <w:pStyle w:val="Heading1"/>
        <w:numPr>
          <w:ilvl w:val="0"/>
          <w:numId w:val="2"/>
        </w:numPr>
        <w:spacing w:line="360" w:lineRule="auto"/>
        <w:rPr>
          <w:rFonts w:ascii="Arial" w:hAnsi="Arial" w:cs="Arial"/>
        </w:rPr>
      </w:pPr>
      <w:bookmarkStart w:id="1" w:name="_Toc426984345"/>
      <w:r w:rsidRPr="002A2E36">
        <w:rPr>
          <w:rFonts w:ascii="Arial" w:hAnsi="Arial" w:cs="Arial"/>
        </w:rPr>
        <w:t>Inleiding</w:t>
      </w:r>
      <w:bookmarkEnd w:id="1"/>
    </w:p>
    <w:p w:rsidR="00E91A39" w:rsidRPr="002A2E36" w:rsidRDefault="00E91A39" w:rsidP="00F523EC">
      <w:pPr>
        <w:spacing w:line="360" w:lineRule="auto"/>
        <w:rPr>
          <w:rFonts w:ascii="Arial" w:hAnsi="Arial" w:cs="Arial"/>
          <w:color w:val="000000" w:themeColor="text1"/>
        </w:rPr>
      </w:pPr>
      <w:r w:rsidRPr="002A2E36">
        <w:rPr>
          <w:rFonts w:ascii="Arial" w:hAnsi="Arial" w:cs="Arial"/>
          <w:color w:val="000000" w:themeColor="text1"/>
        </w:rPr>
        <w:br/>
        <w:t>In 2003 is een aangepaste versie van International Accounting Standards 2 ‘Inventories (IAS) verschenen. IAS 2 bevat de accounting principes voor de voorraden. Voorraden behoren tot de belangrijkste onderdelen van een onderneming. Dit geldt voor een productie en voor een dienstverlenende onderneming. Naast de IAS standaard, moeten Nederlandse ondernemingen eveneens voldoen aan de Richtlijnen voor Jaarverslaggeving (RJ). RJ 220 ‘Voorraden’ bevat de verantwoording, de presentatie en de toelichting van de voorraden volgens de Nederlandse wetgevin</w:t>
      </w:r>
      <w:r w:rsidR="00D82A25">
        <w:rPr>
          <w:rFonts w:ascii="Arial" w:hAnsi="Arial" w:cs="Arial"/>
          <w:color w:val="000000" w:themeColor="text1"/>
        </w:rPr>
        <w:t xml:space="preserve">g in de jaarrekening </w:t>
      </w:r>
      <w:sdt>
        <w:sdtPr>
          <w:rPr>
            <w:rFonts w:ascii="Arial" w:hAnsi="Arial" w:cs="Arial"/>
            <w:color w:val="000000" w:themeColor="text1"/>
          </w:rPr>
          <w:id w:val="-36783829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SRAnd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(SRA, n.d.)</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De Nederlandse wet, Titel 9 BW 2, bevat geen definitie </w:t>
      </w:r>
      <w:r w:rsidR="00A9475E" w:rsidRPr="002A2E36">
        <w:rPr>
          <w:rFonts w:ascii="Arial" w:hAnsi="Arial" w:cs="Arial"/>
          <w:color w:val="000000" w:themeColor="text1"/>
        </w:rPr>
        <w:t xml:space="preserve">van </w:t>
      </w:r>
      <w:r w:rsidRPr="002A2E36">
        <w:rPr>
          <w:rFonts w:ascii="Arial" w:hAnsi="Arial" w:cs="Arial"/>
          <w:color w:val="000000" w:themeColor="text1"/>
        </w:rPr>
        <w:t>het begrip voorraden</w:t>
      </w:r>
      <w:r w:rsidR="00B761F4">
        <w:rPr>
          <w:rFonts w:ascii="Arial" w:hAnsi="Arial" w:cs="Arial"/>
          <w:color w:val="000000" w:themeColor="text1"/>
        </w:rPr>
        <w:t>, maar in de IAS en</w:t>
      </w:r>
      <w:r w:rsidRPr="002A2E36">
        <w:rPr>
          <w:rFonts w:ascii="Arial" w:hAnsi="Arial" w:cs="Arial"/>
          <w:color w:val="000000" w:themeColor="text1"/>
        </w:rPr>
        <w:t xml:space="preserve"> RJ zijn voorraden als volgt omschreven:</w:t>
      </w:r>
    </w:p>
    <w:p w:rsidR="00E91A39" w:rsidRPr="002A2E36" w:rsidRDefault="00E91A39" w:rsidP="00F523EC">
      <w:pPr>
        <w:spacing w:line="360" w:lineRule="auto"/>
        <w:rPr>
          <w:rFonts w:ascii="Arial" w:hAnsi="Arial" w:cs="Arial"/>
          <w:color w:val="000000" w:themeColor="text1"/>
        </w:rPr>
      </w:pPr>
      <w:r w:rsidRPr="002A2E36">
        <w:rPr>
          <w:rFonts w:ascii="Arial" w:hAnsi="Arial" w:cs="Arial"/>
          <w:color w:val="000000" w:themeColor="text1"/>
        </w:rPr>
        <w:t>“ Voorraden zijn activa die worden aangehouden voor verkoop in het kader van de normale bedrijfsuitvoering, in het productieproces voor een dergelijke verkoop; of in de vorm van grond- en hulpstoffen die worden verbruikt tijdens het productie proces of tijdens het verlenen van diensten. Voorraden zijn dus activa die gebruikt worden in het productieproces (IAS 2.6, RJ220.105)”.</w:t>
      </w:r>
    </w:p>
    <w:p w:rsidR="00E91A39" w:rsidRPr="002A2E36" w:rsidRDefault="00E91A39" w:rsidP="00F523EC">
      <w:pPr>
        <w:spacing w:line="360" w:lineRule="auto"/>
        <w:rPr>
          <w:rFonts w:ascii="Arial" w:hAnsi="Arial" w:cs="Arial"/>
          <w:color w:val="000000" w:themeColor="text1"/>
        </w:rPr>
      </w:pPr>
      <w:r w:rsidRPr="002A2E36">
        <w:rPr>
          <w:rFonts w:ascii="Arial" w:hAnsi="Arial" w:cs="Arial"/>
          <w:color w:val="000000" w:themeColor="text1"/>
        </w:rPr>
        <w:t>De eerste actie voor IAS 2 was in september 1974 met de gepubliceerde Exposure Draft E2 Valuation and Presentation of Inventories in the Context of the Historical Cost System. Vervolgens is in oktober 1975 de IAS 2 Valuation and Presentation of Inventories in the Context of the Historical Cost System ingevoerd en in 2003 is</w:t>
      </w:r>
      <w:r w:rsidR="00D82A25">
        <w:rPr>
          <w:rFonts w:ascii="Arial" w:hAnsi="Arial" w:cs="Arial"/>
          <w:color w:val="000000" w:themeColor="text1"/>
        </w:rPr>
        <w:t xml:space="preserve"> deze aangepast </w:t>
      </w:r>
      <w:sdt>
        <w:sdtPr>
          <w:rPr>
            <w:rFonts w:ascii="Arial" w:hAnsi="Arial" w:cs="Arial"/>
            <w:color w:val="000000" w:themeColor="text1"/>
          </w:rPr>
          <w:id w:val="-314570221"/>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CITATION Delnd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(Deloitte, 2014)</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E91A39" w:rsidRPr="002A2E36" w:rsidRDefault="00E91A39" w:rsidP="00F523EC">
      <w:pPr>
        <w:spacing w:line="360" w:lineRule="auto"/>
        <w:rPr>
          <w:rFonts w:ascii="Arial" w:hAnsi="Arial" w:cs="Arial"/>
          <w:color w:val="000000" w:themeColor="text1"/>
        </w:rPr>
      </w:pPr>
      <w:r w:rsidRPr="002A2E36">
        <w:rPr>
          <w:rFonts w:ascii="Arial" w:hAnsi="Arial" w:cs="Arial"/>
          <w:color w:val="000000" w:themeColor="text1"/>
        </w:rPr>
        <w:t>IAS 41 ‘Agriculture’ die in 1999 is ingevoerd, bevat een speciale regeling voor agrarische en biologische producten. IAS 41 bevat het onderscheid in agrarische en in verwerkte pr</w:t>
      </w:r>
      <w:r w:rsidR="00B761F4">
        <w:rPr>
          <w:rFonts w:ascii="Arial" w:hAnsi="Arial" w:cs="Arial"/>
          <w:color w:val="000000" w:themeColor="text1"/>
        </w:rPr>
        <w:t>oducten. De richtlijnen voor verwerkte producten zijn vastgelegd in</w:t>
      </w:r>
      <w:r w:rsidRPr="002A2E36">
        <w:rPr>
          <w:rFonts w:ascii="Arial" w:hAnsi="Arial" w:cs="Arial"/>
          <w:color w:val="000000" w:themeColor="text1"/>
        </w:rPr>
        <w:t xml:space="preserve"> IAS 2 ‘Inventories’’ en de richtlijnen voor de agrarische producten en de bi</w:t>
      </w:r>
      <w:r w:rsidR="00B761F4">
        <w:rPr>
          <w:rFonts w:ascii="Arial" w:hAnsi="Arial" w:cs="Arial"/>
          <w:color w:val="000000" w:themeColor="text1"/>
        </w:rPr>
        <w:t>ologische activa</w:t>
      </w:r>
      <w:r w:rsidR="00D82A25">
        <w:rPr>
          <w:rFonts w:ascii="Arial" w:hAnsi="Arial" w:cs="Arial"/>
          <w:color w:val="000000" w:themeColor="text1"/>
        </w:rPr>
        <w:t xml:space="preserve"> in IAS 41 </w:t>
      </w:r>
      <w:sdt>
        <w:sdtPr>
          <w:rPr>
            <w:rFonts w:ascii="Arial" w:hAnsi="Arial" w:cs="Arial"/>
            <w:color w:val="000000" w:themeColor="text1"/>
          </w:rPr>
          <w:id w:val="-173322309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CITATION Delnd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(Deloitte, 2014)</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E91A39" w:rsidRPr="002A2E36" w:rsidRDefault="00E91A39" w:rsidP="00F523EC">
      <w:pPr>
        <w:pStyle w:val="Heading2"/>
        <w:spacing w:line="360" w:lineRule="auto"/>
        <w:rPr>
          <w:rFonts w:cs="Arial"/>
        </w:rPr>
      </w:pPr>
      <w:bookmarkStart w:id="2" w:name="_Toc426984346"/>
      <w:r w:rsidRPr="002A2E36">
        <w:rPr>
          <w:rFonts w:cs="Arial"/>
        </w:rPr>
        <w:t>1.1 Relevantie</w:t>
      </w:r>
      <w:bookmarkEnd w:id="2"/>
    </w:p>
    <w:p w:rsidR="00E91A39" w:rsidRPr="002A2E36" w:rsidRDefault="00CC418F" w:rsidP="00F523EC">
      <w:pPr>
        <w:spacing w:line="360" w:lineRule="auto"/>
        <w:rPr>
          <w:rFonts w:ascii="Arial" w:hAnsi="Arial" w:cs="Arial"/>
          <w:color w:val="000000" w:themeColor="text1"/>
        </w:rPr>
      </w:pPr>
      <w:r w:rsidRPr="002A2E36">
        <w:rPr>
          <w:rFonts w:ascii="Arial" w:hAnsi="Arial" w:cs="Arial"/>
          <w:color w:val="000000" w:themeColor="text1"/>
        </w:rPr>
        <w:t>In 2005 heeft de Eu</w:t>
      </w:r>
      <w:r w:rsidR="00B761F4">
        <w:rPr>
          <w:rFonts w:ascii="Arial" w:hAnsi="Arial" w:cs="Arial"/>
          <w:color w:val="000000" w:themeColor="text1"/>
        </w:rPr>
        <w:t xml:space="preserve">ropese Unie (EU) </w:t>
      </w:r>
      <w:r w:rsidRPr="002A2E36">
        <w:rPr>
          <w:rFonts w:ascii="Arial" w:hAnsi="Arial" w:cs="Arial"/>
          <w:color w:val="000000" w:themeColor="text1"/>
        </w:rPr>
        <w:t xml:space="preserve">alle ondernemingen, die beursgenoteerd zijn, verplicht gesteld om gebruik te maken van de </w:t>
      </w:r>
      <w:r w:rsidR="00340B37">
        <w:rPr>
          <w:rFonts w:ascii="Arial" w:hAnsi="Arial" w:cs="Arial"/>
          <w:color w:val="000000" w:themeColor="text1"/>
        </w:rPr>
        <w:t>International Financial Reporting Standards (</w:t>
      </w:r>
      <w:r w:rsidRPr="002A2E36">
        <w:rPr>
          <w:rFonts w:ascii="Arial" w:hAnsi="Arial" w:cs="Arial"/>
          <w:color w:val="000000" w:themeColor="text1"/>
        </w:rPr>
        <w:t>IFRS</w:t>
      </w:r>
      <w:r w:rsidR="00340B37">
        <w:rPr>
          <w:rFonts w:ascii="Arial" w:hAnsi="Arial" w:cs="Arial"/>
          <w:color w:val="000000" w:themeColor="text1"/>
        </w:rPr>
        <w:t>)</w:t>
      </w:r>
      <w:r w:rsidRPr="002A2E36">
        <w:rPr>
          <w:rFonts w:ascii="Arial" w:hAnsi="Arial" w:cs="Arial"/>
          <w:color w:val="000000" w:themeColor="text1"/>
        </w:rPr>
        <w:t xml:space="preserve"> en IAS standaarden. Deze standaarden moeten worden toegepast op de geconsolideerde jaarrekeningen van de ondernemingen. De verplichte standaarden moeten leiden tot een beter inzicht in de geconsolideerde jaarrekeningen en een betere vergelijkbaarheid tussen ondernemingen </w:t>
      </w:r>
      <w:sdt>
        <w:sdtPr>
          <w:rPr>
            <w:rFonts w:ascii="Arial" w:hAnsi="Arial" w:cs="Arial"/>
            <w:color w:val="000000" w:themeColor="text1"/>
          </w:rPr>
          <w:id w:val="2140608144"/>
          <w:citation/>
        </w:sdtPr>
        <w:sdtContent>
          <w:r w:rsidR="007A6E22" w:rsidRPr="002A2E36">
            <w:rPr>
              <w:rFonts w:ascii="Arial" w:hAnsi="Arial" w:cs="Arial"/>
              <w:color w:val="000000" w:themeColor="text1"/>
            </w:rPr>
            <w:fldChar w:fldCharType="begin"/>
          </w:r>
          <w:r w:rsidRPr="002A2E36">
            <w:rPr>
              <w:rFonts w:ascii="Arial" w:hAnsi="Arial" w:cs="Arial"/>
              <w:color w:val="000000" w:themeColor="text1"/>
            </w:rPr>
            <w:instrText xml:space="preserve">CITATION Ver \l 1043 </w:instrText>
          </w:r>
          <w:r w:rsidR="007A6E22" w:rsidRPr="002A2E36">
            <w:rPr>
              <w:rFonts w:ascii="Arial" w:hAnsi="Arial" w:cs="Arial"/>
              <w:color w:val="000000" w:themeColor="text1"/>
            </w:rPr>
            <w:fldChar w:fldCharType="separate"/>
          </w:r>
          <w:r w:rsidR="00055EC3" w:rsidRPr="00055EC3">
            <w:rPr>
              <w:rFonts w:ascii="Arial" w:hAnsi="Arial" w:cs="Arial"/>
              <w:noProof/>
              <w:color w:val="000000" w:themeColor="text1"/>
            </w:rPr>
            <w:t>(Europees Parlement en de Raad van de Europese Unie, 2002)</w:t>
          </w:r>
          <w:r w:rsidR="007A6E22" w:rsidRPr="002A2E36">
            <w:rPr>
              <w:rFonts w:ascii="Arial" w:hAnsi="Arial" w:cs="Arial"/>
              <w:color w:val="000000" w:themeColor="text1"/>
            </w:rPr>
            <w:fldChar w:fldCharType="end"/>
          </w:r>
        </w:sdtContent>
      </w:sdt>
      <w:r w:rsidRPr="002A2E36">
        <w:rPr>
          <w:rFonts w:ascii="Arial" w:hAnsi="Arial" w:cs="Arial"/>
          <w:color w:val="000000" w:themeColor="text1"/>
        </w:rPr>
        <w:t xml:space="preserve">. </w:t>
      </w:r>
      <w:r w:rsidR="0041529E" w:rsidRPr="002A2E36">
        <w:rPr>
          <w:rFonts w:ascii="Arial" w:hAnsi="Arial" w:cs="Arial"/>
          <w:color w:val="000000" w:themeColor="text1"/>
        </w:rPr>
        <w:t>Nederland behoort tot een van de grootste exporteurs van de wereld als het gaat om agrarische producten. De agrarische producten leveren een grote bijdrage aan de Nede</w:t>
      </w:r>
      <w:r w:rsidR="00B761F4">
        <w:rPr>
          <w:rFonts w:ascii="Arial" w:hAnsi="Arial" w:cs="Arial"/>
          <w:color w:val="000000" w:themeColor="text1"/>
        </w:rPr>
        <w:t xml:space="preserve">rlandse economie. Daarom zal </w:t>
      </w:r>
      <w:r w:rsidR="0041529E" w:rsidRPr="002A2E36">
        <w:rPr>
          <w:rFonts w:ascii="Arial" w:hAnsi="Arial" w:cs="Arial"/>
          <w:color w:val="000000" w:themeColor="text1"/>
        </w:rPr>
        <w:t xml:space="preserve">naast de normale voorraden ook ingegaan worden op de agrarische voorraden. </w:t>
      </w:r>
    </w:p>
    <w:p w:rsidR="0041529E" w:rsidRPr="002A2E36" w:rsidRDefault="0041529E" w:rsidP="00F523EC">
      <w:pPr>
        <w:pStyle w:val="Heading2"/>
        <w:spacing w:line="360" w:lineRule="auto"/>
        <w:rPr>
          <w:rFonts w:cs="Arial"/>
        </w:rPr>
      </w:pPr>
      <w:bookmarkStart w:id="3" w:name="_Toc426984347"/>
      <w:r w:rsidRPr="002A2E36">
        <w:rPr>
          <w:rFonts w:cs="Arial"/>
        </w:rPr>
        <w:t>1.2 Probleemstelling</w:t>
      </w:r>
      <w:bookmarkEnd w:id="3"/>
    </w:p>
    <w:p w:rsidR="00E91A39" w:rsidRPr="002A2E36" w:rsidRDefault="0041529E" w:rsidP="00F523EC">
      <w:pPr>
        <w:spacing w:line="360" w:lineRule="auto"/>
        <w:rPr>
          <w:rFonts w:ascii="Arial" w:hAnsi="Arial" w:cs="Arial"/>
          <w:color w:val="000000" w:themeColor="text1"/>
        </w:rPr>
      </w:pPr>
      <w:r w:rsidRPr="002A2E36">
        <w:rPr>
          <w:rFonts w:ascii="Arial" w:hAnsi="Arial" w:cs="Arial"/>
          <w:color w:val="000000" w:themeColor="text1"/>
        </w:rPr>
        <w:t xml:space="preserve">De invoering en het verplicht stellen van IAS 2 en IAS 41 hebben tot gevolg dat bedrijven moeten omschakelen als het gaat om het opstellen van de geconsolideerde jaarrekening. </w:t>
      </w:r>
      <w:r w:rsidR="002F51A7" w:rsidRPr="002A2E36">
        <w:rPr>
          <w:rFonts w:ascii="Arial" w:hAnsi="Arial" w:cs="Arial"/>
          <w:color w:val="000000" w:themeColor="text1"/>
        </w:rPr>
        <w:t xml:space="preserve">De IFRS standaarden verschillen ten opzichte van de RJ. </w:t>
      </w:r>
      <w:r w:rsidR="00B761F4">
        <w:rPr>
          <w:rFonts w:ascii="Arial" w:hAnsi="Arial" w:cs="Arial"/>
          <w:color w:val="000000" w:themeColor="text1"/>
        </w:rPr>
        <w:t>De probleemstelling van dit onderzoek luidt als volgt:</w:t>
      </w:r>
    </w:p>
    <w:p w:rsidR="0041529E" w:rsidRPr="002A2E36" w:rsidRDefault="00241542" w:rsidP="00F523EC">
      <w:pPr>
        <w:spacing w:line="360" w:lineRule="auto"/>
        <w:rPr>
          <w:rFonts w:ascii="Arial" w:hAnsi="Arial" w:cs="Arial"/>
          <w:i/>
          <w:color w:val="000000" w:themeColor="text1"/>
        </w:rPr>
      </w:pPr>
      <w:r w:rsidRPr="002A2E36">
        <w:rPr>
          <w:rFonts w:ascii="Arial" w:hAnsi="Arial" w:cs="Arial"/>
          <w:i/>
          <w:color w:val="000000" w:themeColor="text1"/>
        </w:rPr>
        <w:t xml:space="preserve">Wat is de </w:t>
      </w:r>
      <w:r w:rsidR="00A9475E" w:rsidRPr="002A2E36">
        <w:rPr>
          <w:rFonts w:ascii="Arial" w:hAnsi="Arial" w:cs="Arial"/>
          <w:i/>
          <w:color w:val="000000" w:themeColor="text1"/>
        </w:rPr>
        <w:t xml:space="preserve">impact </w:t>
      </w:r>
      <w:r w:rsidR="00BD0D40">
        <w:rPr>
          <w:rFonts w:ascii="Arial" w:hAnsi="Arial" w:cs="Arial"/>
          <w:i/>
          <w:color w:val="000000" w:themeColor="text1"/>
        </w:rPr>
        <w:t>op de voorraden door</w:t>
      </w:r>
      <w:r w:rsidRPr="002A2E36">
        <w:rPr>
          <w:rFonts w:ascii="Arial" w:hAnsi="Arial" w:cs="Arial"/>
          <w:i/>
          <w:color w:val="000000" w:themeColor="text1"/>
        </w:rPr>
        <w:t xml:space="preserve"> </w:t>
      </w:r>
      <w:r w:rsidR="00B149AA">
        <w:rPr>
          <w:rFonts w:ascii="Arial" w:hAnsi="Arial" w:cs="Arial"/>
          <w:i/>
          <w:color w:val="000000" w:themeColor="text1"/>
        </w:rPr>
        <w:t>d</w:t>
      </w:r>
      <w:r w:rsidR="00BD0D40">
        <w:rPr>
          <w:rFonts w:ascii="Arial" w:hAnsi="Arial" w:cs="Arial"/>
          <w:i/>
          <w:color w:val="000000" w:themeColor="text1"/>
        </w:rPr>
        <w:t>e verplichte invoering van IFRS</w:t>
      </w:r>
      <w:r w:rsidR="0041529E" w:rsidRPr="002A2E36">
        <w:rPr>
          <w:rFonts w:ascii="Arial" w:hAnsi="Arial" w:cs="Arial"/>
          <w:i/>
          <w:color w:val="000000" w:themeColor="text1"/>
        </w:rPr>
        <w:t>?</w:t>
      </w:r>
    </w:p>
    <w:p w:rsidR="00E91A39" w:rsidRDefault="00E91A39" w:rsidP="00F523EC">
      <w:pPr>
        <w:spacing w:line="360" w:lineRule="auto"/>
        <w:rPr>
          <w:rFonts w:ascii="Arial" w:hAnsi="Arial" w:cs="Arial"/>
          <w:color w:val="000000" w:themeColor="text1"/>
        </w:rPr>
      </w:pPr>
      <w:r w:rsidRPr="002A2E36">
        <w:rPr>
          <w:rFonts w:ascii="Arial" w:hAnsi="Arial" w:cs="Arial"/>
          <w:color w:val="000000" w:themeColor="text1"/>
        </w:rPr>
        <w:t xml:space="preserve">Deze vraag wordt beantwoord met behulp van een </w:t>
      </w:r>
      <w:r w:rsidR="00F91F92" w:rsidRPr="002A2E36">
        <w:rPr>
          <w:rFonts w:ascii="Arial" w:hAnsi="Arial" w:cs="Arial"/>
          <w:color w:val="000000" w:themeColor="text1"/>
        </w:rPr>
        <w:t>aantal</w:t>
      </w:r>
      <w:r w:rsidR="000C0CB4">
        <w:rPr>
          <w:rFonts w:ascii="Arial" w:hAnsi="Arial" w:cs="Arial"/>
          <w:color w:val="000000" w:themeColor="text1"/>
        </w:rPr>
        <w:t xml:space="preserve"> deelvragen</w:t>
      </w:r>
      <w:r w:rsidR="00F91F92" w:rsidRPr="002A2E36">
        <w:rPr>
          <w:rFonts w:ascii="Arial" w:hAnsi="Arial" w:cs="Arial"/>
          <w:color w:val="000000" w:themeColor="text1"/>
        </w:rPr>
        <w:t>, dat</w:t>
      </w:r>
      <w:r w:rsidRPr="002A2E36">
        <w:rPr>
          <w:rFonts w:ascii="Arial" w:hAnsi="Arial" w:cs="Arial"/>
          <w:color w:val="000000" w:themeColor="text1"/>
        </w:rPr>
        <w:t xml:space="preserve"> uiteindelijk </w:t>
      </w:r>
      <w:r w:rsidR="00AD51CB">
        <w:rPr>
          <w:rFonts w:ascii="Arial" w:hAnsi="Arial" w:cs="Arial"/>
          <w:color w:val="000000" w:themeColor="text1"/>
        </w:rPr>
        <w:t>tot de conclusie leiden. Om</w:t>
      </w:r>
      <w:r w:rsidRPr="002A2E36">
        <w:rPr>
          <w:rFonts w:ascii="Arial" w:hAnsi="Arial" w:cs="Arial"/>
          <w:color w:val="000000" w:themeColor="text1"/>
        </w:rPr>
        <w:t xml:space="preserve"> deze vragen te beantwoorden wordt geb</w:t>
      </w:r>
      <w:r w:rsidR="00B761F4">
        <w:rPr>
          <w:rFonts w:ascii="Arial" w:hAnsi="Arial" w:cs="Arial"/>
          <w:color w:val="000000" w:themeColor="text1"/>
        </w:rPr>
        <w:t xml:space="preserve">ruik gemaakt van theorie en </w:t>
      </w:r>
      <w:r w:rsidRPr="002A2E36">
        <w:rPr>
          <w:rFonts w:ascii="Arial" w:hAnsi="Arial" w:cs="Arial"/>
          <w:color w:val="000000" w:themeColor="text1"/>
        </w:rPr>
        <w:t>wetenschappelijke artikelen.</w:t>
      </w:r>
      <w:r w:rsidR="00241542" w:rsidRPr="002A2E36">
        <w:rPr>
          <w:rFonts w:ascii="Arial" w:hAnsi="Arial" w:cs="Arial"/>
          <w:color w:val="000000" w:themeColor="text1"/>
        </w:rPr>
        <w:t xml:space="preserve"> Er zal een vergelijking worden gemaakt tussen enerzijds IFRS (IAS 2 en IAS 41) en de RJ anderzijds. De vergelijking wordt gemaakt omdat het voor beursgenoteerde bedrijven verplicht is om IFRS toe te passen in </w:t>
      </w:r>
      <w:r w:rsidR="00A9475E">
        <w:rPr>
          <w:rFonts w:ascii="Arial" w:hAnsi="Arial" w:cs="Arial"/>
          <w:color w:val="000000" w:themeColor="text1"/>
        </w:rPr>
        <w:t>de geconsolideerde jaarrekening</w:t>
      </w:r>
      <w:r w:rsidR="00241542" w:rsidRPr="002A2E36">
        <w:rPr>
          <w:rFonts w:ascii="Arial" w:hAnsi="Arial" w:cs="Arial"/>
          <w:color w:val="000000" w:themeColor="text1"/>
        </w:rPr>
        <w:t xml:space="preserve">. </w:t>
      </w:r>
    </w:p>
    <w:p w:rsidR="007E2C61" w:rsidRDefault="007E2C61" w:rsidP="007E2C61">
      <w:pPr>
        <w:spacing w:line="360" w:lineRule="auto"/>
        <w:rPr>
          <w:rFonts w:ascii="Arial" w:hAnsi="Arial" w:cs="Arial"/>
          <w:color w:val="000000" w:themeColor="text1"/>
        </w:rPr>
      </w:pPr>
      <w:r w:rsidRPr="002A2E36">
        <w:rPr>
          <w:rFonts w:ascii="Arial" w:hAnsi="Arial" w:cs="Arial"/>
          <w:color w:val="000000" w:themeColor="text1"/>
        </w:rPr>
        <w:t>Hoofd</w:t>
      </w:r>
      <w:r>
        <w:rPr>
          <w:rFonts w:ascii="Arial" w:hAnsi="Arial" w:cs="Arial"/>
          <w:color w:val="000000" w:themeColor="text1"/>
        </w:rPr>
        <w:t>stuk 2</w:t>
      </w:r>
      <w:r w:rsidRPr="002A2E36">
        <w:rPr>
          <w:rFonts w:ascii="Arial" w:hAnsi="Arial" w:cs="Arial"/>
          <w:color w:val="000000" w:themeColor="text1"/>
        </w:rPr>
        <w:t xml:space="preserve"> besteed nader aandacht aan de inhoud van IAS 2. De daar bijhorende vragen zijn: </w:t>
      </w:r>
    </w:p>
    <w:p w:rsidR="007E2C61" w:rsidRDefault="007E2C61" w:rsidP="007E2C61">
      <w:pPr>
        <w:spacing w:line="360" w:lineRule="auto"/>
        <w:rPr>
          <w:rFonts w:ascii="Arial" w:hAnsi="Arial" w:cs="Arial"/>
          <w:color w:val="000000" w:themeColor="text1"/>
        </w:rPr>
      </w:pPr>
      <w:r>
        <w:rPr>
          <w:rFonts w:ascii="Arial" w:hAnsi="Arial" w:cs="Arial"/>
          <w:color w:val="000000" w:themeColor="text1"/>
        </w:rPr>
        <w:t>De hoofdvraag van dit hoofdstuk luid</w:t>
      </w:r>
      <w:r w:rsidR="00B761F4">
        <w:rPr>
          <w:rFonts w:ascii="Arial" w:hAnsi="Arial" w:cs="Arial"/>
          <w:color w:val="000000" w:themeColor="text1"/>
        </w:rPr>
        <w:t>t</w:t>
      </w:r>
      <w:r>
        <w:rPr>
          <w:rFonts w:ascii="Arial" w:hAnsi="Arial" w:cs="Arial"/>
          <w:color w:val="000000" w:themeColor="text1"/>
        </w:rPr>
        <w:t>:</w:t>
      </w:r>
    </w:p>
    <w:p w:rsidR="007E2C61" w:rsidRDefault="007E2C61" w:rsidP="007E2C61">
      <w:pPr>
        <w:spacing w:line="360" w:lineRule="auto"/>
        <w:rPr>
          <w:rFonts w:ascii="Arial" w:hAnsi="Arial" w:cs="Arial"/>
          <w:i/>
          <w:color w:val="000000" w:themeColor="text1"/>
        </w:rPr>
      </w:pPr>
      <w:r w:rsidRPr="007E2C61">
        <w:rPr>
          <w:rFonts w:ascii="Arial" w:hAnsi="Arial" w:cs="Arial"/>
          <w:i/>
          <w:color w:val="000000" w:themeColor="text1"/>
        </w:rPr>
        <w:t>Wat houd IAS 2 in?</w:t>
      </w:r>
    </w:p>
    <w:p w:rsidR="007E2C61" w:rsidRPr="007E2C61" w:rsidRDefault="007E2C61" w:rsidP="007E2C61">
      <w:pPr>
        <w:spacing w:line="360" w:lineRule="auto"/>
        <w:rPr>
          <w:rFonts w:ascii="Arial" w:hAnsi="Arial" w:cs="Arial"/>
          <w:color w:val="000000" w:themeColor="text1"/>
        </w:rPr>
      </w:pPr>
      <w:r>
        <w:rPr>
          <w:rFonts w:ascii="Arial" w:hAnsi="Arial" w:cs="Arial"/>
          <w:color w:val="000000" w:themeColor="text1"/>
        </w:rPr>
        <w:t xml:space="preserve">De daar bijhorende </w:t>
      </w:r>
      <w:r w:rsidR="00B761F4">
        <w:rPr>
          <w:rFonts w:ascii="Arial" w:hAnsi="Arial" w:cs="Arial"/>
          <w:color w:val="000000" w:themeColor="text1"/>
        </w:rPr>
        <w:t>sub-vragen</w:t>
      </w:r>
      <w:r>
        <w:rPr>
          <w:rFonts w:ascii="Arial" w:hAnsi="Arial" w:cs="Arial"/>
          <w:color w:val="000000" w:themeColor="text1"/>
        </w:rPr>
        <w:t xml:space="preserve"> zijn:</w:t>
      </w:r>
    </w:p>
    <w:p w:rsidR="007E2C61" w:rsidRPr="002A2E36" w:rsidRDefault="007E2C61" w:rsidP="007E2C61">
      <w:pPr>
        <w:pStyle w:val="ListParagraph"/>
        <w:numPr>
          <w:ilvl w:val="0"/>
          <w:numId w:val="12"/>
        </w:numPr>
        <w:spacing w:line="360" w:lineRule="auto"/>
        <w:rPr>
          <w:rFonts w:ascii="Arial" w:hAnsi="Arial" w:cs="Arial"/>
          <w:color w:val="000000" w:themeColor="text1"/>
        </w:rPr>
      </w:pPr>
      <w:r w:rsidRPr="002A2E36">
        <w:rPr>
          <w:rFonts w:ascii="Arial" w:hAnsi="Arial" w:cs="Arial"/>
          <w:color w:val="000000" w:themeColor="text1"/>
        </w:rPr>
        <w:t>Wat is veranderd in IAS 2 in 2003?</w:t>
      </w:r>
    </w:p>
    <w:p w:rsidR="007E2C61" w:rsidRPr="007E2C61" w:rsidRDefault="007E2C61" w:rsidP="007E2C61">
      <w:pPr>
        <w:pStyle w:val="ListParagraph"/>
        <w:numPr>
          <w:ilvl w:val="0"/>
          <w:numId w:val="12"/>
        </w:numPr>
        <w:spacing w:line="360" w:lineRule="auto"/>
        <w:rPr>
          <w:rFonts w:ascii="Arial" w:hAnsi="Arial" w:cs="Arial"/>
          <w:color w:val="000000" w:themeColor="text1"/>
        </w:rPr>
      </w:pPr>
      <w:r w:rsidRPr="007E2C61">
        <w:rPr>
          <w:rFonts w:ascii="Arial" w:hAnsi="Arial" w:cs="Arial"/>
          <w:color w:val="000000" w:themeColor="text1"/>
        </w:rPr>
        <w:t>Welk effect heeft deze verandering gehad?</w:t>
      </w:r>
    </w:p>
    <w:p w:rsidR="00E91A39" w:rsidRDefault="00E91A39" w:rsidP="00F523EC">
      <w:pPr>
        <w:spacing w:line="360" w:lineRule="auto"/>
        <w:rPr>
          <w:rFonts w:ascii="Arial" w:hAnsi="Arial" w:cs="Arial"/>
          <w:color w:val="000000" w:themeColor="text1"/>
        </w:rPr>
      </w:pPr>
      <w:r w:rsidRPr="002A2E36">
        <w:rPr>
          <w:rFonts w:ascii="Arial" w:hAnsi="Arial" w:cs="Arial"/>
          <w:color w:val="000000" w:themeColor="text1"/>
        </w:rPr>
        <w:t xml:space="preserve">In hoofdstuk </w:t>
      </w:r>
      <w:r w:rsidR="007E2C61">
        <w:rPr>
          <w:rFonts w:ascii="Arial" w:hAnsi="Arial" w:cs="Arial"/>
          <w:color w:val="000000" w:themeColor="text1"/>
        </w:rPr>
        <w:t>3</w:t>
      </w:r>
      <w:r w:rsidRPr="002A2E36">
        <w:rPr>
          <w:rFonts w:ascii="Arial" w:hAnsi="Arial" w:cs="Arial"/>
          <w:color w:val="000000" w:themeColor="text1"/>
        </w:rPr>
        <w:t xml:space="preserve"> wordt het begrip voorraad gedefinieerd met behulp van de volgende deelvragen: </w:t>
      </w:r>
    </w:p>
    <w:p w:rsidR="007E2C61" w:rsidRDefault="007E2C61" w:rsidP="00F523EC">
      <w:pPr>
        <w:spacing w:line="360" w:lineRule="auto"/>
        <w:rPr>
          <w:rFonts w:ascii="Arial" w:hAnsi="Arial" w:cs="Arial"/>
          <w:color w:val="000000" w:themeColor="text1"/>
        </w:rPr>
      </w:pPr>
      <w:r>
        <w:rPr>
          <w:rFonts w:ascii="Arial" w:hAnsi="Arial" w:cs="Arial"/>
          <w:color w:val="000000" w:themeColor="text1"/>
        </w:rPr>
        <w:t xml:space="preserve">De hoofdvraag van dit hoofdstuk is: </w:t>
      </w:r>
    </w:p>
    <w:p w:rsidR="007E2C61" w:rsidRPr="007E2C61" w:rsidRDefault="007E2C61" w:rsidP="00F523EC">
      <w:pPr>
        <w:spacing w:line="360" w:lineRule="auto"/>
        <w:rPr>
          <w:rFonts w:ascii="Arial" w:hAnsi="Arial" w:cs="Arial"/>
          <w:i/>
          <w:color w:val="000000" w:themeColor="text1"/>
        </w:rPr>
      </w:pPr>
      <w:r w:rsidRPr="007E2C61">
        <w:rPr>
          <w:rFonts w:ascii="Arial" w:hAnsi="Arial" w:cs="Arial"/>
          <w:i/>
          <w:color w:val="000000" w:themeColor="text1"/>
        </w:rPr>
        <w:t xml:space="preserve">Wat verstaat men onder </w:t>
      </w:r>
      <w:r w:rsidR="00835A5B">
        <w:rPr>
          <w:rFonts w:ascii="Arial" w:hAnsi="Arial" w:cs="Arial"/>
          <w:i/>
          <w:color w:val="000000" w:themeColor="text1"/>
        </w:rPr>
        <w:t xml:space="preserve">het begrip </w:t>
      </w:r>
      <w:r w:rsidRPr="007E2C61">
        <w:rPr>
          <w:rFonts w:ascii="Arial" w:hAnsi="Arial" w:cs="Arial"/>
          <w:i/>
          <w:color w:val="000000" w:themeColor="text1"/>
        </w:rPr>
        <w:t>voorraden?</w:t>
      </w:r>
    </w:p>
    <w:p w:rsidR="007E2C61" w:rsidRPr="002A2E36" w:rsidRDefault="00B761F4" w:rsidP="00F523EC">
      <w:pPr>
        <w:spacing w:line="360" w:lineRule="auto"/>
        <w:rPr>
          <w:rFonts w:ascii="Arial" w:hAnsi="Arial" w:cs="Arial"/>
          <w:color w:val="000000" w:themeColor="text1"/>
        </w:rPr>
      </w:pPr>
      <w:r>
        <w:rPr>
          <w:rFonts w:ascii="Arial" w:hAnsi="Arial" w:cs="Arial"/>
          <w:color w:val="000000" w:themeColor="text1"/>
        </w:rPr>
        <w:t>De daar bijhorende sub-</w:t>
      </w:r>
      <w:r w:rsidR="007E2C61">
        <w:rPr>
          <w:rFonts w:ascii="Arial" w:hAnsi="Arial" w:cs="Arial"/>
          <w:color w:val="000000" w:themeColor="text1"/>
        </w:rPr>
        <w:t>vragen zijn:</w:t>
      </w:r>
    </w:p>
    <w:p w:rsidR="00E91A39" w:rsidRPr="002A2E36" w:rsidRDefault="00E91A39" w:rsidP="00E92EC7">
      <w:pPr>
        <w:pStyle w:val="ListParagraph"/>
        <w:numPr>
          <w:ilvl w:val="0"/>
          <w:numId w:val="13"/>
        </w:numPr>
        <w:spacing w:line="360" w:lineRule="auto"/>
        <w:rPr>
          <w:rFonts w:ascii="Arial" w:hAnsi="Arial" w:cs="Arial"/>
          <w:color w:val="000000" w:themeColor="text1"/>
        </w:rPr>
      </w:pPr>
      <w:r w:rsidRPr="002A2E36">
        <w:rPr>
          <w:rFonts w:ascii="Arial" w:hAnsi="Arial" w:cs="Arial"/>
          <w:color w:val="000000" w:themeColor="text1"/>
        </w:rPr>
        <w:t>Wat zijn voorraden volgens IAS en RJ?</w:t>
      </w:r>
    </w:p>
    <w:p w:rsidR="00E91A39" w:rsidRPr="002A2E36" w:rsidRDefault="00E91A39" w:rsidP="00E92EC7">
      <w:pPr>
        <w:pStyle w:val="ListParagraph"/>
        <w:numPr>
          <w:ilvl w:val="0"/>
          <w:numId w:val="13"/>
        </w:numPr>
        <w:spacing w:line="360" w:lineRule="auto"/>
        <w:rPr>
          <w:rFonts w:ascii="Arial" w:hAnsi="Arial" w:cs="Arial"/>
          <w:color w:val="000000" w:themeColor="text1"/>
        </w:rPr>
      </w:pPr>
      <w:r w:rsidRPr="002A2E36">
        <w:rPr>
          <w:rFonts w:ascii="Arial" w:hAnsi="Arial" w:cs="Arial"/>
          <w:color w:val="000000" w:themeColor="text1"/>
        </w:rPr>
        <w:t xml:space="preserve">Welk onderscheid wordt </w:t>
      </w:r>
      <w:r w:rsidR="00A9475E" w:rsidRPr="002A2E36">
        <w:rPr>
          <w:rFonts w:ascii="Arial" w:hAnsi="Arial" w:cs="Arial"/>
          <w:color w:val="000000" w:themeColor="text1"/>
        </w:rPr>
        <w:t>toegepast?</w:t>
      </w:r>
    </w:p>
    <w:p w:rsidR="00E91A39" w:rsidRPr="002A2E36" w:rsidRDefault="00E91A39" w:rsidP="00E92EC7">
      <w:pPr>
        <w:pStyle w:val="ListParagraph"/>
        <w:numPr>
          <w:ilvl w:val="0"/>
          <w:numId w:val="13"/>
        </w:numPr>
        <w:spacing w:line="360" w:lineRule="auto"/>
        <w:rPr>
          <w:rFonts w:ascii="Arial" w:hAnsi="Arial" w:cs="Arial"/>
          <w:color w:val="000000" w:themeColor="text1"/>
        </w:rPr>
      </w:pPr>
      <w:r w:rsidRPr="002A2E36">
        <w:rPr>
          <w:rFonts w:ascii="Arial" w:hAnsi="Arial" w:cs="Arial"/>
          <w:color w:val="000000" w:themeColor="text1"/>
        </w:rPr>
        <w:t>Wat is het verschil tussen fungibele producten en agrarische producten?</w:t>
      </w:r>
    </w:p>
    <w:p w:rsidR="00E91A39" w:rsidRDefault="003E7ED6" w:rsidP="00F523EC">
      <w:pPr>
        <w:spacing w:line="360" w:lineRule="auto"/>
        <w:rPr>
          <w:rFonts w:ascii="Arial" w:hAnsi="Arial" w:cs="Arial"/>
          <w:color w:val="000000" w:themeColor="text1"/>
        </w:rPr>
      </w:pPr>
      <w:r w:rsidRPr="002A2E36">
        <w:rPr>
          <w:rFonts w:ascii="Arial" w:hAnsi="Arial" w:cs="Arial"/>
          <w:color w:val="000000" w:themeColor="text1"/>
        </w:rPr>
        <w:t>Hoofdstuk 4</w:t>
      </w:r>
      <w:r w:rsidR="00E91A39" w:rsidRPr="002A2E36">
        <w:rPr>
          <w:rFonts w:ascii="Arial" w:hAnsi="Arial" w:cs="Arial"/>
          <w:color w:val="000000" w:themeColor="text1"/>
        </w:rPr>
        <w:t xml:space="preserve"> is gericht op de verschillen tussen de IAS en de RJ. Daarbij horen de volgende deelvragen:</w:t>
      </w:r>
    </w:p>
    <w:p w:rsidR="007E2C61" w:rsidRDefault="007E2C61" w:rsidP="00F523EC">
      <w:pPr>
        <w:spacing w:line="360" w:lineRule="auto"/>
        <w:rPr>
          <w:rFonts w:ascii="Arial" w:hAnsi="Arial" w:cs="Arial"/>
          <w:color w:val="000000" w:themeColor="text1"/>
        </w:rPr>
      </w:pPr>
      <w:r>
        <w:rPr>
          <w:rFonts w:ascii="Arial" w:hAnsi="Arial" w:cs="Arial"/>
          <w:color w:val="000000" w:themeColor="text1"/>
        </w:rPr>
        <w:t xml:space="preserve">De hoofdvraag van dit hoofdstuk is: </w:t>
      </w:r>
    </w:p>
    <w:p w:rsidR="007E2C61" w:rsidRDefault="007E2C61" w:rsidP="00F523EC">
      <w:pPr>
        <w:spacing w:line="360" w:lineRule="auto"/>
        <w:rPr>
          <w:rFonts w:ascii="Arial" w:hAnsi="Arial" w:cs="Arial"/>
          <w:i/>
          <w:color w:val="000000" w:themeColor="text1"/>
        </w:rPr>
      </w:pPr>
      <w:r w:rsidRPr="007E2C61">
        <w:rPr>
          <w:rFonts w:ascii="Arial" w:hAnsi="Arial" w:cs="Arial"/>
          <w:i/>
          <w:color w:val="000000" w:themeColor="text1"/>
        </w:rPr>
        <w:t>Hoe worden de voorraden gewaardeerd?</w:t>
      </w:r>
    </w:p>
    <w:p w:rsidR="007E2C61" w:rsidRPr="007E2C61" w:rsidRDefault="00B761F4" w:rsidP="00F523EC">
      <w:pPr>
        <w:spacing w:line="360" w:lineRule="auto"/>
        <w:rPr>
          <w:rFonts w:ascii="Arial" w:hAnsi="Arial" w:cs="Arial"/>
          <w:color w:val="000000" w:themeColor="text1"/>
        </w:rPr>
      </w:pPr>
      <w:r>
        <w:rPr>
          <w:rFonts w:ascii="Arial" w:hAnsi="Arial" w:cs="Arial"/>
          <w:color w:val="000000" w:themeColor="text1"/>
        </w:rPr>
        <w:t>De daar bijhorende sub-v</w:t>
      </w:r>
      <w:r w:rsidR="007E2C61" w:rsidRPr="007E2C61">
        <w:rPr>
          <w:rFonts w:ascii="Arial" w:hAnsi="Arial" w:cs="Arial"/>
          <w:color w:val="000000" w:themeColor="text1"/>
        </w:rPr>
        <w:t xml:space="preserve">ragen zijn: </w:t>
      </w:r>
    </w:p>
    <w:p w:rsidR="00E91A39" w:rsidRPr="002A2E36" w:rsidRDefault="00E91A39" w:rsidP="00E92EC7">
      <w:pPr>
        <w:pStyle w:val="ListParagraph"/>
        <w:numPr>
          <w:ilvl w:val="0"/>
          <w:numId w:val="12"/>
        </w:numPr>
        <w:spacing w:line="360" w:lineRule="auto"/>
        <w:rPr>
          <w:rFonts w:ascii="Arial" w:hAnsi="Arial" w:cs="Arial"/>
          <w:color w:val="000000" w:themeColor="text1"/>
        </w:rPr>
      </w:pPr>
      <w:r w:rsidRPr="002A2E36">
        <w:rPr>
          <w:rFonts w:ascii="Arial" w:hAnsi="Arial" w:cs="Arial"/>
          <w:color w:val="000000" w:themeColor="text1"/>
        </w:rPr>
        <w:t>Hoe wordt volgens IAS de waardering en het resultaat van agrarische producten vastgesteld?</w:t>
      </w:r>
    </w:p>
    <w:p w:rsidR="00E91A39" w:rsidRPr="002A2E36" w:rsidRDefault="00E91A39" w:rsidP="00E92EC7">
      <w:pPr>
        <w:pStyle w:val="ListParagraph"/>
        <w:numPr>
          <w:ilvl w:val="0"/>
          <w:numId w:val="12"/>
        </w:numPr>
        <w:spacing w:line="360" w:lineRule="auto"/>
        <w:rPr>
          <w:rFonts w:ascii="Arial" w:hAnsi="Arial" w:cs="Arial"/>
          <w:color w:val="000000" w:themeColor="text1"/>
        </w:rPr>
      </w:pPr>
      <w:r w:rsidRPr="002A2E36">
        <w:rPr>
          <w:rFonts w:ascii="Arial" w:hAnsi="Arial" w:cs="Arial"/>
          <w:color w:val="000000" w:themeColor="text1"/>
        </w:rPr>
        <w:t>Hoe wordt volgens IAS de waardering en het resultaat van fungibele producten vastgesteld?</w:t>
      </w:r>
    </w:p>
    <w:p w:rsidR="00E91A39" w:rsidRPr="002A2E36" w:rsidRDefault="00E91A39" w:rsidP="00E92EC7">
      <w:pPr>
        <w:pStyle w:val="ListParagraph"/>
        <w:numPr>
          <w:ilvl w:val="0"/>
          <w:numId w:val="12"/>
        </w:numPr>
        <w:spacing w:line="360" w:lineRule="auto"/>
        <w:rPr>
          <w:rFonts w:ascii="Arial" w:hAnsi="Arial" w:cs="Arial"/>
          <w:color w:val="000000" w:themeColor="text1"/>
        </w:rPr>
      </w:pPr>
      <w:r w:rsidRPr="002A2E36">
        <w:rPr>
          <w:rFonts w:ascii="Arial" w:hAnsi="Arial" w:cs="Arial"/>
          <w:color w:val="000000" w:themeColor="text1"/>
        </w:rPr>
        <w:t>Hoe wordt volgens RJ de waardering en het resultaat van agrarische producten vastgesteld?</w:t>
      </w:r>
    </w:p>
    <w:p w:rsidR="00E91A39" w:rsidRPr="002A2E36" w:rsidRDefault="00E91A39" w:rsidP="00E92EC7">
      <w:pPr>
        <w:pStyle w:val="ListParagraph"/>
        <w:numPr>
          <w:ilvl w:val="0"/>
          <w:numId w:val="12"/>
        </w:numPr>
        <w:spacing w:line="360" w:lineRule="auto"/>
        <w:rPr>
          <w:rFonts w:ascii="Arial" w:hAnsi="Arial" w:cs="Arial"/>
          <w:color w:val="000000" w:themeColor="text1"/>
        </w:rPr>
      </w:pPr>
      <w:r w:rsidRPr="002A2E36">
        <w:rPr>
          <w:rFonts w:ascii="Arial" w:hAnsi="Arial" w:cs="Arial"/>
          <w:color w:val="000000" w:themeColor="text1"/>
        </w:rPr>
        <w:t>Hoe wordt volgens RJ de waardering en het resultaat van fungibele producten vastgesteld?</w:t>
      </w:r>
    </w:p>
    <w:p w:rsidR="007E2C61" w:rsidRDefault="00F523EC" w:rsidP="00F523EC">
      <w:pPr>
        <w:spacing w:line="360" w:lineRule="auto"/>
        <w:rPr>
          <w:rFonts w:ascii="Arial" w:hAnsi="Arial" w:cs="Arial"/>
          <w:color w:val="000000" w:themeColor="text1"/>
        </w:rPr>
      </w:pPr>
      <w:r w:rsidRPr="002A2E36">
        <w:rPr>
          <w:rFonts w:ascii="Arial" w:hAnsi="Arial" w:cs="Arial"/>
          <w:color w:val="000000" w:themeColor="text1"/>
        </w:rPr>
        <w:t>H</w:t>
      </w:r>
      <w:r w:rsidR="003E7ED6" w:rsidRPr="002A2E36">
        <w:rPr>
          <w:rFonts w:ascii="Arial" w:hAnsi="Arial" w:cs="Arial"/>
          <w:color w:val="000000" w:themeColor="text1"/>
        </w:rPr>
        <w:t>oofdstuk 5</w:t>
      </w:r>
      <w:r w:rsidR="00E91A39" w:rsidRPr="002A2E36">
        <w:rPr>
          <w:rFonts w:ascii="Arial" w:hAnsi="Arial" w:cs="Arial"/>
          <w:color w:val="000000" w:themeColor="text1"/>
        </w:rPr>
        <w:t xml:space="preserve"> betreft de voor- en nadelen van </w:t>
      </w:r>
      <w:r w:rsidR="004D66BD" w:rsidRPr="002A2E36">
        <w:rPr>
          <w:rFonts w:ascii="Arial" w:hAnsi="Arial" w:cs="Arial"/>
          <w:color w:val="000000" w:themeColor="text1"/>
        </w:rPr>
        <w:t>IAS.</w:t>
      </w:r>
      <w:r w:rsidR="007E2C61">
        <w:rPr>
          <w:rFonts w:ascii="Arial" w:hAnsi="Arial" w:cs="Arial"/>
          <w:color w:val="000000" w:themeColor="text1"/>
        </w:rPr>
        <w:t xml:space="preserve"> De hoofdvraag luid</w:t>
      </w:r>
      <w:r w:rsidR="00B761F4">
        <w:rPr>
          <w:rFonts w:ascii="Arial" w:hAnsi="Arial" w:cs="Arial"/>
          <w:color w:val="000000" w:themeColor="text1"/>
        </w:rPr>
        <w:t>t</w:t>
      </w:r>
      <w:r w:rsidR="007E2C61">
        <w:rPr>
          <w:rFonts w:ascii="Arial" w:hAnsi="Arial" w:cs="Arial"/>
          <w:color w:val="000000" w:themeColor="text1"/>
        </w:rPr>
        <w:t xml:space="preserve">: </w:t>
      </w:r>
    </w:p>
    <w:p w:rsidR="00E91A39" w:rsidRPr="007E2C61" w:rsidRDefault="007E2C61" w:rsidP="00F523EC">
      <w:pPr>
        <w:spacing w:line="360" w:lineRule="auto"/>
        <w:rPr>
          <w:rFonts w:ascii="Arial" w:hAnsi="Arial" w:cs="Arial"/>
          <w:i/>
          <w:color w:val="000000" w:themeColor="text1"/>
        </w:rPr>
      </w:pPr>
      <w:r w:rsidRPr="007E2C61">
        <w:rPr>
          <w:rFonts w:ascii="Arial" w:hAnsi="Arial" w:cs="Arial"/>
          <w:i/>
          <w:color w:val="000000" w:themeColor="text1"/>
        </w:rPr>
        <w:t xml:space="preserve">Wat zijn de voor- en nadelen van </w:t>
      </w:r>
      <w:r w:rsidR="00A9475E" w:rsidRPr="007E2C61">
        <w:rPr>
          <w:rFonts w:ascii="Arial" w:hAnsi="Arial" w:cs="Arial"/>
          <w:i/>
          <w:color w:val="000000" w:themeColor="text1"/>
        </w:rPr>
        <w:t xml:space="preserve">IAS? </w:t>
      </w:r>
    </w:p>
    <w:p w:rsidR="007F4524" w:rsidRPr="002A2E36" w:rsidRDefault="003E7ED6" w:rsidP="00F523EC">
      <w:pPr>
        <w:spacing w:line="360" w:lineRule="auto"/>
        <w:rPr>
          <w:rFonts w:ascii="Arial" w:hAnsi="Arial" w:cs="Arial"/>
          <w:color w:val="000000" w:themeColor="text1"/>
        </w:rPr>
      </w:pPr>
      <w:r w:rsidRPr="002A2E36">
        <w:rPr>
          <w:rFonts w:ascii="Arial" w:hAnsi="Arial" w:cs="Arial"/>
          <w:color w:val="000000" w:themeColor="text1"/>
        </w:rPr>
        <w:t>Hoofdstuk 6</w:t>
      </w:r>
      <w:r w:rsidR="00E91A39" w:rsidRPr="002A2E36">
        <w:rPr>
          <w:rFonts w:ascii="Arial" w:hAnsi="Arial" w:cs="Arial"/>
          <w:color w:val="000000" w:themeColor="text1"/>
        </w:rPr>
        <w:t xml:space="preserve"> </w:t>
      </w:r>
      <w:r w:rsidR="00B761F4">
        <w:rPr>
          <w:rFonts w:ascii="Arial" w:hAnsi="Arial" w:cs="Arial"/>
          <w:color w:val="000000" w:themeColor="text1"/>
        </w:rPr>
        <w:t>omvat</w:t>
      </w:r>
      <w:r w:rsidR="00147D7B" w:rsidRPr="002A2E36">
        <w:rPr>
          <w:rFonts w:ascii="Arial" w:hAnsi="Arial" w:cs="Arial"/>
          <w:color w:val="000000" w:themeColor="text1"/>
        </w:rPr>
        <w:t xml:space="preserve"> een samenvatting </w:t>
      </w:r>
      <w:r w:rsidR="00E91A39" w:rsidRPr="002A2E36">
        <w:rPr>
          <w:rFonts w:ascii="Arial" w:hAnsi="Arial" w:cs="Arial"/>
          <w:color w:val="000000" w:themeColor="text1"/>
        </w:rPr>
        <w:t>en de conclusie.</w:t>
      </w:r>
    </w:p>
    <w:p w:rsidR="004D66BD" w:rsidRPr="002A2E36" w:rsidRDefault="004D66BD" w:rsidP="00F523EC">
      <w:pPr>
        <w:pStyle w:val="Heading2"/>
        <w:spacing w:line="360" w:lineRule="auto"/>
        <w:rPr>
          <w:rFonts w:cs="Arial"/>
        </w:rPr>
      </w:pPr>
      <w:bookmarkStart w:id="4" w:name="_Toc426984348"/>
      <w:r w:rsidRPr="002A2E36">
        <w:rPr>
          <w:rFonts w:cs="Arial"/>
        </w:rPr>
        <w:t>1.3 Onderzoeksmethode</w:t>
      </w:r>
      <w:bookmarkEnd w:id="4"/>
    </w:p>
    <w:p w:rsidR="00A730CC" w:rsidRPr="002A2E36" w:rsidRDefault="003E7ED6" w:rsidP="00F523EC">
      <w:pPr>
        <w:spacing w:line="360" w:lineRule="auto"/>
        <w:rPr>
          <w:rFonts w:ascii="Arial" w:hAnsi="Arial" w:cs="Arial"/>
          <w:color w:val="000000" w:themeColor="text1"/>
        </w:rPr>
      </w:pPr>
      <w:r w:rsidRPr="002A2E36">
        <w:rPr>
          <w:rFonts w:ascii="Arial" w:hAnsi="Arial" w:cs="Arial"/>
          <w:color w:val="000000" w:themeColor="text1"/>
        </w:rPr>
        <w:t>Om een inzicht te krijgen i</w:t>
      </w:r>
      <w:r w:rsidR="00B761F4">
        <w:rPr>
          <w:rFonts w:ascii="Arial" w:hAnsi="Arial" w:cs="Arial"/>
          <w:color w:val="000000" w:themeColor="text1"/>
        </w:rPr>
        <w:t>n de ontwikkelingen van IAS zal gebruik</w:t>
      </w:r>
      <w:r w:rsidRPr="002A2E36">
        <w:rPr>
          <w:rFonts w:ascii="Arial" w:hAnsi="Arial" w:cs="Arial"/>
          <w:color w:val="000000" w:themeColor="text1"/>
        </w:rPr>
        <w:t xml:space="preserve"> gemaakt w</w:t>
      </w:r>
      <w:r w:rsidR="00F523EC" w:rsidRPr="002A2E36">
        <w:rPr>
          <w:rFonts w:ascii="Arial" w:hAnsi="Arial" w:cs="Arial"/>
          <w:color w:val="000000" w:themeColor="text1"/>
        </w:rPr>
        <w:t xml:space="preserve">orden van bestaande literatuur. </w:t>
      </w:r>
      <w:r w:rsidRPr="002A2E36">
        <w:rPr>
          <w:rFonts w:ascii="Arial" w:hAnsi="Arial" w:cs="Arial"/>
          <w:color w:val="000000" w:themeColor="text1"/>
        </w:rPr>
        <w:t xml:space="preserve">Hoofdstuk twee, drie en vier zullen worden beantwoord aan de hand van bestaande literatuur. Het begrip voorraden, IAS en RJ worden hierin toegelicht. In het vijfde hoofdstuk zullen er een aantal kritiekpunten, voor- en nadelen, worden </w:t>
      </w:r>
      <w:r w:rsidR="00F523EC" w:rsidRPr="002A2E36">
        <w:rPr>
          <w:rFonts w:ascii="Arial" w:hAnsi="Arial" w:cs="Arial"/>
          <w:color w:val="000000" w:themeColor="text1"/>
        </w:rPr>
        <w:t>opgesomd aan de hand van besta</w:t>
      </w:r>
      <w:r w:rsidR="00B761F4">
        <w:rPr>
          <w:rFonts w:ascii="Arial" w:hAnsi="Arial" w:cs="Arial"/>
          <w:color w:val="000000" w:themeColor="text1"/>
        </w:rPr>
        <w:t>ande literatuur. V</w:t>
      </w:r>
      <w:r w:rsidR="00624E4E" w:rsidRPr="002A2E36">
        <w:rPr>
          <w:rFonts w:ascii="Arial" w:hAnsi="Arial" w:cs="Arial"/>
          <w:color w:val="000000" w:themeColor="text1"/>
        </w:rPr>
        <w:t>ervolgen</w:t>
      </w:r>
      <w:r w:rsidR="00F523EC" w:rsidRPr="002A2E36">
        <w:rPr>
          <w:rFonts w:ascii="Arial" w:hAnsi="Arial" w:cs="Arial"/>
          <w:color w:val="000000" w:themeColor="text1"/>
        </w:rPr>
        <w:t xml:space="preserve">s </w:t>
      </w:r>
      <w:r w:rsidR="00B761F4">
        <w:rPr>
          <w:rFonts w:ascii="Arial" w:hAnsi="Arial" w:cs="Arial"/>
          <w:color w:val="000000" w:themeColor="text1"/>
        </w:rPr>
        <w:t xml:space="preserve">wordt </w:t>
      </w:r>
      <w:r w:rsidR="00F523EC" w:rsidRPr="002A2E36">
        <w:rPr>
          <w:rFonts w:ascii="Arial" w:hAnsi="Arial" w:cs="Arial"/>
          <w:color w:val="000000" w:themeColor="text1"/>
        </w:rPr>
        <w:t>in hoofdstuk</w:t>
      </w:r>
      <w:r w:rsidR="00C9279D">
        <w:rPr>
          <w:rFonts w:ascii="Arial" w:hAnsi="Arial" w:cs="Arial"/>
          <w:color w:val="000000" w:themeColor="text1"/>
        </w:rPr>
        <w:t xml:space="preserve"> zes</w:t>
      </w:r>
      <w:r w:rsidR="00F523EC" w:rsidRPr="002A2E36">
        <w:rPr>
          <w:rFonts w:ascii="Arial" w:hAnsi="Arial" w:cs="Arial"/>
          <w:color w:val="000000" w:themeColor="text1"/>
        </w:rPr>
        <w:t xml:space="preserve"> antwoord ge</w:t>
      </w:r>
      <w:r w:rsidR="00624E4E" w:rsidRPr="002A2E36">
        <w:rPr>
          <w:rFonts w:ascii="Arial" w:hAnsi="Arial" w:cs="Arial"/>
          <w:color w:val="000000" w:themeColor="text1"/>
        </w:rPr>
        <w:t xml:space="preserve">geven op de hoofdvraag.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br w:type="page"/>
      </w:r>
    </w:p>
    <w:p w:rsidR="00D401BE" w:rsidRPr="002A2E36" w:rsidRDefault="00835A5B" w:rsidP="00835A5B">
      <w:pPr>
        <w:pStyle w:val="Heading1"/>
        <w:numPr>
          <w:ilvl w:val="0"/>
          <w:numId w:val="2"/>
        </w:numPr>
        <w:spacing w:line="360" w:lineRule="auto"/>
        <w:rPr>
          <w:rFonts w:ascii="Arial" w:hAnsi="Arial" w:cs="Arial"/>
        </w:rPr>
      </w:pPr>
      <w:bookmarkStart w:id="5" w:name="_Toc426984349"/>
      <w:r w:rsidRPr="00835A5B">
        <w:rPr>
          <w:rFonts w:ascii="Arial" w:hAnsi="Arial" w:cs="Arial"/>
        </w:rPr>
        <w:t>Wat houd IAS 2 in?</w:t>
      </w:r>
      <w:bookmarkEnd w:id="5"/>
    </w:p>
    <w:p w:rsidR="00D401BE" w:rsidRPr="002A2E36" w:rsidRDefault="00D401BE" w:rsidP="00D401BE">
      <w:pPr>
        <w:spacing w:line="360" w:lineRule="auto"/>
        <w:rPr>
          <w:rFonts w:ascii="Arial" w:hAnsi="Arial" w:cs="Arial"/>
          <w:color w:val="000000" w:themeColor="text1"/>
        </w:rPr>
      </w:pPr>
    </w:p>
    <w:p w:rsidR="00D401BE" w:rsidRPr="002A2E36" w:rsidRDefault="00340B37" w:rsidP="00D401BE">
      <w:pPr>
        <w:spacing w:line="360" w:lineRule="auto"/>
        <w:rPr>
          <w:rFonts w:ascii="Arial" w:hAnsi="Arial" w:cs="Arial"/>
          <w:color w:val="000000" w:themeColor="text1"/>
        </w:rPr>
      </w:pPr>
      <w:r>
        <w:rPr>
          <w:rFonts w:ascii="Arial" w:hAnsi="Arial" w:cs="Arial"/>
          <w:color w:val="000000" w:themeColor="text1"/>
        </w:rPr>
        <w:t>De International Accounting Standards Board (IASB)</w:t>
      </w:r>
      <w:r w:rsidR="00D401BE" w:rsidRPr="002A2E36">
        <w:rPr>
          <w:rFonts w:ascii="Arial" w:hAnsi="Arial" w:cs="Arial"/>
          <w:color w:val="000000" w:themeColor="text1"/>
        </w:rPr>
        <w:t xml:space="preserve"> en haar rechtsvoorganger de IASC</w:t>
      </w:r>
      <w:r w:rsidR="003A2DFF">
        <w:rPr>
          <w:rFonts w:ascii="Arial" w:hAnsi="Arial" w:cs="Arial"/>
          <w:color w:val="000000" w:themeColor="text1"/>
        </w:rPr>
        <w:t>,</w:t>
      </w:r>
      <w:r w:rsidR="00D401BE" w:rsidRPr="002A2E36">
        <w:rPr>
          <w:rFonts w:ascii="Arial" w:hAnsi="Arial" w:cs="Arial"/>
          <w:color w:val="000000" w:themeColor="text1"/>
        </w:rPr>
        <w:t xml:space="preserve"> is sinds 1974 actief met de ontwikkeling van IAS 2. In 1993 is IAS 2 gepubliceerd die</w:t>
      </w:r>
      <w:r w:rsidR="003A2DFF">
        <w:rPr>
          <w:rFonts w:ascii="Arial" w:hAnsi="Arial" w:cs="Arial"/>
          <w:color w:val="000000" w:themeColor="text1"/>
        </w:rPr>
        <w:t xml:space="preserve"> vervolgens in</w:t>
      </w:r>
      <w:r w:rsidR="00D401BE" w:rsidRPr="002A2E36">
        <w:rPr>
          <w:rFonts w:ascii="Arial" w:hAnsi="Arial" w:cs="Arial"/>
          <w:color w:val="000000" w:themeColor="text1"/>
        </w:rPr>
        <w:t xml:space="preserve"> 2003 is herzien.</w:t>
      </w:r>
      <w:r w:rsidR="003A2DFF">
        <w:rPr>
          <w:rFonts w:ascii="Arial" w:hAnsi="Arial" w:cs="Arial"/>
          <w:color w:val="000000" w:themeColor="text1"/>
        </w:rPr>
        <w:t xml:space="preserve"> Tussendoor zijn eveneens proefschriften</w:t>
      </w:r>
      <w:r w:rsidR="00D82A25">
        <w:rPr>
          <w:rFonts w:ascii="Arial" w:hAnsi="Arial" w:cs="Arial"/>
          <w:color w:val="000000" w:themeColor="text1"/>
        </w:rPr>
        <w:t xml:space="preserve"> gepubliceerd </w:t>
      </w:r>
      <w:sdt>
        <w:sdtPr>
          <w:rPr>
            <w:rFonts w:ascii="Arial" w:hAnsi="Arial" w:cs="Arial"/>
            <w:color w:val="000000" w:themeColor="text1"/>
          </w:rPr>
          <w:id w:val="92054464"/>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CITATION Delnd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(Deloitte, 2014)</w:t>
          </w:r>
          <w:r w:rsidR="007A6E22">
            <w:rPr>
              <w:rFonts w:ascii="Arial" w:hAnsi="Arial" w:cs="Arial"/>
              <w:color w:val="000000" w:themeColor="text1"/>
            </w:rPr>
            <w:fldChar w:fldCharType="end"/>
          </w:r>
        </w:sdtContent>
      </w:sdt>
      <w:r w:rsidR="00D401BE" w:rsidRPr="002A2E36">
        <w:rPr>
          <w:rFonts w:ascii="Arial" w:hAnsi="Arial" w:cs="Arial"/>
          <w:color w:val="000000" w:themeColor="text1"/>
        </w:rPr>
        <w:t xml:space="preserve">. </w:t>
      </w:r>
    </w:p>
    <w:p w:rsidR="00D401BE" w:rsidRPr="002A2E36" w:rsidRDefault="00D401BE" w:rsidP="00D401BE">
      <w:pPr>
        <w:pStyle w:val="Heading2"/>
        <w:spacing w:line="360" w:lineRule="auto"/>
        <w:rPr>
          <w:rFonts w:cs="Arial"/>
        </w:rPr>
      </w:pPr>
      <w:bookmarkStart w:id="6" w:name="_Toc426984350"/>
      <w:r w:rsidRPr="002A2E36">
        <w:rPr>
          <w:rFonts w:cs="Arial"/>
        </w:rPr>
        <w:t>2.1 Wat is in IAS 2 veranderd in 2003?</w:t>
      </w:r>
      <w:bookmarkEnd w:id="6"/>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 xml:space="preserve">De doelstelling van de IAS is </w:t>
      </w:r>
      <w:r w:rsidR="003A2DFF">
        <w:rPr>
          <w:rFonts w:ascii="Arial" w:hAnsi="Arial" w:cs="Arial"/>
          <w:color w:val="000000" w:themeColor="text1"/>
        </w:rPr>
        <w:t xml:space="preserve">aan de hand van </w:t>
      </w:r>
      <w:r w:rsidRPr="002A2E36">
        <w:rPr>
          <w:rFonts w:ascii="Arial" w:hAnsi="Arial" w:cs="Arial"/>
          <w:color w:val="000000" w:themeColor="text1"/>
        </w:rPr>
        <w:t xml:space="preserve">regels vast te stellen dat de voorraad die verkocht is dezelfde waarde heeft als de uitgaven betreffende het verkrijgen van de voorraad. In de praktijk bestaan de volgende drie methoden die veelvuldig gebruikt worden: </w:t>
      </w:r>
    </w:p>
    <w:p w:rsidR="00E92EC7" w:rsidRPr="002A2E36" w:rsidRDefault="00E92EC7" w:rsidP="00E92EC7">
      <w:pPr>
        <w:pStyle w:val="ListParagraph"/>
        <w:numPr>
          <w:ilvl w:val="0"/>
          <w:numId w:val="14"/>
        </w:numPr>
        <w:spacing w:line="360" w:lineRule="auto"/>
        <w:rPr>
          <w:rFonts w:ascii="Arial" w:hAnsi="Arial" w:cs="Arial"/>
          <w:color w:val="000000" w:themeColor="text1"/>
          <w:lang w:val="en-US"/>
        </w:rPr>
      </w:pPr>
      <w:r w:rsidRPr="002A2E36">
        <w:rPr>
          <w:rFonts w:ascii="Arial" w:hAnsi="Arial" w:cs="Arial"/>
          <w:color w:val="000000" w:themeColor="text1"/>
          <w:lang w:val="en-US"/>
        </w:rPr>
        <w:t>FIFO (First in First out);</w:t>
      </w:r>
    </w:p>
    <w:p w:rsidR="00E92EC7" w:rsidRPr="002A2E36" w:rsidRDefault="00D401BE" w:rsidP="00E92EC7">
      <w:pPr>
        <w:pStyle w:val="ListParagraph"/>
        <w:numPr>
          <w:ilvl w:val="0"/>
          <w:numId w:val="14"/>
        </w:numPr>
        <w:spacing w:line="360" w:lineRule="auto"/>
        <w:rPr>
          <w:rFonts w:ascii="Arial" w:hAnsi="Arial" w:cs="Arial"/>
          <w:color w:val="000000" w:themeColor="text1"/>
          <w:lang w:val="en-US"/>
        </w:rPr>
      </w:pPr>
      <w:r w:rsidRPr="002A2E36">
        <w:rPr>
          <w:rFonts w:ascii="Arial" w:hAnsi="Arial" w:cs="Arial"/>
          <w:color w:val="000000" w:themeColor="text1"/>
          <w:lang w:val="en-US"/>
        </w:rPr>
        <w:t xml:space="preserve">LIFO (Last </w:t>
      </w:r>
      <w:r w:rsidR="00E92EC7" w:rsidRPr="002A2E36">
        <w:rPr>
          <w:rFonts w:ascii="Arial" w:hAnsi="Arial" w:cs="Arial"/>
          <w:color w:val="000000" w:themeColor="text1"/>
          <w:lang w:val="en-US"/>
        </w:rPr>
        <w:t>in First out);</w:t>
      </w:r>
    </w:p>
    <w:p w:rsidR="00D401BE" w:rsidRPr="002A2E36" w:rsidRDefault="00D401BE" w:rsidP="00E92EC7">
      <w:pPr>
        <w:pStyle w:val="ListParagraph"/>
        <w:numPr>
          <w:ilvl w:val="0"/>
          <w:numId w:val="14"/>
        </w:numPr>
        <w:spacing w:line="360" w:lineRule="auto"/>
        <w:rPr>
          <w:rFonts w:ascii="Arial" w:hAnsi="Arial" w:cs="Arial"/>
          <w:color w:val="000000" w:themeColor="text1"/>
        </w:rPr>
      </w:pPr>
      <w:r w:rsidRPr="002A2E36">
        <w:rPr>
          <w:rFonts w:ascii="Arial" w:hAnsi="Arial" w:cs="Arial"/>
          <w:color w:val="000000" w:themeColor="text1"/>
        </w:rPr>
        <w:t xml:space="preserve">Gewogen gemiddelde van </w:t>
      </w:r>
      <w:r w:rsidR="00086D4C" w:rsidRPr="002A2E36">
        <w:rPr>
          <w:rFonts w:ascii="Arial" w:hAnsi="Arial" w:cs="Arial"/>
          <w:color w:val="000000" w:themeColor="text1"/>
        </w:rPr>
        <w:t xml:space="preserve">de </w:t>
      </w:r>
      <w:r w:rsidRPr="002A2E36">
        <w:rPr>
          <w:rFonts w:ascii="Arial" w:hAnsi="Arial" w:cs="Arial"/>
          <w:color w:val="000000" w:themeColor="text1"/>
        </w:rPr>
        <w:t xml:space="preserve">inkoopprijzen. </w:t>
      </w:r>
    </w:p>
    <w:p w:rsidR="00F52AD4" w:rsidRPr="004A0BD2" w:rsidRDefault="00F52AD4" w:rsidP="004A0BD2">
      <w:pPr>
        <w:pStyle w:val="Heading3"/>
        <w:spacing w:line="360" w:lineRule="auto"/>
        <w:rPr>
          <w:rFonts w:cs="Arial"/>
        </w:rPr>
      </w:pPr>
      <w:bookmarkStart w:id="7" w:name="_Toc426984351"/>
      <w:r w:rsidRPr="004A0BD2">
        <w:rPr>
          <w:rFonts w:cs="Arial"/>
        </w:rPr>
        <w:t>2.1.1 FIFO</w:t>
      </w:r>
      <w:bookmarkEnd w:id="7"/>
    </w:p>
    <w:p w:rsidR="00F52AD4" w:rsidRPr="004A0BD2" w:rsidRDefault="00F52AD4" w:rsidP="004A0BD2">
      <w:pPr>
        <w:spacing w:line="360" w:lineRule="auto"/>
        <w:rPr>
          <w:rFonts w:ascii="Arial" w:hAnsi="Arial" w:cs="Arial"/>
        </w:rPr>
      </w:pPr>
      <w:r w:rsidRPr="004A0BD2">
        <w:rPr>
          <w:rFonts w:ascii="Arial" w:hAnsi="Arial" w:cs="Arial"/>
        </w:rPr>
        <w:t>Volgens de FIFO methode wordt de kostprijs bepaald aan de hand van voorraa</w:t>
      </w:r>
      <w:r w:rsidR="007C61AE" w:rsidRPr="004A0BD2">
        <w:rPr>
          <w:rFonts w:ascii="Arial" w:hAnsi="Arial" w:cs="Arial"/>
        </w:rPr>
        <w:t xml:space="preserve">d die het eerst verworven is. Dus </w:t>
      </w:r>
      <w:r w:rsidRPr="004A0BD2">
        <w:rPr>
          <w:rFonts w:ascii="Arial" w:hAnsi="Arial" w:cs="Arial"/>
        </w:rPr>
        <w:t xml:space="preserve">de historische kosten </w:t>
      </w:r>
      <w:r w:rsidR="007C61AE" w:rsidRPr="004A0BD2">
        <w:rPr>
          <w:rFonts w:ascii="Arial" w:hAnsi="Arial" w:cs="Arial"/>
        </w:rPr>
        <w:t>worden meegenomen</w:t>
      </w:r>
      <w:r w:rsidRPr="004A0BD2">
        <w:rPr>
          <w:rFonts w:ascii="Arial" w:hAnsi="Arial" w:cs="Arial"/>
        </w:rPr>
        <w:t xml:space="preserve"> in de kostprijs. </w:t>
      </w:r>
      <w:r w:rsidR="007C61AE" w:rsidRPr="004A0BD2">
        <w:rPr>
          <w:rFonts w:ascii="Arial" w:hAnsi="Arial" w:cs="Arial"/>
        </w:rPr>
        <w:t xml:space="preserve">De kostprijs van deze goederen komen minder in de buurt van de werkelijke marktprijs. </w:t>
      </w:r>
      <w:r w:rsidRPr="004A0BD2">
        <w:rPr>
          <w:rFonts w:ascii="Arial" w:hAnsi="Arial" w:cs="Arial"/>
        </w:rPr>
        <w:t>Dus de producten die het eerst ingekocht zijn worden als eerste verkocht. De voorraden die nog aanwezig zijn in het magazijn komen de voorraden meer in de buurt van de huidige marktprijs. Bij stijgende marktprijzen zijn de voorraden ondergewaardeerd</w:t>
      </w:r>
      <w:r w:rsidR="007C61AE" w:rsidRPr="004A0BD2">
        <w:rPr>
          <w:rFonts w:ascii="Arial" w:hAnsi="Arial" w:cs="Arial"/>
        </w:rPr>
        <w:t>, maar liggen de deze wel dicht bij de marktprijs. De kostprijs van de goederen zijn ondergewaardeerd. De oude lagere prijzen worden nog gehanteerd</w:t>
      </w:r>
      <w:r w:rsidRPr="004A0BD2">
        <w:rPr>
          <w:rFonts w:ascii="Arial" w:hAnsi="Arial" w:cs="Arial"/>
        </w:rPr>
        <w:t xml:space="preserve">. Bij dalende voorraad prijzen is dit andersom. De voorraden zijn dan overgewaardeerd </w:t>
      </w:r>
      <w:r w:rsidR="007C61AE" w:rsidRPr="004A0BD2">
        <w:rPr>
          <w:rFonts w:ascii="Arial" w:hAnsi="Arial" w:cs="Arial"/>
        </w:rPr>
        <w:t xml:space="preserve">en de kostprijs ook </w:t>
      </w:r>
      <w:r w:rsidRPr="004A0BD2">
        <w:rPr>
          <w:rFonts w:ascii="Arial" w:hAnsi="Arial" w:cs="Arial"/>
        </w:rPr>
        <w:t>omdat deze nog gewaardeerd zijn tegen de oude hogere prijzen</w:t>
      </w:r>
      <w:r w:rsidR="00B047F0">
        <w:rPr>
          <w:rFonts w:ascii="Arial" w:hAnsi="Arial" w:cs="Arial"/>
        </w:rPr>
        <w:t xml:space="preserve"> </w:t>
      </w:r>
      <w:sdt>
        <w:sdtPr>
          <w:rPr>
            <w:rFonts w:ascii="Arial" w:hAnsi="Arial" w:cs="Arial"/>
          </w:rPr>
          <w:id w:val="320001486"/>
          <w:citation/>
        </w:sdtPr>
        <w:sdtContent>
          <w:r w:rsidR="007A6E22">
            <w:rPr>
              <w:rFonts w:ascii="Arial" w:hAnsi="Arial" w:cs="Arial"/>
            </w:rPr>
            <w:fldChar w:fldCharType="begin"/>
          </w:r>
          <w:r w:rsidR="00B047F0">
            <w:rPr>
              <w:rFonts w:ascii="Arial" w:hAnsi="Arial" w:cs="Arial"/>
            </w:rPr>
            <w:instrText xml:space="preserve"> CITATION Ern14 \l 1043 </w:instrText>
          </w:r>
          <w:r w:rsidR="007A6E22">
            <w:rPr>
              <w:rFonts w:ascii="Arial" w:hAnsi="Arial" w:cs="Arial"/>
            </w:rPr>
            <w:fldChar w:fldCharType="separate"/>
          </w:r>
          <w:r w:rsidR="00B047F0" w:rsidRPr="00B047F0">
            <w:rPr>
              <w:rFonts w:ascii="Arial" w:hAnsi="Arial" w:cs="Arial"/>
              <w:noProof/>
            </w:rPr>
            <w:t>(Ernst &amp; Young, 2014)</w:t>
          </w:r>
          <w:r w:rsidR="007A6E22">
            <w:rPr>
              <w:rFonts w:ascii="Arial" w:hAnsi="Arial" w:cs="Arial"/>
            </w:rPr>
            <w:fldChar w:fldCharType="end"/>
          </w:r>
        </w:sdtContent>
      </w:sdt>
      <w:r w:rsidRPr="004A0BD2">
        <w:rPr>
          <w:rFonts w:ascii="Arial" w:hAnsi="Arial" w:cs="Arial"/>
        </w:rPr>
        <w:t xml:space="preserve">. </w:t>
      </w:r>
    </w:p>
    <w:p w:rsidR="007C61AE" w:rsidRPr="004A0BD2" w:rsidRDefault="007C61AE" w:rsidP="004A0BD2">
      <w:pPr>
        <w:pStyle w:val="Heading3"/>
        <w:spacing w:line="360" w:lineRule="auto"/>
        <w:rPr>
          <w:rFonts w:cs="Arial"/>
        </w:rPr>
      </w:pPr>
      <w:bookmarkStart w:id="8" w:name="_Toc426984352"/>
      <w:r w:rsidRPr="004A0BD2">
        <w:rPr>
          <w:rFonts w:cs="Arial"/>
        </w:rPr>
        <w:t>2.1.2 LIFO</w:t>
      </w:r>
      <w:bookmarkEnd w:id="8"/>
    </w:p>
    <w:p w:rsidR="007C61AE" w:rsidRDefault="007C61AE" w:rsidP="004A0BD2">
      <w:pPr>
        <w:spacing w:line="360" w:lineRule="auto"/>
        <w:rPr>
          <w:rFonts w:ascii="Arial" w:hAnsi="Arial" w:cs="Arial"/>
        </w:rPr>
      </w:pPr>
      <w:r w:rsidRPr="004A0BD2">
        <w:rPr>
          <w:rFonts w:ascii="Arial" w:hAnsi="Arial" w:cs="Arial"/>
        </w:rPr>
        <w:t xml:space="preserve">De LIFO methode is het tegenovergestelde van de FIFO methode. Om de kostprijs te bepalen gebruikt de LIFO methode de laatst ingekochte goederen. De kostprijs van de goederen heeft dus een de waarde die het dichtstbij de werkelijke marktprijs ligt, maar de waarde van de voorraden niet. Deze worden nog tegen de oude prijzen gewaardeerd. Bij een stijgende prijs zijn de voorraden dus </w:t>
      </w:r>
      <w:r w:rsidR="004A0BD2" w:rsidRPr="004A0BD2">
        <w:rPr>
          <w:rFonts w:ascii="Arial" w:hAnsi="Arial" w:cs="Arial"/>
        </w:rPr>
        <w:t xml:space="preserve">ondergewaardeerd. De oude prijzen van de voorraden worden nog gebruikt. De kostprijs geeft wel een </w:t>
      </w:r>
      <w:r w:rsidR="00F91F92" w:rsidRPr="004A0BD2">
        <w:rPr>
          <w:rFonts w:ascii="Arial" w:hAnsi="Arial" w:cs="Arial"/>
        </w:rPr>
        <w:t>realistischer</w:t>
      </w:r>
      <w:r w:rsidR="004A0BD2" w:rsidRPr="004A0BD2">
        <w:rPr>
          <w:rFonts w:ascii="Arial" w:hAnsi="Arial" w:cs="Arial"/>
        </w:rPr>
        <w:t xml:space="preserve"> beeld van de huidige marktprijzen. Bij dalende prijzen zijn de voorraden overgewaardeerd. Immers worden hier nog de oude hogere prijzen gebruikt. Het verschil met de FIFO methode is dat het gat tussen de marktprijs en de voorraad waardering veel hoger liggen</w:t>
      </w:r>
      <w:r w:rsidR="00B047F0">
        <w:rPr>
          <w:rFonts w:ascii="Arial" w:hAnsi="Arial" w:cs="Arial"/>
        </w:rPr>
        <w:t xml:space="preserve"> </w:t>
      </w:r>
      <w:sdt>
        <w:sdtPr>
          <w:rPr>
            <w:rFonts w:ascii="Arial" w:hAnsi="Arial" w:cs="Arial"/>
          </w:rPr>
          <w:id w:val="-379866623"/>
          <w:citation/>
        </w:sdtPr>
        <w:sdtContent>
          <w:r w:rsidR="007A6E22">
            <w:rPr>
              <w:rFonts w:ascii="Arial" w:hAnsi="Arial" w:cs="Arial"/>
            </w:rPr>
            <w:fldChar w:fldCharType="begin"/>
          </w:r>
          <w:r w:rsidR="00B047F0">
            <w:rPr>
              <w:rFonts w:ascii="Arial" w:hAnsi="Arial" w:cs="Arial"/>
            </w:rPr>
            <w:instrText xml:space="preserve"> CITATION Ern14 \l 1043 </w:instrText>
          </w:r>
          <w:r w:rsidR="007A6E22">
            <w:rPr>
              <w:rFonts w:ascii="Arial" w:hAnsi="Arial" w:cs="Arial"/>
            </w:rPr>
            <w:fldChar w:fldCharType="separate"/>
          </w:r>
          <w:r w:rsidR="00B047F0" w:rsidRPr="00B047F0">
            <w:rPr>
              <w:rFonts w:ascii="Arial" w:hAnsi="Arial" w:cs="Arial"/>
              <w:noProof/>
            </w:rPr>
            <w:t>(Ernst &amp; Young, 2014)</w:t>
          </w:r>
          <w:r w:rsidR="007A6E22">
            <w:rPr>
              <w:rFonts w:ascii="Arial" w:hAnsi="Arial" w:cs="Arial"/>
            </w:rPr>
            <w:fldChar w:fldCharType="end"/>
          </w:r>
        </w:sdtContent>
      </w:sdt>
      <w:r w:rsidR="004A0BD2" w:rsidRPr="004A0BD2">
        <w:rPr>
          <w:rFonts w:ascii="Arial" w:hAnsi="Arial" w:cs="Arial"/>
        </w:rPr>
        <w:t xml:space="preserve">. </w:t>
      </w:r>
    </w:p>
    <w:p w:rsidR="004A0BD2" w:rsidRDefault="004A0BD2" w:rsidP="004A0BD2">
      <w:pPr>
        <w:pStyle w:val="Heading3"/>
        <w:spacing w:line="360" w:lineRule="auto"/>
      </w:pPr>
      <w:bookmarkStart w:id="9" w:name="_Toc426984353"/>
      <w:r>
        <w:t>2.1.3 Het gewogen gemiddelde van de inkoopprijzen</w:t>
      </w:r>
      <w:bookmarkEnd w:id="9"/>
    </w:p>
    <w:p w:rsidR="00D401BE" w:rsidRPr="004A0BD2" w:rsidRDefault="004A0BD2" w:rsidP="00D401BE">
      <w:pPr>
        <w:spacing w:line="360" w:lineRule="auto"/>
        <w:rPr>
          <w:rFonts w:ascii="Arial" w:hAnsi="Arial" w:cs="Arial"/>
        </w:rPr>
      </w:pPr>
      <w:r w:rsidRPr="004A0BD2">
        <w:rPr>
          <w:rFonts w:ascii="Arial" w:hAnsi="Arial" w:cs="Arial"/>
        </w:rPr>
        <w:t>Het gewogen gemiddelde van de inkoopprijzen geeft al aan hoe de kostprijs bepaald word. Net voor een verkoop wordt het gemiddelde van de daarvoor ingekochte voorraden berekend. De voorraden zullen dus ondergewaardeerd zijn bij stijgende prijzen en bij dalende prijzen zullen de voorraden overgewaardeerd zijn</w:t>
      </w:r>
      <w:r>
        <w:rPr>
          <w:rFonts w:ascii="Arial" w:hAnsi="Arial" w:cs="Arial"/>
        </w:rPr>
        <w:t xml:space="preserve"> </w:t>
      </w:r>
      <w:sdt>
        <w:sdtPr>
          <w:rPr>
            <w:rFonts w:ascii="Arial" w:hAnsi="Arial" w:cs="Arial"/>
            <w:color w:val="000000" w:themeColor="text1"/>
          </w:rPr>
          <w:id w:val="1331479479"/>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00D401BE" w:rsidRPr="002A2E36">
        <w:rPr>
          <w:rFonts w:ascii="Arial" w:hAnsi="Arial" w:cs="Arial"/>
          <w:color w:val="000000" w:themeColor="text1"/>
        </w:rPr>
        <w:t xml:space="preserve">. </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De discussie die heeft geleid tot het herzien van IAS 2 had voor- en tegenstanders</w:t>
      </w:r>
      <w:r w:rsidR="004A0BD2">
        <w:rPr>
          <w:rFonts w:ascii="Arial" w:hAnsi="Arial" w:cs="Arial"/>
          <w:color w:val="000000" w:themeColor="text1"/>
        </w:rPr>
        <w:t xml:space="preserve"> voor de LIFO methode</w:t>
      </w:r>
      <w:r w:rsidRPr="002A2E36">
        <w:rPr>
          <w:rFonts w:ascii="Arial" w:hAnsi="Arial" w:cs="Arial"/>
          <w:color w:val="000000" w:themeColor="text1"/>
        </w:rPr>
        <w:t>. De voorstanders van het toepassen van LIFO systeem betroffen in het bijzonder grote ondernemingen. Het gebruik van het LIFO systeem leidde tot lagere winsten en daardoor tot lagere belasting. De voorstanders communiceerde dat de lagere belasting gerechtvaardigd was omdat het geld in de onderneming geherinvesteerd moest wor</w:t>
      </w:r>
      <w:r w:rsidR="003A2DFF">
        <w:rPr>
          <w:rFonts w:ascii="Arial" w:hAnsi="Arial" w:cs="Arial"/>
          <w:color w:val="000000" w:themeColor="text1"/>
        </w:rPr>
        <w:t>den. Een tweede argument was</w:t>
      </w:r>
      <w:r w:rsidRPr="002A2E36">
        <w:rPr>
          <w:rFonts w:ascii="Arial" w:hAnsi="Arial" w:cs="Arial"/>
          <w:color w:val="000000" w:themeColor="text1"/>
        </w:rPr>
        <w:t xml:space="preserve"> omdat de kostprijs voor de verkochte voorraad de huidige prijzen presenteerde, de </w:t>
      </w:r>
      <w:r w:rsidR="00DD04C6">
        <w:rPr>
          <w:rFonts w:ascii="Arial" w:hAnsi="Arial" w:cs="Arial"/>
          <w:color w:val="000000" w:themeColor="text1"/>
        </w:rPr>
        <w:t>reële waarde</w:t>
      </w:r>
      <w:r w:rsidRPr="002A2E36">
        <w:rPr>
          <w:rFonts w:ascii="Arial" w:hAnsi="Arial" w:cs="Arial"/>
          <w:color w:val="000000" w:themeColor="text1"/>
        </w:rPr>
        <w:t>, de winst-en-verliesrekening een betere weergave was van de werkelijkheid. Maar omdat de historische prijzen werden toegepast, was de balan</w:t>
      </w:r>
      <w:r w:rsidR="00D82A25">
        <w:rPr>
          <w:rFonts w:ascii="Arial" w:hAnsi="Arial" w:cs="Arial"/>
          <w:color w:val="000000" w:themeColor="text1"/>
        </w:rPr>
        <w:t xml:space="preserve">s ondergewaardeerd </w:t>
      </w:r>
      <w:sdt>
        <w:sdtPr>
          <w:rPr>
            <w:rFonts w:ascii="Arial" w:hAnsi="Arial" w:cs="Arial"/>
            <w:color w:val="000000" w:themeColor="text1"/>
          </w:rPr>
          <w:id w:val="127451627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Rom09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(Romeo, 2009)</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De voordelen voor de ondernemingen werd eveneens gekwalificeerd als het ‘</w:t>
      </w:r>
      <w:r w:rsidR="00F91F92" w:rsidRPr="002A2E36">
        <w:rPr>
          <w:rFonts w:ascii="Arial" w:hAnsi="Arial" w:cs="Arial"/>
          <w:color w:val="000000" w:themeColor="text1"/>
        </w:rPr>
        <w:t>vale</w:t>
      </w:r>
      <w:r w:rsidRPr="002A2E36">
        <w:rPr>
          <w:rFonts w:ascii="Arial" w:hAnsi="Arial" w:cs="Arial"/>
          <w:color w:val="000000" w:themeColor="text1"/>
        </w:rPr>
        <w:t xml:space="preserve"> creep’ effect. Dit effect kan het best worden toegelicht met behulp van een voorbeeld:</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Een tijd geleden stegen de olieprijzen drastisch. De prijs per vat was significant hoger dan een</w:t>
      </w:r>
      <w:r w:rsidR="00364F91">
        <w:rPr>
          <w:rFonts w:ascii="Arial" w:hAnsi="Arial" w:cs="Arial"/>
          <w:color w:val="000000" w:themeColor="text1"/>
        </w:rPr>
        <w:t xml:space="preserve"> aantal jaar daarvoor. O</w:t>
      </w:r>
      <w:r w:rsidRPr="002A2E36">
        <w:rPr>
          <w:rFonts w:ascii="Arial" w:hAnsi="Arial" w:cs="Arial"/>
          <w:color w:val="000000" w:themeColor="text1"/>
        </w:rPr>
        <w:t>ndernemingen die het LIFO systeem toepasten voor het waarderen van hun voorraad, realiseerden voordelen die andere ondernemingen niet konden realiseren omdat zij niet het LIFO systeem toepasten</w:t>
      </w:r>
      <w:r w:rsidR="00A9475E" w:rsidRPr="002A2E36">
        <w:rPr>
          <w:rFonts w:ascii="Arial" w:hAnsi="Arial" w:cs="Arial"/>
          <w:color w:val="000000" w:themeColor="text1"/>
        </w:rPr>
        <w:t>.</w:t>
      </w:r>
      <w:r w:rsidRPr="002A2E36">
        <w:rPr>
          <w:rFonts w:ascii="Arial" w:hAnsi="Arial" w:cs="Arial"/>
          <w:color w:val="000000" w:themeColor="text1"/>
        </w:rPr>
        <w:t xml:space="preserve"> De olieprijzen stijgen maar de voorraden niet, en de kosten die worden verantwoord bij de verkoop van die vaten zijn de hogere marktprijzen. Daardoor wordt een lagere winst verantwoord en wordt minder belasting betaald. </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Hierna volgt een grafiek van EXXON Mobil betreffende hun voorraden:</w:t>
      </w:r>
    </w:p>
    <w:p w:rsidR="00D401BE" w:rsidRPr="002A2E36" w:rsidRDefault="00D401BE" w:rsidP="00D401BE">
      <w:pPr>
        <w:spacing w:line="360" w:lineRule="auto"/>
        <w:rPr>
          <w:rFonts w:ascii="Arial" w:hAnsi="Arial" w:cs="Arial"/>
          <w:color w:val="000000" w:themeColor="text1"/>
        </w:rPr>
      </w:pPr>
      <w:r w:rsidRPr="002A2E36">
        <w:rPr>
          <w:rFonts w:ascii="Arial" w:hAnsi="Arial" w:cs="Arial"/>
          <w:noProof/>
          <w:color w:val="000000" w:themeColor="text1"/>
          <w:lang w:val="en-US"/>
        </w:rPr>
        <w:drawing>
          <wp:inline distT="0" distB="0" distL="0" distR="0">
            <wp:extent cx="5638800" cy="371475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638800" cy="3714750"/>
                    </a:xfrm>
                    <a:prstGeom prst="rect">
                      <a:avLst/>
                    </a:prstGeom>
                  </pic:spPr>
                </pic:pic>
              </a:graphicData>
            </a:graphic>
          </wp:inline>
        </w:drawing>
      </w:r>
    </w:p>
    <w:p w:rsidR="00D401BE" w:rsidRPr="002A2E36" w:rsidRDefault="00D82A25" w:rsidP="00086D4C">
      <w:pPr>
        <w:spacing w:line="360" w:lineRule="auto"/>
        <w:rPr>
          <w:rFonts w:ascii="Arial" w:hAnsi="Arial" w:cs="Arial"/>
          <w:color w:val="000000" w:themeColor="text1"/>
        </w:rPr>
      </w:pPr>
      <w:r>
        <w:rPr>
          <w:rFonts w:ascii="Arial" w:hAnsi="Arial" w:cs="Arial"/>
          <w:color w:val="000000" w:themeColor="text1"/>
        </w:rPr>
        <w:t xml:space="preserve"> Bron: </w:t>
      </w:r>
      <w:sdt>
        <w:sdtPr>
          <w:rPr>
            <w:rFonts w:ascii="Arial" w:hAnsi="Arial" w:cs="Arial"/>
            <w:color w:val="000000" w:themeColor="text1"/>
          </w:rPr>
          <w:id w:val="864329363"/>
          <w:citation/>
        </w:sdtPr>
        <w:sdtContent>
          <w:r w:rsidR="007A6E22">
            <w:rPr>
              <w:rFonts w:ascii="Arial" w:hAnsi="Arial" w:cs="Arial"/>
              <w:color w:val="000000" w:themeColor="text1"/>
            </w:rPr>
            <w:fldChar w:fldCharType="begin"/>
          </w:r>
          <w:r>
            <w:rPr>
              <w:rFonts w:ascii="Arial" w:hAnsi="Arial" w:cs="Arial"/>
              <w:color w:val="000000" w:themeColor="text1"/>
            </w:rPr>
            <w:instrText xml:space="preserve"> CITATION Rom09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(Romeo, 2009)</w:t>
          </w:r>
          <w:r w:rsidR="007A6E22">
            <w:rPr>
              <w:rFonts w:ascii="Arial" w:hAnsi="Arial" w:cs="Arial"/>
              <w:color w:val="000000" w:themeColor="text1"/>
            </w:rPr>
            <w:fldChar w:fldCharType="end"/>
          </w:r>
        </w:sdtContent>
      </w:sdt>
      <w:r w:rsidR="00D401BE" w:rsidRPr="002A2E36">
        <w:rPr>
          <w:rFonts w:ascii="Arial" w:hAnsi="Arial" w:cs="Arial"/>
          <w:color w:val="000000" w:themeColor="text1"/>
        </w:rPr>
        <w:t xml:space="preserve">. </w:t>
      </w:r>
    </w:p>
    <w:p w:rsidR="00086D4C" w:rsidRPr="002A2E36" w:rsidRDefault="00364F91" w:rsidP="00086D4C">
      <w:pPr>
        <w:spacing w:line="360" w:lineRule="auto"/>
        <w:rPr>
          <w:rFonts w:ascii="Arial" w:hAnsi="Arial" w:cs="Arial"/>
          <w:color w:val="000000" w:themeColor="text1"/>
        </w:rPr>
      </w:pPr>
      <w:r>
        <w:rPr>
          <w:rFonts w:ascii="Arial" w:hAnsi="Arial" w:cs="Arial"/>
          <w:color w:val="000000" w:themeColor="text1"/>
        </w:rPr>
        <w:t>In de grafiek is te zien</w:t>
      </w:r>
      <w:r w:rsidR="00086D4C" w:rsidRPr="002A2E36">
        <w:rPr>
          <w:rFonts w:ascii="Arial" w:hAnsi="Arial" w:cs="Arial"/>
          <w:color w:val="000000" w:themeColor="text1"/>
        </w:rPr>
        <w:t xml:space="preserve"> dat er een gat ontstaat tussen de wa</w:t>
      </w:r>
      <w:r>
        <w:rPr>
          <w:rFonts w:ascii="Arial" w:hAnsi="Arial" w:cs="Arial"/>
          <w:color w:val="000000" w:themeColor="text1"/>
        </w:rPr>
        <w:t>arde van de voorraden. Dit gat z</w:t>
      </w:r>
      <w:r w:rsidR="00086D4C" w:rsidRPr="002A2E36">
        <w:rPr>
          <w:rFonts w:ascii="Arial" w:hAnsi="Arial" w:cs="Arial"/>
          <w:color w:val="000000" w:themeColor="text1"/>
        </w:rPr>
        <w:t xml:space="preserve">al continu blijven groeien. De voorraden onder LIFO blijven bijna ongewijzigd. De fluctuaties van de inkoopprijzen of kostprijzen worden niet meegenomen. FIFO geeft een beter inzicht in de waarde die een voorraad heeft. FIFO komt het meest in de buurt van een </w:t>
      </w:r>
      <w:r w:rsidR="00DD04C6">
        <w:rPr>
          <w:rFonts w:ascii="Arial" w:hAnsi="Arial" w:cs="Arial"/>
          <w:color w:val="000000" w:themeColor="text1"/>
        </w:rPr>
        <w:t>reële waarde</w:t>
      </w:r>
      <w:r w:rsidR="00086D4C" w:rsidRPr="002A2E36">
        <w:rPr>
          <w:rFonts w:ascii="Arial" w:hAnsi="Arial" w:cs="Arial"/>
          <w:color w:val="000000" w:themeColor="text1"/>
        </w:rPr>
        <w:t xml:space="preserve"> waardering. </w:t>
      </w:r>
    </w:p>
    <w:p w:rsidR="00D401BE" w:rsidRPr="002A2E36" w:rsidRDefault="00D401BE" w:rsidP="00D401BE">
      <w:pPr>
        <w:pStyle w:val="Heading2"/>
        <w:spacing w:line="360" w:lineRule="auto"/>
        <w:rPr>
          <w:rFonts w:cs="Arial"/>
        </w:rPr>
      </w:pPr>
      <w:bookmarkStart w:id="10" w:name="_Toc426984354"/>
      <w:r w:rsidRPr="002A2E36">
        <w:rPr>
          <w:rFonts w:cs="Arial"/>
        </w:rPr>
        <w:t>2.2 Wat was het effect van deze wijziging?</w:t>
      </w:r>
      <w:bookmarkEnd w:id="10"/>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 xml:space="preserve">Zoals hiervoor </w:t>
      </w:r>
      <w:r w:rsidR="00364F91">
        <w:rPr>
          <w:rFonts w:ascii="Arial" w:hAnsi="Arial" w:cs="Arial"/>
          <w:color w:val="000000" w:themeColor="text1"/>
        </w:rPr>
        <w:t>beschreven</w:t>
      </w:r>
      <w:r w:rsidRPr="002A2E36">
        <w:rPr>
          <w:rFonts w:ascii="Arial" w:hAnsi="Arial" w:cs="Arial"/>
          <w:color w:val="000000" w:themeColor="text1"/>
        </w:rPr>
        <w:t xml:space="preserve"> had het LIFO systeem een grote invloed op de voorraadwaardering en op de winst-en-verliesrekening van een onderneming. De voorraad was ondergewaardeerd en de winsten waren</w:t>
      </w:r>
      <w:r w:rsidR="00364F91">
        <w:rPr>
          <w:rFonts w:ascii="Arial" w:hAnsi="Arial" w:cs="Arial"/>
          <w:color w:val="000000" w:themeColor="text1"/>
        </w:rPr>
        <w:t xml:space="preserve"> lager</w:t>
      </w:r>
      <w:r w:rsidRPr="002A2E36">
        <w:rPr>
          <w:rFonts w:ascii="Arial" w:hAnsi="Arial" w:cs="Arial"/>
          <w:color w:val="000000" w:themeColor="text1"/>
        </w:rPr>
        <w:t>. Dit had effect op de financiële ratio’s van een onderneming. De investeerders waren daardoor eerder geneigd de winst-en-verliesrekening te analyseren als een onderneming het LIFO</w:t>
      </w:r>
      <w:r w:rsidR="00086D4C" w:rsidRPr="002A2E36">
        <w:rPr>
          <w:rFonts w:ascii="Arial" w:hAnsi="Arial" w:cs="Arial"/>
          <w:color w:val="000000" w:themeColor="text1"/>
        </w:rPr>
        <w:t xml:space="preserve"> systeem toepaste</w:t>
      </w:r>
      <w:r w:rsidRPr="002A2E36">
        <w:rPr>
          <w:rFonts w:ascii="Arial" w:hAnsi="Arial" w:cs="Arial"/>
          <w:color w:val="000000" w:themeColor="text1"/>
        </w:rPr>
        <w:t xml:space="preserve">. </w:t>
      </w:r>
      <w:r w:rsidR="00364F91">
        <w:rPr>
          <w:rFonts w:ascii="Arial" w:hAnsi="Arial" w:cs="Arial"/>
          <w:color w:val="000000" w:themeColor="text1"/>
        </w:rPr>
        <w:t xml:space="preserve">Het artikel van David M. </w:t>
      </w:r>
      <w:r w:rsidRPr="002A2E36">
        <w:rPr>
          <w:rFonts w:ascii="Arial" w:hAnsi="Arial" w:cs="Arial"/>
          <w:color w:val="000000" w:themeColor="text1"/>
        </w:rPr>
        <w:t>Katz communiceerde dat de IASB de ondernemingen in de richting van het LIFO systeem duwde en accepteerde het onderwaarder</w:t>
      </w:r>
      <w:r w:rsidR="00D82A25">
        <w:rPr>
          <w:rFonts w:ascii="Arial" w:hAnsi="Arial" w:cs="Arial"/>
          <w:color w:val="000000" w:themeColor="text1"/>
        </w:rPr>
        <w:t xml:space="preserve">en van de voorraden </w:t>
      </w:r>
      <w:sdt>
        <w:sdtPr>
          <w:rPr>
            <w:rFonts w:ascii="Arial" w:hAnsi="Arial" w:cs="Arial"/>
            <w:color w:val="000000" w:themeColor="text1"/>
          </w:rPr>
          <w:id w:val="186578925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www07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(Katz, 2007)</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 xml:space="preserve">Het LIFO stelsel had een grote invloed op de winstratio’s, op de activiteitenratio’s en op de solvabiliteitratio’s. </w:t>
      </w:r>
      <w:r w:rsidR="00F91F92" w:rsidRPr="002A2E36">
        <w:rPr>
          <w:rFonts w:ascii="Arial" w:hAnsi="Arial" w:cs="Arial"/>
          <w:color w:val="000000" w:themeColor="text1"/>
        </w:rPr>
        <w:t>Ares</w:t>
      </w:r>
      <w:r w:rsidRPr="002A2E36">
        <w:rPr>
          <w:rFonts w:ascii="Arial" w:hAnsi="Arial" w:cs="Arial"/>
          <w:color w:val="000000" w:themeColor="text1"/>
        </w:rPr>
        <w:t xml:space="preserve"> et al. </w:t>
      </w:r>
      <w:proofErr w:type="gramStart"/>
      <w:r w:rsidRPr="002A2E36">
        <w:rPr>
          <w:rFonts w:ascii="Arial" w:hAnsi="Arial" w:cs="Arial"/>
          <w:color w:val="000000" w:themeColor="text1"/>
        </w:rPr>
        <w:t>hebben</w:t>
      </w:r>
      <w:proofErr w:type="gramEnd"/>
      <w:r w:rsidRPr="002A2E36">
        <w:rPr>
          <w:rFonts w:ascii="Arial" w:hAnsi="Arial" w:cs="Arial"/>
          <w:color w:val="000000" w:themeColor="text1"/>
        </w:rPr>
        <w:t xml:space="preserve"> een onderzoek uitgevoerd betreffende een onderneming die het LIFO systeem heeft gewijzigd in het FIFO systeem. De winstratio steeg met 325%, de activiteitenratio en solvabiliteitratio daalde</w:t>
      </w:r>
      <w:r w:rsidR="00364F91">
        <w:rPr>
          <w:rFonts w:ascii="Arial" w:hAnsi="Arial" w:cs="Arial"/>
          <w:color w:val="000000" w:themeColor="text1"/>
        </w:rPr>
        <w:t>n</w:t>
      </w:r>
      <w:r w:rsidRPr="002A2E36">
        <w:rPr>
          <w:rFonts w:ascii="Arial" w:hAnsi="Arial" w:cs="Arial"/>
          <w:color w:val="000000" w:themeColor="text1"/>
        </w:rPr>
        <w:t xml:space="preserve"> respectievelijk met 11,8% en 10,3%. Een ander effect was het rendement op het eigenvermogen, </w:t>
      </w:r>
      <w:r w:rsidR="00364F91">
        <w:rPr>
          <w:rFonts w:ascii="Arial" w:hAnsi="Arial" w:cs="Arial"/>
          <w:color w:val="000000" w:themeColor="text1"/>
        </w:rPr>
        <w:t xml:space="preserve">het </w:t>
      </w:r>
      <w:r w:rsidRPr="002A2E36">
        <w:rPr>
          <w:rFonts w:ascii="Arial" w:hAnsi="Arial" w:cs="Arial"/>
          <w:color w:val="000000" w:themeColor="text1"/>
        </w:rPr>
        <w:t xml:space="preserve">gemiddeld aantal dagen voor </w:t>
      </w:r>
      <w:r w:rsidR="00F91F92" w:rsidRPr="002A2E36">
        <w:rPr>
          <w:rFonts w:ascii="Arial" w:hAnsi="Arial" w:cs="Arial"/>
          <w:color w:val="000000" w:themeColor="text1"/>
        </w:rPr>
        <w:t>de</w:t>
      </w:r>
      <w:r w:rsidRPr="002A2E36">
        <w:rPr>
          <w:rFonts w:ascii="Arial" w:hAnsi="Arial" w:cs="Arial"/>
          <w:color w:val="000000" w:themeColor="text1"/>
        </w:rPr>
        <w:t xml:space="preserve"> verkoop van de voorraad en de current ratio stegen met</w:t>
      </w:r>
      <w:r w:rsidR="00364F91">
        <w:rPr>
          <w:rFonts w:ascii="Arial" w:hAnsi="Arial" w:cs="Arial"/>
          <w:color w:val="000000" w:themeColor="text1"/>
        </w:rPr>
        <w:t xml:space="preserve"> </w:t>
      </w:r>
      <w:proofErr w:type="gramStart"/>
      <w:r w:rsidR="00364F91">
        <w:rPr>
          <w:rFonts w:ascii="Arial" w:hAnsi="Arial" w:cs="Arial"/>
          <w:color w:val="000000" w:themeColor="text1"/>
        </w:rPr>
        <w:t>respectievelijk</w:t>
      </w:r>
      <w:proofErr w:type="gramEnd"/>
      <w:r w:rsidRPr="002A2E36">
        <w:rPr>
          <w:rFonts w:ascii="Arial" w:hAnsi="Arial" w:cs="Arial"/>
          <w:color w:val="000000" w:themeColor="text1"/>
        </w:rPr>
        <w:t xml:space="preserve"> 287%,</w:t>
      </w:r>
      <w:r w:rsidR="00364F91">
        <w:rPr>
          <w:rFonts w:ascii="Arial" w:hAnsi="Arial" w:cs="Arial"/>
          <w:color w:val="000000" w:themeColor="text1"/>
        </w:rPr>
        <w:t xml:space="preserve"> 48,4% en 25%. De ratio’s lei</w:t>
      </w:r>
      <w:r w:rsidRPr="002A2E36">
        <w:rPr>
          <w:rFonts w:ascii="Arial" w:hAnsi="Arial" w:cs="Arial"/>
          <w:color w:val="000000" w:themeColor="text1"/>
        </w:rPr>
        <w:t>den op basis van de twee systemen tot significante ve</w:t>
      </w:r>
      <w:r w:rsidR="00364F91">
        <w:rPr>
          <w:rFonts w:ascii="Arial" w:hAnsi="Arial" w:cs="Arial"/>
          <w:color w:val="000000" w:themeColor="text1"/>
        </w:rPr>
        <w:t xml:space="preserve">rschillen. Het was daardoor </w:t>
      </w:r>
      <w:r w:rsidRPr="002A2E36">
        <w:rPr>
          <w:rFonts w:ascii="Arial" w:hAnsi="Arial" w:cs="Arial"/>
          <w:color w:val="000000" w:themeColor="text1"/>
        </w:rPr>
        <w:t>misleiden</w:t>
      </w:r>
      <w:r w:rsidR="00364F91">
        <w:rPr>
          <w:rFonts w:ascii="Arial" w:hAnsi="Arial" w:cs="Arial"/>
          <w:color w:val="000000" w:themeColor="text1"/>
        </w:rPr>
        <w:t>d voor de investeerders en</w:t>
      </w:r>
      <w:r w:rsidR="00D82A25">
        <w:rPr>
          <w:rFonts w:ascii="Arial" w:hAnsi="Arial" w:cs="Arial"/>
          <w:color w:val="000000" w:themeColor="text1"/>
        </w:rPr>
        <w:t xml:space="preserve"> de aandeelhouders</w:t>
      </w:r>
      <w:sdt>
        <w:sdtPr>
          <w:rPr>
            <w:rFonts w:ascii="Arial" w:hAnsi="Arial" w:cs="Arial"/>
            <w:color w:val="000000" w:themeColor="text1"/>
          </w:rPr>
          <w:id w:val="1876967365"/>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Rom09 \l 1043 </w:instrText>
          </w:r>
          <w:r w:rsidR="007A6E22">
            <w:rPr>
              <w:rFonts w:ascii="Arial" w:hAnsi="Arial" w:cs="Arial"/>
              <w:color w:val="000000" w:themeColor="text1"/>
            </w:rPr>
            <w:fldChar w:fldCharType="separate"/>
          </w:r>
          <w:r w:rsidR="00055EC3">
            <w:rPr>
              <w:rFonts w:ascii="Arial" w:hAnsi="Arial" w:cs="Arial"/>
              <w:noProof/>
              <w:color w:val="000000" w:themeColor="text1"/>
            </w:rPr>
            <w:t xml:space="preserve"> </w:t>
          </w:r>
          <w:r w:rsidR="00055EC3" w:rsidRPr="00055EC3">
            <w:rPr>
              <w:rFonts w:ascii="Arial" w:hAnsi="Arial" w:cs="Arial"/>
              <w:noProof/>
              <w:color w:val="000000" w:themeColor="text1"/>
            </w:rPr>
            <w:t>(Romeo, 2009)</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Een andere studie die dit bevestigt is uitgevoerd door Paananen en Li</w:t>
      </w:r>
      <w:r w:rsidR="00364F91">
        <w:rPr>
          <w:rFonts w:ascii="Arial" w:hAnsi="Arial" w:cs="Arial"/>
          <w:color w:val="000000" w:themeColor="text1"/>
        </w:rPr>
        <w:t>n. Uit</w:t>
      </w:r>
      <w:r w:rsidRPr="002A2E36">
        <w:rPr>
          <w:rFonts w:ascii="Arial" w:hAnsi="Arial" w:cs="Arial"/>
          <w:color w:val="000000" w:themeColor="text1"/>
        </w:rPr>
        <w:t xml:space="preserve"> hun studie blijkt dat de kwaliteit van accounting wordt verminderd. Dit is niet het gevolg va</w:t>
      </w:r>
      <w:r w:rsidR="00364F91">
        <w:rPr>
          <w:rFonts w:ascii="Arial" w:hAnsi="Arial" w:cs="Arial"/>
          <w:color w:val="000000" w:themeColor="text1"/>
        </w:rPr>
        <w:t>n het gebruik van IFRS maar het gevolg van</w:t>
      </w:r>
      <w:r w:rsidRPr="002A2E36">
        <w:rPr>
          <w:rFonts w:ascii="Arial" w:hAnsi="Arial" w:cs="Arial"/>
          <w:color w:val="000000" w:themeColor="text1"/>
        </w:rPr>
        <w:t xml:space="preserve"> het veranderen van de standaarden. Dit maakt het voor investeerders moeilijker te beslissen op basis van de jaarrekeningen die op IFRS zijn </w:t>
      </w:r>
      <w:r w:rsidR="00D82A25">
        <w:rPr>
          <w:rFonts w:ascii="Arial" w:hAnsi="Arial" w:cs="Arial"/>
          <w:color w:val="000000" w:themeColor="text1"/>
        </w:rPr>
        <w:t xml:space="preserve">gebaseerd </w:t>
      </w:r>
      <w:sdt>
        <w:sdtPr>
          <w:rPr>
            <w:rFonts w:ascii="Arial" w:hAnsi="Arial" w:cs="Arial"/>
            <w:color w:val="000000" w:themeColor="text1"/>
          </w:rPr>
          <w:id w:val="346530877"/>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Paa09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(Paananen &amp; Lin, 2009)</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D401BE" w:rsidRPr="002A2E36" w:rsidRDefault="00D401BE" w:rsidP="00D401BE">
      <w:pPr>
        <w:spacing w:line="360" w:lineRule="auto"/>
        <w:rPr>
          <w:rFonts w:ascii="Arial" w:hAnsi="Arial" w:cs="Arial"/>
          <w:color w:val="000000" w:themeColor="text1"/>
        </w:rPr>
      </w:pPr>
      <w:r w:rsidRPr="002A2E36">
        <w:rPr>
          <w:rFonts w:ascii="Arial" w:hAnsi="Arial" w:cs="Arial"/>
          <w:color w:val="000000" w:themeColor="text1"/>
        </w:rPr>
        <w:t>Abdel-Khalik heeft eveneens onderzoek uitgevoerd naar het effect van het wijzigen van LIFO naar FIFO. Op basis van het LIFO systeem werd</w:t>
      </w:r>
      <w:r w:rsidR="00364F91">
        <w:rPr>
          <w:rFonts w:ascii="Arial" w:hAnsi="Arial" w:cs="Arial"/>
          <w:color w:val="000000" w:themeColor="text1"/>
        </w:rPr>
        <w:t xml:space="preserve"> minder belasting betaald. D</w:t>
      </w:r>
      <w:r w:rsidRPr="002A2E36">
        <w:rPr>
          <w:rFonts w:ascii="Arial" w:hAnsi="Arial" w:cs="Arial"/>
          <w:color w:val="000000" w:themeColor="text1"/>
        </w:rPr>
        <w:t xml:space="preserve">e top managers hadden een andere incentive </w:t>
      </w:r>
      <w:r w:rsidR="00364F91">
        <w:rPr>
          <w:rFonts w:ascii="Arial" w:hAnsi="Arial" w:cs="Arial"/>
          <w:color w:val="000000" w:themeColor="text1"/>
        </w:rPr>
        <w:t xml:space="preserve">om </w:t>
      </w:r>
      <w:r w:rsidRPr="002A2E36">
        <w:rPr>
          <w:rFonts w:ascii="Arial" w:hAnsi="Arial" w:cs="Arial"/>
          <w:color w:val="000000" w:themeColor="text1"/>
        </w:rPr>
        <w:t>het FIFO systeem toe te passen. Abdel-Khalik heeft onderzocht op welke wijze de bonussen die de topmanagers</w:t>
      </w:r>
      <w:r w:rsidR="00364F91">
        <w:rPr>
          <w:rFonts w:ascii="Arial" w:hAnsi="Arial" w:cs="Arial"/>
          <w:color w:val="000000" w:themeColor="text1"/>
        </w:rPr>
        <w:t xml:space="preserve"> kregen</w:t>
      </w:r>
      <w:r w:rsidRPr="002A2E36">
        <w:rPr>
          <w:rFonts w:ascii="Arial" w:hAnsi="Arial" w:cs="Arial"/>
          <w:color w:val="000000" w:themeColor="text1"/>
        </w:rPr>
        <w:t xml:space="preserve"> afhankelijk waren van de voorraadwaarde</w:t>
      </w:r>
      <w:r w:rsidR="00364F91">
        <w:rPr>
          <w:rFonts w:ascii="Arial" w:hAnsi="Arial" w:cs="Arial"/>
          <w:color w:val="000000" w:themeColor="text1"/>
        </w:rPr>
        <w:t xml:space="preserve">ring. In zijn conclusie komen </w:t>
      </w:r>
      <w:r w:rsidRPr="002A2E36">
        <w:rPr>
          <w:rFonts w:ascii="Arial" w:hAnsi="Arial" w:cs="Arial"/>
          <w:color w:val="000000" w:themeColor="text1"/>
        </w:rPr>
        <w:t>twee elementen</w:t>
      </w:r>
      <w:r w:rsidR="00364F91">
        <w:rPr>
          <w:rFonts w:ascii="Arial" w:hAnsi="Arial" w:cs="Arial"/>
          <w:color w:val="000000" w:themeColor="text1"/>
        </w:rPr>
        <w:t xml:space="preserve"> naar voren. Ten eerste dat </w:t>
      </w:r>
      <w:r w:rsidRPr="002A2E36">
        <w:rPr>
          <w:rFonts w:ascii="Arial" w:hAnsi="Arial" w:cs="Arial"/>
          <w:color w:val="000000" w:themeColor="text1"/>
        </w:rPr>
        <w:t>de wijziging van FIFO naar LIFO geen significant invloed had op de bonussen van d</w:t>
      </w:r>
      <w:r w:rsidR="00364F91">
        <w:rPr>
          <w:rFonts w:ascii="Arial" w:hAnsi="Arial" w:cs="Arial"/>
          <w:color w:val="000000" w:themeColor="text1"/>
        </w:rPr>
        <w:t>e managers. Waarschijnlijk doordat</w:t>
      </w:r>
      <w:r w:rsidRPr="002A2E36">
        <w:rPr>
          <w:rFonts w:ascii="Arial" w:hAnsi="Arial" w:cs="Arial"/>
          <w:color w:val="000000" w:themeColor="text1"/>
        </w:rPr>
        <w:t xml:space="preserve"> de eisen voor bonussen waren aangepast op basis van het nieuwe systeem. Het tweede punt betrof dat de topmanagers van een onderneming die het FIFO systeem toepaste relatief hoger bonussen ontvingen dan de managers van ondernemingen die het LIFO systeem toepast</w:t>
      </w:r>
      <w:r w:rsidR="00D82A25">
        <w:rPr>
          <w:rFonts w:ascii="Arial" w:hAnsi="Arial" w:cs="Arial"/>
          <w:color w:val="000000" w:themeColor="text1"/>
        </w:rPr>
        <w:t xml:space="preserve">en </w:t>
      </w:r>
      <w:sdt>
        <w:sdtPr>
          <w:rPr>
            <w:rFonts w:ascii="Arial" w:hAnsi="Arial" w:cs="Arial"/>
            <w:color w:val="000000" w:themeColor="text1"/>
          </w:rPr>
          <w:id w:val="-155823110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Abd85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(Abdel-Khalik, 1985)</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086D4C" w:rsidRPr="002A2E36" w:rsidRDefault="00086D4C">
      <w:pPr>
        <w:rPr>
          <w:rFonts w:ascii="Arial" w:eastAsiaTheme="majorEastAsia" w:hAnsi="Arial" w:cs="Arial"/>
          <w:b/>
          <w:bCs/>
          <w:color w:val="000000" w:themeColor="text1"/>
          <w:sz w:val="26"/>
          <w:szCs w:val="26"/>
        </w:rPr>
      </w:pPr>
      <w:r w:rsidRPr="002A2E36">
        <w:rPr>
          <w:rFonts w:ascii="Arial" w:hAnsi="Arial" w:cs="Arial"/>
        </w:rPr>
        <w:br w:type="page"/>
      </w:r>
    </w:p>
    <w:p w:rsidR="00D401BE" w:rsidRPr="002A2E36" w:rsidRDefault="00086D4C" w:rsidP="00086D4C">
      <w:pPr>
        <w:pStyle w:val="Heading2"/>
        <w:rPr>
          <w:rFonts w:cs="Arial"/>
        </w:rPr>
      </w:pPr>
      <w:bookmarkStart w:id="11" w:name="_Toc426984355"/>
      <w:r w:rsidRPr="002A2E36">
        <w:rPr>
          <w:rFonts w:cs="Arial"/>
        </w:rPr>
        <w:t>2.3 Conclusie</w:t>
      </w:r>
      <w:bookmarkEnd w:id="11"/>
    </w:p>
    <w:p w:rsidR="00086D4C" w:rsidRPr="002A2E36" w:rsidRDefault="0061744D" w:rsidP="00086D4C">
      <w:pPr>
        <w:spacing w:line="360" w:lineRule="auto"/>
        <w:rPr>
          <w:rFonts w:ascii="Arial" w:hAnsi="Arial" w:cs="Arial"/>
        </w:rPr>
      </w:pPr>
      <w:r>
        <w:rPr>
          <w:rFonts w:ascii="Arial" w:hAnsi="Arial" w:cs="Arial"/>
        </w:rPr>
        <w:t xml:space="preserve">In de praktijk wordt </w:t>
      </w:r>
      <w:r w:rsidR="00086D4C" w:rsidRPr="002A2E36">
        <w:rPr>
          <w:rFonts w:ascii="Arial" w:hAnsi="Arial" w:cs="Arial"/>
        </w:rPr>
        <w:t xml:space="preserve">over het algemeen gebruik gemaakt van volgende drie methodes als het om voorraadwaardering: FIFO, LIFO en </w:t>
      </w:r>
      <w:r w:rsidR="00552C7B" w:rsidRPr="002A2E36">
        <w:rPr>
          <w:rFonts w:ascii="Arial" w:hAnsi="Arial" w:cs="Arial"/>
        </w:rPr>
        <w:t xml:space="preserve">het </w:t>
      </w:r>
      <w:r w:rsidR="00086D4C" w:rsidRPr="002A2E36">
        <w:rPr>
          <w:rFonts w:ascii="Arial" w:hAnsi="Arial" w:cs="Arial"/>
        </w:rPr>
        <w:t xml:space="preserve">gewogen gemiddelde van de inkoopprijzen. De discussie die de LIFO met zich meebracht heeft er voor gezorgd dat LIFO niet meer toegestaan is bij IAS. Het effect van LIFO had een grote invloed op de winst-en-verliesrekening en de balans van een onderneming. De voorraden waren ondergewaardeerd bij stijgende prijzen en overgewaardeerd bij dalende prijzen. </w:t>
      </w:r>
      <w:r w:rsidR="00F91F92" w:rsidRPr="002A2E36">
        <w:rPr>
          <w:rFonts w:ascii="Arial" w:hAnsi="Arial" w:cs="Arial"/>
        </w:rPr>
        <w:t>De</w:t>
      </w:r>
      <w:r w:rsidR="00086D4C" w:rsidRPr="002A2E36">
        <w:rPr>
          <w:rFonts w:ascii="Arial" w:hAnsi="Arial" w:cs="Arial"/>
        </w:rPr>
        <w:t xml:space="preserve"> </w:t>
      </w:r>
      <w:r w:rsidR="00E4244B" w:rsidRPr="002A2E36">
        <w:rPr>
          <w:rFonts w:ascii="Arial" w:hAnsi="Arial" w:cs="Arial"/>
        </w:rPr>
        <w:t>kritiek</w:t>
      </w:r>
      <w:r w:rsidR="00086D4C" w:rsidRPr="002A2E36">
        <w:rPr>
          <w:rFonts w:ascii="Arial" w:hAnsi="Arial" w:cs="Arial"/>
        </w:rPr>
        <w:t xml:space="preserve"> lag vooral bij de onderwaardering van de voorraden. Het bijkomend effect op de ratio</w:t>
      </w:r>
      <w:r>
        <w:rPr>
          <w:rFonts w:ascii="Arial" w:hAnsi="Arial" w:cs="Arial"/>
        </w:rPr>
        <w:t>’</w:t>
      </w:r>
      <w:r w:rsidR="00086D4C" w:rsidRPr="002A2E36">
        <w:rPr>
          <w:rFonts w:ascii="Arial" w:hAnsi="Arial" w:cs="Arial"/>
        </w:rPr>
        <w:t>s zorgde</w:t>
      </w:r>
      <w:r>
        <w:rPr>
          <w:rFonts w:ascii="Arial" w:hAnsi="Arial" w:cs="Arial"/>
        </w:rPr>
        <w:t xml:space="preserve"> voor</w:t>
      </w:r>
      <w:r w:rsidR="00086D4C" w:rsidRPr="002A2E36">
        <w:rPr>
          <w:rFonts w:ascii="Arial" w:hAnsi="Arial" w:cs="Arial"/>
        </w:rPr>
        <w:t xml:space="preserve"> vermindering van de kwaliteit van accounting.</w:t>
      </w:r>
      <w:r>
        <w:rPr>
          <w:rFonts w:ascii="Arial" w:hAnsi="Arial" w:cs="Arial"/>
        </w:rPr>
        <w:t xml:space="preserve"> D</w:t>
      </w:r>
      <w:r w:rsidR="00086D4C" w:rsidRPr="002A2E36">
        <w:rPr>
          <w:rFonts w:ascii="Arial" w:hAnsi="Arial" w:cs="Arial"/>
        </w:rPr>
        <w:t>e waardering van de voorraden waren niet nauwkeurig meer.</w:t>
      </w:r>
      <w:r w:rsidR="00F720B5" w:rsidRPr="002A2E36">
        <w:rPr>
          <w:rFonts w:ascii="Arial" w:hAnsi="Arial" w:cs="Arial"/>
        </w:rPr>
        <w:t xml:space="preserve"> Er is ook een verschil in soorten voorraden waardoor de waardering anders is. Het volgende hoofdstuk gaat in op het begrip voorraden en welk </w:t>
      </w:r>
      <w:r w:rsidR="006956EF" w:rsidRPr="002A2E36">
        <w:rPr>
          <w:rFonts w:ascii="Arial" w:hAnsi="Arial" w:cs="Arial"/>
        </w:rPr>
        <w:t xml:space="preserve">onderscheid wordt gemaakt in de voorraden. </w:t>
      </w:r>
    </w:p>
    <w:p w:rsidR="00086D4C" w:rsidRPr="002A2E36" w:rsidRDefault="00086D4C">
      <w:pPr>
        <w:rPr>
          <w:rFonts w:ascii="Arial" w:hAnsi="Arial" w:cs="Arial"/>
        </w:rPr>
      </w:pPr>
      <w:r w:rsidRPr="002A2E36">
        <w:rPr>
          <w:rFonts w:ascii="Arial" w:hAnsi="Arial" w:cs="Arial"/>
        </w:rPr>
        <w:br w:type="page"/>
      </w:r>
    </w:p>
    <w:p w:rsidR="00A730CC" w:rsidRPr="002A2E36" w:rsidRDefault="00835A5B" w:rsidP="00835A5B">
      <w:pPr>
        <w:pStyle w:val="Heading1"/>
        <w:numPr>
          <w:ilvl w:val="0"/>
          <w:numId w:val="2"/>
        </w:numPr>
        <w:spacing w:line="360" w:lineRule="auto"/>
        <w:rPr>
          <w:rFonts w:ascii="Arial" w:hAnsi="Arial" w:cs="Arial"/>
        </w:rPr>
      </w:pPr>
      <w:bookmarkStart w:id="12" w:name="_Toc426984356"/>
      <w:r w:rsidRPr="00835A5B">
        <w:rPr>
          <w:rFonts w:ascii="Arial" w:hAnsi="Arial" w:cs="Arial"/>
        </w:rPr>
        <w:t>Wat verstaat men onder het begrip voorraden?</w:t>
      </w:r>
      <w:bookmarkEnd w:id="12"/>
    </w:p>
    <w:p w:rsidR="00A730CC" w:rsidRPr="002A2E36" w:rsidRDefault="00A730CC" w:rsidP="00F523EC">
      <w:pPr>
        <w:pStyle w:val="Heading2"/>
        <w:spacing w:line="360" w:lineRule="auto"/>
        <w:rPr>
          <w:rFonts w:cs="Arial"/>
        </w:rPr>
      </w:pPr>
    </w:p>
    <w:p w:rsidR="00A730CC" w:rsidRPr="002A2E36" w:rsidRDefault="00D401BE" w:rsidP="00F523EC">
      <w:pPr>
        <w:pStyle w:val="Heading2"/>
        <w:spacing w:line="360" w:lineRule="auto"/>
        <w:rPr>
          <w:rFonts w:cs="Arial"/>
        </w:rPr>
      </w:pPr>
      <w:bookmarkStart w:id="13" w:name="_Toc426984357"/>
      <w:r w:rsidRPr="002A2E36">
        <w:rPr>
          <w:rFonts w:cs="Arial"/>
        </w:rPr>
        <w:t>3</w:t>
      </w:r>
      <w:r w:rsidR="00A730CC" w:rsidRPr="002A2E36">
        <w:rPr>
          <w:rFonts w:cs="Arial"/>
        </w:rPr>
        <w:t>.1 Wat zij</w:t>
      </w:r>
      <w:r w:rsidR="00CA25C8">
        <w:rPr>
          <w:rFonts w:cs="Arial"/>
        </w:rPr>
        <w:t>n voorraden volgens IAS en de RJ</w:t>
      </w:r>
      <w:r w:rsidR="00A730CC" w:rsidRPr="002A2E36">
        <w:rPr>
          <w:rFonts w:cs="Arial"/>
        </w:rPr>
        <w:t>?</w:t>
      </w:r>
      <w:bookmarkEnd w:id="13"/>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Titel 9 BW2 bevat een omschrijv</w:t>
      </w:r>
      <w:r w:rsidR="00CA25C8">
        <w:rPr>
          <w:rFonts w:ascii="Arial" w:hAnsi="Arial" w:cs="Arial"/>
          <w:color w:val="000000" w:themeColor="text1"/>
        </w:rPr>
        <w:t>ing van het begrip voorraden. De omschrijving is;</w:t>
      </w:r>
      <w:r w:rsidRPr="002A2E36">
        <w:rPr>
          <w:rFonts w:ascii="Arial" w:hAnsi="Arial" w:cs="Arial"/>
          <w:color w:val="000000" w:themeColor="text1"/>
        </w:rPr>
        <w:t xml:space="preserve"> voorraden zijn activa:</w:t>
      </w:r>
    </w:p>
    <w:p w:rsidR="00E92EC7" w:rsidRPr="002A2E36" w:rsidRDefault="00A730CC" w:rsidP="00E92EC7">
      <w:pPr>
        <w:pStyle w:val="ListParagraph"/>
        <w:numPr>
          <w:ilvl w:val="0"/>
          <w:numId w:val="15"/>
        </w:numPr>
        <w:spacing w:line="360" w:lineRule="auto"/>
        <w:rPr>
          <w:rFonts w:ascii="Arial" w:hAnsi="Arial" w:cs="Arial"/>
          <w:color w:val="000000" w:themeColor="text1"/>
        </w:rPr>
      </w:pPr>
      <w:r w:rsidRPr="002A2E36">
        <w:rPr>
          <w:rFonts w:ascii="Arial" w:hAnsi="Arial" w:cs="Arial"/>
          <w:color w:val="000000" w:themeColor="text1"/>
        </w:rPr>
        <w:t>Die worden aangehouden voor verkoop in het kader va</w:t>
      </w:r>
      <w:r w:rsidR="00E92EC7" w:rsidRPr="002A2E36">
        <w:rPr>
          <w:rFonts w:ascii="Arial" w:hAnsi="Arial" w:cs="Arial"/>
          <w:color w:val="000000" w:themeColor="text1"/>
        </w:rPr>
        <w:t>n de normale bedrijfsvoering;</w:t>
      </w:r>
    </w:p>
    <w:p w:rsidR="00E92EC7" w:rsidRPr="002A2E36" w:rsidRDefault="00A730CC" w:rsidP="00E92EC7">
      <w:pPr>
        <w:pStyle w:val="ListParagraph"/>
        <w:numPr>
          <w:ilvl w:val="0"/>
          <w:numId w:val="15"/>
        </w:numPr>
        <w:spacing w:line="360" w:lineRule="auto"/>
        <w:rPr>
          <w:rFonts w:ascii="Arial" w:hAnsi="Arial" w:cs="Arial"/>
          <w:color w:val="000000" w:themeColor="text1"/>
        </w:rPr>
      </w:pPr>
      <w:r w:rsidRPr="002A2E36">
        <w:rPr>
          <w:rFonts w:ascii="Arial" w:hAnsi="Arial" w:cs="Arial"/>
          <w:color w:val="000000" w:themeColor="text1"/>
        </w:rPr>
        <w:t>In het productieproces voo</w:t>
      </w:r>
      <w:r w:rsidR="00CA25C8">
        <w:rPr>
          <w:rFonts w:ascii="Arial" w:hAnsi="Arial" w:cs="Arial"/>
          <w:color w:val="000000" w:themeColor="text1"/>
        </w:rPr>
        <w:t>r een dergelijke verkoop;</w:t>
      </w:r>
      <w:r w:rsidR="00E92EC7" w:rsidRPr="002A2E36">
        <w:rPr>
          <w:rFonts w:ascii="Arial" w:hAnsi="Arial" w:cs="Arial"/>
          <w:color w:val="000000" w:themeColor="text1"/>
        </w:rPr>
        <w:t xml:space="preserve"> </w:t>
      </w:r>
    </w:p>
    <w:p w:rsidR="00A730CC" w:rsidRPr="002A2E36" w:rsidRDefault="00A730CC" w:rsidP="00E92EC7">
      <w:pPr>
        <w:pStyle w:val="ListParagraph"/>
        <w:numPr>
          <w:ilvl w:val="0"/>
          <w:numId w:val="15"/>
        </w:numPr>
        <w:spacing w:line="360" w:lineRule="auto"/>
        <w:rPr>
          <w:rFonts w:ascii="Arial" w:hAnsi="Arial" w:cs="Arial"/>
          <w:color w:val="000000" w:themeColor="text1"/>
        </w:rPr>
      </w:pPr>
      <w:r w:rsidRPr="002A2E36">
        <w:rPr>
          <w:rFonts w:ascii="Arial" w:hAnsi="Arial" w:cs="Arial"/>
          <w:color w:val="000000" w:themeColor="text1"/>
        </w:rPr>
        <w:t xml:space="preserve">In de vorm van grond- en hulpstoffen die worden verbruikt tijdens het </w:t>
      </w:r>
      <w:r w:rsidR="00A9475E" w:rsidRPr="002A2E36">
        <w:rPr>
          <w:rFonts w:ascii="Arial" w:hAnsi="Arial" w:cs="Arial"/>
          <w:color w:val="000000" w:themeColor="text1"/>
        </w:rPr>
        <w:t xml:space="preserve">productieproces </w:t>
      </w:r>
      <w:r w:rsidRPr="002A2E36">
        <w:rPr>
          <w:rFonts w:ascii="Arial" w:hAnsi="Arial" w:cs="Arial"/>
          <w:color w:val="000000" w:themeColor="text1"/>
        </w:rPr>
        <w:t>of tijdens het verlenen van diensten (IAS 2.6, RJ 220.105).</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Het is van belang </w:t>
      </w:r>
      <w:r w:rsidR="00CA25C8">
        <w:rPr>
          <w:rFonts w:ascii="Arial" w:hAnsi="Arial" w:cs="Arial"/>
          <w:color w:val="000000" w:themeColor="text1"/>
        </w:rPr>
        <w:t xml:space="preserve">om </w:t>
      </w:r>
      <w:r w:rsidRPr="002A2E36">
        <w:rPr>
          <w:rFonts w:ascii="Arial" w:hAnsi="Arial" w:cs="Arial"/>
          <w:color w:val="000000" w:themeColor="text1"/>
        </w:rPr>
        <w:t xml:space="preserve">goederen te kunnen onderscheiden van bijvoorbeeld materiële vaste activa. </w:t>
      </w:r>
      <w:r w:rsidR="00587647">
        <w:rPr>
          <w:rFonts w:ascii="Arial" w:hAnsi="Arial" w:cs="Arial"/>
          <w:color w:val="000000" w:themeColor="text1"/>
        </w:rPr>
        <w:t>Daarom is het belangrijk om een onderscheid te maken waarvoor de goederen gebruikt worden</w:t>
      </w:r>
      <w:r w:rsidRPr="002A2E36">
        <w:rPr>
          <w:rFonts w:ascii="Arial" w:hAnsi="Arial" w:cs="Arial"/>
          <w:color w:val="000000" w:themeColor="text1"/>
        </w:rPr>
        <w:t xml:space="preserve">. </w:t>
      </w:r>
      <w:r w:rsidR="00587647">
        <w:rPr>
          <w:rFonts w:ascii="Arial" w:hAnsi="Arial" w:cs="Arial"/>
          <w:color w:val="000000" w:themeColor="text1"/>
        </w:rPr>
        <w:t>Zodra hierin een onderscheid gemaakt is kan worden bepaald onder welke posten op de balans deze goederen horen</w:t>
      </w:r>
      <w:r w:rsidRPr="002A2E36">
        <w:rPr>
          <w:rFonts w:ascii="Arial" w:hAnsi="Arial" w:cs="Arial"/>
          <w:color w:val="000000" w:themeColor="text1"/>
        </w:rPr>
        <w:t xml:space="preserve">. </w:t>
      </w:r>
      <w:r w:rsidR="00CA25C8">
        <w:rPr>
          <w:rFonts w:ascii="Arial" w:hAnsi="Arial" w:cs="Arial"/>
          <w:color w:val="000000" w:themeColor="text1"/>
        </w:rPr>
        <w:t>Hierna volgt</w:t>
      </w:r>
      <w:r w:rsidRPr="002A2E36">
        <w:rPr>
          <w:rFonts w:ascii="Arial" w:hAnsi="Arial" w:cs="Arial"/>
          <w:color w:val="000000" w:themeColor="text1"/>
        </w:rPr>
        <w:t xml:space="preserve"> een voorbeeld:</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Het voorbeeld is een gebouw. Indien dit gebouw gebruikt wordt voor be</w:t>
      </w:r>
      <w:r w:rsidR="00AD51CB">
        <w:rPr>
          <w:rFonts w:ascii="Arial" w:hAnsi="Arial" w:cs="Arial"/>
          <w:color w:val="000000" w:themeColor="text1"/>
        </w:rPr>
        <w:t>drijfsactiviteiten, is het een gebouw een</w:t>
      </w:r>
      <w:r w:rsidRPr="002A2E36">
        <w:rPr>
          <w:rFonts w:ascii="Arial" w:hAnsi="Arial" w:cs="Arial"/>
          <w:color w:val="000000" w:themeColor="text1"/>
        </w:rPr>
        <w:t xml:space="preserve"> vast actief. Maar wanneer iemand, zoals een vastgoedhandelaar, handelt in gebouwen wordt het gebouw</w:t>
      </w:r>
      <w:r w:rsidR="00D82A25">
        <w:rPr>
          <w:rFonts w:ascii="Arial" w:hAnsi="Arial" w:cs="Arial"/>
          <w:color w:val="000000" w:themeColor="text1"/>
        </w:rPr>
        <w:t xml:space="preserve"> gekwalificeerd als voorraad </w:t>
      </w:r>
      <w:sdt>
        <w:sdtPr>
          <w:rPr>
            <w:rFonts w:ascii="Arial" w:hAnsi="Arial" w:cs="Arial"/>
            <w:color w:val="000000" w:themeColor="text1"/>
          </w:rPr>
          <w:id w:val="41505729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De </w:t>
      </w:r>
      <w:r w:rsidR="00B047F0">
        <w:rPr>
          <w:rFonts w:ascii="Arial" w:hAnsi="Arial" w:cs="Arial"/>
          <w:color w:val="000000" w:themeColor="text1"/>
        </w:rPr>
        <w:t>RJ</w:t>
      </w:r>
      <w:r w:rsidRPr="002A2E36">
        <w:rPr>
          <w:rFonts w:ascii="Arial" w:hAnsi="Arial" w:cs="Arial"/>
          <w:color w:val="000000" w:themeColor="text1"/>
        </w:rPr>
        <w:t xml:space="preserve"> en IAS 2 bevatten het onderscheid in de verschillende categorieën voorraden. Volgens artikel 2:369 BW en RJ 220.501 worden de volgende vier categorieën onderscheiden: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1.</w:t>
      </w:r>
      <w:r w:rsidRPr="002A2E36">
        <w:rPr>
          <w:rFonts w:ascii="Arial" w:hAnsi="Arial" w:cs="Arial"/>
          <w:color w:val="000000" w:themeColor="text1"/>
        </w:rPr>
        <w:tab/>
      </w:r>
      <w:proofErr w:type="gramStart"/>
      <w:r w:rsidRPr="002A2E36">
        <w:rPr>
          <w:rFonts w:ascii="Arial" w:hAnsi="Arial" w:cs="Arial"/>
          <w:color w:val="000000" w:themeColor="text1"/>
        </w:rPr>
        <w:t>grond-</w:t>
      </w:r>
      <w:proofErr w:type="gramEnd"/>
      <w:r w:rsidRPr="002A2E36">
        <w:rPr>
          <w:rFonts w:ascii="Arial" w:hAnsi="Arial" w:cs="Arial"/>
          <w:color w:val="000000" w:themeColor="text1"/>
        </w:rPr>
        <w:t xml:space="preserve"> en hulpstoffen;</w:t>
      </w:r>
      <w:r w:rsidRPr="002A2E36">
        <w:rPr>
          <w:rFonts w:ascii="Arial" w:hAnsi="Arial" w:cs="Arial"/>
          <w:color w:val="000000" w:themeColor="text1"/>
        </w:rPr>
        <w:br/>
        <w:t>2.</w:t>
      </w:r>
      <w:r w:rsidRPr="002A2E36">
        <w:rPr>
          <w:rFonts w:ascii="Arial" w:hAnsi="Arial" w:cs="Arial"/>
          <w:color w:val="000000" w:themeColor="text1"/>
        </w:rPr>
        <w:tab/>
      </w:r>
      <w:proofErr w:type="gramStart"/>
      <w:r w:rsidRPr="002A2E36">
        <w:rPr>
          <w:rFonts w:ascii="Arial" w:hAnsi="Arial" w:cs="Arial"/>
          <w:color w:val="000000" w:themeColor="text1"/>
        </w:rPr>
        <w:t>onderhanden</w:t>
      </w:r>
      <w:proofErr w:type="gramEnd"/>
      <w:r w:rsidRPr="002A2E36">
        <w:rPr>
          <w:rFonts w:ascii="Arial" w:hAnsi="Arial" w:cs="Arial"/>
          <w:color w:val="000000" w:themeColor="text1"/>
        </w:rPr>
        <w:t xml:space="preserve"> werk;</w:t>
      </w:r>
      <w:r w:rsidRPr="002A2E36">
        <w:rPr>
          <w:rFonts w:ascii="Arial" w:hAnsi="Arial" w:cs="Arial"/>
          <w:color w:val="000000" w:themeColor="text1"/>
        </w:rPr>
        <w:br/>
        <w:t>3.</w:t>
      </w:r>
      <w:r w:rsidRPr="002A2E36">
        <w:rPr>
          <w:rFonts w:ascii="Arial" w:hAnsi="Arial" w:cs="Arial"/>
          <w:color w:val="000000" w:themeColor="text1"/>
        </w:rPr>
        <w:tab/>
      </w:r>
      <w:proofErr w:type="gramStart"/>
      <w:r w:rsidRPr="002A2E36">
        <w:rPr>
          <w:rFonts w:ascii="Arial" w:hAnsi="Arial" w:cs="Arial"/>
          <w:color w:val="000000" w:themeColor="text1"/>
        </w:rPr>
        <w:t>gereed</w:t>
      </w:r>
      <w:proofErr w:type="gramEnd"/>
      <w:r w:rsidRPr="002A2E36">
        <w:rPr>
          <w:rFonts w:ascii="Arial" w:hAnsi="Arial" w:cs="Arial"/>
          <w:color w:val="000000" w:themeColor="text1"/>
        </w:rPr>
        <w:t xml:space="preserve"> product en handelsgoederen;</w:t>
      </w:r>
      <w:r w:rsidRPr="002A2E36">
        <w:rPr>
          <w:rFonts w:ascii="Arial" w:hAnsi="Arial" w:cs="Arial"/>
          <w:color w:val="000000" w:themeColor="text1"/>
        </w:rPr>
        <w:br/>
        <w:t>4.</w:t>
      </w:r>
      <w:r w:rsidRPr="002A2E36">
        <w:rPr>
          <w:rFonts w:ascii="Arial" w:hAnsi="Arial" w:cs="Arial"/>
          <w:color w:val="000000" w:themeColor="text1"/>
        </w:rPr>
        <w:tab/>
      </w:r>
      <w:proofErr w:type="gramStart"/>
      <w:r w:rsidRPr="002A2E36">
        <w:rPr>
          <w:rFonts w:ascii="Arial" w:hAnsi="Arial" w:cs="Arial"/>
          <w:color w:val="000000" w:themeColor="text1"/>
        </w:rPr>
        <w:t>vooruitbetaling</w:t>
      </w:r>
      <w:proofErr w:type="gramEnd"/>
      <w:r w:rsidRPr="002A2E36">
        <w:rPr>
          <w:rFonts w:ascii="Arial" w:hAnsi="Arial" w:cs="Arial"/>
          <w:color w:val="000000" w:themeColor="text1"/>
        </w:rPr>
        <w:t xml:space="preserve"> op voorraden.</w:t>
      </w:r>
    </w:p>
    <w:p w:rsidR="00A730CC" w:rsidRPr="002A2E36" w:rsidRDefault="00D401BE" w:rsidP="00F523EC">
      <w:pPr>
        <w:pStyle w:val="Heading2"/>
        <w:spacing w:line="360" w:lineRule="auto"/>
        <w:rPr>
          <w:rFonts w:cs="Arial"/>
        </w:rPr>
      </w:pPr>
      <w:bookmarkStart w:id="14" w:name="_Toc426984358"/>
      <w:r w:rsidRPr="002A2E36">
        <w:rPr>
          <w:rFonts w:cs="Arial"/>
        </w:rPr>
        <w:t>3</w:t>
      </w:r>
      <w:r w:rsidR="00C816C0" w:rsidRPr="002A2E36">
        <w:rPr>
          <w:rFonts w:cs="Arial"/>
        </w:rPr>
        <w:t xml:space="preserve">.2 </w:t>
      </w:r>
      <w:r w:rsidR="00A730CC" w:rsidRPr="002A2E36">
        <w:rPr>
          <w:rFonts w:cs="Arial"/>
        </w:rPr>
        <w:t>Welk onderscheid bestaat in de voorraden?</w:t>
      </w:r>
      <w:bookmarkEnd w:id="14"/>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Op basis van titel 9 BW 2 is </w:t>
      </w:r>
      <w:proofErr w:type="gramStart"/>
      <w:r w:rsidRPr="002A2E36">
        <w:rPr>
          <w:rFonts w:ascii="Arial" w:hAnsi="Arial" w:cs="Arial"/>
          <w:color w:val="000000" w:themeColor="text1"/>
        </w:rPr>
        <w:t>het</w:t>
      </w:r>
      <w:proofErr w:type="gramEnd"/>
      <w:r w:rsidRPr="002A2E36">
        <w:rPr>
          <w:rFonts w:ascii="Arial" w:hAnsi="Arial" w:cs="Arial"/>
          <w:color w:val="000000" w:themeColor="text1"/>
        </w:rPr>
        <w:t xml:space="preserve"> vereist deze splitsing in categorieën toe te passen in de balans of in de toelichting. IFRS bevat geen onderscheid in categorieën, maar in IAS2.37 is doorgaans sprake van de volgende indeling: </w:t>
      </w:r>
    </w:p>
    <w:p w:rsidR="00857D67" w:rsidRDefault="00857D67" w:rsidP="00F523EC">
      <w:pPr>
        <w:spacing w:line="360" w:lineRule="auto"/>
        <w:rPr>
          <w:rFonts w:ascii="Arial" w:hAnsi="Arial" w:cs="Arial"/>
          <w:color w:val="000000" w:themeColor="text1"/>
        </w:rPr>
      </w:pP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1.</w:t>
      </w:r>
      <w:r w:rsidRPr="002A2E36">
        <w:rPr>
          <w:rFonts w:ascii="Arial" w:hAnsi="Arial" w:cs="Arial"/>
          <w:color w:val="000000" w:themeColor="text1"/>
        </w:rPr>
        <w:tab/>
      </w:r>
      <w:proofErr w:type="gramStart"/>
      <w:r w:rsidRPr="002A2E36">
        <w:rPr>
          <w:rFonts w:ascii="Arial" w:hAnsi="Arial" w:cs="Arial"/>
          <w:color w:val="000000" w:themeColor="text1"/>
        </w:rPr>
        <w:t>handelsgoederen</w:t>
      </w:r>
      <w:proofErr w:type="gramEnd"/>
      <w:r w:rsidRPr="002A2E36">
        <w:rPr>
          <w:rFonts w:ascii="Arial" w:hAnsi="Arial" w:cs="Arial"/>
          <w:color w:val="000000" w:themeColor="text1"/>
        </w:rPr>
        <w:t>;</w:t>
      </w:r>
      <w:r w:rsidR="00C816C0" w:rsidRPr="002A2E36">
        <w:rPr>
          <w:rFonts w:ascii="Arial" w:hAnsi="Arial" w:cs="Arial"/>
          <w:color w:val="000000" w:themeColor="text1"/>
        </w:rPr>
        <w:br/>
      </w:r>
      <w:r w:rsidRPr="002A2E36">
        <w:rPr>
          <w:rFonts w:ascii="Arial" w:hAnsi="Arial" w:cs="Arial"/>
          <w:color w:val="000000" w:themeColor="text1"/>
        </w:rPr>
        <w:t>2.</w:t>
      </w:r>
      <w:r w:rsidRPr="002A2E36">
        <w:rPr>
          <w:rFonts w:ascii="Arial" w:hAnsi="Arial" w:cs="Arial"/>
          <w:color w:val="000000" w:themeColor="text1"/>
        </w:rPr>
        <w:tab/>
      </w:r>
      <w:proofErr w:type="gramStart"/>
      <w:r w:rsidRPr="002A2E36">
        <w:rPr>
          <w:rFonts w:ascii="Arial" w:hAnsi="Arial" w:cs="Arial"/>
          <w:color w:val="000000" w:themeColor="text1"/>
        </w:rPr>
        <w:t>hulpstoffen</w:t>
      </w:r>
      <w:proofErr w:type="gramEnd"/>
      <w:r w:rsidRPr="002A2E36">
        <w:rPr>
          <w:rFonts w:ascii="Arial" w:hAnsi="Arial" w:cs="Arial"/>
          <w:color w:val="000000" w:themeColor="text1"/>
        </w:rPr>
        <w:t>;</w:t>
      </w:r>
      <w:r w:rsidR="00C816C0" w:rsidRPr="002A2E36">
        <w:rPr>
          <w:rFonts w:ascii="Arial" w:hAnsi="Arial" w:cs="Arial"/>
          <w:color w:val="000000" w:themeColor="text1"/>
        </w:rPr>
        <w:br/>
      </w:r>
      <w:r w:rsidRPr="002A2E36">
        <w:rPr>
          <w:rFonts w:ascii="Arial" w:hAnsi="Arial" w:cs="Arial"/>
          <w:color w:val="000000" w:themeColor="text1"/>
        </w:rPr>
        <w:t>3.</w:t>
      </w:r>
      <w:r w:rsidRPr="002A2E36">
        <w:rPr>
          <w:rFonts w:ascii="Arial" w:hAnsi="Arial" w:cs="Arial"/>
          <w:color w:val="000000" w:themeColor="text1"/>
        </w:rPr>
        <w:tab/>
      </w:r>
      <w:proofErr w:type="gramStart"/>
      <w:r w:rsidRPr="002A2E36">
        <w:rPr>
          <w:rFonts w:ascii="Arial" w:hAnsi="Arial" w:cs="Arial"/>
          <w:color w:val="000000" w:themeColor="text1"/>
        </w:rPr>
        <w:t>grondstoffen</w:t>
      </w:r>
      <w:proofErr w:type="gramEnd"/>
      <w:r w:rsidRPr="002A2E36">
        <w:rPr>
          <w:rFonts w:ascii="Arial" w:hAnsi="Arial" w:cs="Arial"/>
          <w:color w:val="000000" w:themeColor="text1"/>
        </w:rPr>
        <w:t>;</w:t>
      </w:r>
      <w:r w:rsidR="00C816C0" w:rsidRPr="002A2E36">
        <w:rPr>
          <w:rFonts w:ascii="Arial" w:hAnsi="Arial" w:cs="Arial"/>
          <w:color w:val="000000" w:themeColor="text1"/>
        </w:rPr>
        <w:br/>
      </w:r>
      <w:r w:rsidRPr="002A2E36">
        <w:rPr>
          <w:rFonts w:ascii="Arial" w:hAnsi="Arial" w:cs="Arial"/>
          <w:color w:val="000000" w:themeColor="text1"/>
        </w:rPr>
        <w:t>4.</w:t>
      </w:r>
      <w:r w:rsidRPr="002A2E36">
        <w:rPr>
          <w:rFonts w:ascii="Arial" w:hAnsi="Arial" w:cs="Arial"/>
          <w:color w:val="000000" w:themeColor="text1"/>
        </w:rPr>
        <w:tab/>
      </w:r>
      <w:proofErr w:type="gramStart"/>
      <w:r w:rsidRPr="002A2E36">
        <w:rPr>
          <w:rFonts w:ascii="Arial" w:hAnsi="Arial" w:cs="Arial"/>
          <w:color w:val="000000" w:themeColor="text1"/>
        </w:rPr>
        <w:t>goederen</w:t>
      </w:r>
      <w:proofErr w:type="gramEnd"/>
      <w:r w:rsidRPr="002A2E36">
        <w:rPr>
          <w:rFonts w:ascii="Arial" w:hAnsi="Arial" w:cs="Arial"/>
          <w:color w:val="000000" w:themeColor="text1"/>
        </w:rPr>
        <w:t xml:space="preserve"> in bewerking;</w:t>
      </w:r>
      <w:r w:rsidR="00C816C0" w:rsidRPr="002A2E36">
        <w:rPr>
          <w:rFonts w:ascii="Arial" w:hAnsi="Arial" w:cs="Arial"/>
          <w:color w:val="000000" w:themeColor="text1"/>
        </w:rPr>
        <w:br/>
      </w:r>
      <w:r w:rsidRPr="002A2E36">
        <w:rPr>
          <w:rFonts w:ascii="Arial" w:hAnsi="Arial" w:cs="Arial"/>
          <w:color w:val="000000" w:themeColor="text1"/>
        </w:rPr>
        <w:t>5.</w:t>
      </w:r>
      <w:r w:rsidRPr="002A2E36">
        <w:rPr>
          <w:rFonts w:ascii="Arial" w:hAnsi="Arial" w:cs="Arial"/>
          <w:color w:val="000000" w:themeColor="text1"/>
        </w:rPr>
        <w:tab/>
      </w:r>
      <w:proofErr w:type="gramStart"/>
      <w:r w:rsidRPr="002A2E36">
        <w:rPr>
          <w:rFonts w:ascii="Arial" w:hAnsi="Arial" w:cs="Arial"/>
          <w:color w:val="000000" w:themeColor="text1"/>
        </w:rPr>
        <w:t>gereed</w:t>
      </w:r>
      <w:proofErr w:type="gramEnd"/>
      <w:r w:rsidRPr="002A2E36">
        <w:rPr>
          <w:rFonts w:ascii="Arial" w:hAnsi="Arial" w:cs="Arial"/>
          <w:color w:val="000000" w:themeColor="text1"/>
        </w:rPr>
        <w:t xml:space="preserve"> product.</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Een ander verschil tussen IAS 2 en de RJ is dat op basis van de IAS de kosten van de verleende diensten eveneens</w:t>
      </w:r>
      <w:r w:rsidR="009B3669">
        <w:rPr>
          <w:rFonts w:ascii="Arial" w:hAnsi="Arial" w:cs="Arial"/>
          <w:color w:val="000000" w:themeColor="text1"/>
        </w:rPr>
        <w:t xml:space="preserve"> als voorraden kwalificeert als</w:t>
      </w:r>
      <w:r w:rsidRPr="002A2E36">
        <w:rPr>
          <w:rFonts w:ascii="Arial" w:hAnsi="Arial" w:cs="Arial"/>
          <w:color w:val="000000" w:themeColor="text1"/>
        </w:rPr>
        <w:t xml:space="preserve"> daar nog geen opbrengsten voor zijn verantwoord. </w:t>
      </w:r>
      <w:r w:rsidR="009B3669">
        <w:rPr>
          <w:rFonts w:ascii="Arial" w:hAnsi="Arial" w:cs="Arial"/>
          <w:color w:val="000000" w:themeColor="text1"/>
        </w:rPr>
        <w:t xml:space="preserve">De voorraden mogen geactiveerd worden als de toekomstige economische voordelen, die betrekking hebben op de voorraden, toevloeien naar de </w:t>
      </w:r>
      <w:r w:rsidR="005553BA">
        <w:rPr>
          <w:rFonts w:ascii="Arial" w:hAnsi="Arial" w:cs="Arial"/>
          <w:color w:val="000000" w:themeColor="text1"/>
        </w:rPr>
        <w:t>onderneming</w:t>
      </w:r>
      <w:r w:rsidR="009B3669">
        <w:rPr>
          <w:rFonts w:ascii="Arial" w:hAnsi="Arial" w:cs="Arial"/>
          <w:color w:val="000000" w:themeColor="text1"/>
        </w:rPr>
        <w:t xml:space="preserve">. </w:t>
      </w:r>
      <w:r w:rsidR="00AD51CB">
        <w:rPr>
          <w:rFonts w:ascii="Arial" w:hAnsi="Arial" w:cs="Arial"/>
          <w:color w:val="000000" w:themeColor="text1"/>
        </w:rPr>
        <w:t>Een voorwaarde hiervoor is dat de kosten betrouwbaar geschat kunnen worden. In de praktijk wordt een onderscheid gemaakt</w:t>
      </w:r>
      <w:r w:rsidRPr="002A2E36">
        <w:rPr>
          <w:rFonts w:ascii="Arial" w:hAnsi="Arial" w:cs="Arial"/>
          <w:color w:val="000000" w:themeColor="text1"/>
        </w:rPr>
        <w:t xml:space="preserve"> tussen technische en de economische voorraad. De technische voorraad betreft de voorraden die fysiek aanwezig en de goederen die onderweg </w:t>
      </w:r>
      <w:r w:rsidR="00A510D0">
        <w:rPr>
          <w:rFonts w:ascii="Arial" w:hAnsi="Arial" w:cs="Arial"/>
          <w:color w:val="000000" w:themeColor="text1"/>
        </w:rPr>
        <w:t xml:space="preserve">zijn. Een </w:t>
      </w:r>
      <w:r w:rsidRPr="002A2E36">
        <w:rPr>
          <w:rFonts w:ascii="Arial" w:hAnsi="Arial" w:cs="Arial"/>
          <w:color w:val="000000" w:themeColor="text1"/>
        </w:rPr>
        <w:t xml:space="preserve">voorwaarde </w:t>
      </w:r>
      <w:r w:rsidR="00A510D0">
        <w:rPr>
          <w:rFonts w:ascii="Arial" w:hAnsi="Arial" w:cs="Arial"/>
          <w:color w:val="000000" w:themeColor="text1"/>
        </w:rPr>
        <w:t xml:space="preserve">is </w:t>
      </w:r>
      <w:r w:rsidRPr="002A2E36">
        <w:rPr>
          <w:rFonts w:ascii="Arial" w:hAnsi="Arial" w:cs="Arial"/>
          <w:color w:val="000000" w:themeColor="text1"/>
        </w:rPr>
        <w:t xml:space="preserve">dat het grootste deel van de risico’s voor rekening van de </w:t>
      </w:r>
      <w:r w:rsidR="005553BA">
        <w:rPr>
          <w:rFonts w:ascii="Arial" w:hAnsi="Arial" w:cs="Arial"/>
          <w:color w:val="000000" w:themeColor="text1"/>
        </w:rPr>
        <w:t>onderneming</w:t>
      </w:r>
      <w:r w:rsidRPr="002A2E36">
        <w:rPr>
          <w:rFonts w:ascii="Arial" w:hAnsi="Arial" w:cs="Arial"/>
          <w:color w:val="000000" w:themeColor="text1"/>
        </w:rPr>
        <w:t xml:space="preserve"> zijn. De economische voorraad is de technische voorraad inclusief de voorinkopen min de voorverkopen. De economische voorraad is de voorraad waar</w:t>
      </w:r>
      <w:r w:rsidR="00AD51CB">
        <w:rPr>
          <w:rFonts w:ascii="Arial" w:hAnsi="Arial" w:cs="Arial"/>
          <w:color w:val="000000" w:themeColor="text1"/>
        </w:rPr>
        <w:t xml:space="preserve">over de </w:t>
      </w:r>
      <w:r w:rsidR="005553BA">
        <w:rPr>
          <w:rFonts w:ascii="Arial" w:hAnsi="Arial" w:cs="Arial"/>
          <w:color w:val="000000" w:themeColor="text1"/>
        </w:rPr>
        <w:t>onderneming</w:t>
      </w:r>
      <w:r w:rsidR="00AD51CB">
        <w:rPr>
          <w:rFonts w:ascii="Arial" w:hAnsi="Arial" w:cs="Arial"/>
          <w:color w:val="000000" w:themeColor="text1"/>
        </w:rPr>
        <w:t xml:space="preserve"> </w:t>
      </w:r>
      <w:r w:rsidRPr="002A2E36">
        <w:rPr>
          <w:rFonts w:ascii="Arial" w:hAnsi="Arial" w:cs="Arial"/>
          <w:color w:val="000000" w:themeColor="text1"/>
        </w:rPr>
        <w:t xml:space="preserve">prijsrisico </w:t>
      </w:r>
      <w:r w:rsidR="00AD51CB">
        <w:rPr>
          <w:rFonts w:ascii="Arial" w:hAnsi="Arial" w:cs="Arial"/>
          <w:color w:val="000000" w:themeColor="text1"/>
        </w:rPr>
        <w:t>loopt</w:t>
      </w:r>
      <w:r w:rsidRPr="002A2E36">
        <w:rPr>
          <w:rFonts w:ascii="Arial" w:hAnsi="Arial" w:cs="Arial"/>
          <w:color w:val="000000" w:themeColor="text1"/>
        </w:rPr>
        <w:t xml:space="preserve">. Op basis van de RJ en op basis van de IAS is het gebruik van economische voorraad in de jaarrekening niet </w:t>
      </w:r>
      <w:r w:rsidR="00D82A25">
        <w:rPr>
          <w:rFonts w:ascii="Arial" w:hAnsi="Arial" w:cs="Arial"/>
          <w:color w:val="000000" w:themeColor="text1"/>
        </w:rPr>
        <w:t xml:space="preserve">toegestaan </w:t>
      </w:r>
      <w:sdt>
        <w:sdtPr>
          <w:rPr>
            <w:rFonts w:ascii="Arial" w:hAnsi="Arial" w:cs="Arial"/>
            <w:color w:val="000000" w:themeColor="text1"/>
          </w:rPr>
          <w:id w:val="1742219413"/>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De indeling op basis van IAS 2 betreffende de voorraden bevat de volgende</w:t>
      </w:r>
      <w:r w:rsidR="00A510D0">
        <w:rPr>
          <w:rFonts w:ascii="Arial" w:hAnsi="Arial" w:cs="Arial"/>
          <w:color w:val="000000" w:themeColor="text1"/>
        </w:rPr>
        <w:t xml:space="preserve"> drie</w:t>
      </w:r>
      <w:r w:rsidRPr="002A2E36">
        <w:rPr>
          <w:rFonts w:ascii="Arial" w:hAnsi="Arial" w:cs="Arial"/>
          <w:color w:val="000000" w:themeColor="text1"/>
        </w:rPr>
        <w:t xml:space="preserve"> hoofdcategorieën: gereedgekomen producten, onderhanden werk en grondstoffen. De goederen die IAS 2 uitsluit zijn: onderhanden werk in bouwcontracten (IAS 11), financiële instrumenten (IAS 39) en biologische activa die verband houden met agrarische activiteiten en agrarische producten op het punt van</w:t>
      </w:r>
      <w:r w:rsidR="00D82A25">
        <w:rPr>
          <w:rFonts w:ascii="Arial" w:hAnsi="Arial" w:cs="Arial"/>
          <w:color w:val="000000" w:themeColor="text1"/>
        </w:rPr>
        <w:t xml:space="preserve"> oogsten (IAS 41) </w:t>
      </w:r>
      <w:sdt>
        <w:sdtPr>
          <w:rPr>
            <w:rFonts w:ascii="Arial" w:hAnsi="Arial" w:cs="Arial"/>
            <w:color w:val="000000" w:themeColor="text1"/>
          </w:rPr>
          <w:id w:val="-116393130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Çür07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(Çürtük, 2007)</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A730CC" w:rsidRPr="002A2E36" w:rsidRDefault="00D401BE" w:rsidP="00F523EC">
      <w:pPr>
        <w:pStyle w:val="Heading2"/>
        <w:spacing w:line="360" w:lineRule="auto"/>
        <w:rPr>
          <w:rFonts w:cs="Arial"/>
        </w:rPr>
      </w:pPr>
      <w:bookmarkStart w:id="15" w:name="_Toc426984359"/>
      <w:r w:rsidRPr="002A2E36">
        <w:rPr>
          <w:rFonts w:cs="Arial"/>
        </w:rPr>
        <w:t>3</w:t>
      </w:r>
      <w:r w:rsidR="00C816C0" w:rsidRPr="002A2E36">
        <w:rPr>
          <w:rFonts w:cs="Arial"/>
        </w:rPr>
        <w:t xml:space="preserve">.3 </w:t>
      </w:r>
      <w:r w:rsidR="00A730CC" w:rsidRPr="002A2E36">
        <w:rPr>
          <w:rFonts w:cs="Arial"/>
        </w:rPr>
        <w:t>Wat zijn agrarische en fungibele producten?</w:t>
      </w:r>
      <w:bookmarkEnd w:id="15"/>
    </w:p>
    <w:p w:rsidR="00A730CC" w:rsidRPr="002A2E36" w:rsidRDefault="00D401BE" w:rsidP="00F523EC">
      <w:pPr>
        <w:pStyle w:val="Heading3"/>
        <w:spacing w:line="360" w:lineRule="auto"/>
        <w:rPr>
          <w:rFonts w:cs="Arial"/>
        </w:rPr>
      </w:pPr>
      <w:bookmarkStart w:id="16" w:name="_Toc426984360"/>
      <w:r w:rsidRPr="002A2E36">
        <w:rPr>
          <w:rFonts w:cs="Arial"/>
        </w:rPr>
        <w:t>3</w:t>
      </w:r>
      <w:r w:rsidR="00241542" w:rsidRPr="002A2E36">
        <w:rPr>
          <w:rFonts w:cs="Arial"/>
        </w:rPr>
        <w:t xml:space="preserve">.3.1 </w:t>
      </w:r>
      <w:r w:rsidR="00A730CC" w:rsidRPr="002A2E36">
        <w:rPr>
          <w:rFonts w:cs="Arial"/>
        </w:rPr>
        <w:t>Agrarische producten</w:t>
      </w:r>
      <w:bookmarkEnd w:id="16"/>
    </w:p>
    <w:p w:rsidR="00A730CC"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De agrarische </w:t>
      </w:r>
      <w:r w:rsidR="006152F4" w:rsidRPr="002A2E36">
        <w:rPr>
          <w:rFonts w:ascii="Arial" w:hAnsi="Arial" w:cs="Arial"/>
          <w:color w:val="000000" w:themeColor="text1"/>
        </w:rPr>
        <w:t xml:space="preserve">sector </w:t>
      </w:r>
      <w:r w:rsidRPr="002A2E36">
        <w:rPr>
          <w:rFonts w:ascii="Arial" w:hAnsi="Arial" w:cs="Arial"/>
          <w:color w:val="000000" w:themeColor="text1"/>
        </w:rPr>
        <w:t xml:space="preserve">levert een grote bijdrage aan de Nederlandse economie. Nederland behoort tot één van de grootste exporteurs van </w:t>
      </w:r>
      <w:r w:rsidR="00D82A25">
        <w:rPr>
          <w:rFonts w:ascii="Arial" w:hAnsi="Arial" w:cs="Arial"/>
          <w:color w:val="000000" w:themeColor="text1"/>
        </w:rPr>
        <w:t xml:space="preserve">agrarische producten </w:t>
      </w:r>
      <w:sdt>
        <w:sdtPr>
          <w:rPr>
            <w:rFonts w:ascii="Arial" w:hAnsi="Arial" w:cs="Arial"/>
            <w:color w:val="000000" w:themeColor="text1"/>
          </w:rPr>
          <w:id w:val="-102192829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LTO13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(LTO, 2013)</w:t>
          </w:r>
          <w:r w:rsidR="007A6E22">
            <w:rPr>
              <w:rFonts w:ascii="Arial" w:hAnsi="Arial" w:cs="Arial"/>
              <w:color w:val="000000" w:themeColor="text1"/>
            </w:rPr>
            <w:fldChar w:fldCharType="end"/>
          </w:r>
        </w:sdtContent>
      </w:sdt>
      <w:r w:rsidRPr="002A2E36">
        <w:rPr>
          <w:rFonts w:ascii="Arial" w:hAnsi="Arial" w:cs="Arial"/>
          <w:color w:val="000000" w:themeColor="text1"/>
        </w:rPr>
        <w:t>. In IAS 41 worden biologische activa en agrarische producten nader toegelicht. Deze richtlijn bevat de standaarden die de exter</w:t>
      </w:r>
      <w:r w:rsidR="005553BA">
        <w:rPr>
          <w:rFonts w:ascii="Arial" w:hAnsi="Arial" w:cs="Arial"/>
          <w:color w:val="000000" w:themeColor="text1"/>
        </w:rPr>
        <w:t>ne verslaggeving betreffen. IAS</w:t>
      </w:r>
      <w:r w:rsidRPr="002A2E36">
        <w:rPr>
          <w:rFonts w:ascii="Arial" w:hAnsi="Arial" w:cs="Arial"/>
          <w:color w:val="000000" w:themeColor="text1"/>
        </w:rPr>
        <w:t xml:space="preserve"> bevat wel een specifieke regeling, dit in tegenstelling tot RJ. Agrarische producten zijn de producten die geoogst zijn uit biologische activa. Voorbeelden van biologische activa zijn levende dieren, planten of bomen en deze behoren tot de materiële vaste activa. Een aantal voorbeelden van agrarische producten zijn: </w:t>
      </w:r>
    </w:p>
    <w:p w:rsidR="00857D67" w:rsidRPr="002A2E36" w:rsidRDefault="00857D67" w:rsidP="00F523EC">
      <w:pPr>
        <w:spacing w:line="360" w:lineRule="auto"/>
        <w:rPr>
          <w:rFonts w:ascii="Arial" w:hAnsi="Arial" w:cs="Arial"/>
          <w:color w:val="000000" w:themeColor="text1"/>
        </w:rPr>
      </w:pPr>
    </w:p>
    <w:p w:rsidR="00E92EC7" w:rsidRPr="002A2E36" w:rsidRDefault="00A730CC" w:rsidP="00E92EC7">
      <w:pPr>
        <w:pStyle w:val="ListParagraph"/>
        <w:numPr>
          <w:ilvl w:val="0"/>
          <w:numId w:val="16"/>
        </w:numPr>
        <w:spacing w:line="360" w:lineRule="auto"/>
        <w:rPr>
          <w:rFonts w:ascii="Arial" w:hAnsi="Arial" w:cs="Arial"/>
          <w:color w:val="000000" w:themeColor="text1"/>
        </w:rPr>
      </w:pPr>
      <w:r w:rsidRPr="002A2E36">
        <w:rPr>
          <w:rFonts w:ascii="Arial" w:hAnsi="Arial" w:cs="Arial"/>
          <w:color w:val="000000" w:themeColor="text1"/>
        </w:rPr>
        <w:t>wol, schapen zijn de biologische activa die daarbij behoort;</w:t>
      </w:r>
    </w:p>
    <w:p w:rsidR="00E92EC7" w:rsidRPr="002A2E36" w:rsidRDefault="00A730CC" w:rsidP="00E92EC7">
      <w:pPr>
        <w:pStyle w:val="ListParagraph"/>
        <w:numPr>
          <w:ilvl w:val="0"/>
          <w:numId w:val="16"/>
        </w:numPr>
        <w:spacing w:line="360" w:lineRule="auto"/>
        <w:rPr>
          <w:rFonts w:ascii="Arial" w:hAnsi="Arial" w:cs="Arial"/>
          <w:color w:val="000000" w:themeColor="text1"/>
        </w:rPr>
      </w:pPr>
      <w:r w:rsidRPr="002A2E36">
        <w:rPr>
          <w:rFonts w:ascii="Arial" w:hAnsi="Arial" w:cs="Arial"/>
          <w:color w:val="000000" w:themeColor="text1"/>
        </w:rPr>
        <w:t>katoen, de katoenplantage is de biologische activa</w:t>
      </w:r>
      <w:r w:rsidR="00C816C0" w:rsidRPr="002A2E36">
        <w:rPr>
          <w:rFonts w:ascii="Arial" w:hAnsi="Arial" w:cs="Arial"/>
          <w:color w:val="000000" w:themeColor="text1"/>
        </w:rPr>
        <w:t>;</w:t>
      </w:r>
    </w:p>
    <w:p w:rsidR="00A730CC" w:rsidRPr="002A2E36" w:rsidRDefault="00A730CC" w:rsidP="00E92EC7">
      <w:pPr>
        <w:pStyle w:val="ListParagraph"/>
        <w:numPr>
          <w:ilvl w:val="0"/>
          <w:numId w:val="16"/>
        </w:numPr>
        <w:spacing w:line="360" w:lineRule="auto"/>
        <w:rPr>
          <w:rFonts w:ascii="Arial" w:hAnsi="Arial" w:cs="Arial"/>
          <w:color w:val="000000" w:themeColor="text1"/>
        </w:rPr>
      </w:pPr>
      <w:r w:rsidRPr="002A2E36">
        <w:rPr>
          <w:rFonts w:ascii="Arial" w:hAnsi="Arial" w:cs="Arial"/>
          <w:color w:val="000000" w:themeColor="text1"/>
        </w:rPr>
        <w:t>thee bladeren, theeplantage is de biologische activa.</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Het waarderen van biologische activa, agrarische producten en verwerkte producten is een uitgebreid proces. Eerst moeten de biologische activa worden gewaardeerd, vervolgens wordt op basis daarvan de waarde van de agrarische producten vastgesteld. En tot slot moeten de verwerkte producten worden gewaardeerd. D</w:t>
      </w:r>
      <w:r w:rsidR="00A510D0">
        <w:rPr>
          <w:rFonts w:ascii="Arial" w:hAnsi="Arial" w:cs="Arial"/>
          <w:color w:val="000000" w:themeColor="text1"/>
        </w:rPr>
        <w:t>it</w:t>
      </w:r>
      <w:r w:rsidRPr="002A2E36">
        <w:rPr>
          <w:rFonts w:ascii="Arial" w:hAnsi="Arial" w:cs="Arial"/>
          <w:color w:val="000000" w:themeColor="text1"/>
        </w:rPr>
        <w:t xml:space="preserve"> wordt later </w:t>
      </w:r>
      <w:r w:rsidR="00A510D0">
        <w:rPr>
          <w:rFonts w:ascii="Arial" w:hAnsi="Arial" w:cs="Arial"/>
          <w:color w:val="000000" w:themeColor="text1"/>
        </w:rPr>
        <w:t>verde</w:t>
      </w:r>
      <w:r w:rsidRPr="002A2E36">
        <w:rPr>
          <w:rFonts w:ascii="Arial" w:hAnsi="Arial" w:cs="Arial"/>
          <w:color w:val="000000" w:themeColor="text1"/>
        </w:rPr>
        <w:t xml:space="preserve">r toegelicht.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IAS 41 betreft het volgende:</w:t>
      </w:r>
    </w:p>
    <w:p w:rsidR="00E92EC7" w:rsidRPr="002A2E36" w:rsidRDefault="00C816C0" w:rsidP="00E92EC7">
      <w:pPr>
        <w:pStyle w:val="ListParagraph"/>
        <w:numPr>
          <w:ilvl w:val="0"/>
          <w:numId w:val="10"/>
        </w:numPr>
        <w:spacing w:line="360" w:lineRule="auto"/>
        <w:rPr>
          <w:rFonts w:ascii="Arial" w:hAnsi="Arial" w:cs="Arial"/>
          <w:color w:val="000000" w:themeColor="text1"/>
        </w:rPr>
      </w:pPr>
      <w:r w:rsidRPr="002A2E36">
        <w:rPr>
          <w:rFonts w:ascii="Arial" w:hAnsi="Arial" w:cs="Arial"/>
          <w:color w:val="000000" w:themeColor="text1"/>
        </w:rPr>
        <w:t>L</w:t>
      </w:r>
      <w:r w:rsidR="00A730CC" w:rsidRPr="002A2E36">
        <w:rPr>
          <w:rFonts w:ascii="Arial" w:hAnsi="Arial" w:cs="Arial"/>
          <w:color w:val="000000" w:themeColor="text1"/>
        </w:rPr>
        <w:t xml:space="preserve">and gerelateerd aan de agrarische activiteit. Dit behoort tot de reikwijdte van IAS </w:t>
      </w:r>
      <w:r w:rsidR="00E92EC7" w:rsidRPr="002A2E36">
        <w:rPr>
          <w:rFonts w:ascii="Arial" w:hAnsi="Arial" w:cs="Arial"/>
          <w:color w:val="000000" w:themeColor="text1"/>
        </w:rPr>
        <w:t xml:space="preserve">16 </w:t>
      </w:r>
      <w:r w:rsidR="00A730CC" w:rsidRPr="002A2E36">
        <w:rPr>
          <w:rFonts w:ascii="Arial" w:hAnsi="Arial" w:cs="Arial"/>
          <w:color w:val="000000" w:themeColor="text1"/>
        </w:rPr>
        <w:t>‘Property, Plant and Equipment’.</w:t>
      </w:r>
    </w:p>
    <w:p w:rsidR="00E92EC7" w:rsidRPr="002A2E36" w:rsidRDefault="00C816C0" w:rsidP="00E92EC7">
      <w:pPr>
        <w:pStyle w:val="ListParagraph"/>
        <w:numPr>
          <w:ilvl w:val="0"/>
          <w:numId w:val="10"/>
        </w:numPr>
        <w:spacing w:line="360" w:lineRule="auto"/>
        <w:rPr>
          <w:rFonts w:ascii="Arial" w:hAnsi="Arial" w:cs="Arial"/>
          <w:color w:val="000000" w:themeColor="text1"/>
        </w:rPr>
      </w:pPr>
      <w:r w:rsidRPr="002A2E36">
        <w:rPr>
          <w:rFonts w:ascii="Arial" w:hAnsi="Arial" w:cs="Arial"/>
          <w:color w:val="000000" w:themeColor="text1"/>
        </w:rPr>
        <w:t>I</w:t>
      </w:r>
      <w:r w:rsidR="00A730CC" w:rsidRPr="002A2E36">
        <w:rPr>
          <w:rFonts w:ascii="Arial" w:hAnsi="Arial" w:cs="Arial"/>
          <w:color w:val="000000" w:themeColor="text1"/>
        </w:rPr>
        <w:t xml:space="preserve">mmateriële activa betreffende de agrarische activiteiten. </w:t>
      </w:r>
      <w:r w:rsidR="00E92EC7" w:rsidRPr="002A2E36">
        <w:rPr>
          <w:rFonts w:ascii="Arial" w:hAnsi="Arial" w:cs="Arial"/>
          <w:color w:val="000000" w:themeColor="text1"/>
        </w:rPr>
        <w:t xml:space="preserve">Deze behoren tot de </w:t>
      </w:r>
      <w:r w:rsidR="00A730CC" w:rsidRPr="002A2E36">
        <w:rPr>
          <w:rFonts w:ascii="Arial" w:hAnsi="Arial" w:cs="Arial"/>
          <w:color w:val="000000" w:themeColor="text1"/>
        </w:rPr>
        <w:t xml:space="preserve">reikwijdte van </w:t>
      </w:r>
      <w:r w:rsidR="00E92EC7" w:rsidRPr="002A2E36">
        <w:rPr>
          <w:rFonts w:ascii="Arial" w:hAnsi="Arial" w:cs="Arial"/>
          <w:color w:val="000000" w:themeColor="text1"/>
        </w:rPr>
        <w:t>I</w:t>
      </w:r>
      <w:r w:rsidR="00A730CC" w:rsidRPr="002A2E36">
        <w:rPr>
          <w:rFonts w:ascii="Arial" w:hAnsi="Arial" w:cs="Arial"/>
          <w:color w:val="000000" w:themeColor="text1"/>
        </w:rPr>
        <w:t xml:space="preserve">AS 17 ‘Leases’. </w:t>
      </w:r>
    </w:p>
    <w:p w:rsidR="00E92EC7" w:rsidRPr="002A2E36" w:rsidRDefault="00C816C0" w:rsidP="00E92EC7">
      <w:pPr>
        <w:pStyle w:val="ListParagraph"/>
        <w:numPr>
          <w:ilvl w:val="0"/>
          <w:numId w:val="10"/>
        </w:numPr>
        <w:spacing w:line="360" w:lineRule="auto"/>
        <w:rPr>
          <w:rFonts w:ascii="Arial" w:hAnsi="Arial" w:cs="Arial"/>
          <w:color w:val="000000" w:themeColor="text1"/>
        </w:rPr>
      </w:pPr>
      <w:r w:rsidRPr="002A2E36">
        <w:rPr>
          <w:rFonts w:ascii="Arial" w:hAnsi="Arial" w:cs="Arial"/>
          <w:color w:val="000000" w:themeColor="text1"/>
        </w:rPr>
        <w:t>A</w:t>
      </w:r>
      <w:r w:rsidR="00A730CC" w:rsidRPr="002A2E36">
        <w:rPr>
          <w:rFonts w:ascii="Arial" w:hAnsi="Arial" w:cs="Arial"/>
          <w:color w:val="000000" w:themeColor="text1"/>
        </w:rPr>
        <w:t>ctiva die geleased is onder operationele lease. Dez</w:t>
      </w:r>
      <w:r w:rsidR="00E92EC7" w:rsidRPr="002A2E36">
        <w:rPr>
          <w:rFonts w:ascii="Arial" w:hAnsi="Arial" w:cs="Arial"/>
          <w:color w:val="000000" w:themeColor="text1"/>
        </w:rPr>
        <w:t xml:space="preserve">e behoren tot de reikwijdte van </w:t>
      </w:r>
      <w:r w:rsidR="00A730CC" w:rsidRPr="002A2E36">
        <w:rPr>
          <w:rFonts w:ascii="Arial" w:hAnsi="Arial" w:cs="Arial"/>
          <w:color w:val="000000" w:themeColor="text1"/>
        </w:rPr>
        <w:t>IAS 17</w:t>
      </w:r>
      <w:r w:rsidR="00E92EC7" w:rsidRPr="002A2E36">
        <w:rPr>
          <w:rFonts w:ascii="Arial" w:hAnsi="Arial" w:cs="Arial"/>
          <w:color w:val="000000" w:themeColor="text1"/>
        </w:rPr>
        <w:t>.</w:t>
      </w:r>
    </w:p>
    <w:p w:rsidR="00A730CC" w:rsidRPr="002A2E36" w:rsidRDefault="00C816C0" w:rsidP="00E92EC7">
      <w:pPr>
        <w:pStyle w:val="ListParagraph"/>
        <w:numPr>
          <w:ilvl w:val="0"/>
          <w:numId w:val="10"/>
        </w:numPr>
        <w:spacing w:line="360" w:lineRule="auto"/>
        <w:rPr>
          <w:rFonts w:ascii="Arial" w:hAnsi="Arial" w:cs="Arial"/>
          <w:color w:val="000000" w:themeColor="text1"/>
        </w:rPr>
      </w:pPr>
      <w:r w:rsidRPr="002A2E36">
        <w:rPr>
          <w:rFonts w:ascii="Arial" w:hAnsi="Arial" w:cs="Arial"/>
          <w:color w:val="000000" w:themeColor="text1"/>
        </w:rPr>
        <w:t>A</w:t>
      </w:r>
      <w:r w:rsidR="00A730CC" w:rsidRPr="002A2E36">
        <w:rPr>
          <w:rFonts w:ascii="Arial" w:hAnsi="Arial" w:cs="Arial"/>
          <w:color w:val="000000" w:themeColor="text1"/>
        </w:rPr>
        <w:t xml:space="preserve">grarische producten die zijn ontstaan na het oogsten van de biologische activa. Deze producten worden gekwalificeerd als voorraden en behoren tot de </w:t>
      </w:r>
      <w:r w:rsidR="00D82A25">
        <w:rPr>
          <w:rFonts w:ascii="Arial" w:hAnsi="Arial" w:cs="Arial"/>
          <w:color w:val="000000" w:themeColor="text1"/>
        </w:rPr>
        <w:t xml:space="preserve">reikwijdte van IAS 2 </w:t>
      </w:r>
      <w:sdt>
        <w:sdtPr>
          <w:rPr>
            <w:rFonts w:ascii="Arial" w:hAnsi="Arial" w:cs="Arial"/>
            <w:color w:val="000000" w:themeColor="text1"/>
          </w:rPr>
          <w:id w:val="-196872788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CITATION PWC15 \t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(PWC, 2015)</w:t>
          </w:r>
          <w:r w:rsidR="007A6E22">
            <w:rPr>
              <w:rFonts w:ascii="Arial" w:hAnsi="Arial" w:cs="Arial"/>
              <w:color w:val="000000" w:themeColor="text1"/>
            </w:rPr>
            <w:fldChar w:fldCharType="end"/>
          </w:r>
        </w:sdtContent>
      </w:sdt>
      <w:r w:rsidR="00A730CC" w:rsidRPr="002A2E36">
        <w:rPr>
          <w:rFonts w:ascii="Arial" w:hAnsi="Arial" w:cs="Arial"/>
          <w:color w:val="000000" w:themeColor="text1"/>
        </w:rPr>
        <w:t>.</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Zoals eerder gesignaleerd, ontstaan agrarische producten als deze geoogst worden. </w:t>
      </w:r>
      <w:r w:rsidR="00F52AD4">
        <w:rPr>
          <w:rFonts w:ascii="Arial" w:hAnsi="Arial" w:cs="Arial"/>
          <w:color w:val="000000" w:themeColor="text1"/>
        </w:rPr>
        <w:t>Voor deze producten</w:t>
      </w:r>
      <w:r w:rsidR="00A510D0">
        <w:rPr>
          <w:rFonts w:ascii="Arial" w:hAnsi="Arial" w:cs="Arial"/>
          <w:color w:val="000000" w:themeColor="text1"/>
        </w:rPr>
        <w:t xml:space="preserve"> </w:t>
      </w:r>
      <w:r w:rsidR="00A9475E">
        <w:rPr>
          <w:rFonts w:ascii="Arial" w:hAnsi="Arial" w:cs="Arial"/>
          <w:color w:val="000000" w:themeColor="text1"/>
        </w:rPr>
        <w:t xml:space="preserve">bestaan </w:t>
      </w:r>
      <w:r w:rsidR="00A510D0">
        <w:rPr>
          <w:rFonts w:ascii="Arial" w:hAnsi="Arial" w:cs="Arial"/>
          <w:color w:val="000000" w:themeColor="text1"/>
        </w:rPr>
        <w:t>bepaalde criteria</w:t>
      </w:r>
      <w:r w:rsidRPr="002A2E36">
        <w:rPr>
          <w:rFonts w:ascii="Arial" w:hAnsi="Arial" w:cs="Arial"/>
          <w:color w:val="000000" w:themeColor="text1"/>
        </w:rPr>
        <w:t xml:space="preserve"> voordat deze producten geactiveerd mogen worden. Deze voor</w:t>
      </w:r>
      <w:r w:rsidR="00BA7DF3" w:rsidRPr="002A2E36">
        <w:rPr>
          <w:rFonts w:ascii="Arial" w:hAnsi="Arial" w:cs="Arial"/>
          <w:color w:val="000000" w:themeColor="text1"/>
        </w:rPr>
        <w:t>waarden zijn vastgelegd in IAS 41</w:t>
      </w:r>
      <w:r w:rsidRPr="002A2E36">
        <w:rPr>
          <w:rFonts w:ascii="Arial" w:hAnsi="Arial" w:cs="Arial"/>
          <w:color w:val="000000" w:themeColor="text1"/>
        </w:rPr>
        <w:t>.10 en betreffen:</w:t>
      </w:r>
    </w:p>
    <w:p w:rsidR="00E92EC7" w:rsidRPr="002A2E36" w:rsidRDefault="00E92EC7" w:rsidP="00E92EC7">
      <w:pPr>
        <w:pStyle w:val="ListParagraph"/>
        <w:numPr>
          <w:ilvl w:val="0"/>
          <w:numId w:val="11"/>
        </w:numPr>
        <w:spacing w:line="360" w:lineRule="auto"/>
        <w:rPr>
          <w:rFonts w:ascii="Arial" w:hAnsi="Arial" w:cs="Arial"/>
          <w:color w:val="000000" w:themeColor="text1"/>
        </w:rPr>
      </w:pPr>
      <w:r w:rsidRPr="002A2E36">
        <w:rPr>
          <w:rFonts w:ascii="Arial" w:hAnsi="Arial" w:cs="Arial"/>
          <w:color w:val="000000" w:themeColor="text1"/>
        </w:rPr>
        <w:t>V</w:t>
      </w:r>
      <w:r w:rsidR="00A730CC" w:rsidRPr="002A2E36">
        <w:rPr>
          <w:rFonts w:ascii="Arial" w:hAnsi="Arial" w:cs="Arial"/>
          <w:color w:val="000000" w:themeColor="text1"/>
        </w:rPr>
        <w:t>oorraden mogen pas geactiveerd worden als dit het gevolg is van een gebeurtenis uit het verleden;</w:t>
      </w:r>
    </w:p>
    <w:p w:rsidR="00E92EC7" w:rsidRPr="002A2E36" w:rsidRDefault="00E92EC7" w:rsidP="00E92EC7">
      <w:pPr>
        <w:pStyle w:val="ListParagraph"/>
        <w:numPr>
          <w:ilvl w:val="0"/>
          <w:numId w:val="11"/>
        </w:numPr>
        <w:spacing w:line="360" w:lineRule="auto"/>
        <w:rPr>
          <w:rFonts w:ascii="Arial" w:hAnsi="Arial" w:cs="Arial"/>
          <w:color w:val="000000" w:themeColor="text1"/>
        </w:rPr>
      </w:pPr>
      <w:r w:rsidRPr="002A2E36">
        <w:rPr>
          <w:rFonts w:ascii="Arial" w:hAnsi="Arial" w:cs="Arial"/>
          <w:color w:val="000000" w:themeColor="text1"/>
        </w:rPr>
        <w:t>V</w:t>
      </w:r>
      <w:r w:rsidR="00A730CC" w:rsidRPr="002A2E36">
        <w:rPr>
          <w:rFonts w:ascii="Arial" w:hAnsi="Arial" w:cs="Arial"/>
          <w:color w:val="000000" w:themeColor="text1"/>
        </w:rPr>
        <w:t xml:space="preserve">oorraden mogen pas geactiveerd worden als de toekomstige economische voordelen naar de </w:t>
      </w:r>
      <w:r w:rsidR="005553BA">
        <w:rPr>
          <w:rFonts w:ascii="Arial" w:hAnsi="Arial" w:cs="Arial"/>
          <w:color w:val="000000" w:themeColor="text1"/>
        </w:rPr>
        <w:t>onderneming</w:t>
      </w:r>
      <w:r w:rsidR="00A730CC" w:rsidRPr="002A2E36">
        <w:rPr>
          <w:rFonts w:ascii="Arial" w:hAnsi="Arial" w:cs="Arial"/>
          <w:color w:val="000000" w:themeColor="text1"/>
        </w:rPr>
        <w:t xml:space="preserve"> gaan;</w:t>
      </w:r>
    </w:p>
    <w:p w:rsidR="00A730CC" w:rsidRPr="002A2E36" w:rsidRDefault="00E92EC7" w:rsidP="00E92EC7">
      <w:pPr>
        <w:pStyle w:val="ListParagraph"/>
        <w:numPr>
          <w:ilvl w:val="0"/>
          <w:numId w:val="11"/>
        </w:numPr>
        <w:spacing w:line="360" w:lineRule="auto"/>
        <w:rPr>
          <w:rFonts w:ascii="Arial" w:hAnsi="Arial" w:cs="Arial"/>
          <w:color w:val="000000" w:themeColor="text1"/>
        </w:rPr>
      </w:pPr>
      <w:r w:rsidRPr="002A2E36">
        <w:rPr>
          <w:rFonts w:ascii="Arial" w:hAnsi="Arial" w:cs="Arial"/>
          <w:color w:val="000000" w:themeColor="text1"/>
        </w:rPr>
        <w:t>D</w:t>
      </w:r>
      <w:r w:rsidR="00A730CC" w:rsidRPr="002A2E36">
        <w:rPr>
          <w:rFonts w:ascii="Arial" w:hAnsi="Arial" w:cs="Arial"/>
          <w:color w:val="000000" w:themeColor="text1"/>
        </w:rPr>
        <w:t>e voorraden mogen pas geactiveerd worden als de reële waarde of de kostprijs betrouwbaar vastgesteld kan worden.</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Biologische activa worden gewaardeerd op basis van de </w:t>
      </w:r>
      <w:r w:rsidR="00DD04C6">
        <w:rPr>
          <w:rFonts w:ascii="Arial" w:hAnsi="Arial" w:cs="Arial"/>
          <w:color w:val="000000" w:themeColor="text1"/>
        </w:rPr>
        <w:t>reële waarde</w:t>
      </w:r>
      <w:r w:rsidRPr="002A2E36">
        <w:rPr>
          <w:rFonts w:ascii="Arial" w:hAnsi="Arial" w:cs="Arial"/>
          <w:color w:val="000000" w:themeColor="text1"/>
        </w:rPr>
        <w:t>. Daarover bestaat veel kritiek. De gerapporteerde opbrengsten bevatten steeds meer volati</w:t>
      </w:r>
      <w:r w:rsidR="00A9475E">
        <w:rPr>
          <w:rFonts w:ascii="Arial" w:hAnsi="Arial" w:cs="Arial"/>
          <w:color w:val="000000" w:themeColor="text1"/>
        </w:rPr>
        <w:t xml:space="preserve">liteit </w:t>
      </w:r>
      <w:sdt>
        <w:sdtPr>
          <w:rPr>
            <w:rFonts w:ascii="Arial" w:hAnsi="Arial" w:cs="Arial"/>
            <w:color w:val="000000" w:themeColor="text1"/>
          </w:rPr>
          <w:id w:val="-447392847"/>
          <w:citation/>
        </w:sdtPr>
        <w:sdtContent>
          <w:r w:rsidR="007A6E22">
            <w:rPr>
              <w:rFonts w:ascii="Arial" w:hAnsi="Arial" w:cs="Arial"/>
              <w:color w:val="000000" w:themeColor="text1"/>
            </w:rPr>
            <w:fldChar w:fldCharType="begin"/>
          </w:r>
          <w:r w:rsidR="00A9475E">
            <w:rPr>
              <w:rFonts w:ascii="Arial" w:hAnsi="Arial" w:cs="Arial"/>
              <w:color w:val="000000" w:themeColor="text1"/>
            </w:rPr>
            <w:instrText xml:space="preserve"> CITATION Her06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(Herbohn &amp; Herbohn, 2006)</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Een ander kritiekpunt is het categorisering proces. </w:t>
      </w:r>
      <w:r w:rsidR="005553BA">
        <w:rPr>
          <w:rFonts w:ascii="Arial" w:hAnsi="Arial" w:cs="Arial"/>
          <w:color w:val="000000" w:themeColor="text1"/>
        </w:rPr>
        <w:t>IAS</w:t>
      </w:r>
      <w:r w:rsidRPr="002A2E36">
        <w:rPr>
          <w:rFonts w:ascii="Arial" w:hAnsi="Arial" w:cs="Arial"/>
          <w:color w:val="000000" w:themeColor="text1"/>
        </w:rPr>
        <w:t xml:space="preserve"> bevat geen duidelijke aggregatie criteria betreffende het onderscheid tussen de activa, indien de balansbenadering w</w:t>
      </w:r>
      <w:r w:rsidR="00D82A25">
        <w:rPr>
          <w:rFonts w:ascii="Arial" w:hAnsi="Arial" w:cs="Arial"/>
          <w:color w:val="000000" w:themeColor="text1"/>
        </w:rPr>
        <w:t xml:space="preserve">ordt toegepast </w:t>
      </w:r>
      <w:sdt>
        <w:sdtPr>
          <w:rPr>
            <w:rFonts w:ascii="Arial" w:hAnsi="Arial" w:cs="Arial"/>
            <w:color w:val="000000" w:themeColor="text1"/>
          </w:rPr>
          <w:id w:val="1506783779"/>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Cam07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(Camfferman, 2007)</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A730CC"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 xml:space="preserve">In 2008 heeft de IASB IAS 41 aangepast </w:t>
      </w:r>
      <w:r w:rsidR="00A9475E" w:rsidRPr="002A2E36">
        <w:rPr>
          <w:rFonts w:ascii="Arial" w:hAnsi="Arial" w:cs="Arial"/>
          <w:color w:val="000000" w:themeColor="text1"/>
        </w:rPr>
        <w:t xml:space="preserve">waardoor </w:t>
      </w:r>
      <w:r w:rsidRPr="002A2E36">
        <w:rPr>
          <w:rFonts w:ascii="Arial" w:hAnsi="Arial" w:cs="Arial"/>
          <w:color w:val="000000" w:themeColor="text1"/>
        </w:rPr>
        <w:t xml:space="preserve">een beter onderscheid mogelijk is tussen de verschillende activa. De IASB is nu actief </w:t>
      </w:r>
      <w:r w:rsidR="00A510D0">
        <w:rPr>
          <w:rFonts w:ascii="Arial" w:hAnsi="Arial" w:cs="Arial"/>
          <w:color w:val="000000" w:themeColor="text1"/>
        </w:rPr>
        <w:t xml:space="preserve">om </w:t>
      </w:r>
      <w:r w:rsidRPr="002A2E36">
        <w:rPr>
          <w:rFonts w:ascii="Arial" w:hAnsi="Arial" w:cs="Arial"/>
          <w:color w:val="000000" w:themeColor="text1"/>
        </w:rPr>
        <w:t xml:space="preserve">nog een wijziging in IAS 41 toe te passen. De IASB is een studie gestart </w:t>
      </w:r>
      <w:r w:rsidR="00AD51CB">
        <w:rPr>
          <w:rFonts w:ascii="Arial" w:hAnsi="Arial" w:cs="Arial"/>
          <w:color w:val="000000" w:themeColor="text1"/>
        </w:rPr>
        <w:t>om</w:t>
      </w:r>
      <w:r w:rsidRPr="002A2E36">
        <w:rPr>
          <w:rFonts w:ascii="Arial" w:hAnsi="Arial" w:cs="Arial"/>
          <w:color w:val="000000" w:themeColor="text1"/>
        </w:rPr>
        <w:t xml:space="preserve"> vast te stellen of de biologische activa niet tot de reikwijdte van IAS 16 property, plant and equipment kan behoren waardoor de </w:t>
      </w:r>
      <w:r w:rsidR="00DD04C6">
        <w:rPr>
          <w:rFonts w:ascii="Arial" w:hAnsi="Arial" w:cs="Arial"/>
          <w:color w:val="000000" w:themeColor="text1"/>
        </w:rPr>
        <w:t>reële waarde</w:t>
      </w:r>
      <w:r w:rsidRPr="002A2E36">
        <w:rPr>
          <w:rFonts w:ascii="Arial" w:hAnsi="Arial" w:cs="Arial"/>
          <w:color w:val="000000" w:themeColor="text1"/>
        </w:rPr>
        <w:t xml:space="preserve"> niet langer toegepas</w:t>
      </w:r>
      <w:r w:rsidR="00D82A25">
        <w:rPr>
          <w:rFonts w:ascii="Arial" w:hAnsi="Arial" w:cs="Arial"/>
          <w:color w:val="000000" w:themeColor="text1"/>
        </w:rPr>
        <w:t xml:space="preserve">t hoeft te worden </w:t>
      </w:r>
      <w:sdt>
        <w:sdtPr>
          <w:rPr>
            <w:rFonts w:ascii="Arial" w:hAnsi="Arial" w:cs="Arial"/>
            <w:color w:val="000000" w:themeColor="text1"/>
          </w:rPr>
          <w:id w:val="1290481144"/>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ISAnd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(ISAPLUS, n.d.)</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C8610D" w:rsidRPr="002A2E36" w:rsidRDefault="00C8610D" w:rsidP="00F523EC">
      <w:pPr>
        <w:spacing w:line="360" w:lineRule="auto"/>
        <w:rPr>
          <w:rFonts w:ascii="Arial" w:hAnsi="Arial" w:cs="Arial"/>
          <w:color w:val="000000" w:themeColor="text1"/>
        </w:rPr>
      </w:pPr>
    </w:p>
    <w:p w:rsidR="00A730CC" w:rsidRPr="002A2E36" w:rsidRDefault="00A510D0" w:rsidP="00F523EC">
      <w:pPr>
        <w:spacing w:line="360" w:lineRule="auto"/>
        <w:rPr>
          <w:rFonts w:ascii="Arial" w:hAnsi="Arial" w:cs="Arial"/>
          <w:color w:val="000000" w:themeColor="text1"/>
        </w:rPr>
      </w:pPr>
      <w:r>
        <w:rPr>
          <w:rFonts w:ascii="Arial" w:hAnsi="Arial" w:cs="Arial"/>
          <w:color w:val="000000" w:themeColor="text1"/>
        </w:rPr>
        <w:t xml:space="preserve">De </w:t>
      </w:r>
      <w:r w:rsidR="00A730CC" w:rsidRPr="002A2E36">
        <w:rPr>
          <w:rFonts w:ascii="Arial" w:hAnsi="Arial" w:cs="Arial"/>
          <w:color w:val="000000" w:themeColor="text1"/>
        </w:rPr>
        <w:t xml:space="preserve">volgende tabel bevat het verschil tussen IAS 41 en IAS </w:t>
      </w:r>
      <w:r w:rsidR="00A9475E" w:rsidRPr="002A2E36">
        <w:rPr>
          <w:rFonts w:ascii="Arial" w:hAnsi="Arial" w:cs="Arial"/>
          <w:color w:val="000000" w:themeColor="text1"/>
        </w:rPr>
        <w:t>2.</w:t>
      </w:r>
    </w:p>
    <w:p w:rsidR="00A730CC" w:rsidRPr="002A2E36" w:rsidRDefault="00525A52" w:rsidP="00F523EC">
      <w:pPr>
        <w:spacing w:line="360" w:lineRule="auto"/>
        <w:rPr>
          <w:rFonts w:ascii="Arial" w:hAnsi="Arial" w:cs="Arial"/>
          <w:color w:val="000000" w:themeColor="text1"/>
        </w:rPr>
      </w:pPr>
      <w:r w:rsidRPr="002A2E36">
        <w:rPr>
          <w:rFonts w:ascii="Arial" w:hAnsi="Arial" w:cs="Arial"/>
          <w:noProof/>
          <w:color w:val="000000" w:themeColor="text1"/>
          <w:lang w:val="en-US"/>
        </w:rPr>
        <w:drawing>
          <wp:inline distT="0" distB="0" distL="0" distR="0">
            <wp:extent cx="6204031" cy="1975449"/>
            <wp:effectExtent l="0" t="0" r="635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6202174" cy="1974858"/>
                    </a:xfrm>
                    <a:prstGeom prst="rect">
                      <a:avLst/>
                    </a:prstGeom>
                  </pic:spPr>
                </pic:pic>
              </a:graphicData>
            </a:graphic>
          </wp:inline>
        </w:drawing>
      </w:r>
    </w:p>
    <w:p w:rsidR="00A730CC" w:rsidRPr="002A2E36" w:rsidRDefault="00D401BE" w:rsidP="00F523EC">
      <w:pPr>
        <w:pStyle w:val="Heading3"/>
        <w:spacing w:line="360" w:lineRule="auto"/>
        <w:rPr>
          <w:rFonts w:cs="Arial"/>
        </w:rPr>
      </w:pPr>
      <w:bookmarkStart w:id="17" w:name="_Toc426984361"/>
      <w:r w:rsidRPr="002A2E36">
        <w:rPr>
          <w:rFonts w:cs="Arial"/>
        </w:rPr>
        <w:t>3</w:t>
      </w:r>
      <w:r w:rsidR="00241542" w:rsidRPr="002A2E36">
        <w:rPr>
          <w:rFonts w:cs="Arial"/>
        </w:rPr>
        <w:t xml:space="preserve">.3.1 </w:t>
      </w:r>
      <w:r w:rsidR="00A730CC" w:rsidRPr="002A2E36">
        <w:rPr>
          <w:rFonts w:cs="Arial"/>
        </w:rPr>
        <w:t>Fungibele producten</w:t>
      </w:r>
      <w:bookmarkEnd w:id="17"/>
    </w:p>
    <w:p w:rsidR="00525A52" w:rsidRPr="002A2E36" w:rsidRDefault="00A730CC" w:rsidP="00F523EC">
      <w:pPr>
        <w:spacing w:line="360" w:lineRule="auto"/>
        <w:rPr>
          <w:rFonts w:ascii="Arial" w:hAnsi="Arial" w:cs="Arial"/>
          <w:color w:val="000000" w:themeColor="text1"/>
        </w:rPr>
      </w:pPr>
      <w:r w:rsidRPr="002A2E36">
        <w:rPr>
          <w:rFonts w:ascii="Arial" w:hAnsi="Arial" w:cs="Arial"/>
          <w:color w:val="000000" w:themeColor="text1"/>
        </w:rPr>
        <w:t>Fungibele goederen</w:t>
      </w:r>
      <w:r w:rsidR="00AD51CB">
        <w:rPr>
          <w:rFonts w:ascii="Arial" w:hAnsi="Arial" w:cs="Arial"/>
          <w:color w:val="000000" w:themeColor="text1"/>
        </w:rPr>
        <w:t xml:space="preserve"> zijn goederen die onderling één op één</w:t>
      </w:r>
      <w:r w:rsidRPr="002A2E36">
        <w:rPr>
          <w:rFonts w:ascii="Arial" w:hAnsi="Arial" w:cs="Arial"/>
          <w:color w:val="000000" w:themeColor="text1"/>
        </w:rPr>
        <w:t xml:space="preserve"> uitwisselbaar zijn. De goederen zijn homogeen en hebben dezelfde waarde. De voorraden van fungibele goederen zijn </w:t>
      </w:r>
      <w:r w:rsidR="00062F70">
        <w:rPr>
          <w:rFonts w:ascii="Arial" w:hAnsi="Arial" w:cs="Arial"/>
          <w:color w:val="000000" w:themeColor="text1"/>
        </w:rPr>
        <w:t>vaak</w:t>
      </w:r>
      <w:r w:rsidRPr="002A2E36">
        <w:rPr>
          <w:rFonts w:ascii="Arial" w:hAnsi="Arial" w:cs="Arial"/>
          <w:color w:val="000000" w:themeColor="text1"/>
        </w:rPr>
        <w:t xml:space="preserve"> grote hoeveelheden</w:t>
      </w:r>
      <w:r w:rsidR="00F91F92">
        <w:rPr>
          <w:rFonts w:ascii="Arial" w:hAnsi="Arial" w:cs="Arial"/>
          <w:color w:val="000000" w:themeColor="text1"/>
        </w:rPr>
        <w:t xml:space="preserve"> dat</w:t>
      </w:r>
      <w:r w:rsidRPr="002A2E36">
        <w:rPr>
          <w:rFonts w:ascii="Arial" w:hAnsi="Arial" w:cs="Arial"/>
          <w:color w:val="000000" w:themeColor="text1"/>
        </w:rPr>
        <w:t xml:space="preserve"> tot problemen kan leiden betreffende het vaststellen van de kostprijs. Daarom bestaan verschillende methoden </w:t>
      </w:r>
      <w:r w:rsidR="00AD51CB">
        <w:rPr>
          <w:rFonts w:ascii="Arial" w:hAnsi="Arial" w:cs="Arial"/>
          <w:color w:val="000000" w:themeColor="text1"/>
        </w:rPr>
        <w:t>om</w:t>
      </w:r>
      <w:r w:rsidRPr="002A2E36">
        <w:rPr>
          <w:rFonts w:ascii="Arial" w:hAnsi="Arial" w:cs="Arial"/>
          <w:color w:val="000000" w:themeColor="text1"/>
        </w:rPr>
        <w:t xml:space="preserve"> de waarde van de voorraad v</w:t>
      </w:r>
      <w:r w:rsidR="00A510D0">
        <w:rPr>
          <w:rFonts w:ascii="Arial" w:hAnsi="Arial" w:cs="Arial"/>
          <w:color w:val="000000" w:themeColor="text1"/>
        </w:rPr>
        <w:t>ast te stellen. Dit wordt</w:t>
      </w:r>
      <w:r w:rsidR="00D401BE" w:rsidRPr="002A2E36">
        <w:rPr>
          <w:rFonts w:ascii="Arial" w:hAnsi="Arial" w:cs="Arial"/>
          <w:color w:val="000000" w:themeColor="text1"/>
        </w:rPr>
        <w:t xml:space="preserve"> nader toegelicht In hoofdstuk 4</w:t>
      </w:r>
      <w:r w:rsidR="00D82A25">
        <w:rPr>
          <w:rFonts w:ascii="Arial" w:hAnsi="Arial" w:cs="Arial"/>
          <w:color w:val="000000" w:themeColor="text1"/>
        </w:rPr>
        <w:t xml:space="preserve"> </w:t>
      </w:r>
      <w:sdt>
        <w:sdtPr>
          <w:rPr>
            <w:rFonts w:ascii="Arial" w:hAnsi="Arial" w:cs="Arial"/>
            <w:color w:val="000000" w:themeColor="text1"/>
          </w:rPr>
          <w:id w:val="-542063361"/>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6152F4" w:rsidRPr="002A2E36" w:rsidRDefault="00D401BE" w:rsidP="00D401BE">
      <w:pPr>
        <w:pStyle w:val="Heading2"/>
        <w:spacing w:line="360" w:lineRule="auto"/>
        <w:rPr>
          <w:rFonts w:cs="Arial"/>
        </w:rPr>
      </w:pPr>
      <w:bookmarkStart w:id="18" w:name="_Toc426984362"/>
      <w:r w:rsidRPr="002A2E36">
        <w:rPr>
          <w:rFonts w:cs="Arial"/>
        </w:rPr>
        <w:t>3</w:t>
      </w:r>
      <w:r w:rsidR="006152F4" w:rsidRPr="002A2E36">
        <w:rPr>
          <w:rFonts w:cs="Arial"/>
        </w:rPr>
        <w:t>.3.4 Conclusie</w:t>
      </w:r>
      <w:bookmarkEnd w:id="18"/>
    </w:p>
    <w:p w:rsidR="00525A52" w:rsidRPr="002A2E36" w:rsidRDefault="006152F4" w:rsidP="00D401BE">
      <w:pPr>
        <w:spacing w:line="360" w:lineRule="auto"/>
        <w:rPr>
          <w:rFonts w:ascii="Arial" w:hAnsi="Arial" w:cs="Arial"/>
        </w:rPr>
      </w:pPr>
      <w:r w:rsidRPr="002A2E36">
        <w:rPr>
          <w:rFonts w:ascii="Arial" w:eastAsiaTheme="majorEastAsia" w:hAnsi="Arial" w:cs="Arial"/>
          <w:bCs/>
          <w:color w:val="000000" w:themeColor="text1"/>
        </w:rPr>
        <w:t xml:space="preserve">Er is een verschil tussen IAS en RJ als het gaat om de onderscheiding tussen voorraden. De indeling die gebruikt wordt bij RJ is verplicht. In IAS 2 is dit niet verplicht gesteld. Naast </w:t>
      </w:r>
      <w:r w:rsidR="00A510D0">
        <w:rPr>
          <w:rFonts w:ascii="Arial" w:eastAsiaTheme="majorEastAsia" w:hAnsi="Arial" w:cs="Arial"/>
          <w:bCs/>
          <w:color w:val="000000" w:themeColor="text1"/>
        </w:rPr>
        <w:t xml:space="preserve">de ‘normale voorraden’ wordt </w:t>
      </w:r>
      <w:r w:rsidRPr="002A2E36">
        <w:rPr>
          <w:rFonts w:ascii="Arial" w:eastAsiaTheme="majorEastAsia" w:hAnsi="Arial" w:cs="Arial"/>
          <w:bCs/>
          <w:color w:val="000000" w:themeColor="text1"/>
        </w:rPr>
        <w:t xml:space="preserve">ook een onderscheid gemaakt tussen </w:t>
      </w:r>
      <w:r w:rsidR="00D401BE" w:rsidRPr="002A2E36">
        <w:rPr>
          <w:rFonts w:ascii="Arial" w:eastAsiaTheme="majorEastAsia" w:hAnsi="Arial" w:cs="Arial"/>
          <w:bCs/>
          <w:color w:val="000000" w:themeColor="text1"/>
        </w:rPr>
        <w:t>agrarische</w:t>
      </w:r>
      <w:r w:rsidRPr="002A2E36">
        <w:rPr>
          <w:rFonts w:ascii="Arial" w:eastAsiaTheme="majorEastAsia" w:hAnsi="Arial" w:cs="Arial"/>
          <w:bCs/>
          <w:color w:val="000000" w:themeColor="text1"/>
        </w:rPr>
        <w:t xml:space="preserve"> producten en fungibele producten. IAS maakt hier wel een onderscheid in, dit in tegenstelling tot RJ. Agrarische producten zijn producten die voortvloeien uit biologische activa. Fungibele </w:t>
      </w:r>
      <w:r w:rsidR="00D401BE" w:rsidRPr="002A2E36">
        <w:rPr>
          <w:rFonts w:ascii="Arial" w:eastAsiaTheme="majorEastAsia" w:hAnsi="Arial" w:cs="Arial"/>
          <w:bCs/>
          <w:color w:val="000000" w:themeColor="text1"/>
        </w:rPr>
        <w:t>producten</w:t>
      </w:r>
      <w:r w:rsidRPr="002A2E36">
        <w:rPr>
          <w:rFonts w:ascii="Arial" w:eastAsiaTheme="majorEastAsia" w:hAnsi="Arial" w:cs="Arial"/>
          <w:bCs/>
          <w:color w:val="000000" w:themeColor="text1"/>
        </w:rPr>
        <w:t xml:space="preserve"> zi</w:t>
      </w:r>
      <w:r w:rsidR="00A510D0">
        <w:rPr>
          <w:rFonts w:ascii="Arial" w:eastAsiaTheme="majorEastAsia" w:hAnsi="Arial" w:cs="Arial"/>
          <w:bCs/>
          <w:color w:val="000000" w:themeColor="text1"/>
        </w:rPr>
        <w:t>jn homogene producten die een op een</w:t>
      </w:r>
      <w:r w:rsidRPr="002A2E36">
        <w:rPr>
          <w:rFonts w:ascii="Arial" w:eastAsiaTheme="majorEastAsia" w:hAnsi="Arial" w:cs="Arial"/>
          <w:bCs/>
          <w:color w:val="000000" w:themeColor="text1"/>
        </w:rPr>
        <w:t xml:space="preserve"> uitwisselbaar zijn. </w:t>
      </w:r>
      <w:r w:rsidR="00D401BE" w:rsidRPr="002A2E36">
        <w:rPr>
          <w:rFonts w:ascii="Arial" w:eastAsiaTheme="majorEastAsia" w:hAnsi="Arial" w:cs="Arial"/>
          <w:bCs/>
          <w:color w:val="000000" w:themeColor="text1"/>
        </w:rPr>
        <w:t xml:space="preserve">Een ander verschil tussen RJ en IAS is het vaststellen van de kostprijs van de voorraden. Dit zal in het volgende hoofdstuk worden behandeld. </w:t>
      </w:r>
      <w:r w:rsidR="00525A52" w:rsidRPr="002A2E36">
        <w:rPr>
          <w:rFonts w:ascii="Arial" w:hAnsi="Arial" w:cs="Arial"/>
        </w:rPr>
        <w:br w:type="page"/>
      </w:r>
    </w:p>
    <w:p w:rsidR="00F523EC" w:rsidRPr="002A2E36" w:rsidRDefault="00835A5B" w:rsidP="00835A5B">
      <w:pPr>
        <w:pStyle w:val="Heading1"/>
        <w:numPr>
          <w:ilvl w:val="0"/>
          <w:numId w:val="2"/>
        </w:numPr>
        <w:rPr>
          <w:rFonts w:ascii="Arial" w:hAnsi="Arial" w:cs="Arial"/>
        </w:rPr>
      </w:pPr>
      <w:bookmarkStart w:id="19" w:name="_Toc426984363"/>
      <w:r w:rsidRPr="00835A5B">
        <w:rPr>
          <w:rFonts w:ascii="Arial" w:hAnsi="Arial" w:cs="Arial"/>
        </w:rPr>
        <w:t>Hoe worden de voorraden gewaardeerd?</w:t>
      </w:r>
      <w:bookmarkEnd w:id="19"/>
    </w:p>
    <w:p w:rsidR="00F523EC" w:rsidRPr="002A2E36" w:rsidRDefault="00F523EC" w:rsidP="00F523EC">
      <w:pPr>
        <w:spacing w:line="360" w:lineRule="auto"/>
        <w:rPr>
          <w:rFonts w:ascii="Arial" w:hAnsi="Arial" w:cs="Arial"/>
          <w:color w:val="000000" w:themeColor="text1"/>
        </w:rPr>
      </w:pPr>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 xml:space="preserve">Betreffende het activeren van voorraden moet voldaan zijn aan twee voorwaarden. </w:t>
      </w:r>
      <w:r w:rsidR="00451F22">
        <w:rPr>
          <w:rFonts w:ascii="Arial" w:hAnsi="Arial" w:cs="Arial"/>
          <w:color w:val="000000" w:themeColor="text1"/>
        </w:rPr>
        <w:t xml:space="preserve">Ten eerste moet het waarschijnlijk zijn dat de toekomstige economische voordelen, die betrekking hebben op de voorraden, toevloeien naar de </w:t>
      </w:r>
      <w:r w:rsidR="005553BA">
        <w:rPr>
          <w:rFonts w:ascii="Arial" w:hAnsi="Arial" w:cs="Arial"/>
          <w:color w:val="000000" w:themeColor="text1"/>
        </w:rPr>
        <w:t>onderneming</w:t>
      </w:r>
      <w:r w:rsidRPr="002A2E36">
        <w:rPr>
          <w:rFonts w:ascii="Arial" w:hAnsi="Arial" w:cs="Arial"/>
          <w:color w:val="000000" w:themeColor="text1"/>
        </w:rPr>
        <w:t xml:space="preserve">. </w:t>
      </w:r>
      <w:r w:rsidR="00451F22">
        <w:rPr>
          <w:rFonts w:ascii="Arial" w:hAnsi="Arial" w:cs="Arial"/>
          <w:color w:val="000000" w:themeColor="text1"/>
        </w:rPr>
        <w:t xml:space="preserve">Ten tweede moeten de kosten betrouwbaar geschat kunnen worden. </w:t>
      </w:r>
      <w:r w:rsidRPr="002A2E36">
        <w:rPr>
          <w:rFonts w:ascii="Arial" w:hAnsi="Arial" w:cs="Arial"/>
          <w:color w:val="000000" w:themeColor="text1"/>
        </w:rPr>
        <w:t xml:space="preserve">Op basis van de RJ en op basis van de IFRS mag in de balans uitsluitend de technische voorraad worden verantwoord. </w:t>
      </w:r>
      <w:r w:rsidR="005553BA">
        <w:rPr>
          <w:rFonts w:ascii="Arial" w:hAnsi="Arial" w:cs="Arial"/>
          <w:color w:val="000000" w:themeColor="text1"/>
        </w:rPr>
        <w:t xml:space="preserve">Als de onderneming de beschikkingsmacht over de voorraden verliest, moeten deze voorraden van de balans worden verwijderd. </w:t>
      </w:r>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De waardering van voorraden is in Nederland vastgelegd in RJ 220.301 en in art. 2:384 lid 1 BW. Daarin is vastgelegd dat</w:t>
      </w:r>
      <w:r w:rsidR="00F15743">
        <w:rPr>
          <w:rFonts w:ascii="Arial" w:hAnsi="Arial" w:cs="Arial"/>
          <w:color w:val="000000" w:themeColor="text1"/>
        </w:rPr>
        <w:t xml:space="preserve"> de</w:t>
      </w:r>
      <w:r w:rsidRPr="002A2E36">
        <w:rPr>
          <w:rFonts w:ascii="Arial" w:hAnsi="Arial" w:cs="Arial"/>
          <w:color w:val="000000" w:themeColor="text1"/>
        </w:rPr>
        <w:t xml:space="preserve"> waardering van alle fysieke voorraden wordt uitgevoerd op basis van de kostprijs of</w:t>
      </w:r>
      <w:r w:rsidR="00451F22">
        <w:rPr>
          <w:rFonts w:ascii="Arial" w:hAnsi="Arial" w:cs="Arial"/>
          <w:color w:val="000000" w:themeColor="text1"/>
        </w:rPr>
        <w:t xml:space="preserve"> op basis van de actuele waarde</w:t>
      </w:r>
      <w:r w:rsidRPr="002A2E36">
        <w:rPr>
          <w:rFonts w:ascii="Arial" w:hAnsi="Arial" w:cs="Arial"/>
          <w:color w:val="000000" w:themeColor="text1"/>
        </w:rPr>
        <w:t>. Op basis van beide grondslagen wordt de</w:t>
      </w:r>
      <w:r w:rsidR="00F15743">
        <w:rPr>
          <w:rFonts w:ascii="Arial" w:hAnsi="Arial" w:cs="Arial"/>
          <w:color w:val="000000" w:themeColor="text1"/>
        </w:rPr>
        <w:t>,</w:t>
      </w:r>
      <w:r w:rsidRPr="002A2E36">
        <w:rPr>
          <w:rFonts w:ascii="Arial" w:hAnsi="Arial" w:cs="Arial"/>
          <w:color w:val="000000" w:themeColor="text1"/>
        </w:rPr>
        <w:t xml:space="preserve"> op het waarderingsmoment</w:t>
      </w:r>
      <w:r w:rsidR="00F15743">
        <w:rPr>
          <w:rFonts w:ascii="Arial" w:hAnsi="Arial" w:cs="Arial"/>
          <w:color w:val="000000" w:themeColor="text1"/>
        </w:rPr>
        <w:t>,</w:t>
      </w:r>
      <w:r w:rsidRPr="002A2E36">
        <w:rPr>
          <w:rFonts w:ascii="Arial" w:hAnsi="Arial" w:cs="Arial"/>
          <w:color w:val="000000" w:themeColor="text1"/>
        </w:rPr>
        <w:t xml:space="preserve"> werkelijk aanwezige voorraad in de waardering betrokken. Bij de voorraadwaardering mag niet het normale-voorraadbe</w:t>
      </w:r>
      <w:r w:rsidR="00D82A25">
        <w:rPr>
          <w:rFonts w:ascii="Arial" w:hAnsi="Arial" w:cs="Arial"/>
          <w:color w:val="000000" w:themeColor="text1"/>
        </w:rPr>
        <w:t xml:space="preserve">grip worden toegepast </w:t>
      </w:r>
      <w:sdt>
        <w:sdtPr>
          <w:rPr>
            <w:rFonts w:ascii="Arial" w:hAnsi="Arial" w:cs="Arial"/>
            <w:color w:val="000000" w:themeColor="text1"/>
          </w:rPr>
          <w:id w:val="-235857152"/>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F523EC" w:rsidRPr="002A2E36" w:rsidRDefault="00F523EC" w:rsidP="00F523EC">
      <w:pPr>
        <w:pStyle w:val="Heading2"/>
        <w:spacing w:line="360" w:lineRule="auto"/>
        <w:rPr>
          <w:rFonts w:cs="Arial"/>
        </w:rPr>
      </w:pPr>
      <w:bookmarkStart w:id="20" w:name="_Toc288161396"/>
      <w:bookmarkStart w:id="21" w:name="_Toc414878581"/>
      <w:bookmarkStart w:id="22" w:name="_Toc426984364"/>
      <w:r w:rsidRPr="002A2E36">
        <w:rPr>
          <w:rFonts w:cs="Arial"/>
        </w:rPr>
        <w:t>4.1 Waardering op basis van de kostprijs</w:t>
      </w:r>
      <w:bookmarkEnd w:id="20"/>
      <w:bookmarkEnd w:id="21"/>
      <w:bookmarkEnd w:id="22"/>
    </w:p>
    <w:p w:rsidR="00F523EC" w:rsidRPr="002A2E36" w:rsidRDefault="00F523EC" w:rsidP="00ED14FB">
      <w:pPr>
        <w:spacing w:line="360" w:lineRule="auto"/>
        <w:rPr>
          <w:rFonts w:ascii="Arial" w:hAnsi="Arial" w:cs="Arial"/>
          <w:color w:val="000000" w:themeColor="text1"/>
        </w:rPr>
      </w:pPr>
      <w:r w:rsidRPr="002A2E36">
        <w:rPr>
          <w:rFonts w:ascii="Arial" w:hAnsi="Arial" w:cs="Arial"/>
          <w:color w:val="000000" w:themeColor="text1"/>
        </w:rPr>
        <w:t>De kostprijs moet bestaan uit een aantal aspecten. Ten eerste bestaat het onderscheid tussen de verkrijgingsprijs (IAS 2.11, RJ 220) die wordt toegepast bij inkoop van voorraad bij derden en de prijs waa</w:t>
      </w:r>
      <w:r w:rsidR="00F15743">
        <w:rPr>
          <w:rFonts w:ascii="Arial" w:hAnsi="Arial" w:cs="Arial"/>
          <w:color w:val="000000" w:themeColor="text1"/>
        </w:rPr>
        <w:t>rtegen de voorraad is verworven. D</w:t>
      </w:r>
      <w:r w:rsidRPr="002A2E36">
        <w:rPr>
          <w:rFonts w:ascii="Arial" w:hAnsi="Arial" w:cs="Arial"/>
          <w:color w:val="000000" w:themeColor="text1"/>
        </w:rPr>
        <w:t>e vervaardigi</w:t>
      </w:r>
      <w:r w:rsidR="00F15743">
        <w:rPr>
          <w:rFonts w:ascii="Arial" w:hAnsi="Arial" w:cs="Arial"/>
          <w:color w:val="000000" w:themeColor="text1"/>
        </w:rPr>
        <w:t>ngsprijs (IAS 2.12, RJ 220.302)</w:t>
      </w:r>
      <w:r w:rsidRPr="002A2E36">
        <w:rPr>
          <w:rFonts w:ascii="Arial" w:hAnsi="Arial" w:cs="Arial"/>
          <w:color w:val="000000" w:themeColor="text1"/>
        </w:rPr>
        <w:t xml:space="preserve"> wordt toegepast indien de voorraad zelf is geproduceerd of bewerkt. </w:t>
      </w:r>
      <w:r w:rsidR="00451F22">
        <w:rPr>
          <w:rFonts w:ascii="Arial" w:hAnsi="Arial" w:cs="Arial"/>
          <w:color w:val="000000" w:themeColor="text1"/>
        </w:rPr>
        <w:t>Daarn</w:t>
      </w:r>
      <w:r w:rsidR="00ED14FB">
        <w:rPr>
          <w:rFonts w:ascii="Arial" w:hAnsi="Arial" w:cs="Arial"/>
          <w:color w:val="000000" w:themeColor="text1"/>
        </w:rPr>
        <w:t>aast bevat de kostprijs ook de overige kosten die noodzakelijk waren om de voorraad op de huidige plaatst en in de huidige staat te krijgen.</w:t>
      </w:r>
      <w:r w:rsidRPr="002A2E36">
        <w:rPr>
          <w:rFonts w:ascii="Arial" w:hAnsi="Arial" w:cs="Arial"/>
          <w:color w:val="000000" w:themeColor="text1"/>
        </w:rPr>
        <w:t xml:space="preserve"> Voorbeelden daarvan zijn invoerrechten, niet-product gebonden overheadkosten en aan voorraadverwerving direct toerekenbare kosten die verminderd kunnen zijn met handelskortingen, rabatt</w:t>
      </w:r>
      <w:r w:rsidR="00D82A25">
        <w:rPr>
          <w:rFonts w:ascii="Arial" w:hAnsi="Arial" w:cs="Arial"/>
          <w:color w:val="000000" w:themeColor="text1"/>
        </w:rPr>
        <w:t xml:space="preserve">en en subsidies </w:t>
      </w:r>
      <w:sdt>
        <w:sdtPr>
          <w:rPr>
            <w:rFonts w:ascii="Arial" w:hAnsi="Arial" w:cs="Arial"/>
            <w:color w:val="000000" w:themeColor="text1"/>
          </w:rPr>
          <w:id w:val="-1876309479"/>
          <w:citation/>
        </w:sdtPr>
        <w:sdtContent>
          <w:r w:rsidR="007A6E22">
            <w:rPr>
              <w:rFonts w:ascii="Arial" w:hAnsi="Arial" w:cs="Arial"/>
              <w:color w:val="000000" w:themeColor="text1"/>
            </w:rPr>
            <w:fldChar w:fldCharType="begin"/>
          </w:r>
          <w:r w:rsidR="00D82A25">
            <w:rPr>
              <w:rFonts w:ascii="Arial" w:hAnsi="Arial" w:cs="Arial"/>
              <w:color w:val="000000" w:themeColor="text1"/>
            </w:rPr>
            <w:instrText xml:space="preserve"> CITATION Delnd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(Deloitte, 2014)</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Omdat de verkrijgingsprijs de prijs is waarte</w:t>
      </w:r>
      <w:r w:rsidR="00F15743">
        <w:rPr>
          <w:rFonts w:ascii="Arial" w:hAnsi="Arial" w:cs="Arial"/>
          <w:color w:val="000000" w:themeColor="text1"/>
        </w:rPr>
        <w:t xml:space="preserve">gen de voorraad is verworven plus </w:t>
      </w:r>
      <w:r w:rsidRPr="002A2E36">
        <w:rPr>
          <w:rFonts w:ascii="Arial" w:hAnsi="Arial" w:cs="Arial"/>
          <w:color w:val="000000" w:themeColor="text1"/>
        </w:rPr>
        <w:t xml:space="preserve">de bijkomende kosten, is het berekenen van de vervaardigingsprijs uitgebreider. </w:t>
      </w:r>
      <w:r w:rsidR="00F91F92">
        <w:rPr>
          <w:rFonts w:ascii="Arial" w:hAnsi="Arial" w:cs="Arial"/>
          <w:color w:val="000000" w:themeColor="text1"/>
        </w:rPr>
        <w:t>Het toerekenen van de productiekosten aan de vervaardigingsprijs moet systematisch en consistent gebeuren</w:t>
      </w:r>
      <w:r w:rsidR="00F91F92" w:rsidRPr="002A2E36">
        <w:rPr>
          <w:rFonts w:ascii="Arial" w:hAnsi="Arial" w:cs="Arial"/>
          <w:color w:val="000000" w:themeColor="text1"/>
        </w:rPr>
        <w:t xml:space="preserve">. </w:t>
      </w:r>
      <w:r w:rsidRPr="002A2E36">
        <w:rPr>
          <w:rFonts w:ascii="Arial" w:hAnsi="Arial" w:cs="Arial"/>
          <w:color w:val="000000" w:themeColor="text1"/>
        </w:rPr>
        <w:t>De vervaardigingsprijs omvat een aantal kosten:</w:t>
      </w:r>
    </w:p>
    <w:p w:rsidR="00F523EC" w:rsidRPr="002A2E36" w:rsidRDefault="00ED14FB" w:rsidP="00F523EC">
      <w:pPr>
        <w:pStyle w:val="ListParagraph"/>
        <w:numPr>
          <w:ilvl w:val="0"/>
          <w:numId w:val="3"/>
        </w:numPr>
        <w:spacing w:after="160" w:line="360" w:lineRule="auto"/>
        <w:rPr>
          <w:rFonts w:ascii="Arial" w:hAnsi="Arial" w:cs="Arial"/>
          <w:color w:val="000000" w:themeColor="text1"/>
        </w:rPr>
      </w:pPr>
      <w:r>
        <w:rPr>
          <w:rFonts w:ascii="Arial" w:hAnsi="Arial" w:cs="Arial"/>
          <w:color w:val="000000" w:themeColor="text1"/>
        </w:rPr>
        <w:t>D</w:t>
      </w:r>
      <w:r w:rsidR="00F15743">
        <w:rPr>
          <w:rFonts w:ascii="Arial" w:hAnsi="Arial" w:cs="Arial"/>
          <w:color w:val="000000" w:themeColor="text1"/>
        </w:rPr>
        <w:t>e kosten van</w:t>
      </w:r>
      <w:r w:rsidR="00F523EC" w:rsidRPr="002A2E36">
        <w:rPr>
          <w:rFonts w:ascii="Arial" w:hAnsi="Arial" w:cs="Arial"/>
          <w:color w:val="000000" w:themeColor="text1"/>
        </w:rPr>
        <w:t xml:space="preserve"> de aanschaf van grond- en hulpstoffen die zijn gebruikt voor de productie of voor de bewerking van de voorraad (RJ 220.305)</w:t>
      </w:r>
    </w:p>
    <w:p w:rsidR="00F523EC" w:rsidRPr="002A2E36" w:rsidRDefault="00F523EC" w:rsidP="00F523EC">
      <w:pPr>
        <w:pStyle w:val="ListParagraph"/>
        <w:numPr>
          <w:ilvl w:val="0"/>
          <w:numId w:val="3"/>
        </w:numPr>
        <w:spacing w:after="160" w:line="360" w:lineRule="auto"/>
        <w:rPr>
          <w:rFonts w:ascii="Arial" w:hAnsi="Arial" w:cs="Arial"/>
          <w:color w:val="000000" w:themeColor="text1"/>
        </w:rPr>
      </w:pPr>
      <w:r w:rsidRPr="002A2E36">
        <w:rPr>
          <w:rFonts w:ascii="Arial" w:hAnsi="Arial" w:cs="Arial"/>
          <w:color w:val="000000" w:themeColor="text1"/>
        </w:rPr>
        <w:t>De directe productiekosten, kosten die direct betrekking hebben op de productie-eenheid. Dit betreft onder meer de directe arbeidskosten (RJ 220.307)</w:t>
      </w:r>
    </w:p>
    <w:p w:rsidR="00F523EC" w:rsidRPr="002A2E36" w:rsidRDefault="00ED14FB" w:rsidP="00F523EC">
      <w:pPr>
        <w:pStyle w:val="ListParagraph"/>
        <w:numPr>
          <w:ilvl w:val="0"/>
          <w:numId w:val="3"/>
        </w:numPr>
        <w:spacing w:after="160" w:line="360" w:lineRule="auto"/>
        <w:rPr>
          <w:rFonts w:ascii="Arial" w:hAnsi="Arial" w:cs="Arial"/>
          <w:color w:val="000000" w:themeColor="text1"/>
        </w:rPr>
      </w:pPr>
      <w:r>
        <w:rPr>
          <w:rFonts w:ascii="Arial" w:hAnsi="Arial" w:cs="Arial"/>
          <w:color w:val="000000" w:themeColor="text1"/>
        </w:rPr>
        <w:t>Het systematische toerekenen</w:t>
      </w:r>
      <w:r w:rsidR="00F523EC" w:rsidRPr="002A2E36">
        <w:rPr>
          <w:rFonts w:ascii="Arial" w:hAnsi="Arial" w:cs="Arial"/>
          <w:color w:val="000000" w:themeColor="text1"/>
        </w:rPr>
        <w:t xml:space="preserve"> van de vaste en de variabele indirecte productiekosten.</w:t>
      </w:r>
    </w:p>
    <w:p w:rsidR="00F523EC" w:rsidRPr="002A2E36" w:rsidRDefault="00F523EC" w:rsidP="00F523EC">
      <w:pPr>
        <w:pStyle w:val="ListParagraph"/>
        <w:numPr>
          <w:ilvl w:val="0"/>
          <w:numId w:val="3"/>
        </w:numPr>
        <w:spacing w:after="160" w:line="360" w:lineRule="auto"/>
        <w:rPr>
          <w:rFonts w:ascii="Arial" w:hAnsi="Arial" w:cs="Arial"/>
          <w:color w:val="000000" w:themeColor="text1"/>
        </w:rPr>
      </w:pPr>
      <w:r w:rsidRPr="002A2E36">
        <w:rPr>
          <w:rFonts w:ascii="Arial" w:hAnsi="Arial" w:cs="Arial"/>
          <w:color w:val="000000" w:themeColor="text1"/>
        </w:rPr>
        <w:t xml:space="preserve">Eventuele rente over schulden die direct aan de vervaardiging van het product kan worden toegerekend gedurende de productieperiode (dit is verplicht op basis van IFRS in tegenstelling tot op basis van </w:t>
      </w:r>
      <w:r w:rsidR="00BD0D40">
        <w:rPr>
          <w:rFonts w:ascii="Arial" w:hAnsi="Arial" w:cs="Arial"/>
          <w:color w:val="000000" w:themeColor="text1"/>
        </w:rPr>
        <w:t>RJ</w:t>
      </w:r>
      <w:r w:rsidR="00006A7A">
        <w:rPr>
          <w:rFonts w:ascii="Arial" w:hAnsi="Arial" w:cs="Arial"/>
          <w:color w:val="000000" w:themeColor="text1"/>
        </w:rPr>
        <w:t>)</w:t>
      </w:r>
      <w:r w:rsidRPr="002A2E36">
        <w:rPr>
          <w:rFonts w:ascii="Arial" w:hAnsi="Arial" w:cs="Arial"/>
          <w:color w:val="000000" w:themeColor="text1"/>
        </w:rPr>
        <w:t>.</w:t>
      </w:r>
    </w:p>
    <w:p w:rsidR="00404EA9" w:rsidRDefault="00F523EC" w:rsidP="00F523EC">
      <w:pPr>
        <w:spacing w:line="360" w:lineRule="auto"/>
        <w:rPr>
          <w:rFonts w:ascii="Arial" w:hAnsi="Arial" w:cs="Arial"/>
          <w:color w:val="000000" w:themeColor="text1"/>
        </w:rPr>
      </w:pPr>
      <w:r w:rsidRPr="002A2E36">
        <w:rPr>
          <w:rFonts w:ascii="Arial" w:hAnsi="Arial" w:cs="Arial"/>
          <w:color w:val="000000" w:themeColor="text1"/>
        </w:rPr>
        <w:t>Vaste indir</w:t>
      </w:r>
      <w:r w:rsidR="00850915">
        <w:rPr>
          <w:rFonts w:ascii="Arial" w:hAnsi="Arial" w:cs="Arial"/>
          <w:color w:val="000000" w:themeColor="text1"/>
        </w:rPr>
        <w:t>ecte productiekosten zijn</w:t>
      </w:r>
      <w:r w:rsidRPr="002A2E36">
        <w:rPr>
          <w:rFonts w:ascii="Arial" w:hAnsi="Arial" w:cs="Arial"/>
          <w:color w:val="000000" w:themeColor="text1"/>
        </w:rPr>
        <w:t xml:space="preserve"> niet afhankelijk van het productievolume en zijn daardoor relatief constant. </w:t>
      </w:r>
      <w:r w:rsidR="00850915">
        <w:rPr>
          <w:rFonts w:ascii="Arial" w:hAnsi="Arial" w:cs="Arial"/>
          <w:color w:val="000000" w:themeColor="text1"/>
        </w:rPr>
        <w:t>Voorbeelden hiervan zijn</w:t>
      </w:r>
      <w:r w:rsidRPr="002A2E36">
        <w:rPr>
          <w:rFonts w:ascii="Arial" w:hAnsi="Arial" w:cs="Arial"/>
          <w:color w:val="000000" w:themeColor="text1"/>
        </w:rPr>
        <w:t xml:space="preserve"> afschrijvingen van de materiële vaste act</w:t>
      </w:r>
      <w:r w:rsidR="00850915">
        <w:rPr>
          <w:rFonts w:ascii="Arial" w:hAnsi="Arial" w:cs="Arial"/>
          <w:color w:val="000000" w:themeColor="text1"/>
        </w:rPr>
        <w:t>iva zoals machines, maar ook de managementkosten kunnen hieronder gerekend worden.</w:t>
      </w:r>
      <w:r w:rsidRPr="002A2E36">
        <w:rPr>
          <w:rFonts w:ascii="Arial" w:hAnsi="Arial" w:cs="Arial"/>
          <w:color w:val="000000" w:themeColor="text1"/>
        </w:rPr>
        <w:t xml:space="preserve"> </w:t>
      </w:r>
    </w:p>
    <w:p w:rsidR="00F523EC" w:rsidRPr="002A2E36" w:rsidRDefault="00850915" w:rsidP="00F523EC">
      <w:pPr>
        <w:spacing w:line="360" w:lineRule="auto"/>
        <w:rPr>
          <w:rFonts w:ascii="Arial" w:hAnsi="Arial" w:cs="Arial"/>
          <w:color w:val="000000" w:themeColor="text1"/>
        </w:rPr>
      </w:pPr>
      <w:r>
        <w:rPr>
          <w:rFonts w:ascii="Arial" w:hAnsi="Arial" w:cs="Arial"/>
          <w:color w:val="000000" w:themeColor="text1"/>
        </w:rPr>
        <w:t xml:space="preserve">In tegenstelling tot de vaste indirecte kosten zijn de variabele indirecte kosten wel afhankelijk van het productievolume. Hierbij kan gedacht worden aan indirecte arbeidskosten en indirecte kosten van de grondstoffen. </w:t>
      </w:r>
      <w:r w:rsidR="00F523EC" w:rsidRPr="002A2E36">
        <w:rPr>
          <w:rFonts w:ascii="Arial" w:hAnsi="Arial" w:cs="Arial"/>
          <w:color w:val="000000" w:themeColor="text1"/>
        </w:rPr>
        <w:t>Vaste indirecte productiekosten worden aan de vervaardigingsprijs toegerekend op basis de van normale capaciteit. Dit is volgens IAS 2.13 en RJ 220.308 de gemiddelde productie die onder normale omstandigheden wordt gerealiseerd in ee</w:t>
      </w:r>
      <w:r>
        <w:rPr>
          <w:rFonts w:ascii="Arial" w:hAnsi="Arial" w:cs="Arial"/>
          <w:color w:val="000000" w:themeColor="text1"/>
        </w:rPr>
        <w:t xml:space="preserve">n aantal seizoenen of perioden </w:t>
      </w:r>
      <w:sdt>
        <w:sdtPr>
          <w:rPr>
            <w:rFonts w:ascii="Arial" w:hAnsi="Arial" w:cs="Arial"/>
            <w:color w:val="000000" w:themeColor="text1"/>
          </w:rPr>
          <w:id w:val="1300656442"/>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00840623">
        <w:rPr>
          <w:rFonts w:ascii="Arial" w:hAnsi="Arial" w:cs="Arial"/>
          <w:color w:val="000000" w:themeColor="text1"/>
        </w:rPr>
        <w:t>.</w:t>
      </w:r>
    </w:p>
    <w:p w:rsidR="00F523EC" w:rsidRPr="002A2E36" w:rsidRDefault="00F523EC" w:rsidP="00F523EC">
      <w:pPr>
        <w:pStyle w:val="Heading2"/>
        <w:spacing w:line="360" w:lineRule="auto"/>
        <w:rPr>
          <w:rFonts w:cs="Arial"/>
        </w:rPr>
      </w:pPr>
      <w:bookmarkStart w:id="23" w:name="_Toc288161397"/>
      <w:bookmarkStart w:id="24" w:name="_Toc414878582"/>
      <w:bookmarkStart w:id="25" w:name="_Toc426984365"/>
      <w:r w:rsidRPr="002A2E36">
        <w:rPr>
          <w:rFonts w:cs="Arial"/>
        </w:rPr>
        <w:t>4.2 Waardering op basis van de actuele waarde</w:t>
      </w:r>
      <w:bookmarkEnd w:id="23"/>
      <w:bookmarkEnd w:id="24"/>
      <w:bookmarkEnd w:id="25"/>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Naast waardering op basis van de kostprijs mag op basis van de Nederlandse wet- en regelgeving de waardering van de voorraden op basis van de act</w:t>
      </w:r>
      <w:r w:rsidR="009D09F8">
        <w:rPr>
          <w:rFonts w:ascii="Arial" w:hAnsi="Arial" w:cs="Arial"/>
          <w:color w:val="000000" w:themeColor="text1"/>
        </w:rPr>
        <w:t>uele waarde worden uitgevoerd</w:t>
      </w:r>
      <w:r w:rsidRPr="002A2E36">
        <w:rPr>
          <w:rFonts w:ascii="Arial" w:hAnsi="Arial" w:cs="Arial"/>
          <w:color w:val="000000" w:themeColor="text1"/>
        </w:rPr>
        <w:t xml:space="preserve">. </w:t>
      </w:r>
      <w:r w:rsidR="00D72511">
        <w:rPr>
          <w:rFonts w:ascii="Arial" w:hAnsi="Arial" w:cs="Arial"/>
          <w:color w:val="000000" w:themeColor="text1"/>
        </w:rPr>
        <w:t>In tegenstelling tot RJ staat IFRS dit niet toe</w:t>
      </w:r>
      <w:r w:rsidRPr="002A2E36">
        <w:rPr>
          <w:rFonts w:ascii="Arial" w:hAnsi="Arial" w:cs="Arial"/>
          <w:color w:val="000000" w:themeColor="text1"/>
        </w:rPr>
        <w:t xml:space="preserve">. </w:t>
      </w:r>
      <w:r w:rsidR="00D72511">
        <w:rPr>
          <w:rFonts w:ascii="Arial" w:hAnsi="Arial" w:cs="Arial"/>
          <w:color w:val="000000" w:themeColor="text1"/>
        </w:rPr>
        <w:t>Op basis van de actuele waarde wordt er een onderscheid gemaakt tussen twee soorten voorraden</w:t>
      </w:r>
      <w:r w:rsidRPr="002A2E36">
        <w:rPr>
          <w:rFonts w:ascii="Arial" w:hAnsi="Arial" w:cs="Arial"/>
          <w:color w:val="000000" w:themeColor="text1"/>
        </w:rPr>
        <w:t>:</w:t>
      </w:r>
    </w:p>
    <w:p w:rsidR="00F523EC" w:rsidRPr="002A2E36" w:rsidRDefault="00F523EC" w:rsidP="00F523EC">
      <w:pPr>
        <w:pStyle w:val="ListParagraph"/>
        <w:numPr>
          <w:ilvl w:val="0"/>
          <w:numId w:val="4"/>
        </w:numPr>
        <w:spacing w:after="160" w:line="360" w:lineRule="auto"/>
        <w:rPr>
          <w:rFonts w:ascii="Arial" w:hAnsi="Arial" w:cs="Arial"/>
          <w:color w:val="000000" w:themeColor="text1"/>
        </w:rPr>
      </w:pPr>
      <w:r w:rsidRPr="002A2E36">
        <w:rPr>
          <w:rFonts w:ascii="Arial" w:hAnsi="Arial" w:cs="Arial"/>
          <w:color w:val="000000" w:themeColor="text1"/>
        </w:rPr>
        <w:t>Voorraden waarvoor vervanging mag worden verond</w:t>
      </w:r>
      <w:r w:rsidR="00D72511">
        <w:rPr>
          <w:rFonts w:ascii="Arial" w:hAnsi="Arial" w:cs="Arial"/>
          <w:color w:val="000000" w:themeColor="text1"/>
        </w:rPr>
        <w:t>ersteld. De waardering</w:t>
      </w:r>
      <w:r w:rsidRPr="002A2E36">
        <w:rPr>
          <w:rFonts w:ascii="Arial" w:hAnsi="Arial" w:cs="Arial"/>
          <w:color w:val="000000" w:themeColor="text1"/>
        </w:rPr>
        <w:t xml:space="preserve"> voor deze voorraden is</w:t>
      </w:r>
      <w:r w:rsidR="00D72511">
        <w:rPr>
          <w:rFonts w:ascii="Arial" w:hAnsi="Arial" w:cs="Arial"/>
          <w:color w:val="000000" w:themeColor="text1"/>
        </w:rPr>
        <w:t xml:space="preserve"> of</w:t>
      </w:r>
      <w:r w:rsidRPr="002A2E36">
        <w:rPr>
          <w:rFonts w:ascii="Arial" w:hAnsi="Arial" w:cs="Arial"/>
          <w:color w:val="000000" w:themeColor="text1"/>
        </w:rPr>
        <w:t xml:space="preserve"> de vervangingswaarde of de lagere opbrengstwaarde (RJ 220.331). De vervangings</w:t>
      </w:r>
      <w:r w:rsidR="00404EA9">
        <w:rPr>
          <w:rFonts w:ascii="Arial" w:hAnsi="Arial" w:cs="Arial"/>
          <w:color w:val="000000" w:themeColor="text1"/>
        </w:rPr>
        <w:t xml:space="preserve">waarde </w:t>
      </w:r>
      <w:r w:rsidR="00D72511">
        <w:rPr>
          <w:rFonts w:ascii="Arial" w:hAnsi="Arial" w:cs="Arial"/>
          <w:color w:val="000000" w:themeColor="text1"/>
        </w:rPr>
        <w:t xml:space="preserve">is het bedrag dat nodig is om economische een gelijkwaardige voorraad te </w:t>
      </w:r>
      <w:r w:rsidR="00F91F92">
        <w:rPr>
          <w:rFonts w:ascii="Arial" w:hAnsi="Arial" w:cs="Arial"/>
          <w:color w:val="000000" w:themeColor="text1"/>
        </w:rPr>
        <w:t>verkrijgen.</w:t>
      </w:r>
    </w:p>
    <w:p w:rsidR="00F523EC" w:rsidRPr="002A2E36" w:rsidRDefault="00F523EC" w:rsidP="00F523EC">
      <w:pPr>
        <w:pStyle w:val="ListParagraph"/>
        <w:numPr>
          <w:ilvl w:val="0"/>
          <w:numId w:val="4"/>
        </w:numPr>
        <w:spacing w:after="160" w:line="360" w:lineRule="auto"/>
        <w:rPr>
          <w:rFonts w:ascii="Arial" w:hAnsi="Arial" w:cs="Arial"/>
          <w:color w:val="000000" w:themeColor="text1"/>
        </w:rPr>
      </w:pPr>
      <w:r w:rsidRPr="002A2E36">
        <w:rPr>
          <w:rFonts w:ascii="Arial" w:hAnsi="Arial" w:cs="Arial"/>
          <w:color w:val="000000" w:themeColor="text1"/>
        </w:rPr>
        <w:t xml:space="preserve">Voorraden die niet worden vervangen. </w:t>
      </w:r>
      <w:r w:rsidR="00D72511">
        <w:rPr>
          <w:rFonts w:ascii="Arial" w:hAnsi="Arial" w:cs="Arial"/>
          <w:color w:val="000000" w:themeColor="text1"/>
        </w:rPr>
        <w:t>Hier gaat men uit van een waardering op basis van de opbrengstwaarde</w:t>
      </w:r>
      <w:r w:rsidRPr="002A2E36">
        <w:rPr>
          <w:rFonts w:ascii="Arial" w:hAnsi="Arial" w:cs="Arial"/>
          <w:color w:val="000000" w:themeColor="text1"/>
        </w:rPr>
        <w:t xml:space="preserve"> (RJ 220.332). De opbrengstwaarde is het maximale bedrag waartegen de voorraad verkocht kan worden.</w:t>
      </w:r>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 xml:space="preserve">Waardeveranderingen worden verantwoord in de herwaarderingsreserve. </w:t>
      </w:r>
      <w:r w:rsidR="00D72511">
        <w:rPr>
          <w:rFonts w:ascii="Arial" w:hAnsi="Arial" w:cs="Arial"/>
          <w:color w:val="000000" w:themeColor="text1"/>
        </w:rPr>
        <w:t>Stijgingen van de actuele waarde worden ten gunste van de herwaarderingsreserve gebracht en dalingen van de actuele waarde worden ten laste van de herwaarderingsreserve gebracht</w:t>
      </w:r>
      <w:r w:rsidRPr="002A2E36">
        <w:rPr>
          <w:rFonts w:ascii="Arial" w:hAnsi="Arial" w:cs="Arial"/>
          <w:color w:val="000000" w:themeColor="text1"/>
        </w:rPr>
        <w:t xml:space="preserve">. </w:t>
      </w:r>
      <w:r w:rsidR="00D72511">
        <w:rPr>
          <w:rFonts w:ascii="Arial" w:hAnsi="Arial" w:cs="Arial"/>
          <w:color w:val="000000" w:themeColor="text1"/>
        </w:rPr>
        <w:t>Een belangrijke punt hierbij is dat de herwaarderingsreserve niet negatief kan zijn</w:t>
      </w:r>
      <w:r w:rsidR="00404EA9">
        <w:rPr>
          <w:rFonts w:ascii="Arial" w:hAnsi="Arial" w:cs="Arial"/>
          <w:color w:val="000000" w:themeColor="text1"/>
        </w:rPr>
        <w:t xml:space="preserve">. </w:t>
      </w:r>
      <w:r w:rsidR="00D72511">
        <w:rPr>
          <w:rFonts w:ascii="Arial" w:hAnsi="Arial" w:cs="Arial"/>
          <w:color w:val="000000" w:themeColor="text1"/>
        </w:rPr>
        <w:t>Daardoor mogen de actuele waarde dalingen alleen ten laste van de herwaarderingsreserve worden gebracht tot het niveau van de oorspronkelijke kostprijs. Als, nadat de herwaarderingsreserve 0 is, de waarde verder daalt worden de negatieve dalingen direct ten laste van de winst- en verliesrekening gebracht. Indien er weer sprake is van een waarde st</w:t>
      </w:r>
      <w:r w:rsidR="00177126">
        <w:rPr>
          <w:rFonts w:ascii="Arial" w:hAnsi="Arial" w:cs="Arial"/>
          <w:color w:val="000000" w:themeColor="text1"/>
        </w:rPr>
        <w:t xml:space="preserve">ijging worden de stijgingen </w:t>
      </w:r>
      <w:r w:rsidR="00D72511">
        <w:rPr>
          <w:rFonts w:ascii="Arial" w:hAnsi="Arial" w:cs="Arial"/>
          <w:color w:val="000000" w:themeColor="text1"/>
        </w:rPr>
        <w:t xml:space="preserve">ten </w:t>
      </w:r>
      <w:r w:rsidR="00177126">
        <w:rPr>
          <w:rFonts w:ascii="Arial" w:hAnsi="Arial" w:cs="Arial"/>
          <w:color w:val="000000" w:themeColor="text1"/>
        </w:rPr>
        <w:t>gunste</w:t>
      </w:r>
      <w:r w:rsidR="00D72511">
        <w:rPr>
          <w:rFonts w:ascii="Arial" w:hAnsi="Arial" w:cs="Arial"/>
          <w:color w:val="000000" w:themeColor="text1"/>
        </w:rPr>
        <w:t xml:space="preserve"> van de winst- en verlies</w:t>
      </w:r>
      <w:r w:rsidR="00177126">
        <w:rPr>
          <w:rFonts w:ascii="Arial" w:hAnsi="Arial" w:cs="Arial"/>
          <w:color w:val="000000" w:themeColor="text1"/>
        </w:rPr>
        <w:t xml:space="preserve">rekening gebracht tot deze weer de oorspronkelijke historische kostprijs weer is bereikt </w:t>
      </w:r>
      <w:sdt>
        <w:sdtPr>
          <w:rPr>
            <w:rFonts w:ascii="Arial" w:hAnsi="Arial" w:cs="Arial"/>
            <w:color w:val="000000" w:themeColor="text1"/>
          </w:rPr>
          <w:id w:val="515200690"/>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00840623">
        <w:rPr>
          <w:rFonts w:ascii="Arial" w:hAnsi="Arial" w:cs="Arial"/>
          <w:color w:val="000000" w:themeColor="text1"/>
        </w:rPr>
        <w:t>.</w:t>
      </w:r>
    </w:p>
    <w:p w:rsidR="00F523EC" w:rsidRPr="002A2E36" w:rsidRDefault="009D09F8" w:rsidP="009D09F8">
      <w:pPr>
        <w:pStyle w:val="Heading2"/>
      </w:pPr>
      <w:bookmarkStart w:id="26" w:name="_Toc288161398"/>
      <w:bookmarkStart w:id="27" w:name="_Toc414878583"/>
      <w:bookmarkStart w:id="28" w:name="_Toc426984366"/>
      <w:r>
        <w:t>4.3</w:t>
      </w:r>
      <w:r w:rsidR="00241542" w:rsidRPr="002A2E36">
        <w:t xml:space="preserve"> </w:t>
      </w:r>
      <w:r w:rsidR="00F523EC" w:rsidRPr="002A2E36">
        <w:t>Agrarische producten en fungibele goederen</w:t>
      </w:r>
      <w:bookmarkEnd w:id="26"/>
      <w:bookmarkEnd w:id="27"/>
      <w:bookmarkEnd w:id="28"/>
    </w:p>
    <w:p w:rsidR="00340B37" w:rsidRDefault="00340B37" w:rsidP="00F523EC">
      <w:pPr>
        <w:spacing w:line="360" w:lineRule="auto"/>
        <w:rPr>
          <w:rFonts w:ascii="Arial" w:hAnsi="Arial" w:cs="Arial"/>
          <w:color w:val="000000" w:themeColor="text1"/>
        </w:rPr>
      </w:pPr>
      <w:r>
        <w:rPr>
          <w:rFonts w:ascii="Arial" w:hAnsi="Arial" w:cs="Arial"/>
          <w:color w:val="000000" w:themeColor="text1"/>
        </w:rPr>
        <w:t xml:space="preserve">De RJ en IFRS maken onderscheid in twee verschillende categorieën voorraden. De agrarische producten en de fungibele producten die onderling uitwisselbaar zijn. De specifieke voorschriften voor de waardering en resultaatvaststellingen verschillen per categorie. </w:t>
      </w:r>
    </w:p>
    <w:p w:rsidR="00F523EC" w:rsidRPr="002A2E36" w:rsidRDefault="009D09F8" w:rsidP="00F523EC">
      <w:pPr>
        <w:pStyle w:val="Heading3"/>
        <w:spacing w:line="360" w:lineRule="auto"/>
        <w:rPr>
          <w:rFonts w:cs="Arial"/>
        </w:rPr>
      </w:pPr>
      <w:bookmarkStart w:id="29" w:name="_Toc288165861"/>
      <w:bookmarkStart w:id="30" w:name="_Toc414878584"/>
      <w:bookmarkStart w:id="31" w:name="_Toc426984367"/>
      <w:r>
        <w:rPr>
          <w:rFonts w:cs="Arial"/>
        </w:rPr>
        <w:t>4.3.1</w:t>
      </w:r>
      <w:r w:rsidR="00241542" w:rsidRPr="002A2E36">
        <w:rPr>
          <w:rFonts w:cs="Arial"/>
        </w:rPr>
        <w:t xml:space="preserve"> </w:t>
      </w:r>
      <w:r w:rsidR="00F523EC" w:rsidRPr="002A2E36">
        <w:rPr>
          <w:rFonts w:cs="Arial"/>
        </w:rPr>
        <w:t>Agrarische producten</w:t>
      </w:r>
      <w:bookmarkEnd w:id="29"/>
      <w:bookmarkEnd w:id="30"/>
      <w:bookmarkEnd w:id="31"/>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 xml:space="preserve">De verantwoording van agrarische producten is vastgelegd in IAS 41 die regels bevat voor de waardering van deze producten. De eerste waardering van agrarische </w:t>
      </w:r>
      <w:r w:rsidR="00404D75">
        <w:rPr>
          <w:rFonts w:ascii="Arial" w:hAnsi="Arial" w:cs="Arial"/>
          <w:color w:val="000000" w:themeColor="text1"/>
        </w:rPr>
        <w:t>producten moet worden bepaald</w:t>
      </w:r>
      <w:r w:rsidRPr="002A2E36">
        <w:rPr>
          <w:rFonts w:ascii="Arial" w:hAnsi="Arial" w:cs="Arial"/>
          <w:color w:val="000000" w:themeColor="text1"/>
        </w:rPr>
        <w:t xml:space="preserve"> op basis van de reële waarde</w:t>
      </w:r>
      <w:r w:rsidR="00404D75">
        <w:rPr>
          <w:rFonts w:ascii="Arial" w:hAnsi="Arial" w:cs="Arial"/>
          <w:color w:val="000000" w:themeColor="text1"/>
        </w:rPr>
        <w:t>,</w:t>
      </w:r>
      <w:r w:rsidRPr="002A2E36">
        <w:rPr>
          <w:rFonts w:ascii="Arial" w:hAnsi="Arial" w:cs="Arial"/>
          <w:color w:val="000000" w:themeColor="text1"/>
        </w:rPr>
        <w:t xml:space="preserve"> op het moment van oogsten</w:t>
      </w:r>
      <w:r w:rsidR="00404D75">
        <w:rPr>
          <w:rFonts w:ascii="Arial" w:hAnsi="Arial" w:cs="Arial"/>
          <w:color w:val="000000" w:themeColor="text1"/>
        </w:rPr>
        <w:t>, min</w:t>
      </w:r>
      <w:r w:rsidRPr="002A2E36">
        <w:rPr>
          <w:rFonts w:ascii="Arial" w:hAnsi="Arial" w:cs="Arial"/>
          <w:color w:val="000000" w:themeColor="text1"/>
        </w:rPr>
        <w:t xml:space="preserve"> de directe kosten voor de afwikkeling van de verkoop (IAS 41.13). De directe kosten bestaan uit provisies, heffingen, belastingen en </w:t>
      </w:r>
      <w:r w:rsidR="00340B37">
        <w:rPr>
          <w:rFonts w:ascii="Arial" w:hAnsi="Arial" w:cs="Arial"/>
          <w:color w:val="000000" w:themeColor="text1"/>
        </w:rPr>
        <w:t>aanverwanten</w:t>
      </w:r>
      <w:r w:rsidRPr="002A2E36">
        <w:rPr>
          <w:rFonts w:ascii="Arial" w:hAnsi="Arial" w:cs="Arial"/>
          <w:color w:val="000000" w:themeColor="text1"/>
        </w:rPr>
        <w:t>. Transportkosten behoren daar niet toe. Mogelijke winsten en verliezen worden in de winst-en-verl</w:t>
      </w:r>
      <w:r w:rsidR="00840623">
        <w:rPr>
          <w:rFonts w:ascii="Arial" w:hAnsi="Arial" w:cs="Arial"/>
          <w:color w:val="000000" w:themeColor="text1"/>
        </w:rPr>
        <w:t xml:space="preserve">iesrekening verantwoord </w:t>
      </w:r>
      <w:sdt>
        <w:sdtPr>
          <w:rPr>
            <w:rFonts w:ascii="Arial" w:hAnsi="Arial" w:cs="Arial"/>
            <w:color w:val="000000" w:themeColor="text1"/>
          </w:rPr>
          <w:id w:val="-1127073642"/>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F523EC" w:rsidRPr="002A2E36" w:rsidRDefault="00F91F92" w:rsidP="00F523EC">
      <w:pPr>
        <w:spacing w:line="360" w:lineRule="auto"/>
        <w:rPr>
          <w:rFonts w:ascii="Arial" w:hAnsi="Arial" w:cs="Arial"/>
          <w:color w:val="000000" w:themeColor="text1"/>
        </w:rPr>
      </w:pPr>
      <w:r w:rsidRPr="002A2E36">
        <w:rPr>
          <w:rFonts w:ascii="Arial" w:hAnsi="Arial" w:cs="Arial"/>
          <w:color w:val="000000" w:themeColor="text1"/>
        </w:rPr>
        <w:t>De</w:t>
      </w:r>
      <w:r w:rsidR="00F523EC" w:rsidRPr="002A2E36">
        <w:rPr>
          <w:rFonts w:ascii="Arial" w:hAnsi="Arial" w:cs="Arial"/>
          <w:color w:val="000000" w:themeColor="text1"/>
        </w:rPr>
        <w:t xml:space="preserve"> volgende tabel bevat de voorschriften in </w:t>
      </w:r>
      <w:r w:rsidR="00BD0D40">
        <w:rPr>
          <w:rFonts w:ascii="Arial" w:hAnsi="Arial" w:cs="Arial"/>
          <w:color w:val="000000" w:themeColor="text1"/>
        </w:rPr>
        <w:t>RJ</w:t>
      </w:r>
      <w:r w:rsidR="00F523EC" w:rsidRPr="002A2E36">
        <w:rPr>
          <w:rFonts w:ascii="Arial" w:hAnsi="Arial" w:cs="Arial"/>
          <w:color w:val="000000" w:themeColor="text1"/>
        </w:rPr>
        <w:t xml:space="preserve"> en in IFRS voor agrarische producten.</w:t>
      </w:r>
    </w:p>
    <w:p w:rsidR="00A730CC" w:rsidRPr="002A2E36" w:rsidRDefault="00F523EC" w:rsidP="00F523EC">
      <w:pPr>
        <w:spacing w:line="360" w:lineRule="auto"/>
        <w:rPr>
          <w:rFonts w:ascii="Arial" w:hAnsi="Arial" w:cs="Arial"/>
          <w:color w:val="000000" w:themeColor="text1"/>
        </w:rPr>
      </w:pPr>
      <w:r w:rsidRPr="002A2E36">
        <w:rPr>
          <w:rFonts w:ascii="Arial" w:hAnsi="Arial" w:cs="Arial"/>
          <w:noProof/>
          <w:color w:val="000000" w:themeColor="text1"/>
          <w:lang w:val="en-US"/>
        </w:rPr>
        <w:drawing>
          <wp:inline distT="0" distB="0" distL="0" distR="0">
            <wp:extent cx="5760720" cy="2574134"/>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760720" cy="2574134"/>
                    </a:xfrm>
                    <a:prstGeom prst="rect">
                      <a:avLst/>
                    </a:prstGeom>
                  </pic:spPr>
                </pic:pic>
              </a:graphicData>
            </a:graphic>
          </wp:inline>
        </w:drawing>
      </w:r>
      <w:sdt>
        <w:sdtPr>
          <w:rPr>
            <w:rFonts w:ascii="Arial" w:hAnsi="Arial" w:cs="Arial"/>
            <w:color w:val="000000" w:themeColor="text1"/>
          </w:rPr>
          <w:id w:val="-1857568981"/>
          <w:citation/>
        </w:sdtPr>
        <w:sdtContent>
          <w:r w:rsidR="007A6E22">
            <w:rPr>
              <w:rFonts w:ascii="Arial" w:hAnsi="Arial" w:cs="Arial"/>
              <w:color w:val="000000" w:themeColor="text1"/>
            </w:rPr>
            <w:fldChar w:fldCharType="begin"/>
          </w:r>
          <w:r w:rsidR="009D09F8">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Pr>
              <w:rFonts w:ascii="Arial" w:hAnsi="Arial" w:cs="Arial"/>
              <w:noProof/>
              <w:color w:val="000000" w:themeColor="text1"/>
            </w:rPr>
            <w:t xml:space="preserve"> </w:t>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p>
    <w:p w:rsidR="00340B37" w:rsidRPr="00340B37" w:rsidRDefault="00340B37" w:rsidP="00E76334">
      <w:pPr>
        <w:pStyle w:val="Heading3"/>
      </w:pPr>
      <w:bookmarkStart w:id="32" w:name="_Toc426984368"/>
      <w:r w:rsidRPr="00340B37">
        <w:t>4.</w:t>
      </w:r>
      <w:r w:rsidR="009D09F8">
        <w:t>3.2</w:t>
      </w:r>
      <w:r>
        <w:t xml:space="preserve"> Fungibele goederen</w:t>
      </w:r>
      <w:bookmarkEnd w:id="32"/>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Voorraden bestaan in veel gevallen ui</w:t>
      </w:r>
      <w:r w:rsidR="00404D75">
        <w:rPr>
          <w:rFonts w:ascii="Arial" w:hAnsi="Arial" w:cs="Arial"/>
          <w:color w:val="000000" w:themeColor="text1"/>
        </w:rPr>
        <w:t>t onderling uitwisselbare of anders gezegd</w:t>
      </w:r>
      <w:r w:rsidRPr="002A2E36">
        <w:rPr>
          <w:rFonts w:ascii="Arial" w:hAnsi="Arial" w:cs="Arial"/>
          <w:color w:val="000000" w:themeColor="text1"/>
        </w:rPr>
        <w:t xml:space="preserve"> fungibele goederen. Fungibele goederen zijn identieke goederen die onderling uitwisselbaar zijn en niet fysiek </w:t>
      </w:r>
      <w:r w:rsidR="00404D75">
        <w:rPr>
          <w:rFonts w:ascii="Arial" w:hAnsi="Arial" w:cs="Arial"/>
          <w:color w:val="000000" w:themeColor="text1"/>
        </w:rPr>
        <w:t>te onderscheiden</w:t>
      </w:r>
      <w:r w:rsidRPr="002A2E36">
        <w:rPr>
          <w:rFonts w:ascii="Arial" w:hAnsi="Arial" w:cs="Arial"/>
          <w:color w:val="000000" w:themeColor="text1"/>
        </w:rPr>
        <w:t xml:space="preserve"> zijn. De individuele waardering van de kostprijs van fungibele goederen </w:t>
      </w:r>
      <w:r w:rsidR="00F86755">
        <w:rPr>
          <w:rFonts w:ascii="Arial" w:hAnsi="Arial" w:cs="Arial"/>
          <w:color w:val="000000" w:themeColor="text1"/>
        </w:rPr>
        <w:t>brengt veel</w:t>
      </w:r>
      <w:r w:rsidR="00340B37">
        <w:rPr>
          <w:rFonts w:ascii="Arial" w:hAnsi="Arial" w:cs="Arial"/>
          <w:color w:val="000000" w:themeColor="text1"/>
        </w:rPr>
        <w:t xml:space="preserve"> problemen</w:t>
      </w:r>
      <w:r w:rsidR="00F86755">
        <w:rPr>
          <w:rFonts w:ascii="Arial" w:hAnsi="Arial" w:cs="Arial"/>
          <w:color w:val="000000" w:themeColor="text1"/>
        </w:rPr>
        <w:t xml:space="preserve"> met zich mee</w:t>
      </w:r>
      <w:r w:rsidR="00340B37">
        <w:rPr>
          <w:rFonts w:ascii="Arial" w:hAnsi="Arial" w:cs="Arial"/>
          <w:color w:val="000000" w:themeColor="text1"/>
        </w:rPr>
        <w:t>. Een voorbeeld hiervan is een olievoorraad. Hier</w:t>
      </w:r>
      <w:r w:rsidRPr="002A2E36">
        <w:rPr>
          <w:rFonts w:ascii="Arial" w:hAnsi="Arial" w:cs="Arial"/>
          <w:color w:val="000000" w:themeColor="text1"/>
        </w:rPr>
        <w:t xml:space="preserve">bij kunnen moeilijk eenheden vastgesteld worden en bovendien zijn deze fysiek niet te onderscheiden en individueel te waarderen. Betreffende het waarderen van deze goederen zijn op basis van </w:t>
      </w:r>
      <w:proofErr w:type="gramStart"/>
      <w:r w:rsidRPr="002A2E36">
        <w:rPr>
          <w:rFonts w:ascii="Arial" w:hAnsi="Arial" w:cs="Arial"/>
          <w:color w:val="000000" w:themeColor="text1"/>
        </w:rPr>
        <w:t>de</w:t>
      </w:r>
      <w:proofErr w:type="gramEnd"/>
      <w:r w:rsidRPr="002A2E36">
        <w:rPr>
          <w:rFonts w:ascii="Arial" w:hAnsi="Arial" w:cs="Arial"/>
          <w:color w:val="000000" w:themeColor="text1"/>
        </w:rPr>
        <w:t xml:space="preserve"> Nederlandse wet- en regelgeving een aantal methoden toegestaan (RJ 220.314 en art. 2:385 lid 2 BW):</w:t>
      </w:r>
    </w:p>
    <w:p w:rsidR="00F523EC" w:rsidRPr="002A2E36" w:rsidRDefault="00F523EC" w:rsidP="00D31488">
      <w:pPr>
        <w:pStyle w:val="ListParagraph"/>
        <w:numPr>
          <w:ilvl w:val="0"/>
          <w:numId w:val="17"/>
        </w:numPr>
        <w:spacing w:line="360" w:lineRule="auto"/>
        <w:rPr>
          <w:rFonts w:ascii="Arial" w:hAnsi="Arial" w:cs="Arial"/>
          <w:color w:val="000000" w:themeColor="text1"/>
        </w:rPr>
      </w:pPr>
      <w:r w:rsidRPr="002A2E36">
        <w:rPr>
          <w:rFonts w:ascii="Arial" w:hAnsi="Arial" w:cs="Arial"/>
          <w:color w:val="000000" w:themeColor="text1"/>
        </w:rPr>
        <w:t xml:space="preserve">De methode van de gewogen gemiddelde inkoopprijzen. </w:t>
      </w:r>
      <w:r w:rsidR="00F86755">
        <w:rPr>
          <w:rFonts w:ascii="Arial" w:hAnsi="Arial" w:cs="Arial"/>
          <w:color w:val="000000" w:themeColor="text1"/>
        </w:rPr>
        <w:t>Deze methode gebruikt de gemiddelde inkoopprijzen van de aanwezige voorraden net voor een verkoop.</w:t>
      </w:r>
      <w:r w:rsidRPr="002A2E36">
        <w:rPr>
          <w:rFonts w:ascii="Arial" w:hAnsi="Arial" w:cs="Arial"/>
          <w:color w:val="000000" w:themeColor="text1"/>
        </w:rPr>
        <w:t xml:space="preserve"> </w:t>
      </w:r>
    </w:p>
    <w:p w:rsidR="00F523EC" w:rsidRPr="002A2E36" w:rsidRDefault="00F523EC" w:rsidP="00D31488">
      <w:pPr>
        <w:pStyle w:val="ListParagraph"/>
        <w:numPr>
          <w:ilvl w:val="0"/>
          <w:numId w:val="17"/>
        </w:numPr>
        <w:spacing w:line="360" w:lineRule="auto"/>
        <w:rPr>
          <w:rFonts w:ascii="Arial" w:hAnsi="Arial" w:cs="Arial"/>
          <w:color w:val="000000" w:themeColor="text1"/>
        </w:rPr>
      </w:pPr>
      <w:r w:rsidRPr="002A2E36">
        <w:rPr>
          <w:rFonts w:ascii="Arial" w:hAnsi="Arial" w:cs="Arial"/>
          <w:color w:val="000000" w:themeColor="text1"/>
          <w:lang w:val="en-US"/>
        </w:rPr>
        <w:t>De FIFO</w:t>
      </w:r>
      <w:r w:rsidR="00F86755">
        <w:rPr>
          <w:rFonts w:ascii="Arial" w:hAnsi="Arial" w:cs="Arial"/>
          <w:color w:val="000000" w:themeColor="text1"/>
          <w:lang w:val="en-US"/>
        </w:rPr>
        <w:t xml:space="preserve"> </w:t>
      </w:r>
      <w:r w:rsidRPr="002A2E36">
        <w:rPr>
          <w:rFonts w:ascii="Arial" w:hAnsi="Arial" w:cs="Arial"/>
          <w:color w:val="000000" w:themeColor="text1"/>
          <w:lang w:val="en-US"/>
        </w:rPr>
        <w:t xml:space="preserve">methode (first in, first out). </w:t>
      </w:r>
      <w:r w:rsidRPr="002A2E36">
        <w:rPr>
          <w:rFonts w:ascii="Arial" w:hAnsi="Arial" w:cs="Arial"/>
          <w:color w:val="000000" w:themeColor="text1"/>
        </w:rPr>
        <w:t>De eerst ingekochte</w:t>
      </w:r>
      <w:r w:rsidR="00F86755">
        <w:rPr>
          <w:rFonts w:ascii="Arial" w:hAnsi="Arial" w:cs="Arial"/>
          <w:color w:val="000000" w:themeColor="text1"/>
        </w:rPr>
        <w:t xml:space="preserve"> goederen worden </w:t>
      </w:r>
      <w:r w:rsidRPr="002A2E36">
        <w:rPr>
          <w:rFonts w:ascii="Arial" w:hAnsi="Arial" w:cs="Arial"/>
          <w:color w:val="000000" w:themeColor="text1"/>
        </w:rPr>
        <w:t xml:space="preserve">als eerste verkocht, waardoor de voorraad bestaat uit de laatste </w:t>
      </w:r>
      <w:r w:rsidR="00F86755">
        <w:rPr>
          <w:rFonts w:ascii="Arial" w:hAnsi="Arial" w:cs="Arial"/>
          <w:color w:val="000000" w:themeColor="text1"/>
        </w:rPr>
        <w:t>ingekochte goederen</w:t>
      </w:r>
      <w:r w:rsidRPr="002A2E36">
        <w:rPr>
          <w:rFonts w:ascii="Arial" w:hAnsi="Arial" w:cs="Arial"/>
          <w:color w:val="000000" w:themeColor="text1"/>
        </w:rPr>
        <w:t>.</w:t>
      </w:r>
    </w:p>
    <w:p w:rsidR="00F523EC" w:rsidRPr="002A2E36" w:rsidRDefault="00F523EC" w:rsidP="00D31488">
      <w:pPr>
        <w:pStyle w:val="ListParagraph"/>
        <w:numPr>
          <w:ilvl w:val="0"/>
          <w:numId w:val="17"/>
        </w:numPr>
        <w:spacing w:line="360" w:lineRule="auto"/>
        <w:rPr>
          <w:rFonts w:ascii="Arial" w:hAnsi="Arial" w:cs="Arial"/>
          <w:color w:val="000000" w:themeColor="text1"/>
        </w:rPr>
      </w:pPr>
      <w:r w:rsidRPr="00F86755">
        <w:rPr>
          <w:rFonts w:ascii="Arial" w:hAnsi="Arial" w:cs="Arial"/>
          <w:color w:val="000000" w:themeColor="text1"/>
          <w:lang w:val="en-GB"/>
        </w:rPr>
        <w:t>De LIF</w:t>
      </w:r>
      <w:r w:rsidR="00F86755">
        <w:rPr>
          <w:rFonts w:ascii="Arial" w:hAnsi="Arial" w:cs="Arial"/>
          <w:color w:val="000000" w:themeColor="text1"/>
          <w:lang w:val="en-GB"/>
        </w:rPr>
        <w:t xml:space="preserve">O </w:t>
      </w:r>
      <w:r w:rsidR="00F86755" w:rsidRPr="00F86755">
        <w:rPr>
          <w:rFonts w:ascii="Arial" w:hAnsi="Arial" w:cs="Arial"/>
          <w:color w:val="000000" w:themeColor="text1"/>
          <w:lang w:val="en-GB"/>
        </w:rPr>
        <w:t xml:space="preserve">methode (last in, first out). </w:t>
      </w:r>
      <w:r w:rsidRPr="002A2E36">
        <w:rPr>
          <w:rFonts w:ascii="Arial" w:hAnsi="Arial" w:cs="Arial"/>
          <w:color w:val="000000" w:themeColor="text1"/>
        </w:rPr>
        <w:t xml:space="preserve">De eerst ingekochte goederen worden als laatste verkocht, waardoor de voorraad bestaat uit de eerste </w:t>
      </w:r>
      <w:r w:rsidR="00F86755">
        <w:rPr>
          <w:rFonts w:ascii="Arial" w:hAnsi="Arial" w:cs="Arial"/>
          <w:color w:val="000000" w:themeColor="text1"/>
        </w:rPr>
        <w:t>ingekochte goederen</w:t>
      </w:r>
      <w:r w:rsidRPr="002A2E36">
        <w:rPr>
          <w:rFonts w:ascii="Arial" w:hAnsi="Arial" w:cs="Arial"/>
          <w:color w:val="000000" w:themeColor="text1"/>
        </w:rPr>
        <w:t>.</w:t>
      </w:r>
      <w:r w:rsidR="00F86755">
        <w:rPr>
          <w:rFonts w:ascii="Arial" w:hAnsi="Arial" w:cs="Arial"/>
          <w:color w:val="000000" w:themeColor="text1"/>
        </w:rPr>
        <w:t xml:space="preserve"> Onder RJ moet er aanvullende toelichting worden vermeld. </w:t>
      </w:r>
    </w:p>
    <w:p w:rsidR="00F523EC" w:rsidRPr="002A2E36" w:rsidRDefault="00F523EC" w:rsidP="00F523EC">
      <w:pPr>
        <w:spacing w:line="360" w:lineRule="auto"/>
        <w:rPr>
          <w:rFonts w:ascii="Arial" w:hAnsi="Arial" w:cs="Arial"/>
          <w:color w:val="000000" w:themeColor="text1"/>
        </w:rPr>
      </w:pPr>
      <w:r w:rsidRPr="002A2E36">
        <w:rPr>
          <w:rFonts w:ascii="Arial" w:hAnsi="Arial" w:cs="Arial"/>
          <w:color w:val="000000" w:themeColor="text1"/>
        </w:rPr>
        <w:t>Belangrijke voorwaarde bij de waarderingsmethoden is de consistentie; alle voorraden van s</w:t>
      </w:r>
      <w:r w:rsidR="00F86755">
        <w:rPr>
          <w:rFonts w:ascii="Arial" w:hAnsi="Arial" w:cs="Arial"/>
          <w:color w:val="000000" w:themeColor="text1"/>
        </w:rPr>
        <w:t>oortgelijke aard moeten volgens</w:t>
      </w:r>
      <w:r w:rsidRPr="002A2E36">
        <w:rPr>
          <w:rFonts w:ascii="Arial" w:hAnsi="Arial" w:cs="Arial"/>
          <w:color w:val="000000" w:themeColor="text1"/>
        </w:rPr>
        <w:t xml:space="preserve"> dezelfde kostprijsmethode worden gewaardeerd. </w:t>
      </w:r>
    </w:p>
    <w:p w:rsidR="00840623" w:rsidRDefault="00F523EC" w:rsidP="00F523EC">
      <w:pPr>
        <w:spacing w:line="360" w:lineRule="auto"/>
        <w:rPr>
          <w:rFonts w:ascii="Arial" w:hAnsi="Arial" w:cs="Arial"/>
          <w:color w:val="000000" w:themeColor="text1"/>
        </w:rPr>
      </w:pPr>
      <w:r w:rsidRPr="002A2E36">
        <w:rPr>
          <w:rFonts w:ascii="Arial" w:hAnsi="Arial" w:cs="Arial"/>
          <w:noProof/>
          <w:color w:val="000000" w:themeColor="text1"/>
          <w:lang w:val="en-US"/>
        </w:rPr>
        <w:drawing>
          <wp:anchor distT="0" distB="0" distL="114300" distR="114300" simplePos="0" relativeHeight="251658752" behindDoc="0" locked="0" layoutInCell="1" allowOverlap="1">
            <wp:simplePos x="0" y="0"/>
            <wp:positionH relativeFrom="column">
              <wp:posOffset>-29845</wp:posOffset>
            </wp:positionH>
            <wp:positionV relativeFrom="paragraph">
              <wp:posOffset>1435100</wp:posOffset>
            </wp:positionV>
            <wp:extent cx="5760720" cy="2286000"/>
            <wp:effectExtent l="0" t="0" r="0" b="0"/>
            <wp:wrapTight wrapText="bothSides">
              <wp:wrapPolygon edited="0">
                <wp:start x="0" y="0"/>
                <wp:lineTo x="0" y="21420"/>
                <wp:lineTo x="21500" y="21420"/>
                <wp:lineTo x="21500" y="0"/>
                <wp:lineTo x="0" y="0"/>
              </wp:wrapPolygon>
            </wp:wrapTight>
            <wp:docPr id="5" name="Afbeelding 4" descr="Schermafbeelding 2015-03-16 om 17.2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3-16 om 17.29.17.png"/>
                    <pic:cNvPicPr/>
                  </pic:nvPicPr>
                  <pic:blipFill>
                    <a:blip r:embed="rId12" cstate="print"/>
                    <a:stretch>
                      <a:fillRect/>
                    </a:stretch>
                  </pic:blipFill>
                  <pic:spPr>
                    <a:xfrm>
                      <a:off x="0" y="0"/>
                      <a:ext cx="5760720" cy="2286000"/>
                    </a:xfrm>
                    <a:prstGeom prst="rect">
                      <a:avLst/>
                    </a:prstGeom>
                  </pic:spPr>
                </pic:pic>
              </a:graphicData>
            </a:graphic>
          </wp:anchor>
        </w:drawing>
      </w:r>
      <w:r w:rsidRPr="002A2E36">
        <w:rPr>
          <w:rFonts w:ascii="Arial" w:hAnsi="Arial" w:cs="Arial"/>
          <w:color w:val="000000" w:themeColor="text1"/>
        </w:rPr>
        <w:t>Op basis van IFRS is de waardering van fungibel</w:t>
      </w:r>
      <w:r w:rsidR="00F86755">
        <w:rPr>
          <w:rFonts w:ascii="Arial" w:hAnsi="Arial" w:cs="Arial"/>
          <w:color w:val="000000" w:themeColor="text1"/>
        </w:rPr>
        <w:t xml:space="preserve">e goederen op basis van de LIFO </w:t>
      </w:r>
      <w:r w:rsidRPr="002A2E36">
        <w:rPr>
          <w:rFonts w:ascii="Arial" w:hAnsi="Arial" w:cs="Arial"/>
          <w:color w:val="000000" w:themeColor="text1"/>
        </w:rPr>
        <w:t>methode niet</w:t>
      </w:r>
      <w:r w:rsidR="00F86755">
        <w:rPr>
          <w:rFonts w:ascii="Arial" w:hAnsi="Arial" w:cs="Arial"/>
          <w:color w:val="000000" w:themeColor="text1"/>
        </w:rPr>
        <w:t xml:space="preserve"> toegestaan (IAS 2.25). De LIFO </w:t>
      </w:r>
      <w:r w:rsidRPr="002A2E36">
        <w:rPr>
          <w:rFonts w:ascii="Arial" w:hAnsi="Arial" w:cs="Arial"/>
          <w:color w:val="000000" w:themeColor="text1"/>
        </w:rPr>
        <w:t xml:space="preserve">methode waardeert de voorraden normaal tegen prijzen uit een relatief ver verleden. </w:t>
      </w:r>
      <w:r w:rsidR="0059662C">
        <w:rPr>
          <w:rFonts w:ascii="Arial" w:hAnsi="Arial" w:cs="Arial"/>
          <w:color w:val="000000" w:themeColor="text1"/>
        </w:rPr>
        <w:t xml:space="preserve">De voorraden die op de balans zijn gewaardeerd tegen andere prijzen die werkelijk aanwezig zijn. De waardering volgens de LIFO methode geeft geen geode inzicht in het vermogen van de onderneming als er geen aanvullende informatie wordt verstrekt. </w:t>
      </w:r>
      <w:r w:rsidRPr="002A2E36">
        <w:rPr>
          <w:rFonts w:ascii="Arial" w:hAnsi="Arial" w:cs="Arial"/>
          <w:color w:val="000000" w:themeColor="text1"/>
        </w:rPr>
        <w:t>De volgende bron is daarvan een voorbeeld van.</w:t>
      </w:r>
    </w:p>
    <w:p w:rsidR="009802C7" w:rsidRDefault="00F523EC" w:rsidP="00F523EC">
      <w:pPr>
        <w:spacing w:line="360" w:lineRule="auto"/>
        <w:rPr>
          <w:rFonts w:ascii="Arial" w:hAnsi="Arial" w:cs="Arial"/>
          <w:color w:val="000000" w:themeColor="text1"/>
        </w:rPr>
      </w:pPr>
      <w:r w:rsidRPr="002A2E36">
        <w:rPr>
          <w:rFonts w:ascii="Arial" w:hAnsi="Arial" w:cs="Arial"/>
          <w:color w:val="000000" w:themeColor="text1"/>
        </w:rPr>
        <w:t>Op basis van het voorgaande blijkt dat bij de LIFO-methode de voorraad wordt gewaardeerd op 6,50 per eenheid, en de inkoopprijs van deze eenheden in het afgelop</w:t>
      </w:r>
      <w:r w:rsidR="00840623">
        <w:rPr>
          <w:rFonts w:ascii="Arial" w:hAnsi="Arial" w:cs="Arial"/>
          <w:color w:val="000000" w:themeColor="text1"/>
        </w:rPr>
        <w:t>en boekjaar was 14,00 per stuk</w:t>
      </w:r>
      <w:r w:rsidRPr="002A2E36">
        <w:rPr>
          <w:rFonts w:ascii="Arial" w:hAnsi="Arial" w:cs="Arial"/>
          <w:color w:val="000000" w:themeColor="text1"/>
        </w:rPr>
        <w:t>.</w:t>
      </w:r>
    </w:p>
    <w:p w:rsidR="005F7C59" w:rsidRPr="00E76334" w:rsidRDefault="00E76334" w:rsidP="009D09F8">
      <w:pPr>
        <w:pStyle w:val="Heading2"/>
        <w:spacing w:line="360" w:lineRule="auto"/>
      </w:pPr>
      <w:bookmarkStart w:id="33" w:name="_Toc426984369"/>
      <w:r w:rsidRPr="00E76334">
        <w:t>4.</w:t>
      </w:r>
      <w:r w:rsidR="009D09F8">
        <w:t>4</w:t>
      </w:r>
      <w:r w:rsidRPr="00E76334">
        <w:t xml:space="preserve"> Conclusie</w:t>
      </w:r>
      <w:bookmarkEnd w:id="33"/>
    </w:p>
    <w:p w:rsidR="00D15C45" w:rsidRDefault="009D09F8" w:rsidP="00D169BF">
      <w:pPr>
        <w:spacing w:line="360" w:lineRule="auto"/>
        <w:rPr>
          <w:rFonts w:ascii="Arial" w:hAnsi="Arial" w:cs="Arial"/>
          <w:color w:val="000000" w:themeColor="text1"/>
        </w:rPr>
      </w:pPr>
      <w:r>
        <w:rPr>
          <w:rFonts w:ascii="Arial" w:hAnsi="Arial" w:cs="Arial"/>
          <w:color w:val="000000" w:themeColor="text1"/>
        </w:rPr>
        <w:t xml:space="preserve">Allereerst wordt er een onderscheid gemaakt tussen de waardering op basis van de kostprijs en de waardering op basis van de actuele waarde. Binnen de kostprijs wordt er nog een onderscheid gemaakt tussen de vervaardigingsprijs en de verkrijgingsprijs. Hierin verschillen RJ en IAS niet. De RJ staat de waardering op basis van de actuele waarde toe, maar IFRS niet. De waardeveranderingen worden in de herwaarderingsreserve verantwoordt. Vervolgens wordt er ook een onderscheid gemaakt in twee type producten: de fungibele producten en </w:t>
      </w:r>
      <w:r w:rsidR="00D15C45">
        <w:rPr>
          <w:rFonts w:ascii="Arial" w:hAnsi="Arial" w:cs="Arial"/>
          <w:color w:val="000000" w:themeColor="text1"/>
        </w:rPr>
        <w:t>agrarische voorraad. Op het oogstmoment wordt onder RJ gekozen voor de kostprijs of opbrengst en IFRS kiest voor reële waarde op dat moment. Na het oogstmoment worden de voorraden, onder RJ, gewaardeerd tegen de kostprijs of opbrengstwaarde. IFRS kiest voor kostprijs of het minimum van de markt- of opbrengstwaarde.</w:t>
      </w:r>
    </w:p>
    <w:p w:rsidR="009802C7" w:rsidRPr="002A2E36" w:rsidRDefault="00D15C45" w:rsidP="00D169BF">
      <w:pPr>
        <w:spacing w:line="360" w:lineRule="auto"/>
        <w:rPr>
          <w:rFonts w:ascii="Arial" w:hAnsi="Arial" w:cs="Arial"/>
          <w:color w:val="000000" w:themeColor="text1"/>
        </w:rPr>
      </w:pPr>
      <w:r>
        <w:rPr>
          <w:rFonts w:ascii="Arial" w:hAnsi="Arial" w:cs="Arial"/>
          <w:color w:val="000000" w:themeColor="text1"/>
        </w:rPr>
        <w:t xml:space="preserve">Fungibele producten worden gewaardeerd, volgens RJ, tegen het gewogen gemiddelde van de inkoopprijzen, FIFO of LIFO. Het grootste verschil met IFRS is dat zij LIFO niet toestaan. </w:t>
      </w:r>
      <w:r w:rsidR="009802C7" w:rsidRPr="002A2E36">
        <w:rPr>
          <w:rFonts w:ascii="Arial" w:hAnsi="Arial" w:cs="Arial"/>
          <w:color w:val="000000" w:themeColor="text1"/>
        </w:rPr>
        <w:br w:type="page"/>
      </w:r>
    </w:p>
    <w:p w:rsidR="009802C7" w:rsidRPr="002A2E36" w:rsidRDefault="00835A5B" w:rsidP="00835A5B">
      <w:pPr>
        <w:pStyle w:val="Heading1"/>
        <w:numPr>
          <w:ilvl w:val="0"/>
          <w:numId w:val="2"/>
        </w:numPr>
        <w:rPr>
          <w:rFonts w:ascii="Arial" w:hAnsi="Arial" w:cs="Arial"/>
        </w:rPr>
      </w:pPr>
      <w:bookmarkStart w:id="34" w:name="_Toc426984370"/>
      <w:r w:rsidRPr="00835A5B">
        <w:rPr>
          <w:rFonts w:ascii="Arial" w:hAnsi="Arial" w:cs="Arial"/>
        </w:rPr>
        <w:t xml:space="preserve">Wat zijn de voor- en nadelen van </w:t>
      </w:r>
      <w:r w:rsidR="00A9475E" w:rsidRPr="00835A5B">
        <w:rPr>
          <w:rFonts w:ascii="Arial" w:hAnsi="Arial" w:cs="Arial"/>
        </w:rPr>
        <w:t>IAS?</w:t>
      </w:r>
      <w:bookmarkEnd w:id="34"/>
      <w:r w:rsidR="00A9475E" w:rsidRPr="00835A5B">
        <w:rPr>
          <w:rFonts w:ascii="Arial" w:hAnsi="Arial" w:cs="Arial"/>
        </w:rPr>
        <w:t xml:space="preserve"> </w:t>
      </w:r>
    </w:p>
    <w:p w:rsidR="009802C7" w:rsidRPr="002A2E36" w:rsidRDefault="009802C7" w:rsidP="009802C7">
      <w:pPr>
        <w:spacing w:line="360" w:lineRule="auto"/>
        <w:rPr>
          <w:rFonts w:ascii="Arial" w:hAnsi="Arial" w:cs="Arial"/>
          <w:color w:val="000000" w:themeColor="text1"/>
        </w:rPr>
      </w:pPr>
    </w:p>
    <w:p w:rsidR="009802C7" w:rsidRPr="002A2E36" w:rsidRDefault="009802C7" w:rsidP="009802C7">
      <w:pPr>
        <w:spacing w:line="360" w:lineRule="auto"/>
        <w:rPr>
          <w:rFonts w:ascii="Arial" w:hAnsi="Arial" w:cs="Arial"/>
          <w:color w:val="000000" w:themeColor="text1"/>
        </w:rPr>
      </w:pPr>
      <w:r w:rsidRPr="002A2E36">
        <w:rPr>
          <w:rFonts w:ascii="Arial" w:hAnsi="Arial" w:cs="Arial"/>
          <w:color w:val="000000" w:themeColor="text1"/>
        </w:rPr>
        <w:t>Betreffende de jaarrekening bestaan verschillen tussen IFRS en de RJ. Een van die verschillen is de doelstelling van de jaarrekening. In de RJ is vastgelegd dat de jaarrekening informatie moet verschaffen over de financiële positie, over de resultaten en over wijzigingen van de financiële positie zodat een groot aantal gebruikers op basis van de jaarrekening economische beslissing kunnen nemen. De jaarrekening is bedoeld voor externe gebruikers. In RJ worden verschillende categorieën onderscheiden:</w:t>
      </w:r>
    </w:p>
    <w:p w:rsidR="00D31488" w:rsidRPr="002A2E36" w:rsidRDefault="009802C7"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Beleggers (huidige en</w:t>
      </w:r>
      <w:r w:rsidR="00D31488" w:rsidRPr="002A2E36">
        <w:rPr>
          <w:rFonts w:ascii="Arial" w:hAnsi="Arial" w:cs="Arial"/>
          <w:color w:val="000000" w:themeColor="text1"/>
        </w:rPr>
        <w:t xml:space="preserve"> potentiële);</w:t>
      </w:r>
    </w:p>
    <w:p w:rsidR="00D31488" w:rsidRPr="002A2E36" w:rsidRDefault="00D31488"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Werknemers;</w:t>
      </w:r>
    </w:p>
    <w:p w:rsidR="00D31488" w:rsidRPr="002A2E36" w:rsidRDefault="00D31488"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Geldschieters;</w:t>
      </w:r>
    </w:p>
    <w:p w:rsidR="00D31488" w:rsidRPr="002A2E36" w:rsidRDefault="009802C7"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 xml:space="preserve">Leveranciers </w:t>
      </w:r>
      <w:r w:rsidR="00D31488" w:rsidRPr="002A2E36">
        <w:rPr>
          <w:rFonts w:ascii="Arial" w:hAnsi="Arial" w:cs="Arial"/>
          <w:color w:val="000000" w:themeColor="text1"/>
        </w:rPr>
        <w:t>en andere handelscrediteuren;</w:t>
      </w:r>
    </w:p>
    <w:p w:rsidR="00D31488" w:rsidRPr="002A2E36" w:rsidRDefault="00D31488"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Cliënten;</w:t>
      </w:r>
    </w:p>
    <w:p w:rsidR="00D31488" w:rsidRPr="002A2E36" w:rsidRDefault="009802C7"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Ov</w:t>
      </w:r>
      <w:r w:rsidR="00340B37">
        <w:rPr>
          <w:rFonts w:ascii="Arial" w:hAnsi="Arial" w:cs="Arial"/>
          <w:color w:val="000000" w:themeColor="text1"/>
        </w:rPr>
        <w:t>erheid</w:t>
      </w:r>
      <w:r w:rsidR="00D31488" w:rsidRPr="002A2E36">
        <w:rPr>
          <w:rFonts w:ascii="Arial" w:hAnsi="Arial" w:cs="Arial"/>
          <w:color w:val="000000" w:themeColor="text1"/>
        </w:rPr>
        <w:t xml:space="preserve"> en hun instellingen;</w:t>
      </w:r>
    </w:p>
    <w:p w:rsidR="009802C7" w:rsidRPr="002A2E36" w:rsidRDefault="009802C7" w:rsidP="00D31488">
      <w:pPr>
        <w:pStyle w:val="ListParagraph"/>
        <w:numPr>
          <w:ilvl w:val="0"/>
          <w:numId w:val="19"/>
        </w:numPr>
        <w:spacing w:line="360" w:lineRule="auto"/>
        <w:rPr>
          <w:rFonts w:ascii="Arial" w:hAnsi="Arial" w:cs="Arial"/>
          <w:color w:val="000000" w:themeColor="text1"/>
        </w:rPr>
      </w:pPr>
      <w:r w:rsidRPr="002A2E36">
        <w:rPr>
          <w:rFonts w:ascii="Arial" w:hAnsi="Arial" w:cs="Arial"/>
          <w:color w:val="000000" w:themeColor="text1"/>
        </w:rPr>
        <w:t>Publiek.</w:t>
      </w:r>
    </w:p>
    <w:p w:rsidR="009802C7" w:rsidRPr="002A2E36" w:rsidRDefault="00F51C83" w:rsidP="009802C7">
      <w:pPr>
        <w:spacing w:line="360" w:lineRule="auto"/>
        <w:rPr>
          <w:rFonts w:ascii="Arial" w:hAnsi="Arial" w:cs="Arial"/>
          <w:color w:val="000000" w:themeColor="text1"/>
        </w:rPr>
      </w:pPr>
      <w:r>
        <w:rPr>
          <w:rFonts w:ascii="Arial" w:hAnsi="Arial" w:cs="Arial"/>
          <w:color w:val="000000" w:themeColor="text1"/>
        </w:rPr>
        <w:t>Volgens IASB is hun uitgangspunt</w:t>
      </w:r>
      <w:r w:rsidR="009802C7" w:rsidRPr="002A2E36">
        <w:rPr>
          <w:rFonts w:ascii="Arial" w:hAnsi="Arial" w:cs="Arial"/>
          <w:color w:val="000000" w:themeColor="text1"/>
        </w:rPr>
        <w:t xml:space="preserve"> het verschaffen van financiële informatie die nuttig is voor het uitvoer</w:t>
      </w:r>
      <w:r w:rsidR="008B6A36">
        <w:rPr>
          <w:rFonts w:ascii="Arial" w:hAnsi="Arial" w:cs="Arial"/>
          <w:color w:val="000000" w:themeColor="text1"/>
        </w:rPr>
        <w:t>en van economische beslissingen</w:t>
      </w:r>
      <w:r w:rsidR="009802C7" w:rsidRPr="002A2E36">
        <w:rPr>
          <w:rFonts w:ascii="Arial" w:hAnsi="Arial" w:cs="Arial"/>
          <w:color w:val="000000" w:themeColor="text1"/>
        </w:rPr>
        <w:t>.</w:t>
      </w:r>
      <w:r w:rsidR="008B6A36">
        <w:rPr>
          <w:rFonts w:ascii="Arial" w:hAnsi="Arial" w:cs="Arial"/>
          <w:color w:val="000000" w:themeColor="text1"/>
        </w:rPr>
        <w:t xml:space="preserve"> De groep waarop de IASB zich richt is kleiner.</w:t>
      </w:r>
      <w:r w:rsidR="009802C7" w:rsidRPr="002A2E36">
        <w:rPr>
          <w:rFonts w:ascii="Arial" w:hAnsi="Arial" w:cs="Arial"/>
          <w:color w:val="000000" w:themeColor="text1"/>
        </w:rPr>
        <w:t xml:space="preserve"> IASB beperkt zich tot de huidige en de potentiële beleggers, de financiers en andere </w:t>
      </w:r>
      <w:r w:rsidR="00840623">
        <w:rPr>
          <w:rFonts w:ascii="Arial" w:hAnsi="Arial" w:cs="Arial"/>
          <w:color w:val="000000" w:themeColor="text1"/>
        </w:rPr>
        <w:t xml:space="preserve">crediteuren </w:t>
      </w:r>
      <w:sdt>
        <w:sdtPr>
          <w:rPr>
            <w:rFonts w:ascii="Arial" w:hAnsi="Arial" w:cs="Arial"/>
            <w:color w:val="000000" w:themeColor="text1"/>
          </w:rPr>
          <w:id w:val="-1135635882"/>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Ern14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(Ernst &amp; Young, 2014)</w:t>
          </w:r>
          <w:r w:rsidR="007A6E22">
            <w:rPr>
              <w:rFonts w:ascii="Arial" w:hAnsi="Arial" w:cs="Arial"/>
              <w:color w:val="000000" w:themeColor="text1"/>
            </w:rPr>
            <w:fldChar w:fldCharType="end"/>
          </w:r>
        </w:sdtContent>
      </w:sdt>
      <w:r w:rsidR="009802C7" w:rsidRPr="002A2E36">
        <w:rPr>
          <w:rFonts w:ascii="Arial" w:hAnsi="Arial" w:cs="Arial"/>
          <w:color w:val="000000" w:themeColor="text1"/>
        </w:rPr>
        <w:t xml:space="preserve">. </w:t>
      </w:r>
    </w:p>
    <w:p w:rsidR="009802C7" w:rsidRPr="002A2E36" w:rsidRDefault="008B6A36" w:rsidP="009802C7">
      <w:pPr>
        <w:spacing w:line="360" w:lineRule="auto"/>
        <w:rPr>
          <w:rFonts w:ascii="Arial" w:hAnsi="Arial" w:cs="Arial"/>
          <w:color w:val="000000" w:themeColor="text1"/>
        </w:rPr>
      </w:pPr>
      <w:r>
        <w:rPr>
          <w:rFonts w:ascii="Arial" w:hAnsi="Arial" w:cs="Arial"/>
          <w:color w:val="000000" w:themeColor="text1"/>
        </w:rPr>
        <w:t xml:space="preserve">Een ander verschil tussen IASB en RJ is de presentatie van de jaarrekening. </w:t>
      </w:r>
      <w:r w:rsidR="009802C7" w:rsidRPr="002A2E36">
        <w:rPr>
          <w:rFonts w:ascii="Arial" w:hAnsi="Arial" w:cs="Arial"/>
          <w:color w:val="000000" w:themeColor="text1"/>
        </w:rPr>
        <w:t>Andere regelgeving bestaat betreffende de voorraden. Hierna worden de voor- en nadelen gepresenteerd.</w:t>
      </w:r>
    </w:p>
    <w:p w:rsidR="009802C7" w:rsidRPr="002A2E36" w:rsidRDefault="009802C7" w:rsidP="009802C7">
      <w:pPr>
        <w:pStyle w:val="Heading2"/>
        <w:rPr>
          <w:rFonts w:cs="Arial"/>
        </w:rPr>
      </w:pPr>
      <w:bookmarkStart w:id="35" w:name="_Toc426984371"/>
      <w:r w:rsidRPr="002A2E36">
        <w:rPr>
          <w:rFonts w:cs="Arial"/>
        </w:rPr>
        <w:t>5.1 De voordelen van IAS</w:t>
      </w:r>
      <w:bookmarkEnd w:id="35"/>
    </w:p>
    <w:p w:rsidR="009802C7" w:rsidRPr="002A2E36" w:rsidRDefault="009802C7" w:rsidP="009802C7">
      <w:pPr>
        <w:spacing w:line="360" w:lineRule="auto"/>
        <w:rPr>
          <w:rFonts w:ascii="Arial" w:hAnsi="Arial" w:cs="Arial"/>
          <w:color w:val="000000" w:themeColor="text1"/>
        </w:rPr>
      </w:pPr>
      <w:r w:rsidRPr="002A2E36">
        <w:rPr>
          <w:rFonts w:ascii="Arial" w:hAnsi="Arial" w:cs="Arial"/>
          <w:color w:val="000000" w:themeColor="text1"/>
        </w:rPr>
        <w:t>In RJ is vastgelegd dat de voorraden in verschillen</w:t>
      </w:r>
      <w:r w:rsidR="00F51C83">
        <w:rPr>
          <w:rFonts w:ascii="Arial" w:hAnsi="Arial" w:cs="Arial"/>
          <w:color w:val="000000" w:themeColor="text1"/>
        </w:rPr>
        <w:t>de</w:t>
      </w:r>
      <w:r w:rsidRPr="002A2E36">
        <w:rPr>
          <w:rFonts w:ascii="Arial" w:hAnsi="Arial" w:cs="Arial"/>
          <w:color w:val="000000" w:themeColor="text1"/>
        </w:rPr>
        <w:t xml:space="preserve"> categorieën worden </w:t>
      </w:r>
      <w:r w:rsidR="00F51C83">
        <w:rPr>
          <w:rFonts w:ascii="Arial" w:hAnsi="Arial" w:cs="Arial"/>
          <w:color w:val="000000" w:themeColor="text1"/>
        </w:rPr>
        <w:t>op</w:t>
      </w:r>
      <w:r w:rsidRPr="002A2E36">
        <w:rPr>
          <w:rFonts w:ascii="Arial" w:hAnsi="Arial" w:cs="Arial"/>
          <w:color w:val="000000" w:themeColor="text1"/>
        </w:rPr>
        <w:t>gesplitst. IAS 2 bevat geen verplichte splitsing. Een onderneming die de RJ toepast zal een opsomming van de voorraden publiceren. Op basis</w:t>
      </w:r>
      <w:r w:rsidR="00F51C83">
        <w:rPr>
          <w:rFonts w:ascii="Arial" w:hAnsi="Arial" w:cs="Arial"/>
          <w:color w:val="000000" w:themeColor="text1"/>
        </w:rPr>
        <w:t xml:space="preserve"> van</w:t>
      </w:r>
      <w:r w:rsidRPr="002A2E36">
        <w:rPr>
          <w:rFonts w:ascii="Arial" w:hAnsi="Arial" w:cs="Arial"/>
          <w:color w:val="000000" w:themeColor="text1"/>
        </w:rPr>
        <w:t xml:space="preserve"> IAS wordt wel een indeling v</w:t>
      </w:r>
      <w:r w:rsidR="00F51C83">
        <w:rPr>
          <w:rFonts w:ascii="Arial" w:hAnsi="Arial" w:cs="Arial"/>
          <w:color w:val="000000" w:themeColor="text1"/>
        </w:rPr>
        <w:t>an de voorraden gewenst maar dit is niet verplicht. IAS 41 bevat een</w:t>
      </w:r>
      <w:r w:rsidRPr="002A2E36">
        <w:rPr>
          <w:rFonts w:ascii="Arial" w:hAnsi="Arial" w:cs="Arial"/>
          <w:color w:val="000000" w:themeColor="text1"/>
        </w:rPr>
        <w:t xml:space="preserve"> duidelijk onderscheid in de biologische activa en agrarische producten. De Nederlandse regelgeving bevat dat onderscheid niet. Indien een onderneming IAS 41 toepast, bestaat voor de belanghebbende een beter inzicht in de </w:t>
      </w:r>
      <w:proofErr w:type="gramStart"/>
      <w:r w:rsidRPr="002A2E36">
        <w:rPr>
          <w:rFonts w:ascii="Arial" w:hAnsi="Arial" w:cs="Arial"/>
          <w:color w:val="000000" w:themeColor="text1"/>
        </w:rPr>
        <w:t>solvabiliteit</w:t>
      </w:r>
      <w:proofErr w:type="gramEnd"/>
      <w:r w:rsidRPr="002A2E36">
        <w:rPr>
          <w:rFonts w:ascii="Arial" w:hAnsi="Arial" w:cs="Arial"/>
          <w:color w:val="000000" w:themeColor="text1"/>
        </w:rPr>
        <w:t xml:space="preserve"> en in de liquiditeit van de onderneming </w:t>
      </w:r>
      <w:sdt>
        <w:sdtPr>
          <w:rPr>
            <w:rFonts w:ascii="Arial" w:hAnsi="Arial" w:cs="Arial"/>
            <w:color w:val="000000" w:themeColor="text1"/>
          </w:rPr>
          <w:id w:val="-1670553175"/>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Waa02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(Waasdorp &amp; Boone, 2002)</w:t>
          </w:r>
          <w:r w:rsidR="007A6E22">
            <w:rPr>
              <w:rFonts w:ascii="Arial" w:hAnsi="Arial" w:cs="Arial"/>
              <w:color w:val="000000" w:themeColor="text1"/>
            </w:rPr>
            <w:fldChar w:fldCharType="end"/>
          </w:r>
        </w:sdtContent>
      </w:sdt>
      <w:r w:rsidR="00840623">
        <w:rPr>
          <w:rFonts w:ascii="Arial" w:hAnsi="Arial" w:cs="Arial"/>
          <w:color w:val="000000" w:themeColor="text1"/>
        </w:rPr>
        <w:t>.</w:t>
      </w:r>
    </w:p>
    <w:p w:rsidR="009802C7" w:rsidRPr="002A2E36" w:rsidRDefault="009802C7" w:rsidP="007D164F">
      <w:pPr>
        <w:spacing w:line="360" w:lineRule="auto"/>
        <w:rPr>
          <w:rFonts w:ascii="Arial" w:hAnsi="Arial" w:cs="Arial"/>
          <w:color w:val="000000" w:themeColor="text1"/>
        </w:rPr>
      </w:pPr>
      <w:r w:rsidRPr="002A2E36">
        <w:rPr>
          <w:rFonts w:ascii="Arial" w:hAnsi="Arial" w:cs="Arial"/>
          <w:color w:val="000000" w:themeColor="text1"/>
        </w:rPr>
        <w:t xml:space="preserve">Regelmatig bestaat de situatie dat ondernemingen de LIFO methode toepassen voor de externe verslaggeving en voor de belastingaangelegenheden maar intern de FIFO methode toepassen. Het verschil tussen deze twee methoden betreffende de voorraadwaardering wordt eveneens als de LIFO reserve gekwalificeerd. De LIFO reserve is het verschil tussen de balanswaarde van de voorraad op basis van LIFO en op basis van FIFO. Omdat de LIFO reserve </w:t>
      </w:r>
      <w:r w:rsidR="00B975D2">
        <w:rPr>
          <w:rFonts w:ascii="Arial" w:hAnsi="Arial" w:cs="Arial"/>
          <w:color w:val="000000" w:themeColor="text1"/>
        </w:rPr>
        <w:t>gerecycled kan worden</w:t>
      </w:r>
      <w:r w:rsidRPr="002A2E36">
        <w:rPr>
          <w:rFonts w:ascii="Arial" w:hAnsi="Arial" w:cs="Arial"/>
          <w:color w:val="000000" w:themeColor="text1"/>
        </w:rPr>
        <w:t xml:space="preserve"> leidt dit tot mogelijkheden voor het toepassen van earnings management. Earnings management kan voor ondernemingen aantrekkelijk zijn maar druist in tegen het beginsel dat jaarrekeningen betrouwbare informatie moet verschaffen. Omdat de LIFO methode</w:t>
      </w:r>
      <w:r w:rsidR="00F51C83">
        <w:rPr>
          <w:rFonts w:ascii="Arial" w:hAnsi="Arial" w:cs="Arial"/>
          <w:color w:val="000000" w:themeColor="text1"/>
        </w:rPr>
        <w:t xml:space="preserve"> op basis van IFRS is verboden</w:t>
      </w:r>
      <w:r w:rsidRPr="002A2E36">
        <w:rPr>
          <w:rFonts w:ascii="Arial" w:hAnsi="Arial" w:cs="Arial"/>
          <w:color w:val="000000" w:themeColor="text1"/>
        </w:rPr>
        <w:t xml:space="preserve"> bij het toepassen van IAS 2</w:t>
      </w:r>
      <w:r w:rsidR="00F51C83">
        <w:rPr>
          <w:rFonts w:ascii="Arial" w:hAnsi="Arial" w:cs="Arial"/>
          <w:color w:val="000000" w:themeColor="text1"/>
        </w:rPr>
        <w:t xml:space="preserve"> is</w:t>
      </w:r>
      <w:r w:rsidRPr="002A2E36">
        <w:rPr>
          <w:rFonts w:ascii="Arial" w:hAnsi="Arial" w:cs="Arial"/>
          <w:color w:val="000000" w:themeColor="text1"/>
        </w:rPr>
        <w:t xml:space="preserve"> deze mogelijkheid tot earnings management niet aanwez</w:t>
      </w:r>
      <w:r w:rsidR="00840623">
        <w:rPr>
          <w:rFonts w:ascii="Arial" w:hAnsi="Arial" w:cs="Arial"/>
          <w:color w:val="000000" w:themeColor="text1"/>
        </w:rPr>
        <w:t xml:space="preserve">ig </w:t>
      </w:r>
      <w:sdt>
        <w:sdtPr>
          <w:rPr>
            <w:rFonts w:ascii="Arial" w:hAnsi="Arial" w:cs="Arial"/>
            <w:color w:val="000000" w:themeColor="text1"/>
          </w:rPr>
          <w:id w:val="329107289"/>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Ask10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(Askew, 2010)</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sdt>
        <w:sdtPr>
          <w:rPr>
            <w:rFonts w:ascii="Arial" w:hAnsi="Arial" w:cs="Arial"/>
            <w:color w:val="000000" w:themeColor="text1"/>
          </w:rPr>
          <w:id w:val="-1378699074"/>
          <w:citation/>
        </w:sdtPr>
        <w:sdtContent>
          <w:r w:rsidR="007A6E22">
            <w:rPr>
              <w:rFonts w:ascii="Arial" w:hAnsi="Arial" w:cs="Arial"/>
              <w:color w:val="000000" w:themeColor="text1"/>
            </w:rPr>
            <w:fldChar w:fldCharType="begin"/>
          </w:r>
          <w:r w:rsidR="00840623">
            <w:rPr>
              <w:rFonts w:ascii="Arial" w:hAnsi="Arial" w:cs="Arial"/>
              <w:color w:val="000000" w:themeColor="text1"/>
            </w:rPr>
            <w:instrText xml:space="preserve"> CITATION Coo12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(Cook, Huston, &amp; Kinney, 2012)</w:t>
          </w:r>
          <w:r w:rsidR="007A6E22">
            <w:rPr>
              <w:rFonts w:ascii="Arial" w:hAnsi="Arial" w:cs="Arial"/>
              <w:color w:val="000000" w:themeColor="text1"/>
            </w:rPr>
            <w:fldChar w:fldCharType="end"/>
          </w:r>
        </w:sdtContent>
      </w:sdt>
      <w:r w:rsidR="00840623">
        <w:rPr>
          <w:rFonts w:ascii="Arial" w:hAnsi="Arial" w:cs="Arial"/>
          <w:color w:val="000000" w:themeColor="text1"/>
        </w:rPr>
        <w:t>.</w:t>
      </w:r>
    </w:p>
    <w:p w:rsidR="009802C7" w:rsidRDefault="009802C7" w:rsidP="007D164F">
      <w:pPr>
        <w:spacing w:line="360" w:lineRule="auto"/>
        <w:rPr>
          <w:rFonts w:ascii="Arial" w:hAnsi="Arial" w:cs="Arial"/>
          <w:color w:val="000000" w:themeColor="text1"/>
        </w:rPr>
      </w:pPr>
      <w:r w:rsidRPr="002A2E36">
        <w:rPr>
          <w:rFonts w:ascii="Arial" w:hAnsi="Arial" w:cs="Arial"/>
          <w:color w:val="000000" w:themeColor="text1"/>
        </w:rPr>
        <w:t>IFRS verantwoord</w:t>
      </w:r>
      <w:r w:rsidR="00F51C83">
        <w:rPr>
          <w:rFonts w:ascii="Arial" w:hAnsi="Arial" w:cs="Arial"/>
          <w:color w:val="000000" w:themeColor="text1"/>
        </w:rPr>
        <w:t>t</w:t>
      </w:r>
      <w:r w:rsidRPr="002A2E36">
        <w:rPr>
          <w:rFonts w:ascii="Arial" w:hAnsi="Arial" w:cs="Arial"/>
          <w:color w:val="000000" w:themeColor="text1"/>
        </w:rPr>
        <w:t xml:space="preserve"> de impairment van voorraden op aan andere wi</w:t>
      </w:r>
      <w:r w:rsidR="00176966">
        <w:rPr>
          <w:rFonts w:ascii="Arial" w:hAnsi="Arial" w:cs="Arial"/>
          <w:color w:val="000000" w:themeColor="text1"/>
        </w:rPr>
        <w:t xml:space="preserve">jze dan op basis van </w:t>
      </w:r>
      <w:r w:rsidRPr="002A2E36">
        <w:rPr>
          <w:rFonts w:ascii="Arial" w:hAnsi="Arial" w:cs="Arial"/>
          <w:color w:val="000000" w:themeColor="text1"/>
        </w:rPr>
        <w:t>de RJ. Indien vastgesteld wordt dat de realiseerbare waarde van de voorraad lager is dan de boekwaarde moet vol</w:t>
      </w:r>
      <w:r w:rsidR="00157A61">
        <w:rPr>
          <w:rFonts w:ascii="Arial" w:hAnsi="Arial" w:cs="Arial"/>
          <w:color w:val="000000" w:themeColor="text1"/>
        </w:rPr>
        <w:t xml:space="preserve">gens de IFRS en </w:t>
      </w:r>
      <w:r w:rsidRPr="002A2E36">
        <w:rPr>
          <w:rFonts w:ascii="Arial" w:hAnsi="Arial" w:cs="Arial"/>
          <w:color w:val="000000" w:themeColor="text1"/>
        </w:rPr>
        <w:t>in de jaarrekening een bijzondere waardeve</w:t>
      </w:r>
      <w:r w:rsidR="00157A61">
        <w:rPr>
          <w:rFonts w:ascii="Arial" w:hAnsi="Arial" w:cs="Arial"/>
          <w:color w:val="000000" w:themeColor="text1"/>
        </w:rPr>
        <w:t>rmindering worden verantwoord. IFRS</w:t>
      </w:r>
      <w:r w:rsidRPr="002A2E36">
        <w:rPr>
          <w:rFonts w:ascii="Arial" w:hAnsi="Arial" w:cs="Arial"/>
          <w:color w:val="000000" w:themeColor="text1"/>
        </w:rPr>
        <w:t xml:space="preserve"> staat terugneming van een bijzonder</w:t>
      </w:r>
      <w:r w:rsidR="00157A61">
        <w:rPr>
          <w:rFonts w:ascii="Arial" w:hAnsi="Arial" w:cs="Arial"/>
          <w:color w:val="000000" w:themeColor="text1"/>
        </w:rPr>
        <w:t xml:space="preserve"> waardeverminderingsverlies</w:t>
      </w:r>
      <w:r w:rsidRPr="002A2E36">
        <w:rPr>
          <w:rFonts w:ascii="Arial" w:hAnsi="Arial" w:cs="Arial"/>
          <w:color w:val="000000" w:themeColor="text1"/>
        </w:rPr>
        <w:t xml:space="preserve"> toe</w:t>
      </w:r>
      <w:r w:rsidR="00157A61">
        <w:rPr>
          <w:rFonts w:ascii="Arial" w:hAnsi="Arial" w:cs="Arial"/>
          <w:color w:val="000000" w:themeColor="text1"/>
        </w:rPr>
        <w:t xml:space="preserve">. </w:t>
      </w:r>
      <w:r w:rsidRPr="002A2E36">
        <w:rPr>
          <w:rFonts w:ascii="Arial" w:hAnsi="Arial" w:cs="Arial"/>
          <w:color w:val="000000" w:themeColor="text1"/>
        </w:rPr>
        <w:t xml:space="preserve">Dit impliceert dat op basis van </w:t>
      </w:r>
      <w:r w:rsidR="00157A61">
        <w:rPr>
          <w:rFonts w:ascii="Arial" w:hAnsi="Arial" w:cs="Arial"/>
          <w:color w:val="000000" w:themeColor="text1"/>
        </w:rPr>
        <w:t xml:space="preserve">IFRS </w:t>
      </w:r>
      <w:r w:rsidRPr="002A2E36">
        <w:rPr>
          <w:rFonts w:ascii="Arial" w:hAnsi="Arial" w:cs="Arial"/>
          <w:color w:val="000000" w:themeColor="text1"/>
        </w:rPr>
        <w:t>een positieve en negatieve aanpassing mogeli</w:t>
      </w:r>
      <w:r w:rsidR="00B77728">
        <w:rPr>
          <w:rFonts w:ascii="Arial" w:hAnsi="Arial" w:cs="Arial"/>
          <w:color w:val="000000" w:themeColor="text1"/>
        </w:rPr>
        <w:t>jk</w:t>
      </w:r>
      <w:r w:rsidR="00157A61">
        <w:rPr>
          <w:rFonts w:ascii="Arial" w:hAnsi="Arial" w:cs="Arial"/>
          <w:color w:val="000000" w:themeColor="text1"/>
        </w:rPr>
        <w:t xml:space="preserve"> is</w:t>
      </w:r>
      <w:r w:rsidR="00B77728">
        <w:rPr>
          <w:rFonts w:ascii="Arial" w:hAnsi="Arial" w:cs="Arial"/>
          <w:color w:val="000000" w:themeColor="text1"/>
        </w:rPr>
        <w:t xml:space="preserve"> </w:t>
      </w:r>
      <w:sdt>
        <w:sdtPr>
          <w:rPr>
            <w:rFonts w:ascii="Arial" w:hAnsi="Arial" w:cs="Arial"/>
            <w:color w:val="000000" w:themeColor="text1"/>
          </w:rPr>
          <w:id w:val="174467893"/>
          <w:citation/>
        </w:sdtPr>
        <w:sdtContent>
          <w:r w:rsidR="007A6E22">
            <w:rPr>
              <w:rFonts w:ascii="Arial" w:hAnsi="Arial" w:cs="Arial"/>
              <w:color w:val="000000" w:themeColor="text1"/>
            </w:rPr>
            <w:fldChar w:fldCharType="begin"/>
          </w:r>
          <w:r w:rsidR="00B77728">
            <w:rPr>
              <w:rFonts w:ascii="Arial" w:hAnsi="Arial" w:cs="Arial"/>
              <w:color w:val="000000" w:themeColor="text1"/>
            </w:rPr>
            <w:instrText xml:space="preserve"> CITATION Ask10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(Askew, 2010)</w:t>
          </w:r>
          <w:r w:rsidR="007A6E22">
            <w:rPr>
              <w:rFonts w:ascii="Arial" w:hAnsi="Arial" w:cs="Arial"/>
              <w:color w:val="000000" w:themeColor="text1"/>
            </w:rPr>
            <w:fldChar w:fldCharType="end"/>
          </w:r>
        </w:sdtContent>
      </w:sdt>
      <w:r w:rsidRPr="002A2E36">
        <w:rPr>
          <w:rFonts w:ascii="Arial" w:hAnsi="Arial" w:cs="Arial"/>
          <w:color w:val="000000" w:themeColor="text1"/>
        </w:rPr>
        <w:t>.</w:t>
      </w:r>
    </w:p>
    <w:p w:rsidR="007D164F" w:rsidRDefault="007D164F" w:rsidP="007D164F">
      <w:pPr>
        <w:spacing w:line="360" w:lineRule="auto"/>
        <w:rPr>
          <w:rFonts w:ascii="Arial" w:hAnsi="Arial" w:cs="Arial"/>
          <w:color w:val="222222"/>
        </w:rPr>
      </w:pPr>
      <w:r w:rsidRPr="00614A36">
        <w:rPr>
          <w:rFonts w:ascii="Arial" w:hAnsi="Arial" w:cs="Arial"/>
        </w:rPr>
        <w:t>Analisten waren ook van mening dat bedrijven alle methoden in hun jaarrekening zullen toelichten over de bepaling van de reële waarde van de agrarische producten. Ook zullen ondernemers de waarde van biologische activa opnemen in hun balans. De waarde van biologische activa dient als dekking van de schulden van de onderneming. Aangezien er grote risico’s worden gelopen bij agrarische producten zouden ondernemers die volgende componenten samenstellen bij het gebruik van IAS 40: - financieel risico, -management strategieën voor agrarische producten, - de aard en waarde van overheid subsidies, -</w:t>
      </w:r>
      <w:r w:rsidRPr="00614A36">
        <w:rPr>
          <w:rFonts w:ascii="Arial" w:hAnsi="Arial" w:cs="Arial"/>
          <w:color w:val="222222"/>
        </w:rPr>
        <w:t xml:space="preserve"> onvervulde behoeften en andere voorwaardelijke gebeurtenissen van overheidssubsidies</w:t>
      </w:r>
      <w:sdt>
        <w:sdtPr>
          <w:rPr>
            <w:rFonts w:ascii="Arial" w:hAnsi="Arial" w:cs="Arial"/>
            <w:color w:val="222222"/>
          </w:rPr>
          <w:id w:val="1500461820"/>
          <w:citation/>
        </w:sdtPr>
        <w:sdtContent>
          <w:r w:rsidR="007A6E22" w:rsidRPr="00614A36">
            <w:rPr>
              <w:rFonts w:ascii="Arial" w:hAnsi="Arial" w:cs="Arial"/>
              <w:color w:val="222222"/>
            </w:rPr>
            <w:fldChar w:fldCharType="begin"/>
          </w:r>
          <w:r w:rsidR="00B77728">
            <w:rPr>
              <w:rFonts w:ascii="Arial" w:hAnsi="Arial" w:cs="Arial"/>
              <w:color w:val="222222"/>
            </w:rPr>
            <w:instrText xml:space="preserve">CITATION GROnd \l 1033 </w:instrText>
          </w:r>
          <w:r w:rsidR="007A6E22" w:rsidRPr="00614A36">
            <w:rPr>
              <w:rFonts w:ascii="Arial" w:hAnsi="Arial" w:cs="Arial"/>
              <w:color w:val="222222"/>
            </w:rPr>
            <w:fldChar w:fldCharType="separate"/>
          </w:r>
          <w:r w:rsidR="00055EC3">
            <w:rPr>
              <w:rFonts w:ascii="Arial" w:hAnsi="Arial" w:cs="Arial"/>
              <w:noProof/>
              <w:color w:val="222222"/>
            </w:rPr>
            <w:t xml:space="preserve"> </w:t>
          </w:r>
          <w:r w:rsidR="00055EC3" w:rsidRPr="00055EC3">
            <w:rPr>
              <w:rFonts w:ascii="Arial" w:hAnsi="Arial" w:cs="Arial"/>
              <w:noProof/>
              <w:color w:val="222222"/>
            </w:rPr>
            <w:t>( GROSU &amp; MATEŞ, 2008)</w:t>
          </w:r>
          <w:r w:rsidR="007A6E22" w:rsidRPr="00614A36">
            <w:rPr>
              <w:rFonts w:ascii="Arial" w:hAnsi="Arial" w:cs="Arial"/>
              <w:color w:val="222222"/>
            </w:rPr>
            <w:fldChar w:fldCharType="end"/>
          </w:r>
        </w:sdtContent>
      </w:sdt>
    </w:p>
    <w:p w:rsidR="007D164F" w:rsidRPr="00614A36" w:rsidRDefault="007D164F" w:rsidP="007D164F">
      <w:pPr>
        <w:spacing w:line="360" w:lineRule="auto"/>
        <w:rPr>
          <w:rFonts w:ascii="Arial" w:hAnsi="Arial" w:cs="Arial"/>
          <w:color w:val="222222"/>
        </w:rPr>
      </w:pPr>
      <w:r w:rsidRPr="00614A36">
        <w:rPr>
          <w:rFonts w:ascii="Arial" w:hAnsi="Arial" w:cs="Arial"/>
          <w:color w:val="222222"/>
        </w:rPr>
        <w:t>De introductie van IAS 41 was een verandering voor ondernemers op twee gebieden. Als eerste was de introductie van IAS 41 een mijlpaal die is bereikt ten opzichte van nationale richtlijnen. Hier werd voor het eerst een standaard en exclusieve model ontwikkeld voor de agrarische sector. Als tweede werd voor het eerst een kas stroomoverzicht gepresenteerd onafhankelijk van de verkoop kosten en waarde verschillen van de reële waarde. IAS 41 kan ook worden gebruikt als basis voor de overgang van de kost prijs naar de reële waarde. IASC heeft heel aandacht besteed aan de nieuwe normen voor agrarische sector omdat de agrarische sector van groot belang is voor ontwikkelingslanden. Verder zijn analisten het ook mee eens dat IAS 41 ook kan toegepast worden voor agrarische activiteit van ondernemingen uit andere sectoren</w:t>
      </w:r>
      <w:sdt>
        <w:sdtPr>
          <w:rPr>
            <w:rFonts w:ascii="Arial" w:hAnsi="Arial" w:cs="Arial"/>
            <w:color w:val="222222"/>
          </w:rPr>
          <w:id w:val="-1381708820"/>
          <w:citation/>
        </w:sdtPr>
        <w:sdtContent>
          <w:r w:rsidR="007A6E22" w:rsidRPr="00614A36">
            <w:rPr>
              <w:rFonts w:ascii="Arial" w:hAnsi="Arial" w:cs="Arial"/>
              <w:color w:val="222222"/>
            </w:rPr>
            <w:fldChar w:fldCharType="begin"/>
          </w:r>
          <w:r w:rsidR="00B77728">
            <w:rPr>
              <w:rFonts w:ascii="Arial" w:hAnsi="Arial" w:cs="Arial"/>
              <w:color w:val="222222"/>
            </w:rPr>
            <w:instrText xml:space="preserve">CITATION Viond \l 1033 </w:instrText>
          </w:r>
          <w:r w:rsidR="007A6E22" w:rsidRPr="00614A36">
            <w:rPr>
              <w:rFonts w:ascii="Arial" w:hAnsi="Arial" w:cs="Arial"/>
              <w:color w:val="222222"/>
            </w:rPr>
            <w:fldChar w:fldCharType="separate"/>
          </w:r>
          <w:r w:rsidR="00055EC3">
            <w:rPr>
              <w:rFonts w:ascii="Arial" w:hAnsi="Arial" w:cs="Arial"/>
              <w:noProof/>
              <w:color w:val="222222"/>
            </w:rPr>
            <w:t xml:space="preserve"> </w:t>
          </w:r>
          <w:r w:rsidR="00055EC3" w:rsidRPr="00055EC3">
            <w:rPr>
              <w:rFonts w:ascii="Arial" w:hAnsi="Arial" w:cs="Arial"/>
              <w:noProof/>
              <w:color w:val="222222"/>
            </w:rPr>
            <w:t>(Lefter &amp; Roman, 2007)</w:t>
          </w:r>
          <w:r w:rsidR="007A6E22" w:rsidRPr="00614A36">
            <w:rPr>
              <w:rFonts w:ascii="Arial" w:hAnsi="Arial" w:cs="Arial"/>
              <w:color w:val="222222"/>
            </w:rPr>
            <w:fldChar w:fldCharType="end"/>
          </w:r>
        </w:sdtContent>
      </w:sdt>
    </w:p>
    <w:p w:rsidR="007D164F" w:rsidRPr="00614A36" w:rsidRDefault="007D164F" w:rsidP="007D164F">
      <w:pPr>
        <w:spacing w:line="360" w:lineRule="auto"/>
        <w:rPr>
          <w:rFonts w:ascii="Arial" w:hAnsi="Arial" w:cs="Arial"/>
          <w:color w:val="222222"/>
        </w:rPr>
      </w:pPr>
      <w:r w:rsidRPr="00614A36">
        <w:rPr>
          <w:rFonts w:ascii="Arial" w:hAnsi="Arial" w:cs="Arial"/>
          <w:color w:val="222222"/>
        </w:rPr>
        <w:t>Uit een onderzoek van Charles E</w:t>
      </w:r>
      <w:r>
        <w:rPr>
          <w:rFonts w:ascii="Arial" w:hAnsi="Arial" w:cs="Arial"/>
          <w:color w:val="222222"/>
        </w:rPr>
        <w:t>l</w:t>
      </w:r>
      <w:r w:rsidRPr="00614A36">
        <w:rPr>
          <w:rFonts w:ascii="Arial" w:hAnsi="Arial" w:cs="Arial"/>
          <w:color w:val="222222"/>
        </w:rPr>
        <w:t>ad blijk</w:t>
      </w:r>
      <w:r>
        <w:rPr>
          <w:rFonts w:ascii="Arial" w:hAnsi="Arial" w:cs="Arial"/>
          <w:color w:val="222222"/>
        </w:rPr>
        <w:t>t</w:t>
      </w:r>
      <w:r w:rsidRPr="00614A36">
        <w:rPr>
          <w:rFonts w:ascii="Arial" w:hAnsi="Arial" w:cs="Arial"/>
          <w:color w:val="222222"/>
        </w:rPr>
        <w:t xml:space="preserve"> dat de </w:t>
      </w:r>
      <w:r w:rsidR="00DD04C6">
        <w:rPr>
          <w:rFonts w:ascii="Arial" w:hAnsi="Arial" w:cs="Arial"/>
          <w:color w:val="222222"/>
        </w:rPr>
        <w:t>reële waarde</w:t>
      </w:r>
      <w:r w:rsidRPr="00614A36">
        <w:rPr>
          <w:rFonts w:ascii="Arial" w:hAnsi="Arial" w:cs="Arial"/>
          <w:color w:val="222222"/>
        </w:rPr>
        <w:t xml:space="preserve"> methode goedkoper is om toe te passen dan de kostprijs. Hij was van mening dat de geoogste producten snel verhandelbaar zijn, waardoor er altijd een actieve markt aanwezig is om de </w:t>
      </w:r>
      <w:r w:rsidR="00DD04C6">
        <w:rPr>
          <w:rFonts w:ascii="Arial" w:hAnsi="Arial" w:cs="Arial"/>
          <w:color w:val="222222"/>
        </w:rPr>
        <w:t>reële waarde</w:t>
      </w:r>
      <w:r w:rsidRPr="00614A36">
        <w:rPr>
          <w:rFonts w:ascii="Arial" w:hAnsi="Arial" w:cs="Arial"/>
          <w:color w:val="222222"/>
        </w:rPr>
        <w:t xml:space="preserve"> te bepalen </w:t>
      </w:r>
      <w:sdt>
        <w:sdtPr>
          <w:rPr>
            <w:rFonts w:ascii="Arial" w:hAnsi="Arial" w:cs="Arial"/>
            <w:color w:val="222222"/>
          </w:rPr>
          <w:id w:val="-1577744062"/>
          <w:citation/>
        </w:sdtPr>
        <w:sdtContent>
          <w:r w:rsidR="007A6E22" w:rsidRPr="00614A36">
            <w:rPr>
              <w:rFonts w:ascii="Arial" w:hAnsi="Arial" w:cs="Arial"/>
              <w:color w:val="222222"/>
            </w:rPr>
            <w:fldChar w:fldCharType="begin"/>
          </w:r>
          <w:r w:rsidR="00B77728">
            <w:rPr>
              <w:rFonts w:ascii="Arial" w:hAnsi="Arial" w:cs="Arial"/>
              <w:color w:val="222222"/>
            </w:rPr>
            <w:instrText xml:space="preserve">CITATION Ela07 \l 1033 </w:instrText>
          </w:r>
          <w:r w:rsidR="007A6E22" w:rsidRPr="00614A36">
            <w:rPr>
              <w:rFonts w:ascii="Arial" w:hAnsi="Arial" w:cs="Arial"/>
              <w:color w:val="222222"/>
            </w:rPr>
            <w:fldChar w:fldCharType="separate"/>
          </w:r>
          <w:r w:rsidR="00055EC3" w:rsidRPr="00055EC3">
            <w:rPr>
              <w:rFonts w:ascii="Arial" w:hAnsi="Arial" w:cs="Arial"/>
              <w:noProof/>
              <w:color w:val="222222"/>
            </w:rPr>
            <w:t>(Elad, 2007)</w:t>
          </w:r>
          <w:r w:rsidR="007A6E22" w:rsidRPr="00614A36">
            <w:rPr>
              <w:rFonts w:ascii="Arial" w:hAnsi="Arial" w:cs="Arial"/>
              <w:color w:val="222222"/>
            </w:rPr>
            <w:fldChar w:fldCharType="end"/>
          </w:r>
        </w:sdtContent>
      </w:sdt>
      <w:r w:rsidRPr="00614A36">
        <w:rPr>
          <w:rFonts w:ascii="Arial" w:hAnsi="Arial" w:cs="Arial"/>
          <w:color w:val="222222"/>
        </w:rPr>
        <w:t>.</w:t>
      </w:r>
    </w:p>
    <w:p w:rsidR="007D164F" w:rsidRDefault="007D164F" w:rsidP="007D164F">
      <w:pPr>
        <w:spacing w:line="360" w:lineRule="auto"/>
        <w:rPr>
          <w:rFonts w:ascii="Arial" w:hAnsi="Arial" w:cs="Arial"/>
          <w:lang w:eastAsia="zh-CN"/>
        </w:rPr>
      </w:pPr>
      <w:r w:rsidRPr="00614A36">
        <w:rPr>
          <w:rFonts w:ascii="Arial" w:hAnsi="Arial" w:cs="Arial"/>
          <w:lang w:eastAsia="zh-CN"/>
        </w:rPr>
        <w:t>Aan het begin van 2005 werd door IASB een extra regeling toegevoegd aan IAS 41. Deze regeling had betrekking op de winst en verlies rekening IAS 41 gaat er van uit dat winsten en verlies dien zijn behaald van agrarische producten ten laste van het winst en verlies rekening moet worden geboekt. Voorstanders beweren dat deze benadering gebaseerd is op '</w:t>
      </w:r>
      <w:r w:rsidRPr="00614A36">
        <w:rPr>
          <w:rFonts w:ascii="Arial" w:hAnsi="Arial" w:cs="Arial"/>
          <w:i/>
          <w:lang w:eastAsia="zh-CN"/>
        </w:rPr>
        <w:t>Accretion Approach</w:t>
      </w:r>
      <w:r w:rsidRPr="00614A36">
        <w:rPr>
          <w:rFonts w:ascii="Arial" w:hAnsi="Arial" w:cs="Arial"/>
          <w:lang w:eastAsia="zh-CN"/>
        </w:rPr>
        <w:t>’. Dat wil zeggen het opnemen van opbrengsten in de winst-</w:t>
      </w:r>
      <w:r w:rsidRPr="00614A36">
        <w:rPr>
          <w:rFonts w:ascii="Arial" w:hAnsi="Arial" w:cs="Arial"/>
        </w:rPr>
        <w:t xml:space="preserve"> </w:t>
      </w:r>
      <w:r w:rsidR="00735650">
        <w:rPr>
          <w:rFonts w:ascii="Arial" w:hAnsi="Arial" w:cs="Arial"/>
          <w:lang w:eastAsia="zh-CN"/>
        </w:rPr>
        <w:t>en</w:t>
      </w:r>
      <w:r w:rsidR="00D31A2C">
        <w:rPr>
          <w:rFonts w:ascii="Arial" w:hAnsi="Arial" w:cs="Arial"/>
          <w:lang w:eastAsia="zh-CN"/>
        </w:rPr>
        <w:t xml:space="preserve">- </w:t>
      </w:r>
      <w:r w:rsidRPr="00614A36">
        <w:rPr>
          <w:rFonts w:ascii="Arial" w:hAnsi="Arial" w:cs="Arial"/>
          <w:lang w:eastAsia="zh-CN"/>
        </w:rPr>
        <w:t xml:space="preserve">verliesrekening op het moment dat het productieproces plaatsvindt, dus in dit geval als de producten worden geoogst. Ze beargumenteren dat het in overeenstemming is met het accruals concept, waarbij de transacties geregistreerd worden wanneer ze zich voordoen. Voorstanders vergelijken ook 'Accretion Approach' met 'percentage of completion' methode </w:t>
      </w:r>
      <w:sdt>
        <w:sdtPr>
          <w:rPr>
            <w:rFonts w:ascii="Arial" w:hAnsi="Arial" w:cs="Arial"/>
            <w:lang w:eastAsia="zh-CN"/>
          </w:rPr>
          <w:id w:val="-253052908"/>
          <w:citation/>
        </w:sdtPr>
        <w:sdtContent>
          <w:r w:rsidR="007A6E22" w:rsidRPr="00614A36">
            <w:rPr>
              <w:rFonts w:ascii="Arial" w:hAnsi="Arial" w:cs="Arial"/>
              <w:lang w:eastAsia="zh-CN"/>
            </w:rPr>
            <w:fldChar w:fldCharType="begin"/>
          </w:r>
          <w:r w:rsidR="00B77728">
            <w:rPr>
              <w:rFonts w:ascii="Arial" w:hAnsi="Arial" w:cs="Arial"/>
              <w:lang w:eastAsia="zh-CN"/>
            </w:rPr>
            <w:instrText xml:space="preserve">CITATION Ela07 \l 1033 </w:instrText>
          </w:r>
          <w:r w:rsidR="007A6E22" w:rsidRPr="00614A36">
            <w:rPr>
              <w:rFonts w:ascii="Arial" w:hAnsi="Arial" w:cs="Arial"/>
              <w:lang w:eastAsia="zh-CN"/>
            </w:rPr>
            <w:fldChar w:fldCharType="separate"/>
          </w:r>
          <w:r w:rsidR="00055EC3" w:rsidRPr="00055EC3">
            <w:rPr>
              <w:rFonts w:ascii="Arial" w:hAnsi="Arial" w:cs="Arial"/>
              <w:noProof/>
              <w:lang w:eastAsia="zh-CN"/>
            </w:rPr>
            <w:t>(Elad, 2007)</w:t>
          </w:r>
          <w:r w:rsidR="007A6E22" w:rsidRPr="00614A36">
            <w:rPr>
              <w:rFonts w:ascii="Arial" w:hAnsi="Arial" w:cs="Arial"/>
              <w:lang w:eastAsia="zh-CN"/>
            </w:rPr>
            <w:fldChar w:fldCharType="end"/>
          </w:r>
        </w:sdtContent>
      </w:sdt>
      <w:r w:rsidRPr="00614A36">
        <w:rPr>
          <w:rFonts w:ascii="Arial" w:hAnsi="Arial" w:cs="Arial"/>
          <w:lang w:eastAsia="zh-CN"/>
        </w:rPr>
        <w:t>.</w:t>
      </w:r>
    </w:p>
    <w:p w:rsidR="002332DA" w:rsidRPr="002A2E36" w:rsidRDefault="002332DA" w:rsidP="002332DA">
      <w:pPr>
        <w:spacing w:line="360" w:lineRule="auto"/>
        <w:rPr>
          <w:rFonts w:ascii="Arial" w:hAnsi="Arial" w:cs="Arial"/>
          <w:color w:val="000000" w:themeColor="text1"/>
        </w:rPr>
      </w:pPr>
      <w:r w:rsidRPr="002A2E36">
        <w:rPr>
          <w:rFonts w:ascii="Arial" w:hAnsi="Arial" w:cs="Arial"/>
          <w:color w:val="000000" w:themeColor="text1"/>
        </w:rPr>
        <w:t xml:space="preserve">Betreffende de waardering van agrarische producten moet volgens IAS 41 de </w:t>
      </w:r>
      <w:r>
        <w:rPr>
          <w:rFonts w:ascii="Arial" w:hAnsi="Arial" w:cs="Arial"/>
          <w:color w:val="000000" w:themeColor="text1"/>
        </w:rPr>
        <w:t>reële waarde</w:t>
      </w:r>
      <w:r w:rsidRPr="002A2E36">
        <w:rPr>
          <w:rFonts w:ascii="Arial" w:hAnsi="Arial" w:cs="Arial"/>
          <w:color w:val="000000" w:themeColor="text1"/>
        </w:rPr>
        <w:t xml:space="preserve"> toegepast worden. De kostprijs van een agrarisch product is moeilijk vast te stellen. De hoeveelheid agrarische producten is afhankelijk van de biologische activa en de weersomstandigheden. Bij biologische activa moet rekening gehouden worden met bijvoorbeeld het sterftecijfer of de groeisnelheid van deze activa. Daarom is </w:t>
      </w:r>
      <w:r>
        <w:rPr>
          <w:rFonts w:ascii="Arial" w:hAnsi="Arial" w:cs="Arial"/>
          <w:color w:val="000000" w:themeColor="text1"/>
        </w:rPr>
        <w:t xml:space="preserve">het </w:t>
      </w:r>
      <w:r w:rsidRPr="002A2E36">
        <w:rPr>
          <w:rFonts w:ascii="Arial" w:hAnsi="Arial" w:cs="Arial"/>
          <w:color w:val="000000" w:themeColor="text1"/>
        </w:rPr>
        <w:t>vooraf moeilijk vast te stellen welk hoeveelheid</w:t>
      </w:r>
      <w:r>
        <w:rPr>
          <w:rFonts w:ascii="Arial" w:hAnsi="Arial" w:cs="Arial"/>
          <w:color w:val="000000" w:themeColor="text1"/>
        </w:rPr>
        <w:t xml:space="preserve"> agrarische producten geoogst zullen</w:t>
      </w:r>
      <w:r w:rsidRPr="002A2E36">
        <w:rPr>
          <w:rFonts w:ascii="Arial" w:hAnsi="Arial" w:cs="Arial"/>
          <w:color w:val="000000" w:themeColor="text1"/>
        </w:rPr>
        <w:t xml:space="preserve"> worden. De werkelijke hoeveelheid is doorgaans afwijkend van de geschatte hoeveelh</w:t>
      </w:r>
      <w:r>
        <w:rPr>
          <w:rFonts w:ascii="Arial" w:hAnsi="Arial" w:cs="Arial"/>
          <w:color w:val="000000" w:themeColor="text1"/>
        </w:rPr>
        <w:t>eid agrarische producten. Hierdoor</w:t>
      </w:r>
      <w:r w:rsidRPr="002A2E36">
        <w:rPr>
          <w:rFonts w:ascii="Arial" w:hAnsi="Arial" w:cs="Arial"/>
          <w:color w:val="000000" w:themeColor="text1"/>
        </w:rPr>
        <w:t xml:space="preserve"> is het moeilijk de kostprijs vast t</w:t>
      </w:r>
      <w:r>
        <w:rPr>
          <w:rFonts w:ascii="Arial" w:hAnsi="Arial" w:cs="Arial"/>
          <w:color w:val="000000" w:themeColor="text1"/>
        </w:rPr>
        <w:t xml:space="preserve">e stellen </w:t>
      </w:r>
      <w:sdt>
        <w:sdtPr>
          <w:rPr>
            <w:rFonts w:ascii="Arial" w:hAnsi="Arial" w:cs="Arial"/>
            <w:color w:val="000000" w:themeColor="text1"/>
          </w:rPr>
          <w:id w:val="-1242179496"/>
          <w:citation/>
        </w:sdtPr>
        <w:sdtContent>
          <w:r w:rsidR="007A6E22">
            <w:rPr>
              <w:rFonts w:ascii="Arial" w:hAnsi="Arial" w:cs="Arial"/>
              <w:color w:val="000000" w:themeColor="text1"/>
            </w:rPr>
            <w:fldChar w:fldCharType="begin"/>
          </w:r>
          <w:r>
            <w:rPr>
              <w:rFonts w:ascii="Arial" w:hAnsi="Arial" w:cs="Arial"/>
              <w:color w:val="000000" w:themeColor="text1"/>
            </w:rPr>
            <w:instrText xml:space="preserve">CITATION Arg01 \l 1043 </w:instrText>
          </w:r>
          <w:r w:rsidR="007A6E22">
            <w:rPr>
              <w:rFonts w:ascii="Arial" w:hAnsi="Arial" w:cs="Arial"/>
              <w:color w:val="000000" w:themeColor="text1"/>
            </w:rPr>
            <w:fldChar w:fldCharType="separate"/>
          </w:r>
          <w:r w:rsidRPr="00055EC3">
            <w:rPr>
              <w:rFonts w:ascii="Arial" w:hAnsi="Arial" w:cs="Arial"/>
              <w:noProof/>
              <w:color w:val="000000" w:themeColor="text1"/>
            </w:rPr>
            <w:t>(Argilés &amp; Slof, 2000)</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7D164F" w:rsidRPr="007D164F" w:rsidRDefault="007D164F" w:rsidP="007D164F">
      <w:pPr>
        <w:pStyle w:val="Heading2"/>
        <w:rPr>
          <w:rFonts w:cs="Arial"/>
        </w:rPr>
      </w:pPr>
      <w:bookmarkStart w:id="36" w:name="_Toc426984372"/>
      <w:r>
        <w:rPr>
          <w:rFonts w:cs="Arial"/>
        </w:rPr>
        <w:t>5.2</w:t>
      </w:r>
      <w:r w:rsidR="000812B5">
        <w:rPr>
          <w:rFonts w:cs="Arial"/>
        </w:rPr>
        <w:t xml:space="preserve"> Kritiek op</w:t>
      </w:r>
      <w:r w:rsidRPr="007D164F">
        <w:rPr>
          <w:rFonts w:cs="Arial"/>
        </w:rPr>
        <w:t xml:space="preserve"> IAS</w:t>
      </w:r>
      <w:bookmarkEnd w:id="36"/>
    </w:p>
    <w:p w:rsidR="007D164F" w:rsidRPr="00D508D2" w:rsidRDefault="002332DA" w:rsidP="007D164F">
      <w:pPr>
        <w:spacing w:line="360" w:lineRule="auto"/>
        <w:rPr>
          <w:rFonts w:ascii="Arial" w:hAnsi="Arial" w:cs="Arial"/>
        </w:rPr>
      </w:pPr>
      <w:r>
        <w:rPr>
          <w:rFonts w:ascii="Arial" w:hAnsi="Arial" w:cs="Arial"/>
        </w:rPr>
        <w:t xml:space="preserve">De reële waarde heeft ook een nadelige kant. </w:t>
      </w:r>
      <w:r w:rsidR="007D164F" w:rsidRPr="00D508D2">
        <w:rPr>
          <w:rFonts w:ascii="Arial" w:hAnsi="Arial" w:cs="Arial"/>
        </w:rPr>
        <w:t xml:space="preserve">Verschillende ondernemingen vragen zich af hoe de </w:t>
      </w:r>
      <w:r w:rsidR="00DD04C6">
        <w:rPr>
          <w:rFonts w:ascii="Arial" w:hAnsi="Arial" w:cs="Arial"/>
        </w:rPr>
        <w:t>reële waarde</w:t>
      </w:r>
      <w:r w:rsidR="007D164F" w:rsidRPr="00D508D2">
        <w:rPr>
          <w:rFonts w:ascii="Arial" w:hAnsi="Arial" w:cs="Arial"/>
        </w:rPr>
        <w:t xml:space="preserve"> van bepaalde biologische activa of agrarisch producten te bepalen. Ondernemingen zijn toen op zoek gegaan naar nieuwe methodes om de </w:t>
      </w:r>
      <w:r w:rsidR="00DD04C6">
        <w:rPr>
          <w:rFonts w:ascii="Arial" w:hAnsi="Arial" w:cs="Arial"/>
        </w:rPr>
        <w:t>reële waarde</w:t>
      </w:r>
      <w:r w:rsidR="007D164F" w:rsidRPr="00D508D2">
        <w:rPr>
          <w:rFonts w:ascii="Arial" w:hAnsi="Arial" w:cs="Arial"/>
        </w:rPr>
        <w:t xml:space="preserve"> te bepalen. Dit probleem zal aan de hand van een voorbeeld worden uitgelegd. In dit voorbeeld richten wij ons op een bos die als biologische activa beschouwd en hout als een agrarisch product. In het onderzoek van PWC bleek dat makt gebaseerde prijzen voor ho</w:t>
      </w:r>
      <w:r w:rsidR="00735650">
        <w:rPr>
          <w:rFonts w:ascii="Arial" w:hAnsi="Arial" w:cs="Arial"/>
        </w:rPr>
        <w:t>ut zeer zeldzaam zijn</w:t>
      </w:r>
      <w:r w:rsidR="007D164F" w:rsidRPr="00D508D2">
        <w:rPr>
          <w:rFonts w:ascii="Arial" w:hAnsi="Arial" w:cs="Arial"/>
        </w:rPr>
        <w:t>. Dit gebeurde ondanks dat er sprake was van een actieve markt. Ondernemingen stapten over naar de contante waarde van hout ( DCF-methode). DCF-methode bevatte de geplande oogsten, hout prijzen, kosten van bosbouw, groeicijfers en de disconteringsvoet</w:t>
      </w:r>
      <w:sdt>
        <w:sdtPr>
          <w:rPr>
            <w:rFonts w:ascii="Arial" w:hAnsi="Arial" w:cs="Arial"/>
          </w:rPr>
          <w:id w:val="-1450469587"/>
          <w:citation/>
        </w:sdtPr>
        <w:sdtContent>
          <w:r w:rsidR="007A6E22" w:rsidRPr="00D508D2">
            <w:rPr>
              <w:rFonts w:ascii="Arial" w:hAnsi="Arial" w:cs="Arial"/>
            </w:rPr>
            <w:fldChar w:fldCharType="begin"/>
          </w:r>
          <w:r w:rsidR="00092D91">
            <w:rPr>
              <w:rFonts w:ascii="Arial" w:hAnsi="Arial" w:cs="Arial"/>
            </w:rPr>
            <w:instrText xml:space="preserve">CITATION PWC11 \t  \l 1033 </w:instrText>
          </w:r>
          <w:r w:rsidR="007A6E22" w:rsidRPr="00D508D2">
            <w:rPr>
              <w:rFonts w:ascii="Arial" w:hAnsi="Arial" w:cs="Arial"/>
            </w:rPr>
            <w:fldChar w:fldCharType="separate"/>
          </w:r>
          <w:r w:rsidR="00092D91">
            <w:rPr>
              <w:rFonts w:ascii="Arial" w:hAnsi="Arial" w:cs="Arial"/>
              <w:noProof/>
            </w:rPr>
            <w:t xml:space="preserve"> </w:t>
          </w:r>
          <w:r w:rsidR="00092D91" w:rsidRPr="00092D91">
            <w:rPr>
              <w:rFonts w:ascii="Arial" w:hAnsi="Arial" w:cs="Arial"/>
              <w:noProof/>
            </w:rPr>
            <w:t>(PWC, 2011)</w:t>
          </w:r>
          <w:r w:rsidR="007A6E22" w:rsidRPr="00D508D2">
            <w:rPr>
              <w:rFonts w:ascii="Arial" w:hAnsi="Arial" w:cs="Arial"/>
            </w:rPr>
            <w:fldChar w:fldCharType="end"/>
          </w:r>
        </w:sdtContent>
      </w:sdt>
      <w:sdt>
        <w:sdtPr>
          <w:rPr>
            <w:rFonts w:ascii="Arial" w:hAnsi="Arial" w:cs="Arial"/>
          </w:rPr>
          <w:id w:val="-296227111"/>
          <w:citation/>
        </w:sdtPr>
        <w:sdtContent>
          <w:r w:rsidR="007A6E22" w:rsidRPr="00D508D2">
            <w:rPr>
              <w:rFonts w:ascii="Arial" w:hAnsi="Arial" w:cs="Arial"/>
            </w:rPr>
            <w:fldChar w:fldCharType="begin"/>
          </w:r>
          <w:r w:rsidR="00B77728">
            <w:rPr>
              <w:rFonts w:ascii="Arial" w:hAnsi="Arial" w:cs="Arial"/>
            </w:rPr>
            <w:instrText xml:space="preserve">CITATION Pennd \l 1033 </w:instrText>
          </w:r>
          <w:r w:rsidR="007A6E22" w:rsidRPr="00D508D2">
            <w:rPr>
              <w:rFonts w:ascii="Arial" w:hAnsi="Arial" w:cs="Arial"/>
            </w:rPr>
            <w:fldChar w:fldCharType="separate"/>
          </w:r>
          <w:r w:rsidR="00055EC3">
            <w:rPr>
              <w:rFonts w:ascii="Arial" w:hAnsi="Arial" w:cs="Arial"/>
              <w:noProof/>
            </w:rPr>
            <w:t xml:space="preserve"> </w:t>
          </w:r>
          <w:r w:rsidR="00055EC3" w:rsidRPr="00055EC3">
            <w:rPr>
              <w:rFonts w:ascii="Arial" w:hAnsi="Arial" w:cs="Arial"/>
              <w:noProof/>
            </w:rPr>
            <w:t>(Penttinen, Latukka,, Meriläinen, Salminen, &amp; Uotila, 2004)</w:t>
          </w:r>
          <w:r w:rsidR="007A6E22" w:rsidRPr="00D508D2">
            <w:rPr>
              <w:rFonts w:ascii="Arial" w:hAnsi="Arial" w:cs="Arial"/>
            </w:rPr>
            <w:fldChar w:fldCharType="end"/>
          </w:r>
        </w:sdtContent>
      </w:sdt>
      <w:r w:rsidR="007D164F" w:rsidRPr="00D508D2">
        <w:rPr>
          <w:rFonts w:ascii="Arial" w:hAnsi="Arial" w:cs="Arial"/>
        </w:rPr>
        <w:t>.</w:t>
      </w:r>
    </w:p>
    <w:p w:rsidR="007D164F" w:rsidRPr="00D508D2" w:rsidRDefault="007D164F" w:rsidP="007D164F">
      <w:pPr>
        <w:spacing w:line="360" w:lineRule="auto"/>
        <w:rPr>
          <w:rFonts w:ascii="Arial" w:hAnsi="Arial" w:cs="Arial"/>
        </w:rPr>
      </w:pPr>
      <w:r w:rsidRPr="00D508D2">
        <w:rPr>
          <w:rFonts w:ascii="Arial" w:hAnsi="Arial" w:cs="Arial"/>
        </w:rPr>
        <w:t xml:space="preserve">Als het bedrijf de IAS 41 toepast voor de waardering van zijn agrarische producten zal het bedrijf </w:t>
      </w:r>
      <w:r w:rsidR="00B975D2" w:rsidRPr="00D508D2">
        <w:rPr>
          <w:rFonts w:ascii="Arial" w:hAnsi="Arial" w:cs="Arial"/>
        </w:rPr>
        <w:t>ten</w:t>
      </w:r>
      <w:r w:rsidRPr="00D508D2">
        <w:rPr>
          <w:rFonts w:ascii="Arial" w:hAnsi="Arial" w:cs="Arial"/>
        </w:rPr>
        <w:t xml:space="preserve"> opzichte van de historische kostprijs de producten moeten categoriseren. De indeling is van belang om de juiste marktwaarde van de producten te bepalen tijdens het oogsten. Dit levert stagnatie op in het productie proces van een onderneming. De indeling kan gebaseerd zijn op </w:t>
      </w:r>
      <w:r w:rsidR="00735650">
        <w:rPr>
          <w:rFonts w:ascii="Arial" w:hAnsi="Arial" w:cs="Arial"/>
        </w:rPr>
        <w:t xml:space="preserve">de grootte en </w:t>
      </w:r>
      <w:r w:rsidRPr="00D508D2">
        <w:rPr>
          <w:rFonts w:ascii="Arial" w:hAnsi="Arial" w:cs="Arial"/>
        </w:rPr>
        <w:t>kwaliteit van het product. Analisten zijn ook van mening dat bij het waarderen tegen de reële waarde het aangaan van verkoop contracten schadelijk kunnen zijn voor het bedrijf. Verkoop contracten eisen dat er een reserve wordt opgenomen in de balans die als dekking van het contract dient. Ondernemingen kunnen ook contracten aangaan met een hoog risico, hierdoor probeert het bedrijf verlieslatende contracten die het bedrijf eerder is aangegaan te compenseren</w:t>
      </w:r>
      <w:sdt>
        <w:sdtPr>
          <w:rPr>
            <w:rFonts w:ascii="Arial" w:hAnsi="Arial" w:cs="Arial"/>
          </w:rPr>
          <w:id w:val="679858376"/>
          <w:citation/>
        </w:sdtPr>
        <w:sdtContent>
          <w:r w:rsidR="007A6E22" w:rsidRPr="00D508D2">
            <w:rPr>
              <w:rFonts w:ascii="Arial" w:hAnsi="Arial" w:cs="Arial"/>
            </w:rPr>
            <w:fldChar w:fldCharType="begin"/>
          </w:r>
          <w:r w:rsidR="00BC4C42">
            <w:rPr>
              <w:rFonts w:ascii="Arial" w:hAnsi="Arial" w:cs="Arial"/>
            </w:rPr>
            <w:instrText xml:space="preserve">CITATION LAL12 \l 1033 </w:instrText>
          </w:r>
          <w:r w:rsidR="007A6E22" w:rsidRPr="00D508D2">
            <w:rPr>
              <w:rFonts w:ascii="Arial" w:hAnsi="Arial" w:cs="Arial"/>
            </w:rPr>
            <w:fldChar w:fldCharType="separate"/>
          </w:r>
          <w:r w:rsidR="00055EC3">
            <w:rPr>
              <w:rFonts w:ascii="Arial" w:hAnsi="Arial" w:cs="Arial"/>
              <w:noProof/>
            </w:rPr>
            <w:t xml:space="preserve"> </w:t>
          </w:r>
          <w:r w:rsidR="00055EC3" w:rsidRPr="00055EC3">
            <w:rPr>
              <w:rFonts w:ascii="Arial" w:hAnsi="Arial" w:cs="Arial"/>
              <w:noProof/>
            </w:rPr>
            <w:t>(Lalic, Jovanovic, &amp; Peric, 2012)</w:t>
          </w:r>
          <w:r w:rsidR="007A6E22" w:rsidRPr="00D508D2">
            <w:rPr>
              <w:rFonts w:ascii="Arial" w:hAnsi="Arial" w:cs="Arial"/>
            </w:rPr>
            <w:fldChar w:fldCharType="end"/>
          </w:r>
        </w:sdtContent>
      </w:sdt>
      <w:r w:rsidRPr="00D508D2">
        <w:rPr>
          <w:rFonts w:ascii="Arial" w:hAnsi="Arial" w:cs="Arial"/>
        </w:rPr>
        <w:t>.</w:t>
      </w:r>
    </w:p>
    <w:p w:rsidR="007D164F" w:rsidRPr="00D508D2" w:rsidRDefault="007D164F" w:rsidP="007D164F">
      <w:pPr>
        <w:spacing w:line="360" w:lineRule="auto"/>
        <w:rPr>
          <w:rFonts w:ascii="Arial" w:hAnsi="Arial" w:cs="Arial"/>
        </w:rPr>
      </w:pPr>
      <w:r w:rsidRPr="00D508D2">
        <w:rPr>
          <w:rFonts w:ascii="Arial" w:hAnsi="Arial" w:cs="Arial"/>
        </w:rPr>
        <w:t xml:space="preserve">Voor het bepalen van de </w:t>
      </w:r>
      <w:r w:rsidR="00DD04C6">
        <w:rPr>
          <w:rFonts w:ascii="Arial" w:hAnsi="Arial" w:cs="Arial"/>
        </w:rPr>
        <w:t>reële waarde</w:t>
      </w:r>
      <w:r w:rsidRPr="00D508D2">
        <w:rPr>
          <w:rFonts w:ascii="Arial" w:hAnsi="Arial" w:cs="Arial"/>
        </w:rPr>
        <w:t xml:space="preserve"> voor agrarische producten moet een actieve markt bestaan. Volgens IAS 41 vormen actieve markt de basis voor het bepalen van de </w:t>
      </w:r>
      <w:r w:rsidR="00DD04C6">
        <w:rPr>
          <w:rFonts w:ascii="Arial" w:hAnsi="Arial" w:cs="Arial"/>
        </w:rPr>
        <w:t>reële waarde</w:t>
      </w:r>
      <w:r w:rsidRPr="00D508D2">
        <w:rPr>
          <w:rFonts w:ascii="Arial" w:hAnsi="Arial" w:cs="Arial"/>
        </w:rPr>
        <w:t>. Analisten waren van mening dat niet voor elke product een actieve markt bestaat. Zij gingen er van uit dat agrarisch producten beïnvloed kunnen worden door het klimaat en andere omstandigheden. Hierdoor kunnen producten niet met elkaar worden v</w:t>
      </w:r>
      <w:r w:rsidR="00735650">
        <w:rPr>
          <w:rFonts w:ascii="Arial" w:hAnsi="Arial" w:cs="Arial"/>
        </w:rPr>
        <w:t xml:space="preserve">ergeleken. Een voorbeeld hiervan zijn appels. </w:t>
      </w:r>
      <w:r w:rsidRPr="00D508D2">
        <w:rPr>
          <w:rFonts w:ascii="Arial" w:hAnsi="Arial" w:cs="Arial"/>
        </w:rPr>
        <w:t>Als er klimaatve</w:t>
      </w:r>
      <w:r w:rsidR="00735650">
        <w:rPr>
          <w:rFonts w:ascii="Arial" w:hAnsi="Arial" w:cs="Arial"/>
        </w:rPr>
        <w:t>randering plaats</w:t>
      </w:r>
      <w:r w:rsidRPr="00D508D2">
        <w:rPr>
          <w:rFonts w:ascii="Arial" w:hAnsi="Arial" w:cs="Arial"/>
        </w:rPr>
        <w:t xml:space="preserve"> vind</w:t>
      </w:r>
      <w:r w:rsidR="00735650">
        <w:rPr>
          <w:rFonts w:ascii="Arial" w:hAnsi="Arial" w:cs="Arial"/>
        </w:rPr>
        <w:t>t</w:t>
      </w:r>
      <w:r w:rsidRPr="00D508D2">
        <w:rPr>
          <w:rFonts w:ascii="Arial" w:hAnsi="Arial" w:cs="Arial"/>
        </w:rPr>
        <w:t xml:space="preserve"> waar appels worden geplant, kan dit leiden tot het groeien van andere soorten appels waarvoor er geen actieve markt bestaat </w:t>
      </w:r>
      <w:sdt>
        <w:sdtPr>
          <w:rPr>
            <w:rFonts w:ascii="Arial" w:hAnsi="Arial" w:cs="Arial"/>
          </w:rPr>
          <w:id w:val="-694613369"/>
          <w:citation/>
        </w:sdtPr>
        <w:sdtContent>
          <w:r w:rsidR="007A6E22" w:rsidRPr="00D508D2">
            <w:rPr>
              <w:rFonts w:ascii="Arial" w:hAnsi="Arial" w:cs="Arial"/>
            </w:rPr>
            <w:fldChar w:fldCharType="begin"/>
          </w:r>
          <w:r w:rsidR="00BC4C42">
            <w:rPr>
              <w:rFonts w:ascii="Arial" w:hAnsi="Arial" w:cs="Arial"/>
            </w:rPr>
            <w:instrText xml:space="preserve">CITATION Aze07 \l 1033 </w:instrText>
          </w:r>
          <w:r w:rsidR="007A6E22" w:rsidRPr="00D508D2">
            <w:rPr>
              <w:rFonts w:ascii="Arial" w:hAnsi="Arial" w:cs="Arial"/>
            </w:rPr>
            <w:fldChar w:fldCharType="separate"/>
          </w:r>
          <w:r w:rsidR="00055EC3" w:rsidRPr="00055EC3">
            <w:rPr>
              <w:rFonts w:ascii="Arial" w:hAnsi="Arial" w:cs="Arial"/>
              <w:noProof/>
            </w:rPr>
            <w:t>(Azevedo, 2007)</w:t>
          </w:r>
          <w:r w:rsidR="007A6E22" w:rsidRPr="00D508D2">
            <w:rPr>
              <w:rFonts w:ascii="Arial" w:hAnsi="Arial" w:cs="Arial"/>
            </w:rPr>
            <w:fldChar w:fldCharType="end"/>
          </w:r>
        </w:sdtContent>
      </w:sdt>
      <w:r>
        <w:rPr>
          <w:rFonts w:ascii="Arial" w:hAnsi="Arial" w:cs="Arial"/>
        </w:rPr>
        <w:t>.</w:t>
      </w:r>
      <w:r w:rsidR="00B77728">
        <w:rPr>
          <w:rFonts w:ascii="Arial" w:hAnsi="Arial" w:cs="Arial"/>
        </w:rPr>
        <w:t xml:space="preserve"> </w:t>
      </w:r>
    </w:p>
    <w:p w:rsidR="007D164F" w:rsidRPr="00D508D2" w:rsidRDefault="00F91F92" w:rsidP="007D164F">
      <w:pPr>
        <w:spacing w:after="0" w:line="360" w:lineRule="auto"/>
        <w:rPr>
          <w:rFonts w:ascii="Arial" w:hAnsi="Arial" w:cs="Arial"/>
        </w:rPr>
      </w:pPr>
      <w:r w:rsidRPr="00D508D2">
        <w:rPr>
          <w:rFonts w:ascii="Arial" w:hAnsi="Arial" w:cs="Arial"/>
        </w:rPr>
        <w:t>Eén van de argumenten waarmee analisten verschilden is de manier waarop ongerealiseerde winsten of verlies worden verwerkt in de winst</w:t>
      </w:r>
      <w:r>
        <w:rPr>
          <w:rFonts w:ascii="Arial" w:hAnsi="Arial" w:cs="Arial"/>
        </w:rPr>
        <w:t>-en-verlies</w:t>
      </w:r>
      <w:r w:rsidRPr="00D508D2">
        <w:rPr>
          <w:rFonts w:ascii="Arial" w:hAnsi="Arial" w:cs="Arial"/>
        </w:rPr>
        <w:t>rekening, die voortvl</w:t>
      </w:r>
      <w:r>
        <w:rPr>
          <w:rFonts w:ascii="Arial" w:hAnsi="Arial" w:cs="Arial"/>
        </w:rPr>
        <w:t>oeien uit</w:t>
      </w:r>
      <w:r w:rsidRPr="00D508D2">
        <w:rPr>
          <w:rFonts w:ascii="Arial" w:hAnsi="Arial" w:cs="Arial"/>
        </w:rPr>
        <w:t xml:space="preserve"> biologische activa. </w:t>
      </w:r>
      <w:r w:rsidR="007D164F" w:rsidRPr="00D508D2">
        <w:rPr>
          <w:rFonts w:ascii="Arial" w:hAnsi="Arial" w:cs="Arial"/>
        </w:rPr>
        <w:t xml:space="preserve">De ene partij beweert dat dit moet gebeuren volgens de ‘accretion approach' terwijl de andere partij van mening was dat dit aan het einde van de periode moet gebeuren. De laatst genoemde methode is vergelijkbaar als </w:t>
      </w:r>
      <w:proofErr w:type="gramStart"/>
      <w:r w:rsidR="007D164F" w:rsidRPr="00D508D2">
        <w:rPr>
          <w:rFonts w:ascii="Arial" w:hAnsi="Arial" w:cs="Arial"/>
        </w:rPr>
        <w:t>de</w:t>
      </w:r>
      <w:proofErr w:type="gramEnd"/>
      <w:r w:rsidR="007D164F" w:rsidRPr="00D508D2">
        <w:rPr>
          <w:rFonts w:ascii="Arial" w:hAnsi="Arial" w:cs="Arial"/>
        </w:rPr>
        <w:t xml:space="preserve"> ' percentage - of complet ion ' methode</w:t>
      </w:r>
      <w:sdt>
        <w:sdtPr>
          <w:rPr>
            <w:rFonts w:ascii="Arial" w:hAnsi="Arial" w:cs="Arial"/>
          </w:rPr>
          <w:id w:val="-346480628"/>
          <w:citation/>
        </w:sdtPr>
        <w:sdtContent>
          <w:r w:rsidR="007A6E22" w:rsidRPr="00D508D2">
            <w:rPr>
              <w:rFonts w:ascii="Arial" w:hAnsi="Arial" w:cs="Arial"/>
            </w:rPr>
            <w:fldChar w:fldCharType="begin"/>
          </w:r>
          <w:r w:rsidR="00B77728">
            <w:rPr>
              <w:rFonts w:ascii="Arial" w:hAnsi="Arial" w:cs="Arial"/>
            </w:rPr>
            <w:instrText xml:space="preserve">CITATION Ela07 \l 1043 </w:instrText>
          </w:r>
          <w:r w:rsidR="007A6E22" w:rsidRPr="00D508D2">
            <w:rPr>
              <w:rFonts w:ascii="Arial" w:hAnsi="Arial" w:cs="Arial"/>
            </w:rPr>
            <w:fldChar w:fldCharType="separate"/>
          </w:r>
          <w:r w:rsidR="00055EC3">
            <w:rPr>
              <w:rFonts w:ascii="Arial" w:hAnsi="Arial" w:cs="Arial"/>
              <w:noProof/>
            </w:rPr>
            <w:t xml:space="preserve"> </w:t>
          </w:r>
          <w:r w:rsidR="00055EC3" w:rsidRPr="00055EC3">
            <w:rPr>
              <w:rFonts w:ascii="Arial" w:hAnsi="Arial" w:cs="Arial"/>
              <w:noProof/>
            </w:rPr>
            <w:t>(Elad, 2007)</w:t>
          </w:r>
          <w:r w:rsidR="007A6E22" w:rsidRPr="00D508D2">
            <w:rPr>
              <w:rFonts w:ascii="Arial" w:hAnsi="Arial" w:cs="Arial"/>
            </w:rPr>
            <w:fldChar w:fldCharType="end"/>
          </w:r>
        </w:sdtContent>
      </w:sdt>
      <w:r w:rsidR="007D164F" w:rsidRPr="00D508D2">
        <w:rPr>
          <w:rFonts w:ascii="Arial" w:hAnsi="Arial" w:cs="Arial"/>
        </w:rPr>
        <w:t>. De Europese Commissie is het echter niet eens met de eerst genoemde methode. Zij waren van mening dat bij het waarderen teg</w:t>
      </w:r>
      <w:r w:rsidR="00735650">
        <w:rPr>
          <w:rFonts w:ascii="Arial" w:hAnsi="Arial" w:cs="Arial"/>
        </w:rPr>
        <w:t>en de reële waarde geen gebruik</w:t>
      </w:r>
      <w:r w:rsidR="007D164F" w:rsidRPr="00D508D2">
        <w:rPr>
          <w:rFonts w:ascii="Arial" w:hAnsi="Arial" w:cs="Arial"/>
        </w:rPr>
        <w:t xml:space="preserve"> moet worden gemaakt van </w:t>
      </w:r>
      <w:r w:rsidRPr="00D508D2">
        <w:rPr>
          <w:rFonts w:ascii="Arial" w:hAnsi="Arial" w:cs="Arial"/>
        </w:rPr>
        <w:t>de</w:t>
      </w:r>
      <w:r w:rsidR="007D164F" w:rsidRPr="00D508D2">
        <w:rPr>
          <w:rFonts w:ascii="Arial" w:hAnsi="Arial" w:cs="Arial"/>
        </w:rPr>
        <w:t xml:space="preserve"> accretion approach. Hierdoor is de accretion approach niet te gebruiken. De Europese Commissie is van mening dat het verkoopproces nog niet compleet is om de winsten en verliezen te verwerken</w:t>
      </w:r>
      <w:sdt>
        <w:sdtPr>
          <w:rPr>
            <w:rFonts w:ascii="Arial" w:hAnsi="Arial" w:cs="Arial"/>
          </w:rPr>
          <w:id w:val="-1216345799"/>
          <w:citation/>
        </w:sdtPr>
        <w:sdtContent>
          <w:r w:rsidR="007A6E22" w:rsidRPr="00D508D2">
            <w:rPr>
              <w:rFonts w:ascii="Arial" w:hAnsi="Arial" w:cs="Arial"/>
            </w:rPr>
            <w:fldChar w:fldCharType="begin"/>
          </w:r>
          <w:r w:rsidR="007D164F" w:rsidRPr="00D508D2">
            <w:rPr>
              <w:rFonts w:ascii="Arial" w:hAnsi="Arial" w:cs="Arial"/>
            </w:rPr>
            <w:instrText xml:space="preserve"> CITATION IAS00 \l 1043 </w:instrText>
          </w:r>
          <w:r w:rsidR="007A6E22" w:rsidRPr="00D508D2">
            <w:rPr>
              <w:rFonts w:ascii="Arial" w:hAnsi="Arial" w:cs="Arial"/>
            </w:rPr>
            <w:fldChar w:fldCharType="separate"/>
          </w:r>
          <w:r w:rsidR="00055EC3">
            <w:rPr>
              <w:rFonts w:ascii="Arial" w:hAnsi="Arial" w:cs="Arial"/>
              <w:noProof/>
            </w:rPr>
            <w:t xml:space="preserve"> </w:t>
          </w:r>
          <w:r w:rsidR="00055EC3" w:rsidRPr="00055EC3">
            <w:rPr>
              <w:rFonts w:ascii="Arial" w:hAnsi="Arial" w:cs="Arial"/>
              <w:noProof/>
            </w:rPr>
            <w:t>(IASC, 2000)</w:t>
          </w:r>
          <w:r w:rsidR="007A6E22" w:rsidRPr="00D508D2">
            <w:rPr>
              <w:rFonts w:ascii="Arial" w:hAnsi="Arial" w:cs="Arial"/>
            </w:rPr>
            <w:fldChar w:fldCharType="end"/>
          </w:r>
        </w:sdtContent>
      </w:sdt>
      <w:r w:rsidR="007D164F" w:rsidRPr="00D508D2">
        <w:rPr>
          <w:rFonts w:ascii="Arial" w:hAnsi="Arial" w:cs="Arial"/>
        </w:rPr>
        <w:t>.</w:t>
      </w:r>
    </w:p>
    <w:p w:rsidR="007D164F" w:rsidRPr="002A2E36" w:rsidRDefault="007D164F" w:rsidP="007D164F">
      <w:pPr>
        <w:spacing w:line="360" w:lineRule="auto"/>
        <w:rPr>
          <w:rFonts w:ascii="Arial" w:hAnsi="Arial" w:cs="Arial"/>
          <w:color w:val="000000" w:themeColor="text1"/>
        </w:rPr>
      </w:pPr>
    </w:p>
    <w:p w:rsidR="009802C7" w:rsidRPr="002A2E36" w:rsidRDefault="00241542" w:rsidP="00241542">
      <w:pPr>
        <w:pStyle w:val="Heading2"/>
        <w:rPr>
          <w:rFonts w:cs="Arial"/>
        </w:rPr>
      </w:pPr>
      <w:bookmarkStart w:id="37" w:name="_Toc426984373"/>
      <w:r w:rsidRPr="002A2E36">
        <w:rPr>
          <w:rFonts w:cs="Arial"/>
        </w:rPr>
        <w:t>5.</w:t>
      </w:r>
      <w:r w:rsidR="007D164F">
        <w:rPr>
          <w:rFonts w:cs="Arial"/>
        </w:rPr>
        <w:t>3</w:t>
      </w:r>
      <w:r w:rsidRPr="002A2E36">
        <w:rPr>
          <w:rFonts w:cs="Arial"/>
        </w:rPr>
        <w:t xml:space="preserve"> </w:t>
      </w:r>
      <w:r w:rsidR="009802C7" w:rsidRPr="002A2E36">
        <w:rPr>
          <w:rFonts w:cs="Arial"/>
        </w:rPr>
        <w:t>De voordelen van RJ</w:t>
      </w:r>
      <w:bookmarkEnd w:id="37"/>
    </w:p>
    <w:p w:rsidR="009802C7" w:rsidRPr="002A2E36" w:rsidRDefault="009802C7" w:rsidP="009802C7">
      <w:pPr>
        <w:spacing w:line="360" w:lineRule="auto"/>
        <w:rPr>
          <w:rFonts w:ascii="Arial" w:hAnsi="Arial" w:cs="Arial"/>
          <w:color w:val="000000" w:themeColor="text1"/>
        </w:rPr>
      </w:pPr>
      <w:r w:rsidRPr="002A2E36">
        <w:rPr>
          <w:rFonts w:ascii="Arial" w:hAnsi="Arial" w:cs="Arial"/>
          <w:color w:val="000000" w:themeColor="text1"/>
        </w:rPr>
        <w:t xml:space="preserve">Volgens RJ mag de LIFO methode worden toegepast </w:t>
      </w:r>
      <w:r w:rsidR="00F51C83">
        <w:rPr>
          <w:rFonts w:ascii="Arial" w:hAnsi="Arial" w:cs="Arial"/>
          <w:color w:val="000000" w:themeColor="text1"/>
        </w:rPr>
        <w:t>mits dit</w:t>
      </w:r>
      <w:r w:rsidRPr="002A2E36">
        <w:rPr>
          <w:rFonts w:ascii="Arial" w:hAnsi="Arial" w:cs="Arial"/>
          <w:color w:val="000000" w:themeColor="text1"/>
        </w:rPr>
        <w:t xml:space="preserve"> onderbouwd is in de toelichting bij de jaarrekening. Het gebruik van LIFO kan het beeld van de balans (voorraden ondergewaardeerd) en de</w:t>
      </w:r>
      <w:r w:rsidR="00735650">
        <w:rPr>
          <w:rFonts w:ascii="Arial" w:hAnsi="Arial" w:cs="Arial"/>
          <w:color w:val="000000" w:themeColor="text1"/>
        </w:rPr>
        <w:t xml:space="preserve"> winst-en</w:t>
      </w:r>
      <w:r w:rsidR="0037772C">
        <w:rPr>
          <w:rFonts w:ascii="Arial" w:hAnsi="Arial" w:cs="Arial"/>
          <w:color w:val="000000" w:themeColor="text1"/>
        </w:rPr>
        <w:t>-</w:t>
      </w:r>
      <w:r w:rsidRPr="002A2E36">
        <w:rPr>
          <w:rFonts w:ascii="Arial" w:hAnsi="Arial" w:cs="Arial"/>
          <w:color w:val="000000" w:themeColor="text1"/>
        </w:rPr>
        <w:t>verliesrekening (lagere winsten) op een niet realist</w:t>
      </w:r>
      <w:r w:rsidR="00176966">
        <w:rPr>
          <w:rFonts w:ascii="Arial" w:hAnsi="Arial" w:cs="Arial"/>
          <w:color w:val="000000" w:themeColor="text1"/>
        </w:rPr>
        <w:t>ische wijze presenteren. D</w:t>
      </w:r>
      <w:r w:rsidRPr="002A2E36">
        <w:rPr>
          <w:rFonts w:ascii="Arial" w:hAnsi="Arial" w:cs="Arial"/>
          <w:color w:val="000000" w:themeColor="text1"/>
        </w:rPr>
        <w:t>e LIFO methode</w:t>
      </w:r>
      <w:r w:rsidR="00F51C83">
        <w:rPr>
          <w:rFonts w:ascii="Arial" w:hAnsi="Arial" w:cs="Arial"/>
          <w:color w:val="000000" w:themeColor="text1"/>
        </w:rPr>
        <w:t xml:space="preserve"> toont</w:t>
      </w:r>
      <w:r w:rsidRPr="002A2E36">
        <w:rPr>
          <w:rFonts w:ascii="Arial" w:hAnsi="Arial" w:cs="Arial"/>
          <w:color w:val="000000" w:themeColor="text1"/>
        </w:rPr>
        <w:t>, in tegenstelling tot de FIFO methode het effect van inflatie niet. Daardoor kan door het gebruik van LIFO bijvoorbeeld belastingvoordelen worden gerealiseerd die andere ondernemingen niet</w:t>
      </w:r>
      <w:r w:rsidR="00006A7A">
        <w:rPr>
          <w:rFonts w:ascii="Arial" w:hAnsi="Arial" w:cs="Arial"/>
          <w:color w:val="000000" w:themeColor="text1"/>
        </w:rPr>
        <w:t xml:space="preserve"> kunnen realiseren </w:t>
      </w:r>
      <w:sdt>
        <w:sdtPr>
          <w:rPr>
            <w:rFonts w:ascii="Arial" w:hAnsi="Arial" w:cs="Arial"/>
            <w:color w:val="000000" w:themeColor="text1"/>
          </w:rPr>
          <w:id w:val="415908827"/>
          <w:citation/>
        </w:sdtPr>
        <w:sdtContent>
          <w:r w:rsidR="007A6E22">
            <w:rPr>
              <w:rFonts w:ascii="Arial" w:hAnsi="Arial" w:cs="Arial"/>
              <w:color w:val="000000" w:themeColor="text1"/>
            </w:rPr>
            <w:fldChar w:fldCharType="begin"/>
          </w:r>
          <w:r w:rsidR="00006A7A">
            <w:rPr>
              <w:rFonts w:ascii="Arial" w:hAnsi="Arial" w:cs="Arial"/>
              <w:color w:val="000000" w:themeColor="text1"/>
            </w:rPr>
            <w:instrText xml:space="preserve"> CITATION Rom09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(Romeo, 2009)</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r w:rsidR="00B975D2" w:rsidRPr="002A2E36">
        <w:rPr>
          <w:rFonts w:ascii="Arial" w:hAnsi="Arial" w:cs="Arial"/>
          <w:color w:val="000000" w:themeColor="text1"/>
        </w:rPr>
        <w:t xml:space="preserve">Door </w:t>
      </w:r>
      <w:r w:rsidRPr="002A2E36">
        <w:rPr>
          <w:rFonts w:ascii="Arial" w:hAnsi="Arial" w:cs="Arial"/>
          <w:color w:val="000000" w:themeColor="text1"/>
        </w:rPr>
        <w:t>het gebruik van de LIFO methode kan een lager gerapporteerd belastbaar inkomen worden gepresenteerd. Dit is in het bijzonder van toepassing in periodes dat de prijzen hard stijgen. De voorraadwaardering op basis van de LIFO methode zal dan een nog groter verschil vertonen met de voorraadwaardering op bas</w:t>
      </w:r>
      <w:r w:rsidR="00F51C83">
        <w:rPr>
          <w:rFonts w:ascii="Arial" w:hAnsi="Arial" w:cs="Arial"/>
          <w:color w:val="000000" w:themeColor="text1"/>
        </w:rPr>
        <w:t xml:space="preserve">is van de FIFO methode </w:t>
      </w:r>
      <w:r w:rsidRPr="002A2E36">
        <w:rPr>
          <w:rFonts w:ascii="Arial" w:hAnsi="Arial" w:cs="Arial"/>
          <w:color w:val="000000" w:themeColor="text1"/>
        </w:rPr>
        <w:t>dan normaal gesproken het geval is. Door deze belastingvoordelen is het voordeliger RJ in plaats van IAS 2 toe te pass</w:t>
      </w:r>
      <w:r w:rsidR="00BC4C42">
        <w:rPr>
          <w:rFonts w:ascii="Arial" w:hAnsi="Arial" w:cs="Arial"/>
          <w:color w:val="000000" w:themeColor="text1"/>
        </w:rPr>
        <w:t xml:space="preserve">en </w:t>
      </w:r>
      <w:sdt>
        <w:sdtPr>
          <w:rPr>
            <w:rFonts w:ascii="Arial" w:hAnsi="Arial" w:cs="Arial"/>
            <w:color w:val="000000" w:themeColor="text1"/>
          </w:rPr>
          <w:id w:val="776218585"/>
          <w:citation/>
        </w:sdtPr>
        <w:sdtContent>
          <w:r w:rsidR="007A6E22">
            <w:rPr>
              <w:rFonts w:ascii="Arial" w:hAnsi="Arial" w:cs="Arial"/>
              <w:color w:val="000000" w:themeColor="text1"/>
            </w:rPr>
            <w:fldChar w:fldCharType="begin"/>
          </w:r>
          <w:r w:rsidR="00BC4C42">
            <w:rPr>
              <w:rFonts w:ascii="Arial" w:hAnsi="Arial" w:cs="Arial"/>
              <w:color w:val="000000" w:themeColor="text1"/>
            </w:rPr>
            <w:instrText xml:space="preserve"> CITATION Ask10 \l 1043 </w:instrText>
          </w:r>
          <w:r w:rsidR="007A6E22">
            <w:rPr>
              <w:rFonts w:ascii="Arial" w:hAnsi="Arial" w:cs="Arial"/>
              <w:color w:val="000000" w:themeColor="text1"/>
            </w:rPr>
            <w:fldChar w:fldCharType="separate"/>
          </w:r>
          <w:r w:rsidR="00055EC3" w:rsidRPr="00055EC3">
            <w:rPr>
              <w:rFonts w:ascii="Arial" w:hAnsi="Arial" w:cs="Arial"/>
              <w:noProof/>
              <w:color w:val="000000" w:themeColor="text1"/>
            </w:rPr>
            <w:t>(Askew, 2010)</w:t>
          </w:r>
          <w:r w:rsidR="007A6E22">
            <w:rPr>
              <w:rFonts w:ascii="Arial" w:hAnsi="Arial" w:cs="Arial"/>
              <w:color w:val="000000" w:themeColor="text1"/>
            </w:rPr>
            <w:fldChar w:fldCharType="end"/>
          </w:r>
        </w:sdtContent>
      </w:sdt>
      <w:r w:rsidRPr="002A2E36">
        <w:rPr>
          <w:rFonts w:ascii="Arial" w:hAnsi="Arial" w:cs="Arial"/>
          <w:color w:val="000000" w:themeColor="text1"/>
        </w:rPr>
        <w:t xml:space="preserve">. </w:t>
      </w:r>
    </w:p>
    <w:p w:rsidR="00B149AA" w:rsidRDefault="009802C7" w:rsidP="00D169BF">
      <w:pPr>
        <w:spacing w:line="360" w:lineRule="auto"/>
        <w:rPr>
          <w:rFonts w:ascii="Arial" w:hAnsi="Arial" w:cs="Arial"/>
          <w:color w:val="000000" w:themeColor="text1"/>
        </w:rPr>
      </w:pPr>
      <w:r w:rsidRPr="002A2E36">
        <w:rPr>
          <w:rFonts w:ascii="Arial" w:hAnsi="Arial" w:cs="Arial"/>
          <w:color w:val="000000" w:themeColor="text1"/>
        </w:rPr>
        <w:t xml:space="preserve">Indien op basis van de RJ de waarderingsgrondslag actuele waarde wordt toegepast, kunnen uit de verkoop van voorraden afzonderlijke posten in de winst-en-verliesrekening ontstaan. </w:t>
      </w:r>
      <w:proofErr w:type="gramStart"/>
      <w:r w:rsidRPr="002A2E36">
        <w:rPr>
          <w:rFonts w:ascii="Arial" w:hAnsi="Arial" w:cs="Arial"/>
          <w:color w:val="000000" w:themeColor="text1"/>
        </w:rPr>
        <w:t xml:space="preserve">Art. </w:t>
      </w:r>
      <w:proofErr w:type="gramEnd"/>
      <w:r w:rsidRPr="002A2E36">
        <w:rPr>
          <w:rFonts w:ascii="Arial" w:hAnsi="Arial" w:cs="Arial"/>
          <w:color w:val="000000" w:themeColor="text1"/>
        </w:rPr>
        <w:t>2:390 lid 3 BW verplicht dat de herwaarderingsreserve verminderd moet worden ten gunste van de overige reserves, of ten gunste van de winst-en-verliesrekening.</w:t>
      </w:r>
    </w:p>
    <w:p w:rsidR="00D169BF" w:rsidRDefault="00D169BF" w:rsidP="007A0C1D">
      <w:pPr>
        <w:pStyle w:val="Heading2"/>
        <w:spacing w:line="360" w:lineRule="auto"/>
      </w:pPr>
      <w:bookmarkStart w:id="38" w:name="_Toc426984374"/>
      <w:r>
        <w:t>5.4 Conclusie</w:t>
      </w:r>
      <w:bookmarkEnd w:id="38"/>
    </w:p>
    <w:p w:rsidR="007A0C1D" w:rsidRPr="00703A49" w:rsidRDefault="007A0C1D" w:rsidP="007A0C1D">
      <w:pPr>
        <w:spacing w:line="360" w:lineRule="auto"/>
        <w:rPr>
          <w:rFonts w:ascii="Arial" w:hAnsi="Arial" w:cs="Arial"/>
        </w:rPr>
      </w:pPr>
      <w:r w:rsidRPr="00703A49">
        <w:rPr>
          <w:rFonts w:ascii="Arial" w:hAnsi="Arial" w:cs="Arial"/>
        </w:rPr>
        <w:t xml:space="preserve">IAS heeft een aantal voordelen ten opzichte van de RJ. De categorisering van de voorraden geschied beter onder IAS dan onder RJ. Het verschil met de LIFO methode leidt tot minder kans op earnings management. De impairment onder IFRS is beter dan onder RJ. IAS 41 had een grote impact op de agrarische sector en de </w:t>
      </w:r>
      <w:r w:rsidR="00DD04C6">
        <w:rPr>
          <w:rFonts w:ascii="Arial" w:hAnsi="Arial" w:cs="Arial"/>
        </w:rPr>
        <w:t>reële waarde</w:t>
      </w:r>
      <w:r w:rsidRPr="00703A49">
        <w:rPr>
          <w:rFonts w:ascii="Arial" w:hAnsi="Arial" w:cs="Arial"/>
        </w:rPr>
        <w:t xml:space="preserve"> methode was goedkoper om te toe passen. </w:t>
      </w:r>
      <w:r>
        <w:rPr>
          <w:rFonts w:ascii="Arial" w:hAnsi="Arial" w:cs="Arial"/>
        </w:rPr>
        <w:t xml:space="preserve">Een van de grootste kritiek punten op IAS is de </w:t>
      </w:r>
      <w:r w:rsidR="00DD04C6">
        <w:rPr>
          <w:rFonts w:ascii="Arial" w:hAnsi="Arial" w:cs="Arial"/>
        </w:rPr>
        <w:t>reële waarde</w:t>
      </w:r>
      <w:r>
        <w:rPr>
          <w:rFonts w:ascii="Arial" w:hAnsi="Arial" w:cs="Arial"/>
        </w:rPr>
        <w:t xml:space="preserve"> waardering. De </w:t>
      </w:r>
      <w:r w:rsidR="00DD04C6">
        <w:rPr>
          <w:rFonts w:ascii="Arial" w:hAnsi="Arial" w:cs="Arial"/>
        </w:rPr>
        <w:t>reële waarde</w:t>
      </w:r>
      <w:r>
        <w:rPr>
          <w:rFonts w:ascii="Arial" w:hAnsi="Arial" w:cs="Arial"/>
        </w:rPr>
        <w:t xml:space="preserve"> waardering is een subjectieve waardering. Dit geldt vooral voor agrarische producten. Niet alle agrarisch producten zijn hetzelfde. Hierdoor is het lastig om te bepalen wat de </w:t>
      </w:r>
      <w:r w:rsidR="00DD04C6">
        <w:rPr>
          <w:rFonts w:ascii="Arial" w:hAnsi="Arial" w:cs="Arial"/>
        </w:rPr>
        <w:t>reële waarde</w:t>
      </w:r>
      <w:r>
        <w:rPr>
          <w:rFonts w:ascii="Arial" w:hAnsi="Arial" w:cs="Arial"/>
        </w:rPr>
        <w:t xml:space="preserve"> van de voorraden zijn. </w:t>
      </w:r>
    </w:p>
    <w:p w:rsidR="00B149AA" w:rsidRDefault="00B149AA" w:rsidP="00D169BF">
      <w:pPr>
        <w:spacing w:line="360" w:lineRule="auto"/>
      </w:pPr>
      <w:r>
        <w:br w:type="page"/>
      </w:r>
    </w:p>
    <w:p w:rsidR="002A2E36" w:rsidRPr="00E661CC" w:rsidRDefault="00B149AA" w:rsidP="00B149AA">
      <w:pPr>
        <w:pStyle w:val="Heading1"/>
        <w:numPr>
          <w:ilvl w:val="0"/>
          <w:numId w:val="2"/>
        </w:numPr>
        <w:rPr>
          <w:rFonts w:ascii="Arial" w:eastAsiaTheme="minorHAnsi" w:hAnsi="Arial" w:cs="Arial"/>
        </w:rPr>
      </w:pPr>
      <w:bookmarkStart w:id="39" w:name="_Toc426984375"/>
      <w:r w:rsidRPr="00E661CC">
        <w:rPr>
          <w:rFonts w:ascii="Arial" w:eastAsiaTheme="minorHAnsi" w:hAnsi="Arial" w:cs="Arial"/>
        </w:rPr>
        <w:t>Conclusie</w:t>
      </w:r>
      <w:bookmarkEnd w:id="39"/>
    </w:p>
    <w:p w:rsidR="00B149AA" w:rsidRDefault="00B149AA" w:rsidP="00B149AA"/>
    <w:p w:rsidR="008F26AB" w:rsidRDefault="008F26AB" w:rsidP="008F26AB">
      <w:pPr>
        <w:pStyle w:val="Heading2"/>
      </w:pPr>
      <w:bookmarkStart w:id="40" w:name="_Toc426984376"/>
      <w:r>
        <w:t>6.1 Conclusie</w:t>
      </w:r>
      <w:bookmarkEnd w:id="40"/>
    </w:p>
    <w:p w:rsidR="00F64F31" w:rsidRDefault="00F64F31" w:rsidP="00857D67">
      <w:pPr>
        <w:spacing w:line="360" w:lineRule="auto"/>
        <w:rPr>
          <w:rFonts w:ascii="Arial" w:hAnsi="Arial" w:cs="Arial"/>
        </w:rPr>
      </w:pPr>
      <w:r>
        <w:rPr>
          <w:rFonts w:ascii="Arial" w:hAnsi="Arial" w:cs="Arial"/>
        </w:rPr>
        <w:t>Om een antwoord te geven op de hoofdvragen moet er eerst een antwoord g</w:t>
      </w:r>
      <w:r w:rsidR="00EA0B11">
        <w:rPr>
          <w:rFonts w:ascii="Arial" w:hAnsi="Arial" w:cs="Arial"/>
        </w:rPr>
        <w:t>eformuleerd worden voor de deel</w:t>
      </w:r>
      <w:r>
        <w:rPr>
          <w:rFonts w:ascii="Arial" w:hAnsi="Arial" w:cs="Arial"/>
        </w:rPr>
        <w:t xml:space="preserve">vragen. Samenvattend blijkt uit het tweede </w:t>
      </w:r>
      <w:r w:rsidR="00030C7F">
        <w:rPr>
          <w:rFonts w:ascii="Arial" w:hAnsi="Arial" w:cs="Arial"/>
        </w:rPr>
        <w:t xml:space="preserve">hoofdstuk </w:t>
      </w:r>
      <w:r>
        <w:rPr>
          <w:rFonts w:ascii="Arial" w:hAnsi="Arial" w:cs="Arial"/>
        </w:rPr>
        <w:t xml:space="preserve">dat in IAS staat hoe er voor voorraden </w:t>
      </w:r>
      <w:r w:rsidR="008E7AC1">
        <w:rPr>
          <w:rFonts w:ascii="Arial" w:hAnsi="Arial" w:cs="Arial"/>
        </w:rPr>
        <w:t>account</w:t>
      </w:r>
      <w:r>
        <w:rPr>
          <w:rFonts w:ascii="Arial" w:hAnsi="Arial" w:cs="Arial"/>
        </w:rPr>
        <w:t xml:space="preserve"> moet worden. De LIFO methode was niet meer toegestaan onder IAS. Er is aangetoond dat de financiële ratio’s significant verschillen tussen de LIFO en FIFO methode. </w:t>
      </w:r>
      <w:r w:rsidR="00F67681" w:rsidRPr="00857D67">
        <w:rPr>
          <w:rFonts w:ascii="Arial" w:hAnsi="Arial" w:cs="Arial"/>
        </w:rPr>
        <w:t>Deze wijziging heeft voor de investeerders en voor de aandeelhouders tot de situatie geleid dat sprake is van een meer transparante situatie zonder misleidende informatie.</w:t>
      </w:r>
      <w:r w:rsidR="00F67681">
        <w:rPr>
          <w:rFonts w:ascii="Arial" w:hAnsi="Arial" w:cs="Arial"/>
        </w:rPr>
        <w:t xml:space="preserve"> </w:t>
      </w:r>
      <w:r>
        <w:rPr>
          <w:rFonts w:ascii="Arial" w:hAnsi="Arial" w:cs="Arial"/>
        </w:rPr>
        <w:t>Onder de LIFO methode werd er ook minder belasting betaald.</w:t>
      </w:r>
      <w:r w:rsidR="00F67681">
        <w:rPr>
          <w:rFonts w:ascii="Arial" w:hAnsi="Arial" w:cs="Arial"/>
        </w:rPr>
        <w:t xml:space="preserve"> </w:t>
      </w:r>
    </w:p>
    <w:p w:rsidR="00B149AA" w:rsidRPr="00857D67" w:rsidRDefault="00F67681" w:rsidP="00857D67">
      <w:pPr>
        <w:spacing w:line="360" w:lineRule="auto"/>
        <w:rPr>
          <w:rFonts w:ascii="Arial" w:hAnsi="Arial" w:cs="Arial"/>
        </w:rPr>
      </w:pPr>
      <w:r>
        <w:rPr>
          <w:rFonts w:ascii="Arial" w:hAnsi="Arial" w:cs="Arial"/>
        </w:rPr>
        <w:t xml:space="preserve">In hoofdstuk </w:t>
      </w:r>
      <w:r w:rsidR="004E3B6B">
        <w:rPr>
          <w:rFonts w:ascii="Arial" w:hAnsi="Arial" w:cs="Arial"/>
        </w:rPr>
        <w:t xml:space="preserve">drie </w:t>
      </w:r>
      <w:r w:rsidR="002968C3">
        <w:rPr>
          <w:rFonts w:ascii="Arial" w:hAnsi="Arial" w:cs="Arial"/>
        </w:rPr>
        <w:t>is beschreven</w:t>
      </w:r>
      <w:r>
        <w:rPr>
          <w:rFonts w:ascii="Arial" w:hAnsi="Arial" w:cs="Arial"/>
        </w:rPr>
        <w:t xml:space="preserve"> dat voorraden</w:t>
      </w:r>
      <w:r w:rsidR="00B149AA" w:rsidRPr="00857D67">
        <w:rPr>
          <w:rFonts w:ascii="Arial" w:hAnsi="Arial" w:cs="Arial"/>
        </w:rPr>
        <w:t xml:space="preserve"> activa</w:t>
      </w:r>
      <w:r>
        <w:rPr>
          <w:rFonts w:ascii="Arial" w:hAnsi="Arial" w:cs="Arial"/>
        </w:rPr>
        <w:t xml:space="preserve"> zijn</w:t>
      </w:r>
      <w:r w:rsidR="00B149AA" w:rsidRPr="00857D67">
        <w:rPr>
          <w:rFonts w:ascii="Arial" w:hAnsi="Arial" w:cs="Arial"/>
        </w:rPr>
        <w:t xml:space="preserve"> die worden aangehouden voor de verkoop binnen de normale bedrijfsvoering, in het productieproces voor een dergelijke verkoop of in de vorm van grond- en hulpstoffen die worden verbruikt tijdens het productieproces. Verschillende categorieën voorraden bestaan waarvan voor agrarische en fungibele producten een aantal specifieke bepalingen van toepassing zijn.</w:t>
      </w:r>
      <w:r>
        <w:rPr>
          <w:rFonts w:ascii="Arial" w:hAnsi="Arial" w:cs="Arial"/>
        </w:rPr>
        <w:t xml:space="preserve"> IAS heeft voor de agrarische producten een aparte regeling getroffen. Ze gaan dieper in voor hoe er voor agrarische producten account moet worden. Hier was te zien dat er een duidelijk verschil is tussen IAS en RJ als het gaat om het begrip voorraden. </w:t>
      </w:r>
    </w:p>
    <w:p w:rsidR="00B149AA" w:rsidRPr="00857D67" w:rsidRDefault="00F67681" w:rsidP="00857D67">
      <w:pPr>
        <w:spacing w:line="360" w:lineRule="auto"/>
        <w:rPr>
          <w:rFonts w:ascii="Arial" w:hAnsi="Arial" w:cs="Arial"/>
        </w:rPr>
      </w:pPr>
      <w:r>
        <w:rPr>
          <w:rFonts w:ascii="Arial" w:hAnsi="Arial" w:cs="Arial"/>
        </w:rPr>
        <w:t>In het vierde hoofd</w:t>
      </w:r>
      <w:r w:rsidR="002968C3">
        <w:rPr>
          <w:rFonts w:ascii="Arial" w:hAnsi="Arial" w:cs="Arial"/>
        </w:rPr>
        <w:t>stuk is</w:t>
      </w:r>
      <w:r>
        <w:rPr>
          <w:rFonts w:ascii="Arial" w:hAnsi="Arial" w:cs="Arial"/>
        </w:rPr>
        <w:t xml:space="preserve"> te </w:t>
      </w:r>
      <w:r w:rsidR="002968C3">
        <w:rPr>
          <w:rFonts w:ascii="Arial" w:hAnsi="Arial" w:cs="Arial"/>
        </w:rPr>
        <w:t>lezen</w:t>
      </w:r>
      <w:r>
        <w:rPr>
          <w:rFonts w:ascii="Arial" w:hAnsi="Arial" w:cs="Arial"/>
        </w:rPr>
        <w:t xml:space="preserve"> wat het verschil is in de waardering van de voorraden tussen RJ en IAS. </w:t>
      </w:r>
      <w:r w:rsidR="00B149AA" w:rsidRPr="00857D67">
        <w:rPr>
          <w:rFonts w:ascii="Arial" w:hAnsi="Arial" w:cs="Arial"/>
        </w:rPr>
        <w:t xml:space="preserve">De waardering van alle fysieke aanwezige voorraden wordt uitgevoerd op basis van de kostprijs of basis van de actuele waarde. </w:t>
      </w:r>
      <w:proofErr w:type="gramStart"/>
      <w:r w:rsidR="00B149AA" w:rsidRPr="00857D67">
        <w:rPr>
          <w:rFonts w:ascii="Arial" w:hAnsi="Arial" w:cs="Arial"/>
        </w:rPr>
        <w:t>De</w:t>
      </w:r>
      <w:proofErr w:type="gramEnd"/>
      <w:r w:rsidR="00B149AA" w:rsidRPr="00857D67">
        <w:rPr>
          <w:rFonts w:ascii="Arial" w:hAnsi="Arial" w:cs="Arial"/>
        </w:rPr>
        <w:t xml:space="preserve"> Nederlandse wet- en regelgeving staat het toepassen van beide waarderingsgrondslagen vrijwel onverminderd toe op basis van IFRS is waardering tegen actuele waarde slechts in een klein aantal gevallen toestaat. De kostprijs bestaat uit de verkrijgingsprijs/vervaardigingsprijs en de overige kosten die worden gemaakt </w:t>
      </w:r>
      <w:r w:rsidR="00AD51CB">
        <w:rPr>
          <w:rFonts w:ascii="Arial" w:hAnsi="Arial" w:cs="Arial"/>
        </w:rPr>
        <w:t>om</w:t>
      </w:r>
      <w:r w:rsidR="00B149AA" w:rsidRPr="00857D67">
        <w:rPr>
          <w:rFonts w:ascii="Arial" w:hAnsi="Arial" w:cs="Arial"/>
        </w:rPr>
        <w:t xml:space="preserve"> de voorraden op hun huidige plaats en in hun huidige staat te brengen. De vervaardigingsprijs betreft onder meer de directe productiekosten en de toerekenbare indirecte productiekosten. Voor agrarische en fungibele goederen bestaan verschillende en specifieke voorschriften voor de waardering en de resultaatvaststelling.</w:t>
      </w:r>
      <w:r>
        <w:rPr>
          <w:rFonts w:ascii="Arial" w:hAnsi="Arial" w:cs="Arial"/>
        </w:rPr>
        <w:t xml:space="preserve"> De agrarische producten dienen onder IAS gewaardeerd te worden tegen de reële waarde. Dit is het grootste verschil met RJ. De voor- nadelen van de </w:t>
      </w:r>
      <w:r w:rsidR="00EB0F69">
        <w:rPr>
          <w:rFonts w:ascii="Arial" w:hAnsi="Arial" w:cs="Arial"/>
        </w:rPr>
        <w:t>reële</w:t>
      </w:r>
      <w:r>
        <w:rPr>
          <w:rFonts w:ascii="Arial" w:hAnsi="Arial" w:cs="Arial"/>
        </w:rPr>
        <w:t xml:space="preserve"> waarde worden in het daarop volgende hoofdstuk </w:t>
      </w:r>
      <w:r w:rsidR="00EB0F69">
        <w:rPr>
          <w:rFonts w:ascii="Arial" w:hAnsi="Arial" w:cs="Arial"/>
        </w:rPr>
        <w:t xml:space="preserve">besproken. </w:t>
      </w:r>
    </w:p>
    <w:p w:rsidR="00B149AA" w:rsidRPr="00857D67" w:rsidRDefault="00863634" w:rsidP="00857D67">
      <w:pPr>
        <w:spacing w:line="360" w:lineRule="auto"/>
        <w:rPr>
          <w:rFonts w:ascii="Arial" w:hAnsi="Arial" w:cs="Arial"/>
        </w:rPr>
      </w:pPr>
      <w:r>
        <w:rPr>
          <w:rFonts w:ascii="Arial" w:hAnsi="Arial" w:cs="Arial"/>
        </w:rPr>
        <w:t xml:space="preserve">Voordelen </w:t>
      </w:r>
      <w:r w:rsidR="008912DC">
        <w:rPr>
          <w:rFonts w:ascii="Arial" w:hAnsi="Arial" w:cs="Arial"/>
        </w:rPr>
        <w:t>IAS</w:t>
      </w:r>
    </w:p>
    <w:p w:rsidR="00B149AA" w:rsidRPr="00857D67" w:rsidRDefault="00B149AA" w:rsidP="00857D67">
      <w:pPr>
        <w:pStyle w:val="ListParagraph"/>
        <w:numPr>
          <w:ilvl w:val="0"/>
          <w:numId w:val="25"/>
        </w:numPr>
        <w:spacing w:after="160" w:line="360" w:lineRule="auto"/>
        <w:rPr>
          <w:rFonts w:ascii="Arial" w:hAnsi="Arial" w:cs="Arial"/>
        </w:rPr>
      </w:pPr>
      <w:r w:rsidRPr="00857D67">
        <w:rPr>
          <w:rFonts w:ascii="Arial" w:hAnsi="Arial" w:cs="Arial"/>
        </w:rPr>
        <w:t>Uitsplitsing van voorraden in verschillende categorieën</w:t>
      </w:r>
    </w:p>
    <w:p w:rsidR="00B149AA" w:rsidRPr="00857D67" w:rsidRDefault="00B149AA" w:rsidP="00857D67">
      <w:pPr>
        <w:pStyle w:val="ListParagraph"/>
        <w:numPr>
          <w:ilvl w:val="0"/>
          <w:numId w:val="25"/>
        </w:numPr>
        <w:spacing w:after="160" w:line="360" w:lineRule="auto"/>
        <w:rPr>
          <w:rFonts w:ascii="Arial" w:hAnsi="Arial" w:cs="Arial"/>
        </w:rPr>
      </w:pPr>
      <w:r w:rsidRPr="00857D67">
        <w:rPr>
          <w:rFonts w:ascii="Arial" w:hAnsi="Arial" w:cs="Arial"/>
        </w:rPr>
        <w:t>Verbod van het toepassen van LIFO leidt tot het voorkomen van het toepassen van earnings management</w:t>
      </w:r>
    </w:p>
    <w:p w:rsidR="00B149AA" w:rsidRDefault="00B149AA" w:rsidP="00857D67">
      <w:pPr>
        <w:pStyle w:val="ListParagraph"/>
        <w:numPr>
          <w:ilvl w:val="0"/>
          <w:numId w:val="25"/>
        </w:numPr>
        <w:spacing w:after="160" w:line="360" w:lineRule="auto"/>
        <w:rPr>
          <w:rFonts w:ascii="Arial" w:hAnsi="Arial" w:cs="Arial"/>
        </w:rPr>
      </w:pPr>
      <w:r w:rsidRPr="00857D67">
        <w:rPr>
          <w:rFonts w:ascii="Arial" w:hAnsi="Arial" w:cs="Arial"/>
        </w:rPr>
        <w:t xml:space="preserve">Terugneming van impairment op voorraden is op basis van IFRS mogelijk </w:t>
      </w:r>
    </w:p>
    <w:p w:rsidR="00B55332" w:rsidRDefault="00B55332" w:rsidP="00857D67">
      <w:pPr>
        <w:pStyle w:val="ListParagraph"/>
        <w:numPr>
          <w:ilvl w:val="0"/>
          <w:numId w:val="25"/>
        </w:numPr>
        <w:spacing w:after="160" w:line="360" w:lineRule="auto"/>
        <w:rPr>
          <w:rFonts w:ascii="Arial" w:hAnsi="Arial" w:cs="Arial"/>
        </w:rPr>
      </w:pPr>
      <w:r>
        <w:rPr>
          <w:rFonts w:ascii="Arial" w:hAnsi="Arial" w:cs="Arial"/>
        </w:rPr>
        <w:t>IAS heeft een duidelijke splitsing tussen biologische activa en agrarische producten.</w:t>
      </w:r>
    </w:p>
    <w:p w:rsidR="00B55332" w:rsidRDefault="00B55332" w:rsidP="00857D67">
      <w:pPr>
        <w:pStyle w:val="ListParagraph"/>
        <w:numPr>
          <w:ilvl w:val="0"/>
          <w:numId w:val="25"/>
        </w:numPr>
        <w:spacing w:after="160" w:line="360" w:lineRule="auto"/>
        <w:rPr>
          <w:rFonts w:ascii="Arial" w:hAnsi="Arial" w:cs="Arial"/>
        </w:rPr>
      </w:pPr>
      <w:r>
        <w:rPr>
          <w:rFonts w:ascii="Arial" w:hAnsi="Arial" w:cs="Arial"/>
        </w:rPr>
        <w:t xml:space="preserve">Voor de agrarische producten is er een aparte regeling in IAS opgenomen. </w:t>
      </w:r>
    </w:p>
    <w:p w:rsidR="008912DC" w:rsidRDefault="008912DC" w:rsidP="008912DC">
      <w:pPr>
        <w:spacing w:after="160" w:line="360" w:lineRule="auto"/>
        <w:rPr>
          <w:rFonts w:ascii="Arial" w:hAnsi="Arial" w:cs="Arial"/>
        </w:rPr>
      </w:pPr>
      <w:r>
        <w:rPr>
          <w:rFonts w:ascii="Arial" w:hAnsi="Arial" w:cs="Arial"/>
        </w:rPr>
        <w:t>Kritiek punten IAS</w:t>
      </w:r>
    </w:p>
    <w:p w:rsidR="008912DC" w:rsidRDefault="008912DC" w:rsidP="008912DC">
      <w:pPr>
        <w:pStyle w:val="ListParagraph"/>
        <w:numPr>
          <w:ilvl w:val="0"/>
          <w:numId w:val="27"/>
        </w:numPr>
        <w:spacing w:after="160" w:line="360" w:lineRule="auto"/>
        <w:rPr>
          <w:rFonts w:ascii="Arial" w:hAnsi="Arial" w:cs="Arial"/>
        </w:rPr>
      </w:pPr>
      <w:r>
        <w:rPr>
          <w:rFonts w:ascii="Arial" w:hAnsi="Arial" w:cs="Arial"/>
        </w:rPr>
        <w:t xml:space="preserve">Bij het bepalen van de reële waarde komt altijd een stuk subjectiviteit bij kijken. </w:t>
      </w:r>
    </w:p>
    <w:p w:rsidR="008912DC" w:rsidRDefault="008912DC" w:rsidP="008912DC">
      <w:pPr>
        <w:pStyle w:val="ListParagraph"/>
        <w:numPr>
          <w:ilvl w:val="0"/>
          <w:numId w:val="27"/>
        </w:numPr>
        <w:spacing w:after="160" w:line="360" w:lineRule="auto"/>
        <w:rPr>
          <w:rFonts w:ascii="Arial" w:hAnsi="Arial" w:cs="Arial"/>
        </w:rPr>
      </w:pPr>
      <w:r>
        <w:rPr>
          <w:rFonts w:ascii="Arial" w:hAnsi="Arial" w:cs="Arial"/>
        </w:rPr>
        <w:t xml:space="preserve">Omdat geen enkel product hetzelfde is moeten de producten worden gecategoriseerd worden bijvoorbeeld naar type en grote. Dit zorgt voor stagnatie in het productieproces. </w:t>
      </w:r>
    </w:p>
    <w:p w:rsidR="008912DC" w:rsidRPr="008912DC" w:rsidRDefault="008912DC" w:rsidP="008912DC">
      <w:pPr>
        <w:pStyle w:val="ListParagraph"/>
        <w:numPr>
          <w:ilvl w:val="0"/>
          <w:numId w:val="27"/>
        </w:numPr>
        <w:spacing w:after="160" w:line="360" w:lineRule="auto"/>
        <w:rPr>
          <w:rFonts w:ascii="Arial" w:hAnsi="Arial" w:cs="Arial"/>
        </w:rPr>
      </w:pPr>
      <w:r>
        <w:rPr>
          <w:rFonts w:ascii="Arial" w:hAnsi="Arial" w:cs="Arial"/>
        </w:rPr>
        <w:t xml:space="preserve">Omdat de producten zo van elkaar verschillen is het de vraag of er voor de producten wel een actieve markt bestaat om zo de reële waarde te bepalen. </w:t>
      </w:r>
    </w:p>
    <w:p w:rsidR="00B149AA" w:rsidRPr="00857D67" w:rsidRDefault="00863634" w:rsidP="00857D67">
      <w:pPr>
        <w:spacing w:line="360" w:lineRule="auto"/>
        <w:rPr>
          <w:rFonts w:ascii="Arial" w:hAnsi="Arial" w:cs="Arial"/>
        </w:rPr>
      </w:pPr>
      <w:r>
        <w:rPr>
          <w:rFonts w:ascii="Arial" w:hAnsi="Arial" w:cs="Arial"/>
        </w:rPr>
        <w:t xml:space="preserve">Voordelen </w:t>
      </w:r>
      <w:r w:rsidR="00B149AA" w:rsidRPr="00857D67">
        <w:rPr>
          <w:rFonts w:ascii="Arial" w:hAnsi="Arial" w:cs="Arial"/>
        </w:rPr>
        <w:t>RJ</w:t>
      </w:r>
    </w:p>
    <w:p w:rsidR="00B149AA" w:rsidRPr="00857D67" w:rsidRDefault="00B149AA" w:rsidP="00857D67">
      <w:pPr>
        <w:pStyle w:val="ListParagraph"/>
        <w:numPr>
          <w:ilvl w:val="0"/>
          <w:numId w:val="26"/>
        </w:numPr>
        <w:spacing w:after="160" w:line="360" w:lineRule="auto"/>
        <w:rPr>
          <w:rFonts w:ascii="Arial" w:hAnsi="Arial" w:cs="Arial"/>
        </w:rPr>
      </w:pPr>
      <w:r w:rsidRPr="00857D67">
        <w:rPr>
          <w:rFonts w:ascii="Arial" w:hAnsi="Arial" w:cs="Arial"/>
        </w:rPr>
        <w:t>Toepassing van de LIFO-methode kan leiden tot belastingvoordelen</w:t>
      </w:r>
    </w:p>
    <w:p w:rsidR="00B149AA" w:rsidRPr="00857D67" w:rsidRDefault="00B149AA" w:rsidP="00857D67">
      <w:pPr>
        <w:pStyle w:val="ListParagraph"/>
        <w:numPr>
          <w:ilvl w:val="0"/>
          <w:numId w:val="26"/>
        </w:numPr>
        <w:spacing w:after="160" w:line="360" w:lineRule="auto"/>
        <w:rPr>
          <w:rFonts w:ascii="Arial" w:hAnsi="Arial" w:cs="Arial"/>
        </w:rPr>
      </w:pPr>
      <w:r w:rsidRPr="00857D67">
        <w:rPr>
          <w:rFonts w:ascii="Arial" w:hAnsi="Arial" w:cs="Arial"/>
        </w:rPr>
        <w:t xml:space="preserve">De vaststelling van de </w:t>
      </w:r>
      <w:r w:rsidR="00D6119D">
        <w:rPr>
          <w:rFonts w:ascii="Arial" w:hAnsi="Arial" w:cs="Arial"/>
        </w:rPr>
        <w:t>r</w:t>
      </w:r>
      <w:r w:rsidR="00DD04C6">
        <w:rPr>
          <w:rFonts w:ascii="Arial" w:hAnsi="Arial" w:cs="Arial"/>
        </w:rPr>
        <w:t>eële waarde</w:t>
      </w:r>
      <w:r w:rsidRPr="00857D67">
        <w:rPr>
          <w:rFonts w:ascii="Arial" w:hAnsi="Arial" w:cs="Arial"/>
        </w:rPr>
        <w:t xml:space="preserve"> van agrarische producten op basis van IAS 41 is gecompliceerd</w:t>
      </w:r>
      <w:r w:rsidR="00863634">
        <w:rPr>
          <w:rFonts w:ascii="Arial" w:hAnsi="Arial" w:cs="Arial"/>
        </w:rPr>
        <w:t xml:space="preserve">. </w:t>
      </w:r>
    </w:p>
    <w:p w:rsidR="00EB49BB" w:rsidRDefault="00EB49BB" w:rsidP="00464A6C">
      <w:pPr>
        <w:spacing w:line="360" w:lineRule="auto"/>
        <w:rPr>
          <w:rFonts w:ascii="Arial" w:hAnsi="Arial" w:cs="Arial"/>
        </w:rPr>
      </w:pPr>
      <w:r>
        <w:rPr>
          <w:rFonts w:ascii="Arial" w:hAnsi="Arial" w:cs="Arial"/>
        </w:rPr>
        <w:t xml:space="preserve">Tenslotte kan geconcludeerd worden dat de impact van de verplichte invoering van IAS afhankelijk is van </w:t>
      </w:r>
      <w:proofErr w:type="gramStart"/>
      <w:r>
        <w:rPr>
          <w:rFonts w:ascii="Arial" w:hAnsi="Arial" w:cs="Arial"/>
        </w:rPr>
        <w:t>de</w:t>
      </w:r>
      <w:proofErr w:type="gramEnd"/>
      <w:r>
        <w:rPr>
          <w:rFonts w:ascii="Arial" w:hAnsi="Arial" w:cs="Arial"/>
        </w:rPr>
        <w:t xml:space="preserve"> type voorraden. De fungibele voorraden mogen onder IAS niet meer gewaardeerd worden volgend de LIFO methode. Dit had invloed op financiële ratio’s van de onderneming. Het zorgt ervoor dat de vergelijkbaarheid van de ratio’s beter werd. Dit was te zien in het onderzoek van Katz en Romeo. Verder is het niet meer mogelijk om de belastingvoordelen onder LIFO te behalen. Een derde punt is de waardering van de voorraden op de balans. </w:t>
      </w:r>
      <w:r w:rsidR="00030C7F">
        <w:rPr>
          <w:rFonts w:ascii="Arial" w:hAnsi="Arial" w:cs="Arial"/>
        </w:rPr>
        <w:t xml:space="preserve">De voorraden op de balans, weergeven nu een betere waarde weer van de echte waarde van de voorraden. </w:t>
      </w:r>
      <w:r>
        <w:rPr>
          <w:rFonts w:ascii="Arial" w:hAnsi="Arial" w:cs="Arial"/>
        </w:rPr>
        <w:t xml:space="preserve">Tot slot heeft IAS een aparte regeling getroffen voor agrarische producten. Er wordt apart ingegaan op de agrarische producten en is uitgebreider dan onder RJ. </w:t>
      </w:r>
    </w:p>
    <w:p w:rsidR="00464A6C" w:rsidRDefault="00D11EDA" w:rsidP="00464A6C">
      <w:pPr>
        <w:spacing w:line="360" w:lineRule="auto"/>
      </w:pPr>
      <w:r>
        <w:rPr>
          <w:rFonts w:ascii="Arial" w:hAnsi="Arial" w:cs="Arial"/>
        </w:rPr>
        <w:t>De invoering heeft veel voordelen met zich meegebracht. Toch zijn er</w:t>
      </w:r>
      <w:r w:rsidR="00EB49BB">
        <w:rPr>
          <w:rFonts w:ascii="Arial" w:hAnsi="Arial" w:cs="Arial"/>
        </w:rPr>
        <w:t xml:space="preserve"> nog </w:t>
      </w:r>
      <w:r>
        <w:rPr>
          <w:rFonts w:ascii="Arial" w:hAnsi="Arial" w:cs="Arial"/>
        </w:rPr>
        <w:t xml:space="preserve">een aantal kritiek punten op IAS. </w:t>
      </w:r>
      <w:r w:rsidR="00F91F92" w:rsidRPr="00464A6C">
        <w:rPr>
          <w:rFonts w:ascii="Arial" w:hAnsi="Arial" w:cs="Arial"/>
        </w:rPr>
        <w:t>De</w:t>
      </w:r>
      <w:r w:rsidR="00DD04C6" w:rsidRPr="00464A6C">
        <w:rPr>
          <w:rFonts w:ascii="Arial" w:hAnsi="Arial" w:cs="Arial"/>
        </w:rPr>
        <w:t xml:space="preserve"> kritiek van de reële waarde waardering zal altijd een discussie punt blijven. Dit heeft ook betrekking op andere activa van de onderneming. De reële waarde benadering heeft een subjectief aspect in zich. </w:t>
      </w:r>
      <w:r w:rsidR="00F91F92" w:rsidRPr="00464A6C">
        <w:rPr>
          <w:rFonts w:ascii="Arial" w:hAnsi="Arial" w:cs="Arial"/>
        </w:rPr>
        <w:t xml:space="preserve">De managers moeten </w:t>
      </w:r>
      <w:r w:rsidR="00EB49BB">
        <w:rPr>
          <w:rFonts w:ascii="Arial" w:hAnsi="Arial" w:cs="Arial"/>
        </w:rPr>
        <w:t xml:space="preserve">daarom volgens IAS </w:t>
      </w:r>
      <w:r w:rsidR="00F91F92" w:rsidRPr="00464A6C">
        <w:rPr>
          <w:rFonts w:ascii="Arial" w:hAnsi="Arial" w:cs="Arial"/>
        </w:rPr>
        <w:t>de verantwoording op basis van de reële waar</w:t>
      </w:r>
      <w:r w:rsidR="00F91F92">
        <w:rPr>
          <w:rFonts w:ascii="Arial" w:hAnsi="Arial" w:cs="Arial"/>
        </w:rPr>
        <w:t>de waarderingen in de toelichting</w:t>
      </w:r>
      <w:r w:rsidR="00F91F92" w:rsidRPr="00464A6C">
        <w:rPr>
          <w:rFonts w:ascii="Arial" w:hAnsi="Arial" w:cs="Arial"/>
        </w:rPr>
        <w:t xml:space="preserve"> opnemen waardoor buitenstaanders dit kunnen beoordelen. </w:t>
      </w:r>
      <w:r w:rsidR="0020094D">
        <w:rPr>
          <w:rFonts w:ascii="Arial" w:hAnsi="Arial" w:cs="Arial"/>
        </w:rPr>
        <w:t xml:space="preserve">De manier waarop de onderneming op de reële waarde is gekomen en de risico’s die ze hierover lopen worden hierin vermeld. </w:t>
      </w:r>
      <w:r w:rsidR="00964FE5">
        <w:rPr>
          <w:rFonts w:ascii="Arial" w:hAnsi="Arial" w:cs="Arial"/>
        </w:rPr>
        <w:t xml:space="preserve">Hierdoor krijgen de buitenstaanders een beter inzicht in de risico’s die de onderneming loopt over haar voorraden. </w:t>
      </w:r>
    </w:p>
    <w:p w:rsidR="00464A6C" w:rsidRDefault="008F26AB" w:rsidP="00464A6C">
      <w:pPr>
        <w:pStyle w:val="Heading2"/>
      </w:pPr>
      <w:bookmarkStart w:id="41" w:name="_Toc426984377"/>
      <w:r>
        <w:t>6.2</w:t>
      </w:r>
      <w:r w:rsidR="00464A6C">
        <w:t xml:space="preserve"> </w:t>
      </w:r>
      <w:r>
        <w:t>B</w:t>
      </w:r>
      <w:r w:rsidR="00464A6C">
        <w:t>eperkingen</w:t>
      </w:r>
      <w:bookmarkEnd w:id="41"/>
    </w:p>
    <w:p w:rsidR="005F3DFC" w:rsidRDefault="00464A6C" w:rsidP="00464A6C">
      <w:pPr>
        <w:spacing w:line="360" w:lineRule="auto"/>
        <w:rPr>
          <w:rFonts w:ascii="Arial" w:hAnsi="Arial" w:cs="Arial"/>
        </w:rPr>
      </w:pPr>
      <w:r w:rsidRPr="00464A6C">
        <w:rPr>
          <w:rFonts w:ascii="Arial" w:hAnsi="Arial" w:cs="Arial"/>
        </w:rPr>
        <w:t xml:space="preserve">Dit onderzoek heeft zich gefocust op het verschil tussen de Nederlandse wetgeving en de internationale standaarden. Hierdoor is dit onderzoek niet toepasbaar in het buitenland. Als men </w:t>
      </w:r>
      <w:r w:rsidR="00F91F92" w:rsidRPr="00464A6C">
        <w:rPr>
          <w:rFonts w:ascii="Arial" w:hAnsi="Arial" w:cs="Arial"/>
        </w:rPr>
        <w:t>wil</w:t>
      </w:r>
      <w:r w:rsidRPr="00464A6C">
        <w:rPr>
          <w:rFonts w:ascii="Arial" w:hAnsi="Arial" w:cs="Arial"/>
        </w:rPr>
        <w:t xml:space="preserve"> weten of IFRS een verbetering is ten opzichte van eerdere regelgeving zullen een aantal landen vergeleken moeten van voor en na de verplichte invoering van IFRS. </w:t>
      </w:r>
    </w:p>
    <w:p w:rsidR="005F3DFC" w:rsidRDefault="005F3DFC" w:rsidP="00464A6C">
      <w:pPr>
        <w:spacing w:line="360" w:lineRule="auto"/>
        <w:rPr>
          <w:rFonts w:ascii="Arial" w:hAnsi="Arial" w:cs="Arial"/>
        </w:rPr>
      </w:pPr>
      <w:r>
        <w:rPr>
          <w:rFonts w:ascii="Arial" w:hAnsi="Arial" w:cs="Arial"/>
        </w:rPr>
        <w:t xml:space="preserve">Een andere beperking waarmee dit onderzoek te maken heeft is dat </w:t>
      </w:r>
      <w:r w:rsidR="00340AC4">
        <w:rPr>
          <w:rFonts w:ascii="Arial" w:hAnsi="Arial" w:cs="Arial"/>
        </w:rPr>
        <w:t xml:space="preserve">dit onderzoek </w:t>
      </w:r>
      <w:r>
        <w:rPr>
          <w:rFonts w:ascii="Arial" w:hAnsi="Arial" w:cs="Arial"/>
        </w:rPr>
        <w:t xml:space="preserve">uitgaat van de algemene jaarrekeningen van ondernemingen. In toekomstig onderzoek kan er gekeken worden naar individuele ondernemingen en zo de impact van IFRS op individueel niveau worden bekeken. </w:t>
      </w:r>
    </w:p>
    <w:p w:rsidR="00464A6C" w:rsidRPr="00464A6C" w:rsidRDefault="00F91F92" w:rsidP="00464A6C">
      <w:pPr>
        <w:spacing w:line="360" w:lineRule="auto"/>
        <w:rPr>
          <w:rFonts w:ascii="Arial" w:hAnsi="Arial" w:cs="Arial"/>
        </w:rPr>
      </w:pPr>
      <w:r w:rsidRPr="00464A6C">
        <w:rPr>
          <w:rFonts w:ascii="Arial" w:hAnsi="Arial" w:cs="Arial"/>
        </w:rPr>
        <w:t>De</w:t>
      </w:r>
      <w:r w:rsidR="00464A6C" w:rsidRPr="00464A6C">
        <w:rPr>
          <w:rFonts w:ascii="Arial" w:hAnsi="Arial" w:cs="Arial"/>
        </w:rPr>
        <w:t xml:space="preserve"> kritiek dat gegeven </w:t>
      </w:r>
      <w:r w:rsidR="00A9475E" w:rsidRPr="00464A6C">
        <w:rPr>
          <w:rFonts w:ascii="Arial" w:hAnsi="Arial" w:cs="Arial"/>
        </w:rPr>
        <w:t>wordt</w:t>
      </w:r>
      <w:r w:rsidR="00464A6C" w:rsidRPr="00464A6C">
        <w:rPr>
          <w:rFonts w:ascii="Arial" w:hAnsi="Arial" w:cs="Arial"/>
        </w:rPr>
        <w:t xml:space="preserve"> op IFRS is voor gericht op de reële waarde. Omdat hier een stuk subjectiviteit </w:t>
      </w:r>
      <w:r w:rsidR="00A9475E" w:rsidRPr="00464A6C">
        <w:rPr>
          <w:rFonts w:ascii="Arial" w:hAnsi="Arial" w:cs="Arial"/>
        </w:rPr>
        <w:t>inzit,</w:t>
      </w:r>
      <w:r w:rsidR="00464A6C" w:rsidRPr="00464A6C">
        <w:rPr>
          <w:rFonts w:ascii="Arial" w:hAnsi="Arial" w:cs="Arial"/>
        </w:rPr>
        <w:t xml:space="preserve"> zal dit altijd leiden tot discussie tussen voor- en tegenstanders van de reële waardering. </w:t>
      </w:r>
      <w:r w:rsidR="005F3DFC">
        <w:rPr>
          <w:rFonts w:ascii="Arial" w:hAnsi="Arial" w:cs="Arial"/>
        </w:rPr>
        <w:t xml:space="preserve">Een verder onderzoek in de reële waarde van producten kan beter bepalen of IFRS heeft geleid tot een verbetering. </w:t>
      </w:r>
      <w:r w:rsidR="00464A6C" w:rsidRPr="00464A6C">
        <w:rPr>
          <w:rFonts w:ascii="Arial" w:hAnsi="Arial" w:cs="Arial"/>
        </w:rPr>
        <w:br w:type="page"/>
      </w:r>
    </w:p>
    <w:p w:rsidR="00BD0D40" w:rsidRDefault="00BD0D40" w:rsidP="00464A6C">
      <w:pPr>
        <w:spacing w:line="360" w:lineRule="auto"/>
      </w:pPr>
    </w:p>
    <w:p w:rsidR="003C4758" w:rsidRPr="00340AC4" w:rsidRDefault="003C4758" w:rsidP="005F7C59">
      <w:pPr>
        <w:pStyle w:val="Heading1"/>
        <w:numPr>
          <w:ilvl w:val="0"/>
          <w:numId w:val="2"/>
        </w:numPr>
        <w:rPr>
          <w:rFonts w:ascii="Arial" w:hAnsi="Arial" w:cs="Arial"/>
        </w:rPr>
      </w:pPr>
      <w:r w:rsidRPr="00340AC4">
        <w:rPr>
          <w:rFonts w:ascii="Arial" w:hAnsi="Arial" w:cs="Arial"/>
        </w:rPr>
        <w:t xml:space="preserve"> </w:t>
      </w:r>
      <w:bookmarkStart w:id="42" w:name="_Toc426984378"/>
      <w:r w:rsidRPr="00340AC4">
        <w:rPr>
          <w:rFonts w:ascii="Arial" w:hAnsi="Arial" w:cs="Arial"/>
        </w:rPr>
        <w:t>Bibliografie</w:t>
      </w:r>
      <w:bookmarkEnd w:id="42"/>
    </w:p>
    <w:sdt>
      <w:sdtPr>
        <w:id w:val="1744066649"/>
        <w:docPartObj>
          <w:docPartGallery w:val="Bibliographies"/>
          <w:docPartUnique/>
        </w:docPartObj>
      </w:sdtPr>
      <w:sdtContent>
        <w:p w:rsidR="003C4758" w:rsidRPr="003C4758" w:rsidRDefault="003C4758" w:rsidP="003C4758"/>
        <w:sdt>
          <w:sdtPr>
            <w:id w:val="111145805"/>
            <w:bibliography/>
          </w:sdtPr>
          <w:sdtContent>
            <w:p w:rsidR="00055EC3" w:rsidRPr="00055EC3" w:rsidRDefault="007A6E22" w:rsidP="00055EC3">
              <w:pPr>
                <w:pStyle w:val="Bibliography"/>
                <w:ind w:left="720" w:hanging="720"/>
                <w:rPr>
                  <w:noProof/>
                  <w:lang w:val="en-GB"/>
                </w:rPr>
              </w:pPr>
              <w:r w:rsidRPr="007A6E22">
                <w:fldChar w:fldCharType="begin"/>
              </w:r>
              <w:r w:rsidR="003C4758" w:rsidRPr="00DD04C6">
                <w:rPr>
                  <w:lang w:val="en-GB"/>
                </w:rPr>
                <w:instrText>BIBLIOGRAPHY</w:instrText>
              </w:r>
              <w:r w:rsidRPr="007A6E22">
                <w:fldChar w:fldCharType="separate"/>
              </w:r>
              <w:r w:rsidR="00055EC3" w:rsidRPr="00055EC3">
                <w:rPr>
                  <w:noProof/>
                  <w:lang w:val="en-GB"/>
                </w:rPr>
                <w:t xml:space="preserve">Abdel-Khalik, R. A. (1985). The Effect of LIFO-Switching and Firm Ownership on Executives' Pay. </w:t>
              </w:r>
              <w:r w:rsidR="00055EC3" w:rsidRPr="00055EC3">
                <w:rPr>
                  <w:i/>
                  <w:iCs/>
                  <w:noProof/>
                  <w:lang w:val="en-GB"/>
                </w:rPr>
                <w:t>Journal of Accounting Research</w:t>
              </w:r>
              <w:r w:rsidR="00055EC3" w:rsidRPr="00055EC3">
                <w:rPr>
                  <w:noProof/>
                  <w:lang w:val="en-GB"/>
                </w:rPr>
                <w:t>, 427-447.</w:t>
              </w:r>
            </w:p>
            <w:p w:rsidR="00055EC3" w:rsidRPr="00055EC3" w:rsidRDefault="00055EC3" w:rsidP="00055EC3">
              <w:pPr>
                <w:pStyle w:val="Bibliography"/>
                <w:ind w:left="720" w:hanging="720"/>
                <w:rPr>
                  <w:noProof/>
                  <w:lang w:val="en-GB"/>
                </w:rPr>
              </w:pPr>
              <w:r w:rsidRPr="00055EC3">
                <w:rPr>
                  <w:noProof/>
                  <w:lang w:val="en-GB"/>
                </w:rPr>
                <w:t xml:space="preserve">Argilés, J. M., &amp; Slof, E. J. (2000). New Opportunities for Farm Accounting. </w:t>
              </w:r>
              <w:r w:rsidRPr="00055EC3">
                <w:rPr>
                  <w:i/>
                  <w:iCs/>
                  <w:noProof/>
                  <w:lang w:val="en-GB"/>
                </w:rPr>
                <w:t>UPF Economics and Business Working Paper</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Askew, J. A. (2010). Analyzing Financial Statements under IFRS - Opportunities &amp; Challenges. </w:t>
              </w:r>
              <w:r w:rsidRPr="00055EC3">
                <w:rPr>
                  <w:i/>
                  <w:iCs/>
                  <w:noProof/>
                  <w:lang w:val="en-GB"/>
                </w:rPr>
                <w:t>Journal of leadership, accountability and ethics</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Azevedo, G. (2007). </w:t>
              </w:r>
              <w:r w:rsidRPr="00055EC3">
                <w:rPr>
                  <w:i/>
                  <w:iCs/>
                  <w:noProof/>
                  <w:lang w:val="en-GB"/>
                </w:rPr>
                <w:t>The Impact of International Accounting Standard 41 'Agriculture' in the Wine Industry.</w:t>
              </w:r>
              <w:r w:rsidRPr="00055EC3">
                <w:rPr>
                  <w:noProof/>
                  <w:lang w:val="en-GB"/>
                </w:rPr>
                <w:t xml:space="preserve"> Portugal: Instituto Superior de Contabilidade e Administração da Universidade de Aveiro.</w:t>
              </w:r>
            </w:p>
            <w:p w:rsidR="00055EC3" w:rsidRPr="00055EC3" w:rsidRDefault="00055EC3" w:rsidP="00055EC3">
              <w:pPr>
                <w:pStyle w:val="Bibliography"/>
                <w:ind w:left="720" w:hanging="720"/>
                <w:rPr>
                  <w:noProof/>
                  <w:lang w:val="en-GB"/>
                </w:rPr>
              </w:pPr>
              <w:r>
                <w:rPr>
                  <w:noProof/>
                </w:rPr>
                <w:t xml:space="preserve">Camfferman, K. (2007). Het aggregratieprobleem inIFRS: een terreinverkenning. </w:t>
              </w:r>
              <w:r w:rsidRPr="00055EC3">
                <w:rPr>
                  <w:i/>
                  <w:iCs/>
                  <w:noProof/>
                  <w:lang w:val="en-GB"/>
                </w:rPr>
                <w:t>MAB</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Cook, K. A., Huston, R. G., &amp; Kinney, M. R. (2012). Managing Earnings by Manipulating Inventory: The Effects of Cost Structure and Valuation Method. </w:t>
              </w:r>
              <w:r w:rsidRPr="00055EC3">
                <w:rPr>
                  <w:i/>
                  <w:iCs/>
                  <w:noProof/>
                  <w:lang w:val="en-GB"/>
                </w:rPr>
                <w:t>Social Science Research Network</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Çürtük, T. (2007). </w:t>
              </w:r>
              <w:r w:rsidRPr="00055EC3">
                <w:rPr>
                  <w:i/>
                  <w:iCs/>
                  <w:noProof/>
                  <w:lang w:val="en-GB"/>
                </w:rPr>
                <w:t>IAS 2.</w:t>
              </w:r>
              <w:r w:rsidRPr="00055EC3">
                <w:rPr>
                  <w:noProof/>
                  <w:lang w:val="en-GB"/>
                </w:rPr>
                <w:t xml:space="preserve"> </w:t>
              </w:r>
            </w:p>
            <w:p w:rsidR="00055EC3" w:rsidRDefault="00055EC3" w:rsidP="00055EC3">
              <w:pPr>
                <w:pStyle w:val="Bibliography"/>
                <w:ind w:left="720" w:hanging="720"/>
                <w:rPr>
                  <w:noProof/>
                </w:rPr>
              </w:pPr>
              <w:r w:rsidRPr="00055EC3">
                <w:rPr>
                  <w:noProof/>
                  <w:lang w:val="en-GB"/>
                </w:rPr>
                <w:t xml:space="preserve">Deloitte. (2014, n.d. n.d.). </w:t>
              </w:r>
              <w:r>
                <w:rPr>
                  <w:i/>
                  <w:iCs/>
                  <w:noProof/>
                </w:rPr>
                <w:t>IAS PLUS</w:t>
              </w:r>
              <w:r>
                <w:rPr>
                  <w:noProof/>
                </w:rPr>
                <w:t>. Opgehaald van http://www.iasplus.com: http://www.iasplus.com/en-gb/standards/ias/ias2</w:t>
              </w:r>
            </w:p>
            <w:p w:rsidR="00055EC3" w:rsidRDefault="00055EC3" w:rsidP="00055EC3">
              <w:pPr>
                <w:pStyle w:val="Bibliography"/>
                <w:ind w:left="720" w:hanging="720"/>
                <w:rPr>
                  <w:noProof/>
                </w:rPr>
              </w:pPr>
              <w:r w:rsidRPr="00055EC3">
                <w:rPr>
                  <w:noProof/>
                  <w:lang w:val="en-GB"/>
                </w:rPr>
                <w:t xml:space="preserve">Elad, C. (2007). Fair value accounting in the agricultural sector: some implications for international accounting harmonization. </w:t>
              </w:r>
              <w:r>
                <w:rPr>
                  <w:i/>
                  <w:iCs/>
                  <w:noProof/>
                </w:rPr>
                <w:t>European Accounting Review</w:t>
              </w:r>
              <w:r>
                <w:rPr>
                  <w:noProof/>
                </w:rPr>
                <w:t>, 621-641.</w:t>
              </w:r>
            </w:p>
            <w:p w:rsidR="00055EC3" w:rsidRDefault="00055EC3" w:rsidP="00055EC3">
              <w:pPr>
                <w:pStyle w:val="Bibliography"/>
                <w:ind w:left="720" w:hanging="720"/>
                <w:rPr>
                  <w:noProof/>
                </w:rPr>
              </w:pPr>
              <w:r>
                <w:rPr>
                  <w:noProof/>
                </w:rPr>
                <w:t xml:space="preserve">Ernst &amp; Young. (2014). </w:t>
              </w:r>
              <w:r>
                <w:rPr>
                  <w:i/>
                  <w:iCs/>
                  <w:noProof/>
                </w:rPr>
                <w:t>Handboek Jaarrekening.</w:t>
              </w:r>
              <w:r>
                <w:rPr>
                  <w:noProof/>
                </w:rPr>
                <w:t xml:space="preserve"> Amsterdam: Kluwer.</w:t>
              </w:r>
            </w:p>
            <w:p w:rsidR="00055EC3" w:rsidRDefault="00055EC3" w:rsidP="00055EC3">
              <w:pPr>
                <w:pStyle w:val="Bibliography"/>
                <w:ind w:left="720" w:hanging="720"/>
                <w:rPr>
                  <w:noProof/>
                </w:rPr>
              </w:pPr>
              <w:r>
                <w:rPr>
                  <w:noProof/>
                </w:rPr>
                <w:t xml:space="preserve">Europees Parlement en de Raad van de Europese Unie. (2002). </w:t>
              </w:r>
              <w:r>
                <w:rPr>
                  <w:i/>
                  <w:iCs/>
                  <w:noProof/>
                </w:rPr>
                <w:t>Verordering (EG) Nr. 1606/2002 van het Europees Parlement en de Raad van 19 juli 2002 betreffende de toepassing van internationale standaarden voor jaarrekeningen.</w:t>
              </w:r>
              <w:r>
                <w:rPr>
                  <w:noProof/>
                </w:rPr>
                <w:t xml:space="preserve"> </w:t>
              </w:r>
            </w:p>
            <w:p w:rsidR="00055EC3" w:rsidRPr="00055EC3" w:rsidRDefault="00055EC3" w:rsidP="00055EC3">
              <w:pPr>
                <w:pStyle w:val="Bibliography"/>
                <w:ind w:left="720" w:hanging="720"/>
                <w:rPr>
                  <w:noProof/>
                  <w:sz w:val="24"/>
                  <w:szCs w:val="24"/>
                  <w:lang w:val="en-GB"/>
                </w:rPr>
              </w:pPr>
              <w:r w:rsidRPr="00055EC3">
                <w:rPr>
                  <w:noProof/>
                  <w:lang w:val="en-GB"/>
                </w:rPr>
                <w:t xml:space="preserve">GROSU, V., &amp; MATEŞ, D. (2008). EVALUATING AND RECOGNISING BIOLOGICAL ASSETS AND AGRICULTURAL ACTIVITIES ACCORDING TO IAS 41. </w:t>
              </w:r>
              <w:r w:rsidRPr="00055EC3">
                <w:rPr>
                  <w:i/>
                  <w:iCs/>
                  <w:noProof/>
                  <w:lang w:val="en-GB"/>
                </w:rPr>
                <w:t>Lucrări Ştiinţifice</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Herbohn, K., &amp; Herbohn, j. (2006). International accounting standard (IAS) 41: What are the implications for reporting forest assets? </w:t>
              </w:r>
              <w:r w:rsidRPr="00055EC3">
                <w:rPr>
                  <w:i/>
                  <w:iCs/>
                  <w:noProof/>
                  <w:lang w:val="en-GB"/>
                </w:rPr>
                <w:t>Small-scale Forest Economics, Management and Policy</w:t>
              </w:r>
              <w:r w:rsidRPr="00055EC3">
                <w:rPr>
                  <w:noProof/>
                  <w:lang w:val="en-GB"/>
                </w:rPr>
                <w:t>, 175-189.</w:t>
              </w:r>
            </w:p>
            <w:p w:rsidR="00055EC3" w:rsidRPr="00055EC3" w:rsidRDefault="00055EC3" w:rsidP="00055EC3">
              <w:pPr>
                <w:pStyle w:val="Bibliography"/>
                <w:ind w:left="720" w:hanging="720"/>
                <w:rPr>
                  <w:noProof/>
                  <w:lang w:val="en-GB"/>
                </w:rPr>
              </w:pPr>
              <w:r w:rsidRPr="00055EC3">
                <w:rPr>
                  <w:noProof/>
                  <w:lang w:val="en-GB"/>
                </w:rPr>
                <w:t xml:space="preserve">IASC. (2000). Comment Letters on Exposure draft. </w:t>
              </w:r>
              <w:r w:rsidRPr="00055EC3">
                <w:rPr>
                  <w:i/>
                  <w:iCs/>
                  <w:noProof/>
                  <w:lang w:val="en-GB"/>
                </w:rPr>
                <w:t>International accounting Standards Committee</w:t>
              </w:r>
              <w:r w:rsidRPr="00055EC3">
                <w:rPr>
                  <w:noProof/>
                  <w:lang w:val="en-GB"/>
                </w:rPr>
                <w:t>.</w:t>
              </w:r>
            </w:p>
            <w:p w:rsidR="00055EC3" w:rsidRDefault="00055EC3" w:rsidP="00055EC3">
              <w:pPr>
                <w:pStyle w:val="Bibliography"/>
                <w:ind w:left="720" w:hanging="720"/>
                <w:rPr>
                  <w:noProof/>
                </w:rPr>
              </w:pPr>
              <w:r w:rsidRPr="00055EC3">
                <w:rPr>
                  <w:noProof/>
                  <w:lang w:val="en-GB"/>
                </w:rPr>
                <w:t xml:space="preserve">ISAPLUS. </w:t>
              </w:r>
              <w:r>
                <w:rPr>
                  <w:noProof/>
                </w:rPr>
                <w:t xml:space="preserve">(n.d., n.d. n.d.). </w:t>
              </w:r>
              <w:r>
                <w:rPr>
                  <w:i/>
                  <w:iCs/>
                  <w:noProof/>
                </w:rPr>
                <w:t>http://www.iasplus.com</w:t>
              </w:r>
              <w:r>
                <w:rPr>
                  <w:noProof/>
                </w:rPr>
                <w:t>. Opgehaald van http://www.iasplus.com: http://www.iasplus.com/en-gb/projects/iasb-and-ifrs-projects/narrow-scope/ias-41-bearer-biological-assets</w:t>
              </w:r>
            </w:p>
            <w:p w:rsidR="00055EC3" w:rsidRDefault="00055EC3" w:rsidP="00055EC3">
              <w:pPr>
                <w:pStyle w:val="Bibliography"/>
                <w:ind w:left="720" w:hanging="720"/>
                <w:rPr>
                  <w:noProof/>
                </w:rPr>
              </w:pPr>
              <w:r>
                <w:rPr>
                  <w:noProof/>
                </w:rPr>
                <w:t xml:space="preserve">Katz, D. M. (2007, December 3). </w:t>
              </w:r>
              <w:r>
                <w:rPr>
                  <w:i/>
                  <w:iCs/>
                  <w:noProof/>
                </w:rPr>
                <w:t>www.cfo.com</w:t>
              </w:r>
              <w:r>
                <w:rPr>
                  <w:noProof/>
                </w:rPr>
                <w:t>. Opgehaald van CFO: http://www.cfo.com/article.cfm/10239047?f=singlepage</w:t>
              </w:r>
            </w:p>
            <w:p w:rsidR="00055EC3" w:rsidRPr="00055EC3" w:rsidRDefault="00055EC3" w:rsidP="00055EC3">
              <w:pPr>
                <w:pStyle w:val="Bibliography"/>
                <w:ind w:left="720" w:hanging="720"/>
                <w:rPr>
                  <w:noProof/>
                  <w:lang w:val="en-GB"/>
                </w:rPr>
              </w:pPr>
              <w:r w:rsidRPr="00055EC3">
                <w:rPr>
                  <w:noProof/>
                  <w:lang w:val="en-GB"/>
                </w:rPr>
                <w:t xml:space="preserve">Lalic, S., Jovanovic, D., &amp; Peric, N. (2012). The Accounting Treatment of the Biological Process of Transformation. </w:t>
              </w:r>
              <w:r w:rsidRPr="00055EC3">
                <w:rPr>
                  <w:i/>
                  <w:iCs/>
                  <w:noProof/>
                  <w:lang w:val="en-GB"/>
                </w:rPr>
                <w:t>Research Journal of Agricultural science</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Lefter, V., &amp; Roman, A. G. (2007). IAS 41 Agriculture: Fair Value Accounting. </w:t>
              </w:r>
              <w:r w:rsidRPr="00055EC3">
                <w:rPr>
                  <w:i/>
                  <w:iCs/>
                  <w:noProof/>
                  <w:lang w:val="en-GB"/>
                </w:rPr>
                <w:t>Theoretical and Applied Economics</w:t>
              </w:r>
              <w:r w:rsidRPr="00055EC3">
                <w:rPr>
                  <w:noProof/>
                  <w:lang w:val="en-GB"/>
                </w:rPr>
                <w:t>.</w:t>
              </w:r>
            </w:p>
            <w:p w:rsidR="00055EC3" w:rsidRPr="00055EC3" w:rsidRDefault="00055EC3" w:rsidP="00055EC3">
              <w:pPr>
                <w:pStyle w:val="Bibliography"/>
                <w:ind w:left="720" w:hanging="720"/>
                <w:rPr>
                  <w:noProof/>
                  <w:lang w:val="en-GB"/>
                </w:rPr>
              </w:pPr>
              <w:r w:rsidRPr="00055EC3">
                <w:rPr>
                  <w:noProof/>
                  <w:lang w:val="en-GB"/>
                </w:rPr>
                <w:t xml:space="preserve">LTO. (2013). </w:t>
              </w:r>
              <w:r w:rsidRPr="00055EC3">
                <w:rPr>
                  <w:i/>
                  <w:iCs/>
                  <w:noProof/>
                  <w:lang w:val="en-GB"/>
                </w:rPr>
                <w:t>LTO</w:t>
              </w:r>
              <w:r w:rsidRPr="00055EC3">
                <w:rPr>
                  <w:noProof/>
                  <w:lang w:val="en-GB"/>
                </w:rPr>
                <w:t>. Opgehaald van www.lto.nl: http://www.lto.nl/media/default.aspx/emma/org/10840294/rapport+ez+de+agrarische+handel+van+nederland+in+2013.pdf</w:t>
              </w:r>
            </w:p>
            <w:p w:rsidR="00055EC3" w:rsidRPr="00055EC3" w:rsidRDefault="00055EC3" w:rsidP="00055EC3">
              <w:pPr>
                <w:pStyle w:val="Bibliography"/>
                <w:ind w:left="720" w:hanging="720"/>
                <w:rPr>
                  <w:noProof/>
                  <w:lang w:val="en-GB"/>
                </w:rPr>
              </w:pPr>
              <w:r w:rsidRPr="00055EC3">
                <w:rPr>
                  <w:noProof/>
                  <w:lang w:val="en-GB"/>
                </w:rPr>
                <w:t xml:space="preserve">Paananen, M., &amp; Lin, H. (2009). The Development of Accounting Quality of IAS and IFRS over Time: The Case of Germany. </w:t>
              </w:r>
              <w:r w:rsidRPr="00055EC3">
                <w:rPr>
                  <w:i/>
                  <w:iCs/>
                  <w:noProof/>
                  <w:lang w:val="en-GB"/>
                </w:rPr>
                <w:t>Journal of International Accounting Research</w:t>
              </w:r>
              <w:r w:rsidRPr="00055EC3">
                <w:rPr>
                  <w:noProof/>
                  <w:lang w:val="en-GB"/>
                </w:rPr>
                <w:t>, 31-55.</w:t>
              </w:r>
            </w:p>
            <w:p w:rsidR="00055EC3" w:rsidRPr="00055EC3" w:rsidRDefault="00055EC3" w:rsidP="00055EC3">
              <w:pPr>
                <w:pStyle w:val="Bibliography"/>
                <w:ind w:left="720" w:hanging="720"/>
                <w:rPr>
                  <w:noProof/>
                  <w:lang w:val="en-GB"/>
                </w:rPr>
              </w:pPr>
              <w:r w:rsidRPr="00055EC3">
                <w:rPr>
                  <w:noProof/>
                  <w:lang w:val="en-GB"/>
                </w:rPr>
                <w:t xml:space="preserve">Penttinen, M., Latukka,, A., Meriläinen, H., Salminen, O., &amp; Uotila, E. (2004). </w:t>
              </w:r>
              <w:r w:rsidRPr="00055EC3">
                <w:rPr>
                  <w:i/>
                  <w:iCs/>
                  <w:noProof/>
                  <w:lang w:val="en-GB"/>
                </w:rPr>
                <w:t>IAS Fair Value and Forest Evaluation on Farm Forestry.</w:t>
              </w:r>
              <w:r w:rsidRPr="00055EC3">
                <w:rPr>
                  <w:noProof/>
                  <w:lang w:val="en-GB"/>
                </w:rPr>
                <w:t xml:space="preserve"> Finland: Scandinavian Society of Forest Economics.</w:t>
              </w:r>
            </w:p>
            <w:p w:rsidR="00055EC3" w:rsidRDefault="00055EC3" w:rsidP="00055EC3">
              <w:pPr>
                <w:pStyle w:val="Bibliography"/>
                <w:ind w:left="720" w:hanging="720"/>
                <w:rPr>
                  <w:noProof/>
                </w:rPr>
              </w:pPr>
              <w:r w:rsidRPr="00055EC3">
                <w:rPr>
                  <w:noProof/>
                  <w:lang w:val="en-GB"/>
                </w:rPr>
                <w:t xml:space="preserve">PWC. (2011). Forest Industry: Application Review of IAS 41, Agriculture: The Fair Value of Standing Timber. </w:t>
              </w:r>
              <w:r>
                <w:rPr>
                  <w:i/>
                  <w:iCs/>
                  <w:noProof/>
                </w:rPr>
                <w:t>PWC: Forest, Paper &amp; Packaging</w:t>
              </w:r>
              <w:r>
                <w:rPr>
                  <w:noProof/>
                </w:rPr>
                <w:t>.</w:t>
              </w:r>
            </w:p>
            <w:p w:rsidR="00055EC3" w:rsidRDefault="00055EC3" w:rsidP="00055EC3">
              <w:pPr>
                <w:pStyle w:val="Bibliography"/>
                <w:ind w:left="720" w:hanging="720"/>
                <w:rPr>
                  <w:noProof/>
                </w:rPr>
              </w:pPr>
              <w:r>
                <w:rPr>
                  <w:noProof/>
                </w:rPr>
                <w:t xml:space="preserve">PWC. (2015, Maart 4). </w:t>
              </w:r>
              <w:r>
                <w:rPr>
                  <w:i/>
                  <w:iCs/>
                  <w:noProof/>
                </w:rPr>
                <w:t>https://www.pwc.com</w:t>
              </w:r>
              <w:r>
                <w:rPr>
                  <w:noProof/>
                </w:rPr>
                <w:t>. Opgehaald van https://www.pwc.com: https://inform.pwc.com/inform2/show?action=informContent&amp;id=0936075103137352</w:t>
              </w:r>
            </w:p>
            <w:p w:rsidR="00055EC3" w:rsidRPr="00055EC3" w:rsidRDefault="00055EC3" w:rsidP="00055EC3">
              <w:pPr>
                <w:pStyle w:val="Bibliography"/>
                <w:ind w:left="720" w:hanging="720"/>
                <w:rPr>
                  <w:noProof/>
                  <w:lang w:val="en-GB"/>
                </w:rPr>
              </w:pPr>
              <w:r w:rsidRPr="00055EC3">
                <w:rPr>
                  <w:noProof/>
                  <w:lang w:val="en-GB"/>
                </w:rPr>
                <w:t xml:space="preserve">Romeo, J. (2009). </w:t>
              </w:r>
              <w:r w:rsidRPr="00055EC3">
                <w:rPr>
                  <w:i/>
                  <w:iCs/>
                  <w:noProof/>
                  <w:lang w:val="en-GB"/>
                </w:rPr>
                <w:t>Analysis of the LIFO inventory valuation method during the onset of IFRS.</w:t>
              </w:r>
              <w:r w:rsidRPr="00055EC3">
                <w:rPr>
                  <w:noProof/>
                  <w:lang w:val="en-GB"/>
                </w:rPr>
                <w:t xml:space="preserve"> Connecticut : University of Connecticut .</w:t>
              </w:r>
            </w:p>
            <w:p w:rsidR="00055EC3" w:rsidRDefault="00055EC3" w:rsidP="00055EC3">
              <w:pPr>
                <w:pStyle w:val="Bibliography"/>
                <w:ind w:left="720" w:hanging="720"/>
                <w:rPr>
                  <w:noProof/>
                </w:rPr>
              </w:pPr>
              <w:r w:rsidRPr="00055EC3">
                <w:rPr>
                  <w:noProof/>
                  <w:lang w:val="en-GB"/>
                </w:rPr>
                <w:t xml:space="preserve">SRA. (n.d., n.d. n.d.). </w:t>
              </w:r>
              <w:r>
                <w:rPr>
                  <w:i/>
                  <w:iCs/>
                  <w:noProof/>
                </w:rPr>
                <w:t>SRA</w:t>
              </w:r>
              <w:r>
                <w:rPr>
                  <w:noProof/>
                </w:rPr>
                <w:t>. Opgehaald van www.sra.nl: https://www.sra.nl/vaktechniek/jaarverslaggeving/richtlijnen-voor-de-jaarverslaggeving/rj-jaareditie-2011/afdeling-2-jaarrekeningposten/220-voorraden/2201-inleiding</w:t>
              </w:r>
            </w:p>
            <w:p w:rsidR="00055EC3" w:rsidRDefault="00055EC3" w:rsidP="00055EC3">
              <w:pPr>
                <w:pStyle w:val="Bibliography"/>
                <w:ind w:left="720" w:hanging="720"/>
                <w:rPr>
                  <w:noProof/>
                </w:rPr>
              </w:pPr>
              <w:r>
                <w:rPr>
                  <w:noProof/>
                </w:rPr>
                <w:t xml:space="preserve">Waasdorp, D., &amp; Boone, J. (2002). </w:t>
              </w:r>
              <w:r>
                <w:rPr>
                  <w:i/>
                  <w:iCs/>
                  <w:noProof/>
                </w:rPr>
                <w:t>Waardering en verwerking van rundvee en fruitopstanden in de jaarrekening.</w:t>
              </w:r>
              <w:r>
                <w:rPr>
                  <w:noProof/>
                </w:rPr>
                <w:t xml:space="preserve"> Den Haag: LEI.</w:t>
              </w:r>
            </w:p>
            <w:p w:rsidR="003C4758" w:rsidRDefault="007A6E22" w:rsidP="00055EC3">
              <w:r>
                <w:rPr>
                  <w:b/>
                  <w:bCs/>
                </w:rPr>
                <w:fldChar w:fldCharType="end"/>
              </w:r>
            </w:p>
          </w:sdtContent>
        </w:sdt>
      </w:sdtContent>
    </w:sdt>
    <w:p w:rsidR="003C4758" w:rsidRPr="003C4758" w:rsidRDefault="003C4758" w:rsidP="003C4758"/>
    <w:sectPr w:rsidR="003C4758" w:rsidRPr="003C4758" w:rsidSect="00B44E50">
      <w:footerReference w:type="default" r:id="rId13"/>
      <w:pgSz w:w="11906" w:h="16838"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42CA" w:rsidRDefault="004E42CA" w:rsidP="00624E4E">
      <w:pPr>
        <w:spacing w:after="0" w:line="240" w:lineRule="auto"/>
      </w:pPr>
      <w:r>
        <w:separator/>
      </w:r>
    </w:p>
  </w:endnote>
  <w:endnote w:type="continuationSeparator" w:id="0">
    <w:p w:rsidR="004E42CA" w:rsidRDefault="004E42CA" w:rsidP="00624E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4296708"/>
      <w:docPartObj>
        <w:docPartGallery w:val="Page Numbers (Bottom of Page)"/>
        <w:docPartUnique/>
      </w:docPartObj>
    </w:sdtPr>
    <w:sdtContent>
      <w:p w:rsidR="00F67681" w:rsidRDefault="00F67681">
        <w:pPr>
          <w:pStyle w:val="Footer"/>
          <w:jc w:val="right"/>
        </w:pPr>
        <w:r>
          <w:t xml:space="preserve"> </w:t>
        </w:r>
      </w:p>
    </w:sdtContent>
  </w:sdt>
  <w:p w:rsidR="00F67681" w:rsidRDefault="00F676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1003969"/>
      <w:docPartObj>
        <w:docPartGallery w:val="Page Numbers (Bottom of Page)"/>
        <w:docPartUnique/>
      </w:docPartObj>
    </w:sdtPr>
    <w:sdtContent>
      <w:p w:rsidR="00F67681" w:rsidRDefault="00F67681">
        <w:pPr>
          <w:pStyle w:val="Footer"/>
          <w:jc w:val="right"/>
        </w:pPr>
        <w:r>
          <w:t xml:space="preserve">Pagina | </w:t>
        </w:r>
        <w:r w:rsidR="007A6E22">
          <w:fldChar w:fldCharType="begin"/>
        </w:r>
        <w:r>
          <w:instrText>PAGE   \* MERGEFORMAT</w:instrText>
        </w:r>
        <w:r w:rsidR="007A6E22">
          <w:fldChar w:fldCharType="separate"/>
        </w:r>
        <w:r w:rsidR="00FC5444">
          <w:rPr>
            <w:noProof/>
          </w:rPr>
          <w:t>3</w:t>
        </w:r>
        <w:r w:rsidR="007A6E22">
          <w:fldChar w:fldCharType="end"/>
        </w:r>
        <w:r>
          <w:t xml:space="preserve"> </w:t>
        </w:r>
      </w:p>
    </w:sdtContent>
  </w:sdt>
  <w:p w:rsidR="00F67681" w:rsidRDefault="00F676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42CA" w:rsidRDefault="004E42CA" w:rsidP="00624E4E">
      <w:pPr>
        <w:spacing w:after="0" w:line="240" w:lineRule="auto"/>
      </w:pPr>
      <w:r>
        <w:separator/>
      </w:r>
    </w:p>
  </w:footnote>
  <w:footnote w:type="continuationSeparator" w:id="0">
    <w:p w:rsidR="004E42CA" w:rsidRDefault="004E42CA" w:rsidP="00624E4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A06D7"/>
    <w:multiLevelType w:val="hybridMultilevel"/>
    <w:tmpl w:val="CE16AA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331072"/>
    <w:multiLevelType w:val="hybridMultilevel"/>
    <w:tmpl w:val="20E204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4B00C53"/>
    <w:multiLevelType w:val="hybridMultilevel"/>
    <w:tmpl w:val="09208EF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6B97752"/>
    <w:multiLevelType w:val="hybridMultilevel"/>
    <w:tmpl w:val="88B27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8F7D2F"/>
    <w:multiLevelType w:val="hybridMultilevel"/>
    <w:tmpl w:val="A2A057C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C906E89"/>
    <w:multiLevelType w:val="hybridMultilevel"/>
    <w:tmpl w:val="793464B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0CD0ADD"/>
    <w:multiLevelType w:val="hybridMultilevel"/>
    <w:tmpl w:val="E8C0CD1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B1D2A28"/>
    <w:multiLevelType w:val="hybridMultilevel"/>
    <w:tmpl w:val="17BAACE0"/>
    <w:lvl w:ilvl="0" w:tplc="0413000F">
      <w:start w:val="1"/>
      <w:numFmt w:val="decimal"/>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
    <w:nsid w:val="2DAE2ABE"/>
    <w:multiLevelType w:val="hybridMultilevel"/>
    <w:tmpl w:val="1E0049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77C5959"/>
    <w:multiLevelType w:val="hybridMultilevel"/>
    <w:tmpl w:val="27786F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CDE4089"/>
    <w:multiLevelType w:val="hybridMultilevel"/>
    <w:tmpl w:val="1A4630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4A70A61"/>
    <w:multiLevelType w:val="hybridMultilevel"/>
    <w:tmpl w:val="CEA417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5382BEB"/>
    <w:multiLevelType w:val="hybridMultilevel"/>
    <w:tmpl w:val="00CA9E1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46A904C8"/>
    <w:multiLevelType w:val="hybridMultilevel"/>
    <w:tmpl w:val="655AB7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B942BA8"/>
    <w:multiLevelType w:val="hybridMultilevel"/>
    <w:tmpl w:val="EA80CF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BA256C0"/>
    <w:multiLevelType w:val="hybridMultilevel"/>
    <w:tmpl w:val="9C62D5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D1A2B3A"/>
    <w:multiLevelType w:val="hybridMultilevel"/>
    <w:tmpl w:val="83B2A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B3754"/>
    <w:multiLevelType w:val="hybridMultilevel"/>
    <w:tmpl w:val="A478FD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78E208F"/>
    <w:multiLevelType w:val="hybridMultilevel"/>
    <w:tmpl w:val="6934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A3327DD"/>
    <w:multiLevelType w:val="hybridMultilevel"/>
    <w:tmpl w:val="204EDB8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E650E78"/>
    <w:multiLevelType w:val="hybridMultilevel"/>
    <w:tmpl w:val="9772622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64E168C0"/>
    <w:multiLevelType w:val="hybridMultilevel"/>
    <w:tmpl w:val="D6B692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6578787F"/>
    <w:multiLevelType w:val="hybridMultilevel"/>
    <w:tmpl w:val="F83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C3324E7"/>
    <w:multiLevelType w:val="hybridMultilevel"/>
    <w:tmpl w:val="5B6218E6"/>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6EED4FEE"/>
    <w:multiLevelType w:val="multilevel"/>
    <w:tmpl w:val="9468F3D2"/>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nsid w:val="7E414A8B"/>
    <w:multiLevelType w:val="hybridMultilevel"/>
    <w:tmpl w:val="E954D5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EBC50AD"/>
    <w:multiLevelType w:val="hybridMultilevel"/>
    <w:tmpl w:val="22B866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24"/>
  </w:num>
  <w:num w:numId="3">
    <w:abstractNumId w:val="16"/>
  </w:num>
  <w:num w:numId="4">
    <w:abstractNumId w:val="18"/>
  </w:num>
  <w:num w:numId="5">
    <w:abstractNumId w:val="2"/>
  </w:num>
  <w:num w:numId="6">
    <w:abstractNumId w:val="12"/>
  </w:num>
  <w:num w:numId="7">
    <w:abstractNumId w:val="23"/>
  </w:num>
  <w:num w:numId="8">
    <w:abstractNumId w:val="25"/>
  </w:num>
  <w:num w:numId="9">
    <w:abstractNumId w:val="15"/>
  </w:num>
  <w:num w:numId="10">
    <w:abstractNumId w:val="26"/>
  </w:num>
  <w:num w:numId="11">
    <w:abstractNumId w:val="11"/>
  </w:num>
  <w:num w:numId="12">
    <w:abstractNumId w:val="13"/>
  </w:num>
  <w:num w:numId="13">
    <w:abstractNumId w:val="14"/>
  </w:num>
  <w:num w:numId="14">
    <w:abstractNumId w:val="17"/>
  </w:num>
  <w:num w:numId="15">
    <w:abstractNumId w:val="0"/>
  </w:num>
  <w:num w:numId="16">
    <w:abstractNumId w:val="9"/>
  </w:num>
  <w:num w:numId="17">
    <w:abstractNumId w:val="8"/>
  </w:num>
  <w:num w:numId="18">
    <w:abstractNumId w:val="1"/>
  </w:num>
  <w:num w:numId="19">
    <w:abstractNumId w:val="10"/>
  </w:num>
  <w:num w:numId="20">
    <w:abstractNumId w:val="19"/>
  </w:num>
  <w:num w:numId="21">
    <w:abstractNumId w:val="7"/>
  </w:num>
  <w:num w:numId="22">
    <w:abstractNumId w:val="20"/>
  </w:num>
  <w:num w:numId="23">
    <w:abstractNumId w:val="6"/>
  </w:num>
  <w:num w:numId="24">
    <w:abstractNumId w:val="5"/>
  </w:num>
  <w:num w:numId="25">
    <w:abstractNumId w:val="3"/>
  </w:num>
  <w:num w:numId="26">
    <w:abstractNumId w:val="22"/>
  </w:num>
  <w:num w:numId="2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91A39"/>
    <w:rsid w:val="00006A7A"/>
    <w:rsid w:val="00030C7F"/>
    <w:rsid w:val="00055EC3"/>
    <w:rsid w:val="00062F70"/>
    <w:rsid w:val="000812B5"/>
    <w:rsid w:val="00086D4C"/>
    <w:rsid w:val="00092D91"/>
    <w:rsid w:val="000B6AD0"/>
    <w:rsid w:val="000C0CB4"/>
    <w:rsid w:val="000D2AF7"/>
    <w:rsid w:val="00101670"/>
    <w:rsid w:val="00147D7B"/>
    <w:rsid w:val="00156333"/>
    <w:rsid w:val="00157A61"/>
    <w:rsid w:val="00176966"/>
    <w:rsid w:val="00177126"/>
    <w:rsid w:val="001B6DCA"/>
    <w:rsid w:val="0020094D"/>
    <w:rsid w:val="002332DA"/>
    <w:rsid w:val="00241542"/>
    <w:rsid w:val="002650E4"/>
    <w:rsid w:val="002968C3"/>
    <w:rsid w:val="002A2E36"/>
    <w:rsid w:val="002E2970"/>
    <w:rsid w:val="002F0CCA"/>
    <w:rsid w:val="002F51A7"/>
    <w:rsid w:val="00340AC4"/>
    <w:rsid w:val="00340B37"/>
    <w:rsid w:val="00364F91"/>
    <w:rsid w:val="00367D92"/>
    <w:rsid w:val="0037772C"/>
    <w:rsid w:val="003A2DFF"/>
    <w:rsid w:val="003C4758"/>
    <w:rsid w:val="003E7ED6"/>
    <w:rsid w:val="00404D75"/>
    <w:rsid w:val="00404EA9"/>
    <w:rsid w:val="0041529E"/>
    <w:rsid w:val="00427C68"/>
    <w:rsid w:val="00451F22"/>
    <w:rsid w:val="00464A6C"/>
    <w:rsid w:val="004A0BD2"/>
    <w:rsid w:val="004D66BD"/>
    <w:rsid w:val="004E3B6B"/>
    <w:rsid w:val="004E42CA"/>
    <w:rsid w:val="00525A52"/>
    <w:rsid w:val="00552C7B"/>
    <w:rsid w:val="005553BA"/>
    <w:rsid w:val="00587647"/>
    <w:rsid w:val="0059662C"/>
    <w:rsid w:val="005A31C0"/>
    <w:rsid w:val="005C098C"/>
    <w:rsid w:val="005F3DFC"/>
    <w:rsid w:val="005F7C59"/>
    <w:rsid w:val="006152F4"/>
    <w:rsid w:val="0061744D"/>
    <w:rsid w:val="00624E4E"/>
    <w:rsid w:val="0063663C"/>
    <w:rsid w:val="006956EF"/>
    <w:rsid w:val="006E7F5B"/>
    <w:rsid w:val="00735650"/>
    <w:rsid w:val="007569D5"/>
    <w:rsid w:val="007727DA"/>
    <w:rsid w:val="007A0C1D"/>
    <w:rsid w:val="007A6E22"/>
    <w:rsid w:val="007C61AE"/>
    <w:rsid w:val="007D164F"/>
    <w:rsid w:val="007E2C61"/>
    <w:rsid w:val="007F4524"/>
    <w:rsid w:val="00835A5B"/>
    <w:rsid w:val="00840623"/>
    <w:rsid w:val="00845A08"/>
    <w:rsid w:val="00850915"/>
    <w:rsid w:val="00857D67"/>
    <w:rsid w:val="00863634"/>
    <w:rsid w:val="00865A0F"/>
    <w:rsid w:val="00870297"/>
    <w:rsid w:val="008912DC"/>
    <w:rsid w:val="008B6A36"/>
    <w:rsid w:val="008E7AC1"/>
    <w:rsid w:val="008F26AB"/>
    <w:rsid w:val="00902FDE"/>
    <w:rsid w:val="00936B49"/>
    <w:rsid w:val="0094440C"/>
    <w:rsid w:val="00964FE5"/>
    <w:rsid w:val="009802C7"/>
    <w:rsid w:val="00990B0C"/>
    <w:rsid w:val="009A17B2"/>
    <w:rsid w:val="009B3669"/>
    <w:rsid w:val="009D09F8"/>
    <w:rsid w:val="009F6BF9"/>
    <w:rsid w:val="00A510D0"/>
    <w:rsid w:val="00A730CC"/>
    <w:rsid w:val="00A9475E"/>
    <w:rsid w:val="00AD51CB"/>
    <w:rsid w:val="00B047F0"/>
    <w:rsid w:val="00B149AA"/>
    <w:rsid w:val="00B44E50"/>
    <w:rsid w:val="00B55332"/>
    <w:rsid w:val="00B62E66"/>
    <w:rsid w:val="00B761F4"/>
    <w:rsid w:val="00B77728"/>
    <w:rsid w:val="00B975D2"/>
    <w:rsid w:val="00BA7DF3"/>
    <w:rsid w:val="00BB6D0A"/>
    <w:rsid w:val="00BC4C42"/>
    <w:rsid w:val="00BD0D40"/>
    <w:rsid w:val="00C51B40"/>
    <w:rsid w:val="00C816C0"/>
    <w:rsid w:val="00C8610D"/>
    <w:rsid w:val="00C9279D"/>
    <w:rsid w:val="00CA25C8"/>
    <w:rsid w:val="00CA5D96"/>
    <w:rsid w:val="00CC418F"/>
    <w:rsid w:val="00CE1AD1"/>
    <w:rsid w:val="00CF41E3"/>
    <w:rsid w:val="00D11EDA"/>
    <w:rsid w:val="00D15C45"/>
    <w:rsid w:val="00D169BF"/>
    <w:rsid w:val="00D31488"/>
    <w:rsid w:val="00D31A2C"/>
    <w:rsid w:val="00D401BE"/>
    <w:rsid w:val="00D4436E"/>
    <w:rsid w:val="00D45A26"/>
    <w:rsid w:val="00D6119D"/>
    <w:rsid w:val="00D72511"/>
    <w:rsid w:val="00D72A8A"/>
    <w:rsid w:val="00D82A25"/>
    <w:rsid w:val="00D90DC3"/>
    <w:rsid w:val="00DB67D5"/>
    <w:rsid w:val="00DD04C6"/>
    <w:rsid w:val="00DD5A3E"/>
    <w:rsid w:val="00DE780B"/>
    <w:rsid w:val="00E4244B"/>
    <w:rsid w:val="00E661CC"/>
    <w:rsid w:val="00E76334"/>
    <w:rsid w:val="00E91A39"/>
    <w:rsid w:val="00E92EC7"/>
    <w:rsid w:val="00EA0B11"/>
    <w:rsid w:val="00EB0F69"/>
    <w:rsid w:val="00EB49BB"/>
    <w:rsid w:val="00EC6D81"/>
    <w:rsid w:val="00ED136C"/>
    <w:rsid w:val="00ED14FB"/>
    <w:rsid w:val="00F15743"/>
    <w:rsid w:val="00F374B6"/>
    <w:rsid w:val="00F44695"/>
    <w:rsid w:val="00F51C83"/>
    <w:rsid w:val="00F523EC"/>
    <w:rsid w:val="00F52AD4"/>
    <w:rsid w:val="00F64F31"/>
    <w:rsid w:val="00F67681"/>
    <w:rsid w:val="00F720B5"/>
    <w:rsid w:val="00F86755"/>
    <w:rsid w:val="00F91F92"/>
    <w:rsid w:val="00FC5444"/>
    <w:rsid w:val="00FD4AD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E22"/>
  </w:style>
  <w:style w:type="paragraph" w:styleId="Heading1">
    <w:name w:val="heading 1"/>
    <w:basedOn w:val="Normal"/>
    <w:next w:val="Normal"/>
    <w:link w:val="Heading1Char"/>
    <w:uiPriority w:val="9"/>
    <w:qFormat/>
    <w:rsid w:val="00D401BE"/>
    <w:pPr>
      <w:keepNext/>
      <w:keepLines/>
      <w:spacing w:before="480" w:after="0"/>
      <w:outlineLvl w:val="0"/>
    </w:pPr>
    <w:rPr>
      <w:rFonts w:asciiTheme="majorHAnsi" w:eastAsiaTheme="majorEastAsia" w:hAnsiTheme="majorHAnsi" w:cstheme="majorBidi"/>
      <w:b/>
      <w:bCs/>
      <w:color w:val="000000" w:themeColor="text1"/>
      <w:sz w:val="36"/>
      <w:szCs w:val="28"/>
    </w:rPr>
  </w:style>
  <w:style w:type="paragraph" w:styleId="Heading2">
    <w:name w:val="heading 2"/>
    <w:basedOn w:val="Normal"/>
    <w:next w:val="Normal"/>
    <w:link w:val="Heading2Char"/>
    <w:uiPriority w:val="9"/>
    <w:unhideWhenUsed/>
    <w:qFormat/>
    <w:rsid w:val="00E76334"/>
    <w:pPr>
      <w:keepNext/>
      <w:keepLines/>
      <w:spacing w:before="200" w:after="0"/>
      <w:outlineLvl w:val="1"/>
    </w:pPr>
    <w:rPr>
      <w:rFonts w:ascii="Arial" w:eastAsiaTheme="majorEastAsia" w:hAnsi="Arial" w:cstheme="majorBidi"/>
      <w:b/>
      <w:bCs/>
      <w:color w:val="000000" w:themeColor="text1"/>
      <w:sz w:val="26"/>
      <w:szCs w:val="26"/>
    </w:rPr>
  </w:style>
  <w:style w:type="paragraph" w:styleId="Heading3">
    <w:name w:val="heading 3"/>
    <w:basedOn w:val="Normal"/>
    <w:next w:val="Normal"/>
    <w:link w:val="Heading3Char"/>
    <w:uiPriority w:val="9"/>
    <w:unhideWhenUsed/>
    <w:qFormat/>
    <w:rsid w:val="00E76334"/>
    <w:pPr>
      <w:keepNext/>
      <w:keepLines/>
      <w:spacing w:before="200" w:after="0"/>
      <w:outlineLvl w:val="2"/>
    </w:pPr>
    <w:rPr>
      <w:rFonts w:ascii="Arial" w:eastAsiaTheme="majorEastAsia" w:hAnsi="Arial" w:cstheme="majorBidi"/>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A39"/>
    <w:pPr>
      <w:ind w:left="720"/>
      <w:contextualSpacing/>
    </w:pPr>
  </w:style>
  <w:style w:type="character" w:customStyle="1" w:styleId="Heading1Char">
    <w:name w:val="Heading 1 Char"/>
    <w:basedOn w:val="DefaultParagraphFont"/>
    <w:link w:val="Heading1"/>
    <w:uiPriority w:val="9"/>
    <w:rsid w:val="00D401BE"/>
    <w:rPr>
      <w:rFonts w:asciiTheme="majorHAnsi" w:eastAsiaTheme="majorEastAsia" w:hAnsiTheme="majorHAnsi" w:cstheme="majorBidi"/>
      <w:b/>
      <w:bCs/>
      <w:color w:val="000000" w:themeColor="text1"/>
      <w:sz w:val="36"/>
      <w:szCs w:val="28"/>
    </w:rPr>
  </w:style>
  <w:style w:type="character" w:customStyle="1" w:styleId="Heading2Char">
    <w:name w:val="Heading 2 Char"/>
    <w:basedOn w:val="DefaultParagraphFont"/>
    <w:link w:val="Heading2"/>
    <w:uiPriority w:val="9"/>
    <w:rsid w:val="00E76334"/>
    <w:rPr>
      <w:rFonts w:ascii="Arial" w:eastAsiaTheme="majorEastAsia" w:hAnsi="Arial" w:cstheme="majorBidi"/>
      <w:b/>
      <w:bCs/>
      <w:color w:val="000000" w:themeColor="text1"/>
      <w:sz w:val="26"/>
      <w:szCs w:val="26"/>
    </w:rPr>
  </w:style>
  <w:style w:type="paragraph" w:styleId="BalloonText">
    <w:name w:val="Balloon Text"/>
    <w:basedOn w:val="Normal"/>
    <w:link w:val="BalloonTextChar"/>
    <w:uiPriority w:val="99"/>
    <w:semiHidden/>
    <w:unhideWhenUsed/>
    <w:rsid w:val="00CC41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18F"/>
    <w:rPr>
      <w:rFonts w:ascii="Tahoma" w:hAnsi="Tahoma" w:cs="Tahoma"/>
      <w:sz w:val="16"/>
      <w:szCs w:val="16"/>
    </w:rPr>
  </w:style>
  <w:style w:type="character" w:styleId="LineNumber">
    <w:name w:val="line number"/>
    <w:basedOn w:val="DefaultParagraphFont"/>
    <w:uiPriority w:val="99"/>
    <w:semiHidden/>
    <w:unhideWhenUsed/>
    <w:rsid w:val="00624E4E"/>
  </w:style>
  <w:style w:type="paragraph" w:styleId="Header">
    <w:name w:val="header"/>
    <w:basedOn w:val="Normal"/>
    <w:link w:val="HeaderChar"/>
    <w:uiPriority w:val="99"/>
    <w:unhideWhenUsed/>
    <w:rsid w:val="00624E4E"/>
    <w:pPr>
      <w:tabs>
        <w:tab w:val="center" w:pos="4536"/>
        <w:tab w:val="right" w:pos="9072"/>
      </w:tabs>
      <w:spacing w:after="0" w:line="240" w:lineRule="auto"/>
    </w:pPr>
  </w:style>
  <w:style w:type="character" w:customStyle="1" w:styleId="HeaderChar">
    <w:name w:val="Header Char"/>
    <w:basedOn w:val="DefaultParagraphFont"/>
    <w:link w:val="Header"/>
    <w:uiPriority w:val="99"/>
    <w:rsid w:val="00624E4E"/>
  </w:style>
  <w:style w:type="paragraph" w:styleId="Footer">
    <w:name w:val="footer"/>
    <w:basedOn w:val="Normal"/>
    <w:link w:val="FooterChar"/>
    <w:uiPriority w:val="99"/>
    <w:unhideWhenUsed/>
    <w:rsid w:val="00624E4E"/>
    <w:pPr>
      <w:tabs>
        <w:tab w:val="center" w:pos="4536"/>
        <w:tab w:val="right" w:pos="9072"/>
      </w:tabs>
      <w:spacing w:after="0" w:line="240" w:lineRule="auto"/>
    </w:pPr>
  </w:style>
  <w:style w:type="character" w:customStyle="1" w:styleId="FooterChar">
    <w:name w:val="Footer Char"/>
    <w:basedOn w:val="DefaultParagraphFont"/>
    <w:link w:val="Footer"/>
    <w:uiPriority w:val="99"/>
    <w:rsid w:val="00624E4E"/>
  </w:style>
  <w:style w:type="character" w:customStyle="1" w:styleId="Heading3Char">
    <w:name w:val="Heading 3 Char"/>
    <w:basedOn w:val="DefaultParagraphFont"/>
    <w:link w:val="Heading3"/>
    <w:uiPriority w:val="9"/>
    <w:rsid w:val="00E76334"/>
    <w:rPr>
      <w:rFonts w:ascii="Arial" w:eastAsiaTheme="majorEastAsia" w:hAnsi="Arial" w:cstheme="majorBidi"/>
      <w:b/>
      <w:bCs/>
      <w:color w:val="000000" w:themeColor="text1"/>
    </w:rPr>
  </w:style>
  <w:style w:type="character" w:styleId="CommentReference">
    <w:name w:val="annotation reference"/>
    <w:basedOn w:val="DefaultParagraphFont"/>
    <w:semiHidden/>
    <w:unhideWhenUsed/>
    <w:rsid w:val="00F523EC"/>
    <w:rPr>
      <w:sz w:val="16"/>
      <w:szCs w:val="16"/>
    </w:rPr>
  </w:style>
  <w:style w:type="paragraph" w:styleId="CommentText">
    <w:name w:val="annotation text"/>
    <w:basedOn w:val="Normal"/>
    <w:link w:val="CommentTextChar"/>
    <w:semiHidden/>
    <w:unhideWhenUsed/>
    <w:rsid w:val="00F523EC"/>
    <w:pPr>
      <w:spacing w:after="160" w:line="240" w:lineRule="auto"/>
    </w:pPr>
    <w:rPr>
      <w:sz w:val="20"/>
      <w:szCs w:val="20"/>
    </w:rPr>
  </w:style>
  <w:style w:type="character" w:customStyle="1" w:styleId="CommentTextChar">
    <w:name w:val="Comment Text Char"/>
    <w:basedOn w:val="DefaultParagraphFont"/>
    <w:link w:val="CommentText"/>
    <w:semiHidden/>
    <w:rsid w:val="00F523EC"/>
    <w:rPr>
      <w:sz w:val="20"/>
      <w:szCs w:val="20"/>
    </w:rPr>
  </w:style>
  <w:style w:type="paragraph" w:styleId="TOCHeading">
    <w:name w:val="TOC Heading"/>
    <w:basedOn w:val="Heading1"/>
    <w:next w:val="Normal"/>
    <w:uiPriority w:val="39"/>
    <w:unhideWhenUsed/>
    <w:qFormat/>
    <w:rsid w:val="009A17B2"/>
    <w:pPr>
      <w:outlineLvl w:val="9"/>
    </w:pPr>
    <w:rPr>
      <w:sz w:val="28"/>
      <w:lang w:eastAsia="nl-NL"/>
    </w:rPr>
  </w:style>
  <w:style w:type="paragraph" w:styleId="TOC1">
    <w:name w:val="toc 1"/>
    <w:basedOn w:val="Normal"/>
    <w:next w:val="Normal"/>
    <w:autoRedefine/>
    <w:uiPriority w:val="39"/>
    <w:unhideWhenUsed/>
    <w:qFormat/>
    <w:rsid w:val="00835A5B"/>
    <w:pPr>
      <w:tabs>
        <w:tab w:val="left" w:pos="440"/>
        <w:tab w:val="right" w:leader="dot" w:pos="9060"/>
      </w:tabs>
      <w:spacing w:after="100"/>
    </w:pPr>
    <w:rPr>
      <w:rFonts w:ascii="Arial" w:hAnsi="Arial" w:cs="Arial"/>
      <w:b/>
      <w:noProof/>
    </w:rPr>
  </w:style>
  <w:style w:type="paragraph" w:styleId="TOC2">
    <w:name w:val="toc 2"/>
    <w:basedOn w:val="Normal"/>
    <w:next w:val="Normal"/>
    <w:autoRedefine/>
    <w:uiPriority w:val="39"/>
    <w:unhideWhenUsed/>
    <w:qFormat/>
    <w:rsid w:val="009A17B2"/>
    <w:pPr>
      <w:spacing w:after="100"/>
      <w:ind w:left="220"/>
    </w:pPr>
  </w:style>
  <w:style w:type="paragraph" w:styleId="TOC3">
    <w:name w:val="toc 3"/>
    <w:basedOn w:val="Normal"/>
    <w:next w:val="Normal"/>
    <w:autoRedefine/>
    <w:uiPriority w:val="39"/>
    <w:unhideWhenUsed/>
    <w:qFormat/>
    <w:rsid w:val="009A17B2"/>
    <w:pPr>
      <w:spacing w:after="100"/>
      <w:ind w:left="440"/>
    </w:pPr>
  </w:style>
  <w:style w:type="character" w:styleId="Hyperlink">
    <w:name w:val="Hyperlink"/>
    <w:basedOn w:val="DefaultParagraphFont"/>
    <w:uiPriority w:val="99"/>
    <w:unhideWhenUsed/>
    <w:rsid w:val="009A17B2"/>
    <w:rPr>
      <w:color w:val="0000FF" w:themeColor="hyperlink"/>
      <w:u w:val="single"/>
    </w:rPr>
  </w:style>
  <w:style w:type="paragraph" w:styleId="NoSpacing">
    <w:name w:val="No Spacing"/>
    <w:link w:val="NoSpacingChar"/>
    <w:uiPriority w:val="1"/>
    <w:qFormat/>
    <w:rsid w:val="009A17B2"/>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9A17B2"/>
    <w:rPr>
      <w:rFonts w:eastAsiaTheme="minorEastAsia"/>
      <w:lang w:eastAsia="nl-NL"/>
    </w:rPr>
  </w:style>
  <w:style w:type="paragraph" w:styleId="Bibliography">
    <w:name w:val="Bibliography"/>
    <w:basedOn w:val="Normal"/>
    <w:next w:val="Normal"/>
    <w:uiPriority w:val="37"/>
    <w:unhideWhenUsed/>
    <w:rsid w:val="003C4758"/>
  </w:style>
</w:styles>
</file>

<file path=word/webSettings.xml><?xml version="1.0" encoding="utf-8"?>
<w:webSettings xmlns:r="http://schemas.openxmlformats.org/officeDocument/2006/relationships" xmlns:w="http://schemas.openxmlformats.org/wordprocessingml/2006/main">
  <w:divs>
    <w:div w:id="20521229">
      <w:bodyDiv w:val="1"/>
      <w:marLeft w:val="0"/>
      <w:marRight w:val="0"/>
      <w:marTop w:val="0"/>
      <w:marBottom w:val="0"/>
      <w:divBdr>
        <w:top w:val="none" w:sz="0" w:space="0" w:color="auto"/>
        <w:left w:val="none" w:sz="0" w:space="0" w:color="auto"/>
        <w:bottom w:val="none" w:sz="0" w:space="0" w:color="auto"/>
        <w:right w:val="none" w:sz="0" w:space="0" w:color="auto"/>
      </w:divBdr>
    </w:div>
    <w:div w:id="25524090">
      <w:bodyDiv w:val="1"/>
      <w:marLeft w:val="0"/>
      <w:marRight w:val="0"/>
      <w:marTop w:val="0"/>
      <w:marBottom w:val="0"/>
      <w:divBdr>
        <w:top w:val="none" w:sz="0" w:space="0" w:color="auto"/>
        <w:left w:val="none" w:sz="0" w:space="0" w:color="auto"/>
        <w:bottom w:val="none" w:sz="0" w:space="0" w:color="auto"/>
        <w:right w:val="none" w:sz="0" w:space="0" w:color="auto"/>
      </w:divBdr>
    </w:div>
    <w:div w:id="28192114">
      <w:bodyDiv w:val="1"/>
      <w:marLeft w:val="0"/>
      <w:marRight w:val="0"/>
      <w:marTop w:val="0"/>
      <w:marBottom w:val="0"/>
      <w:divBdr>
        <w:top w:val="none" w:sz="0" w:space="0" w:color="auto"/>
        <w:left w:val="none" w:sz="0" w:space="0" w:color="auto"/>
        <w:bottom w:val="none" w:sz="0" w:space="0" w:color="auto"/>
        <w:right w:val="none" w:sz="0" w:space="0" w:color="auto"/>
      </w:divBdr>
    </w:div>
    <w:div w:id="38750882">
      <w:bodyDiv w:val="1"/>
      <w:marLeft w:val="0"/>
      <w:marRight w:val="0"/>
      <w:marTop w:val="0"/>
      <w:marBottom w:val="0"/>
      <w:divBdr>
        <w:top w:val="none" w:sz="0" w:space="0" w:color="auto"/>
        <w:left w:val="none" w:sz="0" w:space="0" w:color="auto"/>
        <w:bottom w:val="none" w:sz="0" w:space="0" w:color="auto"/>
        <w:right w:val="none" w:sz="0" w:space="0" w:color="auto"/>
      </w:divBdr>
    </w:div>
    <w:div w:id="54009949">
      <w:bodyDiv w:val="1"/>
      <w:marLeft w:val="0"/>
      <w:marRight w:val="0"/>
      <w:marTop w:val="0"/>
      <w:marBottom w:val="0"/>
      <w:divBdr>
        <w:top w:val="none" w:sz="0" w:space="0" w:color="auto"/>
        <w:left w:val="none" w:sz="0" w:space="0" w:color="auto"/>
        <w:bottom w:val="none" w:sz="0" w:space="0" w:color="auto"/>
        <w:right w:val="none" w:sz="0" w:space="0" w:color="auto"/>
      </w:divBdr>
    </w:div>
    <w:div w:id="68117931">
      <w:bodyDiv w:val="1"/>
      <w:marLeft w:val="0"/>
      <w:marRight w:val="0"/>
      <w:marTop w:val="0"/>
      <w:marBottom w:val="0"/>
      <w:divBdr>
        <w:top w:val="none" w:sz="0" w:space="0" w:color="auto"/>
        <w:left w:val="none" w:sz="0" w:space="0" w:color="auto"/>
        <w:bottom w:val="none" w:sz="0" w:space="0" w:color="auto"/>
        <w:right w:val="none" w:sz="0" w:space="0" w:color="auto"/>
      </w:divBdr>
    </w:div>
    <w:div w:id="73862478">
      <w:bodyDiv w:val="1"/>
      <w:marLeft w:val="0"/>
      <w:marRight w:val="0"/>
      <w:marTop w:val="0"/>
      <w:marBottom w:val="0"/>
      <w:divBdr>
        <w:top w:val="none" w:sz="0" w:space="0" w:color="auto"/>
        <w:left w:val="none" w:sz="0" w:space="0" w:color="auto"/>
        <w:bottom w:val="none" w:sz="0" w:space="0" w:color="auto"/>
        <w:right w:val="none" w:sz="0" w:space="0" w:color="auto"/>
      </w:divBdr>
    </w:div>
    <w:div w:id="83573543">
      <w:bodyDiv w:val="1"/>
      <w:marLeft w:val="0"/>
      <w:marRight w:val="0"/>
      <w:marTop w:val="0"/>
      <w:marBottom w:val="0"/>
      <w:divBdr>
        <w:top w:val="none" w:sz="0" w:space="0" w:color="auto"/>
        <w:left w:val="none" w:sz="0" w:space="0" w:color="auto"/>
        <w:bottom w:val="none" w:sz="0" w:space="0" w:color="auto"/>
        <w:right w:val="none" w:sz="0" w:space="0" w:color="auto"/>
      </w:divBdr>
    </w:div>
    <w:div w:id="105277192">
      <w:bodyDiv w:val="1"/>
      <w:marLeft w:val="0"/>
      <w:marRight w:val="0"/>
      <w:marTop w:val="0"/>
      <w:marBottom w:val="0"/>
      <w:divBdr>
        <w:top w:val="none" w:sz="0" w:space="0" w:color="auto"/>
        <w:left w:val="none" w:sz="0" w:space="0" w:color="auto"/>
        <w:bottom w:val="none" w:sz="0" w:space="0" w:color="auto"/>
        <w:right w:val="none" w:sz="0" w:space="0" w:color="auto"/>
      </w:divBdr>
    </w:div>
    <w:div w:id="106969968">
      <w:bodyDiv w:val="1"/>
      <w:marLeft w:val="0"/>
      <w:marRight w:val="0"/>
      <w:marTop w:val="0"/>
      <w:marBottom w:val="0"/>
      <w:divBdr>
        <w:top w:val="none" w:sz="0" w:space="0" w:color="auto"/>
        <w:left w:val="none" w:sz="0" w:space="0" w:color="auto"/>
        <w:bottom w:val="none" w:sz="0" w:space="0" w:color="auto"/>
        <w:right w:val="none" w:sz="0" w:space="0" w:color="auto"/>
      </w:divBdr>
    </w:div>
    <w:div w:id="109785955">
      <w:bodyDiv w:val="1"/>
      <w:marLeft w:val="0"/>
      <w:marRight w:val="0"/>
      <w:marTop w:val="0"/>
      <w:marBottom w:val="0"/>
      <w:divBdr>
        <w:top w:val="none" w:sz="0" w:space="0" w:color="auto"/>
        <w:left w:val="none" w:sz="0" w:space="0" w:color="auto"/>
        <w:bottom w:val="none" w:sz="0" w:space="0" w:color="auto"/>
        <w:right w:val="none" w:sz="0" w:space="0" w:color="auto"/>
      </w:divBdr>
    </w:div>
    <w:div w:id="139200047">
      <w:bodyDiv w:val="1"/>
      <w:marLeft w:val="0"/>
      <w:marRight w:val="0"/>
      <w:marTop w:val="0"/>
      <w:marBottom w:val="0"/>
      <w:divBdr>
        <w:top w:val="none" w:sz="0" w:space="0" w:color="auto"/>
        <w:left w:val="none" w:sz="0" w:space="0" w:color="auto"/>
        <w:bottom w:val="none" w:sz="0" w:space="0" w:color="auto"/>
        <w:right w:val="none" w:sz="0" w:space="0" w:color="auto"/>
      </w:divBdr>
    </w:div>
    <w:div w:id="143281881">
      <w:bodyDiv w:val="1"/>
      <w:marLeft w:val="0"/>
      <w:marRight w:val="0"/>
      <w:marTop w:val="0"/>
      <w:marBottom w:val="0"/>
      <w:divBdr>
        <w:top w:val="none" w:sz="0" w:space="0" w:color="auto"/>
        <w:left w:val="none" w:sz="0" w:space="0" w:color="auto"/>
        <w:bottom w:val="none" w:sz="0" w:space="0" w:color="auto"/>
        <w:right w:val="none" w:sz="0" w:space="0" w:color="auto"/>
      </w:divBdr>
    </w:div>
    <w:div w:id="151609325">
      <w:bodyDiv w:val="1"/>
      <w:marLeft w:val="0"/>
      <w:marRight w:val="0"/>
      <w:marTop w:val="0"/>
      <w:marBottom w:val="0"/>
      <w:divBdr>
        <w:top w:val="none" w:sz="0" w:space="0" w:color="auto"/>
        <w:left w:val="none" w:sz="0" w:space="0" w:color="auto"/>
        <w:bottom w:val="none" w:sz="0" w:space="0" w:color="auto"/>
        <w:right w:val="none" w:sz="0" w:space="0" w:color="auto"/>
      </w:divBdr>
    </w:div>
    <w:div w:id="208421793">
      <w:bodyDiv w:val="1"/>
      <w:marLeft w:val="0"/>
      <w:marRight w:val="0"/>
      <w:marTop w:val="0"/>
      <w:marBottom w:val="0"/>
      <w:divBdr>
        <w:top w:val="none" w:sz="0" w:space="0" w:color="auto"/>
        <w:left w:val="none" w:sz="0" w:space="0" w:color="auto"/>
        <w:bottom w:val="none" w:sz="0" w:space="0" w:color="auto"/>
        <w:right w:val="none" w:sz="0" w:space="0" w:color="auto"/>
      </w:divBdr>
    </w:div>
    <w:div w:id="259682340">
      <w:bodyDiv w:val="1"/>
      <w:marLeft w:val="0"/>
      <w:marRight w:val="0"/>
      <w:marTop w:val="0"/>
      <w:marBottom w:val="0"/>
      <w:divBdr>
        <w:top w:val="none" w:sz="0" w:space="0" w:color="auto"/>
        <w:left w:val="none" w:sz="0" w:space="0" w:color="auto"/>
        <w:bottom w:val="none" w:sz="0" w:space="0" w:color="auto"/>
        <w:right w:val="none" w:sz="0" w:space="0" w:color="auto"/>
      </w:divBdr>
    </w:div>
    <w:div w:id="264846906">
      <w:bodyDiv w:val="1"/>
      <w:marLeft w:val="0"/>
      <w:marRight w:val="0"/>
      <w:marTop w:val="0"/>
      <w:marBottom w:val="0"/>
      <w:divBdr>
        <w:top w:val="none" w:sz="0" w:space="0" w:color="auto"/>
        <w:left w:val="none" w:sz="0" w:space="0" w:color="auto"/>
        <w:bottom w:val="none" w:sz="0" w:space="0" w:color="auto"/>
        <w:right w:val="none" w:sz="0" w:space="0" w:color="auto"/>
      </w:divBdr>
    </w:div>
    <w:div w:id="273052006">
      <w:bodyDiv w:val="1"/>
      <w:marLeft w:val="0"/>
      <w:marRight w:val="0"/>
      <w:marTop w:val="0"/>
      <w:marBottom w:val="0"/>
      <w:divBdr>
        <w:top w:val="none" w:sz="0" w:space="0" w:color="auto"/>
        <w:left w:val="none" w:sz="0" w:space="0" w:color="auto"/>
        <w:bottom w:val="none" w:sz="0" w:space="0" w:color="auto"/>
        <w:right w:val="none" w:sz="0" w:space="0" w:color="auto"/>
      </w:divBdr>
    </w:div>
    <w:div w:id="274867454">
      <w:bodyDiv w:val="1"/>
      <w:marLeft w:val="0"/>
      <w:marRight w:val="0"/>
      <w:marTop w:val="0"/>
      <w:marBottom w:val="0"/>
      <w:divBdr>
        <w:top w:val="none" w:sz="0" w:space="0" w:color="auto"/>
        <w:left w:val="none" w:sz="0" w:space="0" w:color="auto"/>
        <w:bottom w:val="none" w:sz="0" w:space="0" w:color="auto"/>
        <w:right w:val="none" w:sz="0" w:space="0" w:color="auto"/>
      </w:divBdr>
    </w:div>
    <w:div w:id="284041353">
      <w:bodyDiv w:val="1"/>
      <w:marLeft w:val="0"/>
      <w:marRight w:val="0"/>
      <w:marTop w:val="0"/>
      <w:marBottom w:val="0"/>
      <w:divBdr>
        <w:top w:val="none" w:sz="0" w:space="0" w:color="auto"/>
        <w:left w:val="none" w:sz="0" w:space="0" w:color="auto"/>
        <w:bottom w:val="none" w:sz="0" w:space="0" w:color="auto"/>
        <w:right w:val="none" w:sz="0" w:space="0" w:color="auto"/>
      </w:divBdr>
    </w:div>
    <w:div w:id="346560434">
      <w:bodyDiv w:val="1"/>
      <w:marLeft w:val="0"/>
      <w:marRight w:val="0"/>
      <w:marTop w:val="0"/>
      <w:marBottom w:val="0"/>
      <w:divBdr>
        <w:top w:val="none" w:sz="0" w:space="0" w:color="auto"/>
        <w:left w:val="none" w:sz="0" w:space="0" w:color="auto"/>
        <w:bottom w:val="none" w:sz="0" w:space="0" w:color="auto"/>
        <w:right w:val="none" w:sz="0" w:space="0" w:color="auto"/>
      </w:divBdr>
    </w:div>
    <w:div w:id="380323881">
      <w:bodyDiv w:val="1"/>
      <w:marLeft w:val="0"/>
      <w:marRight w:val="0"/>
      <w:marTop w:val="0"/>
      <w:marBottom w:val="0"/>
      <w:divBdr>
        <w:top w:val="none" w:sz="0" w:space="0" w:color="auto"/>
        <w:left w:val="none" w:sz="0" w:space="0" w:color="auto"/>
        <w:bottom w:val="none" w:sz="0" w:space="0" w:color="auto"/>
        <w:right w:val="none" w:sz="0" w:space="0" w:color="auto"/>
      </w:divBdr>
    </w:div>
    <w:div w:id="389571586">
      <w:bodyDiv w:val="1"/>
      <w:marLeft w:val="0"/>
      <w:marRight w:val="0"/>
      <w:marTop w:val="0"/>
      <w:marBottom w:val="0"/>
      <w:divBdr>
        <w:top w:val="none" w:sz="0" w:space="0" w:color="auto"/>
        <w:left w:val="none" w:sz="0" w:space="0" w:color="auto"/>
        <w:bottom w:val="none" w:sz="0" w:space="0" w:color="auto"/>
        <w:right w:val="none" w:sz="0" w:space="0" w:color="auto"/>
      </w:divBdr>
    </w:div>
    <w:div w:id="423309773">
      <w:bodyDiv w:val="1"/>
      <w:marLeft w:val="0"/>
      <w:marRight w:val="0"/>
      <w:marTop w:val="0"/>
      <w:marBottom w:val="0"/>
      <w:divBdr>
        <w:top w:val="none" w:sz="0" w:space="0" w:color="auto"/>
        <w:left w:val="none" w:sz="0" w:space="0" w:color="auto"/>
        <w:bottom w:val="none" w:sz="0" w:space="0" w:color="auto"/>
        <w:right w:val="none" w:sz="0" w:space="0" w:color="auto"/>
      </w:divBdr>
    </w:div>
    <w:div w:id="427963846">
      <w:bodyDiv w:val="1"/>
      <w:marLeft w:val="0"/>
      <w:marRight w:val="0"/>
      <w:marTop w:val="0"/>
      <w:marBottom w:val="0"/>
      <w:divBdr>
        <w:top w:val="none" w:sz="0" w:space="0" w:color="auto"/>
        <w:left w:val="none" w:sz="0" w:space="0" w:color="auto"/>
        <w:bottom w:val="none" w:sz="0" w:space="0" w:color="auto"/>
        <w:right w:val="none" w:sz="0" w:space="0" w:color="auto"/>
      </w:divBdr>
    </w:div>
    <w:div w:id="433524542">
      <w:bodyDiv w:val="1"/>
      <w:marLeft w:val="0"/>
      <w:marRight w:val="0"/>
      <w:marTop w:val="0"/>
      <w:marBottom w:val="0"/>
      <w:divBdr>
        <w:top w:val="none" w:sz="0" w:space="0" w:color="auto"/>
        <w:left w:val="none" w:sz="0" w:space="0" w:color="auto"/>
        <w:bottom w:val="none" w:sz="0" w:space="0" w:color="auto"/>
        <w:right w:val="none" w:sz="0" w:space="0" w:color="auto"/>
      </w:divBdr>
    </w:div>
    <w:div w:id="436606544">
      <w:bodyDiv w:val="1"/>
      <w:marLeft w:val="0"/>
      <w:marRight w:val="0"/>
      <w:marTop w:val="0"/>
      <w:marBottom w:val="0"/>
      <w:divBdr>
        <w:top w:val="none" w:sz="0" w:space="0" w:color="auto"/>
        <w:left w:val="none" w:sz="0" w:space="0" w:color="auto"/>
        <w:bottom w:val="none" w:sz="0" w:space="0" w:color="auto"/>
        <w:right w:val="none" w:sz="0" w:space="0" w:color="auto"/>
      </w:divBdr>
    </w:div>
    <w:div w:id="451704927">
      <w:bodyDiv w:val="1"/>
      <w:marLeft w:val="0"/>
      <w:marRight w:val="0"/>
      <w:marTop w:val="0"/>
      <w:marBottom w:val="0"/>
      <w:divBdr>
        <w:top w:val="none" w:sz="0" w:space="0" w:color="auto"/>
        <w:left w:val="none" w:sz="0" w:space="0" w:color="auto"/>
        <w:bottom w:val="none" w:sz="0" w:space="0" w:color="auto"/>
        <w:right w:val="none" w:sz="0" w:space="0" w:color="auto"/>
      </w:divBdr>
    </w:div>
    <w:div w:id="454982423">
      <w:bodyDiv w:val="1"/>
      <w:marLeft w:val="0"/>
      <w:marRight w:val="0"/>
      <w:marTop w:val="0"/>
      <w:marBottom w:val="0"/>
      <w:divBdr>
        <w:top w:val="none" w:sz="0" w:space="0" w:color="auto"/>
        <w:left w:val="none" w:sz="0" w:space="0" w:color="auto"/>
        <w:bottom w:val="none" w:sz="0" w:space="0" w:color="auto"/>
        <w:right w:val="none" w:sz="0" w:space="0" w:color="auto"/>
      </w:divBdr>
    </w:div>
    <w:div w:id="481459438">
      <w:bodyDiv w:val="1"/>
      <w:marLeft w:val="0"/>
      <w:marRight w:val="0"/>
      <w:marTop w:val="0"/>
      <w:marBottom w:val="0"/>
      <w:divBdr>
        <w:top w:val="none" w:sz="0" w:space="0" w:color="auto"/>
        <w:left w:val="none" w:sz="0" w:space="0" w:color="auto"/>
        <w:bottom w:val="none" w:sz="0" w:space="0" w:color="auto"/>
        <w:right w:val="none" w:sz="0" w:space="0" w:color="auto"/>
      </w:divBdr>
    </w:div>
    <w:div w:id="506407010">
      <w:bodyDiv w:val="1"/>
      <w:marLeft w:val="0"/>
      <w:marRight w:val="0"/>
      <w:marTop w:val="0"/>
      <w:marBottom w:val="0"/>
      <w:divBdr>
        <w:top w:val="none" w:sz="0" w:space="0" w:color="auto"/>
        <w:left w:val="none" w:sz="0" w:space="0" w:color="auto"/>
        <w:bottom w:val="none" w:sz="0" w:space="0" w:color="auto"/>
        <w:right w:val="none" w:sz="0" w:space="0" w:color="auto"/>
      </w:divBdr>
    </w:div>
    <w:div w:id="552933705">
      <w:bodyDiv w:val="1"/>
      <w:marLeft w:val="0"/>
      <w:marRight w:val="0"/>
      <w:marTop w:val="0"/>
      <w:marBottom w:val="0"/>
      <w:divBdr>
        <w:top w:val="none" w:sz="0" w:space="0" w:color="auto"/>
        <w:left w:val="none" w:sz="0" w:space="0" w:color="auto"/>
        <w:bottom w:val="none" w:sz="0" w:space="0" w:color="auto"/>
        <w:right w:val="none" w:sz="0" w:space="0" w:color="auto"/>
      </w:divBdr>
    </w:div>
    <w:div w:id="554781477">
      <w:bodyDiv w:val="1"/>
      <w:marLeft w:val="0"/>
      <w:marRight w:val="0"/>
      <w:marTop w:val="0"/>
      <w:marBottom w:val="0"/>
      <w:divBdr>
        <w:top w:val="none" w:sz="0" w:space="0" w:color="auto"/>
        <w:left w:val="none" w:sz="0" w:space="0" w:color="auto"/>
        <w:bottom w:val="none" w:sz="0" w:space="0" w:color="auto"/>
        <w:right w:val="none" w:sz="0" w:space="0" w:color="auto"/>
      </w:divBdr>
    </w:div>
    <w:div w:id="569970848">
      <w:bodyDiv w:val="1"/>
      <w:marLeft w:val="0"/>
      <w:marRight w:val="0"/>
      <w:marTop w:val="0"/>
      <w:marBottom w:val="0"/>
      <w:divBdr>
        <w:top w:val="none" w:sz="0" w:space="0" w:color="auto"/>
        <w:left w:val="none" w:sz="0" w:space="0" w:color="auto"/>
        <w:bottom w:val="none" w:sz="0" w:space="0" w:color="auto"/>
        <w:right w:val="none" w:sz="0" w:space="0" w:color="auto"/>
      </w:divBdr>
    </w:div>
    <w:div w:id="593562283">
      <w:bodyDiv w:val="1"/>
      <w:marLeft w:val="0"/>
      <w:marRight w:val="0"/>
      <w:marTop w:val="0"/>
      <w:marBottom w:val="0"/>
      <w:divBdr>
        <w:top w:val="none" w:sz="0" w:space="0" w:color="auto"/>
        <w:left w:val="none" w:sz="0" w:space="0" w:color="auto"/>
        <w:bottom w:val="none" w:sz="0" w:space="0" w:color="auto"/>
        <w:right w:val="none" w:sz="0" w:space="0" w:color="auto"/>
      </w:divBdr>
    </w:div>
    <w:div w:id="611866117">
      <w:bodyDiv w:val="1"/>
      <w:marLeft w:val="0"/>
      <w:marRight w:val="0"/>
      <w:marTop w:val="0"/>
      <w:marBottom w:val="0"/>
      <w:divBdr>
        <w:top w:val="none" w:sz="0" w:space="0" w:color="auto"/>
        <w:left w:val="none" w:sz="0" w:space="0" w:color="auto"/>
        <w:bottom w:val="none" w:sz="0" w:space="0" w:color="auto"/>
        <w:right w:val="none" w:sz="0" w:space="0" w:color="auto"/>
      </w:divBdr>
    </w:div>
    <w:div w:id="613443795">
      <w:bodyDiv w:val="1"/>
      <w:marLeft w:val="0"/>
      <w:marRight w:val="0"/>
      <w:marTop w:val="0"/>
      <w:marBottom w:val="0"/>
      <w:divBdr>
        <w:top w:val="none" w:sz="0" w:space="0" w:color="auto"/>
        <w:left w:val="none" w:sz="0" w:space="0" w:color="auto"/>
        <w:bottom w:val="none" w:sz="0" w:space="0" w:color="auto"/>
        <w:right w:val="none" w:sz="0" w:space="0" w:color="auto"/>
      </w:divBdr>
    </w:div>
    <w:div w:id="630986158">
      <w:bodyDiv w:val="1"/>
      <w:marLeft w:val="0"/>
      <w:marRight w:val="0"/>
      <w:marTop w:val="0"/>
      <w:marBottom w:val="0"/>
      <w:divBdr>
        <w:top w:val="none" w:sz="0" w:space="0" w:color="auto"/>
        <w:left w:val="none" w:sz="0" w:space="0" w:color="auto"/>
        <w:bottom w:val="none" w:sz="0" w:space="0" w:color="auto"/>
        <w:right w:val="none" w:sz="0" w:space="0" w:color="auto"/>
      </w:divBdr>
    </w:div>
    <w:div w:id="634407262">
      <w:bodyDiv w:val="1"/>
      <w:marLeft w:val="0"/>
      <w:marRight w:val="0"/>
      <w:marTop w:val="0"/>
      <w:marBottom w:val="0"/>
      <w:divBdr>
        <w:top w:val="none" w:sz="0" w:space="0" w:color="auto"/>
        <w:left w:val="none" w:sz="0" w:space="0" w:color="auto"/>
        <w:bottom w:val="none" w:sz="0" w:space="0" w:color="auto"/>
        <w:right w:val="none" w:sz="0" w:space="0" w:color="auto"/>
      </w:divBdr>
    </w:div>
    <w:div w:id="646981828">
      <w:bodyDiv w:val="1"/>
      <w:marLeft w:val="0"/>
      <w:marRight w:val="0"/>
      <w:marTop w:val="0"/>
      <w:marBottom w:val="0"/>
      <w:divBdr>
        <w:top w:val="none" w:sz="0" w:space="0" w:color="auto"/>
        <w:left w:val="none" w:sz="0" w:space="0" w:color="auto"/>
        <w:bottom w:val="none" w:sz="0" w:space="0" w:color="auto"/>
        <w:right w:val="none" w:sz="0" w:space="0" w:color="auto"/>
      </w:divBdr>
    </w:div>
    <w:div w:id="651762438">
      <w:bodyDiv w:val="1"/>
      <w:marLeft w:val="0"/>
      <w:marRight w:val="0"/>
      <w:marTop w:val="0"/>
      <w:marBottom w:val="0"/>
      <w:divBdr>
        <w:top w:val="none" w:sz="0" w:space="0" w:color="auto"/>
        <w:left w:val="none" w:sz="0" w:space="0" w:color="auto"/>
        <w:bottom w:val="none" w:sz="0" w:space="0" w:color="auto"/>
        <w:right w:val="none" w:sz="0" w:space="0" w:color="auto"/>
      </w:divBdr>
    </w:div>
    <w:div w:id="735325939">
      <w:bodyDiv w:val="1"/>
      <w:marLeft w:val="0"/>
      <w:marRight w:val="0"/>
      <w:marTop w:val="0"/>
      <w:marBottom w:val="0"/>
      <w:divBdr>
        <w:top w:val="none" w:sz="0" w:space="0" w:color="auto"/>
        <w:left w:val="none" w:sz="0" w:space="0" w:color="auto"/>
        <w:bottom w:val="none" w:sz="0" w:space="0" w:color="auto"/>
        <w:right w:val="none" w:sz="0" w:space="0" w:color="auto"/>
      </w:divBdr>
    </w:div>
    <w:div w:id="766654292">
      <w:bodyDiv w:val="1"/>
      <w:marLeft w:val="0"/>
      <w:marRight w:val="0"/>
      <w:marTop w:val="0"/>
      <w:marBottom w:val="0"/>
      <w:divBdr>
        <w:top w:val="none" w:sz="0" w:space="0" w:color="auto"/>
        <w:left w:val="none" w:sz="0" w:space="0" w:color="auto"/>
        <w:bottom w:val="none" w:sz="0" w:space="0" w:color="auto"/>
        <w:right w:val="none" w:sz="0" w:space="0" w:color="auto"/>
      </w:divBdr>
    </w:div>
    <w:div w:id="770392457">
      <w:bodyDiv w:val="1"/>
      <w:marLeft w:val="0"/>
      <w:marRight w:val="0"/>
      <w:marTop w:val="0"/>
      <w:marBottom w:val="0"/>
      <w:divBdr>
        <w:top w:val="none" w:sz="0" w:space="0" w:color="auto"/>
        <w:left w:val="none" w:sz="0" w:space="0" w:color="auto"/>
        <w:bottom w:val="none" w:sz="0" w:space="0" w:color="auto"/>
        <w:right w:val="none" w:sz="0" w:space="0" w:color="auto"/>
      </w:divBdr>
    </w:div>
    <w:div w:id="785009360">
      <w:bodyDiv w:val="1"/>
      <w:marLeft w:val="0"/>
      <w:marRight w:val="0"/>
      <w:marTop w:val="0"/>
      <w:marBottom w:val="0"/>
      <w:divBdr>
        <w:top w:val="none" w:sz="0" w:space="0" w:color="auto"/>
        <w:left w:val="none" w:sz="0" w:space="0" w:color="auto"/>
        <w:bottom w:val="none" w:sz="0" w:space="0" w:color="auto"/>
        <w:right w:val="none" w:sz="0" w:space="0" w:color="auto"/>
      </w:divBdr>
    </w:div>
    <w:div w:id="788746031">
      <w:bodyDiv w:val="1"/>
      <w:marLeft w:val="0"/>
      <w:marRight w:val="0"/>
      <w:marTop w:val="0"/>
      <w:marBottom w:val="0"/>
      <w:divBdr>
        <w:top w:val="none" w:sz="0" w:space="0" w:color="auto"/>
        <w:left w:val="none" w:sz="0" w:space="0" w:color="auto"/>
        <w:bottom w:val="none" w:sz="0" w:space="0" w:color="auto"/>
        <w:right w:val="none" w:sz="0" w:space="0" w:color="auto"/>
      </w:divBdr>
    </w:div>
    <w:div w:id="822352965">
      <w:bodyDiv w:val="1"/>
      <w:marLeft w:val="0"/>
      <w:marRight w:val="0"/>
      <w:marTop w:val="0"/>
      <w:marBottom w:val="0"/>
      <w:divBdr>
        <w:top w:val="none" w:sz="0" w:space="0" w:color="auto"/>
        <w:left w:val="none" w:sz="0" w:space="0" w:color="auto"/>
        <w:bottom w:val="none" w:sz="0" w:space="0" w:color="auto"/>
        <w:right w:val="none" w:sz="0" w:space="0" w:color="auto"/>
      </w:divBdr>
    </w:div>
    <w:div w:id="829756065">
      <w:bodyDiv w:val="1"/>
      <w:marLeft w:val="0"/>
      <w:marRight w:val="0"/>
      <w:marTop w:val="0"/>
      <w:marBottom w:val="0"/>
      <w:divBdr>
        <w:top w:val="none" w:sz="0" w:space="0" w:color="auto"/>
        <w:left w:val="none" w:sz="0" w:space="0" w:color="auto"/>
        <w:bottom w:val="none" w:sz="0" w:space="0" w:color="auto"/>
        <w:right w:val="none" w:sz="0" w:space="0" w:color="auto"/>
      </w:divBdr>
    </w:div>
    <w:div w:id="843856603">
      <w:bodyDiv w:val="1"/>
      <w:marLeft w:val="0"/>
      <w:marRight w:val="0"/>
      <w:marTop w:val="0"/>
      <w:marBottom w:val="0"/>
      <w:divBdr>
        <w:top w:val="none" w:sz="0" w:space="0" w:color="auto"/>
        <w:left w:val="none" w:sz="0" w:space="0" w:color="auto"/>
        <w:bottom w:val="none" w:sz="0" w:space="0" w:color="auto"/>
        <w:right w:val="none" w:sz="0" w:space="0" w:color="auto"/>
      </w:divBdr>
    </w:div>
    <w:div w:id="863833836">
      <w:bodyDiv w:val="1"/>
      <w:marLeft w:val="0"/>
      <w:marRight w:val="0"/>
      <w:marTop w:val="0"/>
      <w:marBottom w:val="0"/>
      <w:divBdr>
        <w:top w:val="none" w:sz="0" w:space="0" w:color="auto"/>
        <w:left w:val="none" w:sz="0" w:space="0" w:color="auto"/>
        <w:bottom w:val="none" w:sz="0" w:space="0" w:color="auto"/>
        <w:right w:val="none" w:sz="0" w:space="0" w:color="auto"/>
      </w:divBdr>
    </w:div>
    <w:div w:id="972519514">
      <w:bodyDiv w:val="1"/>
      <w:marLeft w:val="0"/>
      <w:marRight w:val="0"/>
      <w:marTop w:val="0"/>
      <w:marBottom w:val="0"/>
      <w:divBdr>
        <w:top w:val="none" w:sz="0" w:space="0" w:color="auto"/>
        <w:left w:val="none" w:sz="0" w:space="0" w:color="auto"/>
        <w:bottom w:val="none" w:sz="0" w:space="0" w:color="auto"/>
        <w:right w:val="none" w:sz="0" w:space="0" w:color="auto"/>
      </w:divBdr>
    </w:div>
    <w:div w:id="997080231">
      <w:bodyDiv w:val="1"/>
      <w:marLeft w:val="0"/>
      <w:marRight w:val="0"/>
      <w:marTop w:val="0"/>
      <w:marBottom w:val="0"/>
      <w:divBdr>
        <w:top w:val="none" w:sz="0" w:space="0" w:color="auto"/>
        <w:left w:val="none" w:sz="0" w:space="0" w:color="auto"/>
        <w:bottom w:val="none" w:sz="0" w:space="0" w:color="auto"/>
        <w:right w:val="none" w:sz="0" w:space="0" w:color="auto"/>
      </w:divBdr>
    </w:div>
    <w:div w:id="1001741176">
      <w:bodyDiv w:val="1"/>
      <w:marLeft w:val="0"/>
      <w:marRight w:val="0"/>
      <w:marTop w:val="0"/>
      <w:marBottom w:val="0"/>
      <w:divBdr>
        <w:top w:val="none" w:sz="0" w:space="0" w:color="auto"/>
        <w:left w:val="none" w:sz="0" w:space="0" w:color="auto"/>
        <w:bottom w:val="none" w:sz="0" w:space="0" w:color="auto"/>
        <w:right w:val="none" w:sz="0" w:space="0" w:color="auto"/>
      </w:divBdr>
    </w:div>
    <w:div w:id="1005323333">
      <w:bodyDiv w:val="1"/>
      <w:marLeft w:val="0"/>
      <w:marRight w:val="0"/>
      <w:marTop w:val="0"/>
      <w:marBottom w:val="0"/>
      <w:divBdr>
        <w:top w:val="none" w:sz="0" w:space="0" w:color="auto"/>
        <w:left w:val="none" w:sz="0" w:space="0" w:color="auto"/>
        <w:bottom w:val="none" w:sz="0" w:space="0" w:color="auto"/>
        <w:right w:val="none" w:sz="0" w:space="0" w:color="auto"/>
      </w:divBdr>
    </w:div>
    <w:div w:id="1014038756">
      <w:bodyDiv w:val="1"/>
      <w:marLeft w:val="0"/>
      <w:marRight w:val="0"/>
      <w:marTop w:val="0"/>
      <w:marBottom w:val="0"/>
      <w:divBdr>
        <w:top w:val="none" w:sz="0" w:space="0" w:color="auto"/>
        <w:left w:val="none" w:sz="0" w:space="0" w:color="auto"/>
        <w:bottom w:val="none" w:sz="0" w:space="0" w:color="auto"/>
        <w:right w:val="none" w:sz="0" w:space="0" w:color="auto"/>
      </w:divBdr>
    </w:div>
    <w:div w:id="1034578809">
      <w:bodyDiv w:val="1"/>
      <w:marLeft w:val="0"/>
      <w:marRight w:val="0"/>
      <w:marTop w:val="0"/>
      <w:marBottom w:val="0"/>
      <w:divBdr>
        <w:top w:val="none" w:sz="0" w:space="0" w:color="auto"/>
        <w:left w:val="none" w:sz="0" w:space="0" w:color="auto"/>
        <w:bottom w:val="none" w:sz="0" w:space="0" w:color="auto"/>
        <w:right w:val="none" w:sz="0" w:space="0" w:color="auto"/>
      </w:divBdr>
    </w:div>
    <w:div w:id="1148861522">
      <w:bodyDiv w:val="1"/>
      <w:marLeft w:val="0"/>
      <w:marRight w:val="0"/>
      <w:marTop w:val="0"/>
      <w:marBottom w:val="0"/>
      <w:divBdr>
        <w:top w:val="none" w:sz="0" w:space="0" w:color="auto"/>
        <w:left w:val="none" w:sz="0" w:space="0" w:color="auto"/>
        <w:bottom w:val="none" w:sz="0" w:space="0" w:color="auto"/>
        <w:right w:val="none" w:sz="0" w:space="0" w:color="auto"/>
      </w:divBdr>
    </w:div>
    <w:div w:id="1165781696">
      <w:bodyDiv w:val="1"/>
      <w:marLeft w:val="0"/>
      <w:marRight w:val="0"/>
      <w:marTop w:val="0"/>
      <w:marBottom w:val="0"/>
      <w:divBdr>
        <w:top w:val="none" w:sz="0" w:space="0" w:color="auto"/>
        <w:left w:val="none" w:sz="0" w:space="0" w:color="auto"/>
        <w:bottom w:val="none" w:sz="0" w:space="0" w:color="auto"/>
        <w:right w:val="none" w:sz="0" w:space="0" w:color="auto"/>
      </w:divBdr>
    </w:div>
    <w:div w:id="1211847123">
      <w:bodyDiv w:val="1"/>
      <w:marLeft w:val="0"/>
      <w:marRight w:val="0"/>
      <w:marTop w:val="0"/>
      <w:marBottom w:val="0"/>
      <w:divBdr>
        <w:top w:val="none" w:sz="0" w:space="0" w:color="auto"/>
        <w:left w:val="none" w:sz="0" w:space="0" w:color="auto"/>
        <w:bottom w:val="none" w:sz="0" w:space="0" w:color="auto"/>
        <w:right w:val="none" w:sz="0" w:space="0" w:color="auto"/>
      </w:divBdr>
    </w:div>
    <w:div w:id="1230531974">
      <w:bodyDiv w:val="1"/>
      <w:marLeft w:val="0"/>
      <w:marRight w:val="0"/>
      <w:marTop w:val="0"/>
      <w:marBottom w:val="0"/>
      <w:divBdr>
        <w:top w:val="none" w:sz="0" w:space="0" w:color="auto"/>
        <w:left w:val="none" w:sz="0" w:space="0" w:color="auto"/>
        <w:bottom w:val="none" w:sz="0" w:space="0" w:color="auto"/>
        <w:right w:val="none" w:sz="0" w:space="0" w:color="auto"/>
      </w:divBdr>
    </w:div>
    <w:div w:id="1250044278">
      <w:bodyDiv w:val="1"/>
      <w:marLeft w:val="0"/>
      <w:marRight w:val="0"/>
      <w:marTop w:val="0"/>
      <w:marBottom w:val="0"/>
      <w:divBdr>
        <w:top w:val="none" w:sz="0" w:space="0" w:color="auto"/>
        <w:left w:val="none" w:sz="0" w:space="0" w:color="auto"/>
        <w:bottom w:val="none" w:sz="0" w:space="0" w:color="auto"/>
        <w:right w:val="none" w:sz="0" w:space="0" w:color="auto"/>
      </w:divBdr>
    </w:div>
    <w:div w:id="1255438211">
      <w:bodyDiv w:val="1"/>
      <w:marLeft w:val="0"/>
      <w:marRight w:val="0"/>
      <w:marTop w:val="0"/>
      <w:marBottom w:val="0"/>
      <w:divBdr>
        <w:top w:val="none" w:sz="0" w:space="0" w:color="auto"/>
        <w:left w:val="none" w:sz="0" w:space="0" w:color="auto"/>
        <w:bottom w:val="none" w:sz="0" w:space="0" w:color="auto"/>
        <w:right w:val="none" w:sz="0" w:space="0" w:color="auto"/>
      </w:divBdr>
    </w:div>
    <w:div w:id="1262226736">
      <w:bodyDiv w:val="1"/>
      <w:marLeft w:val="0"/>
      <w:marRight w:val="0"/>
      <w:marTop w:val="0"/>
      <w:marBottom w:val="0"/>
      <w:divBdr>
        <w:top w:val="none" w:sz="0" w:space="0" w:color="auto"/>
        <w:left w:val="none" w:sz="0" w:space="0" w:color="auto"/>
        <w:bottom w:val="none" w:sz="0" w:space="0" w:color="auto"/>
        <w:right w:val="none" w:sz="0" w:space="0" w:color="auto"/>
      </w:divBdr>
    </w:div>
    <w:div w:id="1278440605">
      <w:bodyDiv w:val="1"/>
      <w:marLeft w:val="0"/>
      <w:marRight w:val="0"/>
      <w:marTop w:val="0"/>
      <w:marBottom w:val="0"/>
      <w:divBdr>
        <w:top w:val="none" w:sz="0" w:space="0" w:color="auto"/>
        <w:left w:val="none" w:sz="0" w:space="0" w:color="auto"/>
        <w:bottom w:val="none" w:sz="0" w:space="0" w:color="auto"/>
        <w:right w:val="none" w:sz="0" w:space="0" w:color="auto"/>
      </w:divBdr>
    </w:div>
    <w:div w:id="1303778993">
      <w:bodyDiv w:val="1"/>
      <w:marLeft w:val="0"/>
      <w:marRight w:val="0"/>
      <w:marTop w:val="0"/>
      <w:marBottom w:val="0"/>
      <w:divBdr>
        <w:top w:val="none" w:sz="0" w:space="0" w:color="auto"/>
        <w:left w:val="none" w:sz="0" w:space="0" w:color="auto"/>
        <w:bottom w:val="none" w:sz="0" w:space="0" w:color="auto"/>
        <w:right w:val="none" w:sz="0" w:space="0" w:color="auto"/>
      </w:divBdr>
    </w:div>
    <w:div w:id="1331526449">
      <w:bodyDiv w:val="1"/>
      <w:marLeft w:val="0"/>
      <w:marRight w:val="0"/>
      <w:marTop w:val="0"/>
      <w:marBottom w:val="0"/>
      <w:divBdr>
        <w:top w:val="none" w:sz="0" w:space="0" w:color="auto"/>
        <w:left w:val="none" w:sz="0" w:space="0" w:color="auto"/>
        <w:bottom w:val="none" w:sz="0" w:space="0" w:color="auto"/>
        <w:right w:val="none" w:sz="0" w:space="0" w:color="auto"/>
      </w:divBdr>
    </w:div>
    <w:div w:id="1446001448">
      <w:bodyDiv w:val="1"/>
      <w:marLeft w:val="0"/>
      <w:marRight w:val="0"/>
      <w:marTop w:val="0"/>
      <w:marBottom w:val="0"/>
      <w:divBdr>
        <w:top w:val="none" w:sz="0" w:space="0" w:color="auto"/>
        <w:left w:val="none" w:sz="0" w:space="0" w:color="auto"/>
        <w:bottom w:val="none" w:sz="0" w:space="0" w:color="auto"/>
        <w:right w:val="none" w:sz="0" w:space="0" w:color="auto"/>
      </w:divBdr>
    </w:div>
    <w:div w:id="1453549233">
      <w:bodyDiv w:val="1"/>
      <w:marLeft w:val="0"/>
      <w:marRight w:val="0"/>
      <w:marTop w:val="0"/>
      <w:marBottom w:val="0"/>
      <w:divBdr>
        <w:top w:val="none" w:sz="0" w:space="0" w:color="auto"/>
        <w:left w:val="none" w:sz="0" w:space="0" w:color="auto"/>
        <w:bottom w:val="none" w:sz="0" w:space="0" w:color="auto"/>
        <w:right w:val="none" w:sz="0" w:space="0" w:color="auto"/>
      </w:divBdr>
    </w:div>
    <w:div w:id="1471290068">
      <w:bodyDiv w:val="1"/>
      <w:marLeft w:val="0"/>
      <w:marRight w:val="0"/>
      <w:marTop w:val="0"/>
      <w:marBottom w:val="0"/>
      <w:divBdr>
        <w:top w:val="none" w:sz="0" w:space="0" w:color="auto"/>
        <w:left w:val="none" w:sz="0" w:space="0" w:color="auto"/>
        <w:bottom w:val="none" w:sz="0" w:space="0" w:color="auto"/>
        <w:right w:val="none" w:sz="0" w:space="0" w:color="auto"/>
      </w:divBdr>
    </w:div>
    <w:div w:id="1479762098">
      <w:bodyDiv w:val="1"/>
      <w:marLeft w:val="0"/>
      <w:marRight w:val="0"/>
      <w:marTop w:val="0"/>
      <w:marBottom w:val="0"/>
      <w:divBdr>
        <w:top w:val="none" w:sz="0" w:space="0" w:color="auto"/>
        <w:left w:val="none" w:sz="0" w:space="0" w:color="auto"/>
        <w:bottom w:val="none" w:sz="0" w:space="0" w:color="auto"/>
        <w:right w:val="none" w:sz="0" w:space="0" w:color="auto"/>
      </w:divBdr>
    </w:div>
    <w:div w:id="1480924094">
      <w:bodyDiv w:val="1"/>
      <w:marLeft w:val="0"/>
      <w:marRight w:val="0"/>
      <w:marTop w:val="0"/>
      <w:marBottom w:val="0"/>
      <w:divBdr>
        <w:top w:val="none" w:sz="0" w:space="0" w:color="auto"/>
        <w:left w:val="none" w:sz="0" w:space="0" w:color="auto"/>
        <w:bottom w:val="none" w:sz="0" w:space="0" w:color="auto"/>
        <w:right w:val="none" w:sz="0" w:space="0" w:color="auto"/>
      </w:divBdr>
    </w:div>
    <w:div w:id="1494175624">
      <w:bodyDiv w:val="1"/>
      <w:marLeft w:val="0"/>
      <w:marRight w:val="0"/>
      <w:marTop w:val="0"/>
      <w:marBottom w:val="0"/>
      <w:divBdr>
        <w:top w:val="none" w:sz="0" w:space="0" w:color="auto"/>
        <w:left w:val="none" w:sz="0" w:space="0" w:color="auto"/>
        <w:bottom w:val="none" w:sz="0" w:space="0" w:color="auto"/>
        <w:right w:val="none" w:sz="0" w:space="0" w:color="auto"/>
      </w:divBdr>
    </w:div>
    <w:div w:id="1499879243">
      <w:bodyDiv w:val="1"/>
      <w:marLeft w:val="0"/>
      <w:marRight w:val="0"/>
      <w:marTop w:val="0"/>
      <w:marBottom w:val="0"/>
      <w:divBdr>
        <w:top w:val="none" w:sz="0" w:space="0" w:color="auto"/>
        <w:left w:val="none" w:sz="0" w:space="0" w:color="auto"/>
        <w:bottom w:val="none" w:sz="0" w:space="0" w:color="auto"/>
        <w:right w:val="none" w:sz="0" w:space="0" w:color="auto"/>
      </w:divBdr>
    </w:div>
    <w:div w:id="1528787234">
      <w:bodyDiv w:val="1"/>
      <w:marLeft w:val="0"/>
      <w:marRight w:val="0"/>
      <w:marTop w:val="0"/>
      <w:marBottom w:val="0"/>
      <w:divBdr>
        <w:top w:val="none" w:sz="0" w:space="0" w:color="auto"/>
        <w:left w:val="none" w:sz="0" w:space="0" w:color="auto"/>
        <w:bottom w:val="none" w:sz="0" w:space="0" w:color="auto"/>
        <w:right w:val="none" w:sz="0" w:space="0" w:color="auto"/>
      </w:divBdr>
    </w:div>
    <w:div w:id="1559241575">
      <w:bodyDiv w:val="1"/>
      <w:marLeft w:val="0"/>
      <w:marRight w:val="0"/>
      <w:marTop w:val="0"/>
      <w:marBottom w:val="0"/>
      <w:divBdr>
        <w:top w:val="none" w:sz="0" w:space="0" w:color="auto"/>
        <w:left w:val="none" w:sz="0" w:space="0" w:color="auto"/>
        <w:bottom w:val="none" w:sz="0" w:space="0" w:color="auto"/>
        <w:right w:val="none" w:sz="0" w:space="0" w:color="auto"/>
      </w:divBdr>
    </w:div>
    <w:div w:id="1572739351">
      <w:bodyDiv w:val="1"/>
      <w:marLeft w:val="0"/>
      <w:marRight w:val="0"/>
      <w:marTop w:val="0"/>
      <w:marBottom w:val="0"/>
      <w:divBdr>
        <w:top w:val="none" w:sz="0" w:space="0" w:color="auto"/>
        <w:left w:val="none" w:sz="0" w:space="0" w:color="auto"/>
        <w:bottom w:val="none" w:sz="0" w:space="0" w:color="auto"/>
        <w:right w:val="none" w:sz="0" w:space="0" w:color="auto"/>
      </w:divBdr>
    </w:div>
    <w:div w:id="1605991463">
      <w:bodyDiv w:val="1"/>
      <w:marLeft w:val="0"/>
      <w:marRight w:val="0"/>
      <w:marTop w:val="0"/>
      <w:marBottom w:val="0"/>
      <w:divBdr>
        <w:top w:val="none" w:sz="0" w:space="0" w:color="auto"/>
        <w:left w:val="none" w:sz="0" w:space="0" w:color="auto"/>
        <w:bottom w:val="none" w:sz="0" w:space="0" w:color="auto"/>
        <w:right w:val="none" w:sz="0" w:space="0" w:color="auto"/>
      </w:divBdr>
    </w:div>
    <w:div w:id="1618023630">
      <w:bodyDiv w:val="1"/>
      <w:marLeft w:val="0"/>
      <w:marRight w:val="0"/>
      <w:marTop w:val="0"/>
      <w:marBottom w:val="0"/>
      <w:divBdr>
        <w:top w:val="none" w:sz="0" w:space="0" w:color="auto"/>
        <w:left w:val="none" w:sz="0" w:space="0" w:color="auto"/>
        <w:bottom w:val="none" w:sz="0" w:space="0" w:color="auto"/>
        <w:right w:val="none" w:sz="0" w:space="0" w:color="auto"/>
      </w:divBdr>
    </w:div>
    <w:div w:id="1700400306">
      <w:bodyDiv w:val="1"/>
      <w:marLeft w:val="0"/>
      <w:marRight w:val="0"/>
      <w:marTop w:val="0"/>
      <w:marBottom w:val="0"/>
      <w:divBdr>
        <w:top w:val="none" w:sz="0" w:space="0" w:color="auto"/>
        <w:left w:val="none" w:sz="0" w:space="0" w:color="auto"/>
        <w:bottom w:val="none" w:sz="0" w:space="0" w:color="auto"/>
        <w:right w:val="none" w:sz="0" w:space="0" w:color="auto"/>
      </w:divBdr>
    </w:div>
    <w:div w:id="1714959658">
      <w:bodyDiv w:val="1"/>
      <w:marLeft w:val="0"/>
      <w:marRight w:val="0"/>
      <w:marTop w:val="0"/>
      <w:marBottom w:val="0"/>
      <w:divBdr>
        <w:top w:val="none" w:sz="0" w:space="0" w:color="auto"/>
        <w:left w:val="none" w:sz="0" w:space="0" w:color="auto"/>
        <w:bottom w:val="none" w:sz="0" w:space="0" w:color="auto"/>
        <w:right w:val="none" w:sz="0" w:space="0" w:color="auto"/>
      </w:divBdr>
    </w:div>
    <w:div w:id="1751466749">
      <w:bodyDiv w:val="1"/>
      <w:marLeft w:val="0"/>
      <w:marRight w:val="0"/>
      <w:marTop w:val="0"/>
      <w:marBottom w:val="0"/>
      <w:divBdr>
        <w:top w:val="none" w:sz="0" w:space="0" w:color="auto"/>
        <w:left w:val="none" w:sz="0" w:space="0" w:color="auto"/>
        <w:bottom w:val="none" w:sz="0" w:space="0" w:color="auto"/>
        <w:right w:val="none" w:sz="0" w:space="0" w:color="auto"/>
      </w:divBdr>
    </w:div>
    <w:div w:id="1774011386">
      <w:bodyDiv w:val="1"/>
      <w:marLeft w:val="0"/>
      <w:marRight w:val="0"/>
      <w:marTop w:val="0"/>
      <w:marBottom w:val="0"/>
      <w:divBdr>
        <w:top w:val="none" w:sz="0" w:space="0" w:color="auto"/>
        <w:left w:val="none" w:sz="0" w:space="0" w:color="auto"/>
        <w:bottom w:val="none" w:sz="0" w:space="0" w:color="auto"/>
        <w:right w:val="none" w:sz="0" w:space="0" w:color="auto"/>
      </w:divBdr>
    </w:div>
    <w:div w:id="1786580587">
      <w:bodyDiv w:val="1"/>
      <w:marLeft w:val="0"/>
      <w:marRight w:val="0"/>
      <w:marTop w:val="0"/>
      <w:marBottom w:val="0"/>
      <w:divBdr>
        <w:top w:val="none" w:sz="0" w:space="0" w:color="auto"/>
        <w:left w:val="none" w:sz="0" w:space="0" w:color="auto"/>
        <w:bottom w:val="none" w:sz="0" w:space="0" w:color="auto"/>
        <w:right w:val="none" w:sz="0" w:space="0" w:color="auto"/>
      </w:divBdr>
    </w:div>
    <w:div w:id="1801605962">
      <w:bodyDiv w:val="1"/>
      <w:marLeft w:val="0"/>
      <w:marRight w:val="0"/>
      <w:marTop w:val="0"/>
      <w:marBottom w:val="0"/>
      <w:divBdr>
        <w:top w:val="none" w:sz="0" w:space="0" w:color="auto"/>
        <w:left w:val="none" w:sz="0" w:space="0" w:color="auto"/>
        <w:bottom w:val="none" w:sz="0" w:space="0" w:color="auto"/>
        <w:right w:val="none" w:sz="0" w:space="0" w:color="auto"/>
      </w:divBdr>
    </w:div>
    <w:div w:id="1813868520">
      <w:bodyDiv w:val="1"/>
      <w:marLeft w:val="0"/>
      <w:marRight w:val="0"/>
      <w:marTop w:val="0"/>
      <w:marBottom w:val="0"/>
      <w:divBdr>
        <w:top w:val="none" w:sz="0" w:space="0" w:color="auto"/>
        <w:left w:val="none" w:sz="0" w:space="0" w:color="auto"/>
        <w:bottom w:val="none" w:sz="0" w:space="0" w:color="auto"/>
        <w:right w:val="none" w:sz="0" w:space="0" w:color="auto"/>
      </w:divBdr>
    </w:div>
    <w:div w:id="1837069701">
      <w:bodyDiv w:val="1"/>
      <w:marLeft w:val="0"/>
      <w:marRight w:val="0"/>
      <w:marTop w:val="0"/>
      <w:marBottom w:val="0"/>
      <w:divBdr>
        <w:top w:val="none" w:sz="0" w:space="0" w:color="auto"/>
        <w:left w:val="none" w:sz="0" w:space="0" w:color="auto"/>
        <w:bottom w:val="none" w:sz="0" w:space="0" w:color="auto"/>
        <w:right w:val="none" w:sz="0" w:space="0" w:color="auto"/>
      </w:divBdr>
    </w:div>
    <w:div w:id="1842037962">
      <w:bodyDiv w:val="1"/>
      <w:marLeft w:val="0"/>
      <w:marRight w:val="0"/>
      <w:marTop w:val="0"/>
      <w:marBottom w:val="0"/>
      <w:divBdr>
        <w:top w:val="none" w:sz="0" w:space="0" w:color="auto"/>
        <w:left w:val="none" w:sz="0" w:space="0" w:color="auto"/>
        <w:bottom w:val="none" w:sz="0" w:space="0" w:color="auto"/>
        <w:right w:val="none" w:sz="0" w:space="0" w:color="auto"/>
      </w:divBdr>
    </w:div>
    <w:div w:id="1859657039">
      <w:bodyDiv w:val="1"/>
      <w:marLeft w:val="0"/>
      <w:marRight w:val="0"/>
      <w:marTop w:val="0"/>
      <w:marBottom w:val="0"/>
      <w:divBdr>
        <w:top w:val="none" w:sz="0" w:space="0" w:color="auto"/>
        <w:left w:val="none" w:sz="0" w:space="0" w:color="auto"/>
        <w:bottom w:val="none" w:sz="0" w:space="0" w:color="auto"/>
        <w:right w:val="none" w:sz="0" w:space="0" w:color="auto"/>
      </w:divBdr>
    </w:div>
    <w:div w:id="1883328208">
      <w:bodyDiv w:val="1"/>
      <w:marLeft w:val="0"/>
      <w:marRight w:val="0"/>
      <w:marTop w:val="0"/>
      <w:marBottom w:val="0"/>
      <w:divBdr>
        <w:top w:val="none" w:sz="0" w:space="0" w:color="auto"/>
        <w:left w:val="none" w:sz="0" w:space="0" w:color="auto"/>
        <w:bottom w:val="none" w:sz="0" w:space="0" w:color="auto"/>
        <w:right w:val="none" w:sz="0" w:space="0" w:color="auto"/>
      </w:divBdr>
    </w:div>
    <w:div w:id="1899121012">
      <w:bodyDiv w:val="1"/>
      <w:marLeft w:val="0"/>
      <w:marRight w:val="0"/>
      <w:marTop w:val="0"/>
      <w:marBottom w:val="0"/>
      <w:divBdr>
        <w:top w:val="none" w:sz="0" w:space="0" w:color="auto"/>
        <w:left w:val="none" w:sz="0" w:space="0" w:color="auto"/>
        <w:bottom w:val="none" w:sz="0" w:space="0" w:color="auto"/>
        <w:right w:val="none" w:sz="0" w:space="0" w:color="auto"/>
      </w:divBdr>
    </w:div>
    <w:div w:id="1933514132">
      <w:bodyDiv w:val="1"/>
      <w:marLeft w:val="0"/>
      <w:marRight w:val="0"/>
      <w:marTop w:val="0"/>
      <w:marBottom w:val="0"/>
      <w:divBdr>
        <w:top w:val="none" w:sz="0" w:space="0" w:color="auto"/>
        <w:left w:val="none" w:sz="0" w:space="0" w:color="auto"/>
        <w:bottom w:val="none" w:sz="0" w:space="0" w:color="auto"/>
        <w:right w:val="none" w:sz="0" w:space="0" w:color="auto"/>
      </w:divBdr>
    </w:div>
    <w:div w:id="1968506410">
      <w:bodyDiv w:val="1"/>
      <w:marLeft w:val="0"/>
      <w:marRight w:val="0"/>
      <w:marTop w:val="0"/>
      <w:marBottom w:val="0"/>
      <w:divBdr>
        <w:top w:val="none" w:sz="0" w:space="0" w:color="auto"/>
        <w:left w:val="none" w:sz="0" w:space="0" w:color="auto"/>
        <w:bottom w:val="none" w:sz="0" w:space="0" w:color="auto"/>
        <w:right w:val="none" w:sz="0" w:space="0" w:color="auto"/>
      </w:divBdr>
    </w:div>
    <w:div w:id="1975938950">
      <w:bodyDiv w:val="1"/>
      <w:marLeft w:val="0"/>
      <w:marRight w:val="0"/>
      <w:marTop w:val="0"/>
      <w:marBottom w:val="0"/>
      <w:divBdr>
        <w:top w:val="none" w:sz="0" w:space="0" w:color="auto"/>
        <w:left w:val="none" w:sz="0" w:space="0" w:color="auto"/>
        <w:bottom w:val="none" w:sz="0" w:space="0" w:color="auto"/>
        <w:right w:val="none" w:sz="0" w:space="0" w:color="auto"/>
      </w:divBdr>
    </w:div>
    <w:div w:id="2001081675">
      <w:bodyDiv w:val="1"/>
      <w:marLeft w:val="0"/>
      <w:marRight w:val="0"/>
      <w:marTop w:val="0"/>
      <w:marBottom w:val="0"/>
      <w:divBdr>
        <w:top w:val="none" w:sz="0" w:space="0" w:color="auto"/>
        <w:left w:val="none" w:sz="0" w:space="0" w:color="auto"/>
        <w:bottom w:val="none" w:sz="0" w:space="0" w:color="auto"/>
        <w:right w:val="none" w:sz="0" w:space="0" w:color="auto"/>
      </w:divBdr>
    </w:div>
    <w:div w:id="2004774680">
      <w:bodyDiv w:val="1"/>
      <w:marLeft w:val="0"/>
      <w:marRight w:val="0"/>
      <w:marTop w:val="0"/>
      <w:marBottom w:val="0"/>
      <w:divBdr>
        <w:top w:val="none" w:sz="0" w:space="0" w:color="auto"/>
        <w:left w:val="none" w:sz="0" w:space="0" w:color="auto"/>
        <w:bottom w:val="none" w:sz="0" w:space="0" w:color="auto"/>
        <w:right w:val="none" w:sz="0" w:space="0" w:color="auto"/>
      </w:divBdr>
    </w:div>
    <w:div w:id="2025087190">
      <w:bodyDiv w:val="1"/>
      <w:marLeft w:val="0"/>
      <w:marRight w:val="0"/>
      <w:marTop w:val="0"/>
      <w:marBottom w:val="0"/>
      <w:divBdr>
        <w:top w:val="none" w:sz="0" w:space="0" w:color="auto"/>
        <w:left w:val="none" w:sz="0" w:space="0" w:color="auto"/>
        <w:bottom w:val="none" w:sz="0" w:space="0" w:color="auto"/>
        <w:right w:val="none" w:sz="0" w:space="0" w:color="auto"/>
      </w:divBdr>
    </w:div>
    <w:div w:id="2026982480">
      <w:bodyDiv w:val="1"/>
      <w:marLeft w:val="0"/>
      <w:marRight w:val="0"/>
      <w:marTop w:val="0"/>
      <w:marBottom w:val="0"/>
      <w:divBdr>
        <w:top w:val="none" w:sz="0" w:space="0" w:color="auto"/>
        <w:left w:val="none" w:sz="0" w:space="0" w:color="auto"/>
        <w:bottom w:val="none" w:sz="0" w:space="0" w:color="auto"/>
        <w:right w:val="none" w:sz="0" w:space="0" w:color="auto"/>
      </w:divBdr>
    </w:div>
    <w:div w:id="2038388354">
      <w:bodyDiv w:val="1"/>
      <w:marLeft w:val="0"/>
      <w:marRight w:val="0"/>
      <w:marTop w:val="0"/>
      <w:marBottom w:val="0"/>
      <w:divBdr>
        <w:top w:val="none" w:sz="0" w:space="0" w:color="auto"/>
        <w:left w:val="none" w:sz="0" w:space="0" w:color="auto"/>
        <w:bottom w:val="none" w:sz="0" w:space="0" w:color="auto"/>
        <w:right w:val="none" w:sz="0" w:space="0" w:color="auto"/>
      </w:divBdr>
    </w:div>
    <w:div w:id="2058778053">
      <w:bodyDiv w:val="1"/>
      <w:marLeft w:val="0"/>
      <w:marRight w:val="0"/>
      <w:marTop w:val="0"/>
      <w:marBottom w:val="0"/>
      <w:divBdr>
        <w:top w:val="none" w:sz="0" w:space="0" w:color="auto"/>
        <w:left w:val="none" w:sz="0" w:space="0" w:color="auto"/>
        <w:bottom w:val="none" w:sz="0" w:space="0" w:color="auto"/>
        <w:right w:val="none" w:sz="0" w:space="0" w:color="auto"/>
      </w:divBdr>
    </w:div>
    <w:div w:id="2073699111">
      <w:bodyDiv w:val="1"/>
      <w:marLeft w:val="0"/>
      <w:marRight w:val="0"/>
      <w:marTop w:val="0"/>
      <w:marBottom w:val="0"/>
      <w:divBdr>
        <w:top w:val="none" w:sz="0" w:space="0" w:color="auto"/>
        <w:left w:val="none" w:sz="0" w:space="0" w:color="auto"/>
        <w:bottom w:val="none" w:sz="0" w:space="0" w:color="auto"/>
        <w:right w:val="none" w:sz="0" w:space="0" w:color="auto"/>
      </w:divBdr>
    </w:div>
    <w:div w:id="2096828110">
      <w:bodyDiv w:val="1"/>
      <w:marLeft w:val="0"/>
      <w:marRight w:val="0"/>
      <w:marTop w:val="0"/>
      <w:marBottom w:val="0"/>
      <w:divBdr>
        <w:top w:val="none" w:sz="0" w:space="0" w:color="auto"/>
        <w:left w:val="none" w:sz="0" w:space="0" w:color="auto"/>
        <w:bottom w:val="none" w:sz="0" w:space="0" w:color="auto"/>
        <w:right w:val="none" w:sz="0" w:space="0" w:color="auto"/>
      </w:divBdr>
    </w:div>
    <w:div w:id="2106265908">
      <w:bodyDiv w:val="1"/>
      <w:marLeft w:val="0"/>
      <w:marRight w:val="0"/>
      <w:marTop w:val="0"/>
      <w:marBottom w:val="0"/>
      <w:divBdr>
        <w:top w:val="none" w:sz="0" w:space="0" w:color="auto"/>
        <w:left w:val="none" w:sz="0" w:space="0" w:color="auto"/>
        <w:bottom w:val="none" w:sz="0" w:space="0" w:color="auto"/>
        <w:right w:val="none" w:sz="0" w:space="0" w:color="auto"/>
      </w:divBdr>
    </w:div>
    <w:div w:id="2132818237">
      <w:bodyDiv w:val="1"/>
      <w:marLeft w:val="0"/>
      <w:marRight w:val="0"/>
      <w:marTop w:val="0"/>
      <w:marBottom w:val="0"/>
      <w:divBdr>
        <w:top w:val="none" w:sz="0" w:space="0" w:color="auto"/>
        <w:left w:val="none" w:sz="0" w:space="0" w:color="auto"/>
        <w:bottom w:val="none" w:sz="0" w:space="0" w:color="auto"/>
        <w:right w:val="none" w:sz="0" w:space="0" w:color="auto"/>
      </w:divBdr>
    </w:div>
    <w:div w:id="214357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SRAnd</b:Tag>
    <b:SourceType>InternetSite</b:SourceType>
    <b:Guid>{908B854E-B06A-4DA2-B7C8-C61EC4DBB43F}</b:Guid>
    <b:Author>
      <b:Author>
        <b:NameList>
          <b:Person>
            <b:Last>SRA</b:Last>
          </b:Person>
        </b:NameList>
      </b:Author>
    </b:Author>
    <b:Title>SRA</b:Title>
    <b:InternetSiteTitle>www.sra.nl</b:InternetSiteTitle>
    <b:Year>n.d.</b:Year>
    <b:Month>n.d.</b:Month>
    <b:Day>n.d.</b:Day>
    <b:URL>https://www.sra.nl/vaktechniek/jaarverslaggeving/richtlijnen-voor-de-jaarverslaggeving/rj-jaareditie-2011/afdeling-2-jaarrekeningposten/220-voorraden/2201-inleiding</b:URL>
    <b:RefOrder>1</b:RefOrder>
  </b:Source>
  <b:Source>
    <b:Tag>Ver</b:Tag>
    <b:SourceType>Report</b:SourceType>
    <b:Guid>{35319ECC-10C5-49EC-8013-C6401B329C57}</b:Guid>
    <b:Title>Verordering (EG) Nr. 1606/2002 van het Europees Parlement en de Raad van 19 juli 2002 betreffende de toepassing van internationale standaarden voor jaarrekeningen</b:Title>
    <b:Author>
      <b:Author>
        <b:Corporate>Europees Parlement en de Raad van de Europese Unie</b:Corporate>
      </b:Author>
    </b:Author>
    <b:Year>2002</b:Year>
    <b:RefOrder>3</b:RefOrder>
  </b:Source>
  <b:Source>
    <b:Tag>Ern14</b:Tag>
    <b:SourceType>Book</b:SourceType>
    <b:Guid>{811173E5-706E-4F02-8F02-C3A4BB07B64E}</b:Guid>
    <b:Title>Handboek Jaarrekening</b:Title>
    <b:Year>2014</b:Year>
    <b:Author>
      <b:Author>
        <b:NameList>
          <b:Person>
            <b:Last>Ernst &amp; Young</b:Last>
          </b:Person>
        </b:NameList>
      </b:Author>
    </b:Author>
    <b:City>Amsterdam</b:City>
    <b:Publisher>Kluwer</b:Publisher>
    <b:RefOrder>4</b:RefOrder>
  </b:Source>
  <b:Source>
    <b:Tag>Çür07</b:Tag>
    <b:SourceType>Report</b:SourceType>
    <b:Guid>{5B694AF0-EC3E-4906-B587-C1808C02804D}</b:Guid>
    <b:Title>IAS 2</b:Title>
    <b:Year>2007</b:Year>
    <b:Author>
      <b:Author>
        <b:NameList>
          <b:Person>
            <b:Last>Çürtük</b:Last>
            <b:First>Turgut</b:First>
          </b:Person>
        </b:NameList>
      </b:Author>
    </b:Author>
    <b:RefOrder>9</b:RefOrder>
  </b:Source>
  <b:Source>
    <b:Tag>LTO13</b:Tag>
    <b:SourceType>InternetSite</b:SourceType>
    <b:Guid>{554E87E4-4C6A-48FB-B8D7-B06B28A854EF}</b:Guid>
    <b:Title>LTO</b:Title>
    <b:Year>2013</b:Year>
    <b:Author>
      <b:Author>
        <b:NameList>
          <b:Person>
            <b:Last>LTO</b:Last>
          </b:Person>
        </b:NameList>
      </b:Author>
    </b:Author>
    <b:InternetSiteTitle>www.lto.nl</b:InternetSiteTitle>
    <b:URL>http://www.lto.nl/media/default.aspx/emma/org/10840294/rapport+ez+de+agrarische+handel+van+nederland+in+2013.pdf</b:URL>
    <b:RefOrder>10</b:RefOrder>
  </b:Source>
  <b:Source>
    <b:Tag>PWC15</b:Tag>
    <b:SourceType>InternetSite</b:SourceType>
    <b:Guid>{6907DA0C-EC37-4776-8A39-3E73792C9C57}</b:Guid>
    <b:Author>
      <b:Author>
        <b:NameList>
          <b:Person>
            <b:Last>PWC</b:Last>
          </b:Person>
        </b:NameList>
      </b:Author>
    </b:Author>
    <b:Title>https://www.pwc.com</b:Title>
    <b:InternetSiteTitle>https://www.pwc.com</b:InternetSiteTitle>
    <b:Year>2015</b:Year>
    <b:Month>Maart</b:Month>
    <b:Day>4</b:Day>
    <b:URL>https://inform.pwc.com/inform2/show?action=informContent&amp;id=0936075103137352</b:URL>
    <b:RefOrder>11</b:RefOrder>
  </b:Source>
  <b:Source>
    <b:Tag>Her06</b:Tag>
    <b:SourceType>JournalArticle</b:SourceType>
    <b:Guid>{FD5E3E4A-B247-4A6B-A03D-0A7F9AEB4575}</b:Guid>
    <b:Title>International accounting standard (IAS) 41: What are the implications for reporting forest assets?</b:Title>
    <b:Year>2006</b:Year>
    <b:JournalName>Small-scale Forest Economics, Management and Policy</b:JournalName>
    <b:Pages>175-189</b:Pages>
    <b:Author>
      <b:Author>
        <b:NameList>
          <b:Person>
            <b:Last>Herbohn</b:Last>
            <b:First>Kathleen</b:First>
          </b:Person>
          <b:Person>
            <b:Last>Herbohn</b:Last>
            <b:First>john</b:First>
          </b:Person>
        </b:NameList>
      </b:Author>
    </b:Author>
    <b:RefOrder>12</b:RefOrder>
  </b:Source>
  <b:Source>
    <b:Tag>Cam07</b:Tag>
    <b:SourceType>JournalArticle</b:SourceType>
    <b:Guid>{C0F7A9F0-E2E7-401B-B30F-2A9A0AF22CE2}</b:Guid>
    <b:Title>Het aggregratieprobleem inIFRS: een terreinverkenning</b:Title>
    <b:JournalName>MAB</b:JournalName>
    <b:Year>2007</b:Year>
    <b:Author>
      <b:Author>
        <b:NameList>
          <b:Person>
            <b:Last>Camfferman</b:Last>
            <b:First>Kees</b:First>
          </b:Person>
        </b:NameList>
      </b:Author>
    </b:Author>
    <b:RefOrder>13</b:RefOrder>
  </b:Source>
  <b:Source>
    <b:Tag>ISAnd</b:Tag>
    <b:SourceType>InternetSite</b:SourceType>
    <b:Guid>{87858DF8-935D-4DFD-BF0F-A8EFF871512B}</b:Guid>
    <b:Title>http://www.iasplus.com</b:Title>
    <b:Year>n.d.</b:Year>
    <b:Author>
      <b:Author>
        <b:NameList>
          <b:Person>
            <b:Last>ISAPLUS</b:Last>
          </b:Person>
        </b:NameList>
      </b:Author>
    </b:Author>
    <b:InternetSiteTitle>http://www.iasplus.com</b:InternetSiteTitle>
    <b:Month>n.d.</b:Month>
    <b:Day>n.d.</b:Day>
    <b:URL>http://www.iasplus.com/en-gb/projects/iasb-and-ifrs-projects/narrow-scope/ias-41-bearer-biological-assets</b:URL>
    <b:RefOrder>14</b:RefOrder>
  </b:Source>
  <b:Source>
    <b:Tag>Rom09</b:Tag>
    <b:SourceType>Report</b:SourceType>
    <b:Guid>{98B399ED-1073-45EE-A0FB-7A357076090B}</b:Guid>
    <b:Title>Analysis of the LIFO inventory valuation method during the onset of IFRS</b:Title>
    <b:Year>2009</b:Year>
    <b:Publisher>University of Connecticut </b:Publisher>
    <b:City>Connecticut </b:City>
    <b:Author>
      <b:Author>
        <b:NameList>
          <b:Person>
            <b:Last>Romeo</b:Last>
            <b:First>Joseph</b:First>
          </b:Person>
        </b:NameList>
      </b:Author>
    </b:Author>
    <b:RefOrder>5</b:RefOrder>
  </b:Source>
  <b:Source>
    <b:Tag>www07</b:Tag>
    <b:SourceType>InternetSite</b:SourceType>
    <b:Guid>{5529E471-C760-4F9A-BC5B-4DFBC8C066C0}</b:Guid>
    <b:Title>www.cfo.com</b:Title>
    <b:Year>2007</b:Year>
    <b:InternetSiteTitle>CFO</b:InternetSiteTitle>
    <b:Month>December</b:Month>
    <b:Day>3</b:Day>
    <b:URL>http://www.cfo.com/article.cfm/10239047?f=singlepage</b:URL>
    <b:Author>
      <b:Author>
        <b:NameList>
          <b:Person>
            <b:Last>Katz</b:Last>
            <b:Middle>M.</b:Middle>
            <b:First>David</b:First>
          </b:Person>
        </b:NameList>
      </b:Author>
    </b:Author>
    <b:RefOrder>6</b:RefOrder>
  </b:Source>
  <b:Source>
    <b:Tag>Paa09</b:Tag>
    <b:SourceType>JournalArticle</b:SourceType>
    <b:Guid>{DF05A105-5D15-43A2-A81E-07709711D5AE}</b:Guid>
    <b:Title>The Development of Accounting Quality of IAS and IFRS over Time: The Case of Germany</b:Title>
    <b:JournalName>Journal of International Accounting Research</b:JournalName>
    <b:Year>2009</b:Year>
    <b:Pages>31-55</b:Pages>
    <b:Author>
      <b:Author>
        <b:NameList>
          <b:Person>
            <b:Last>Paananen</b:Last>
            <b:First>Mari</b:First>
          </b:Person>
          <b:Person>
            <b:Last>Lin</b:Last>
            <b:First>Henghsiu</b:First>
          </b:Person>
        </b:NameList>
      </b:Author>
    </b:Author>
    <b:RefOrder>7</b:RefOrder>
  </b:Source>
  <b:Source>
    <b:Tag>Abd85</b:Tag>
    <b:SourceType>JournalArticle</b:SourceType>
    <b:Guid>{EB0E31B5-35AC-41BD-88F4-F3C0739C5286}</b:Guid>
    <b:Title>The Effect of LIFO-Switching and Firm Ownership on Executives' Pay</b:Title>
    <b:Year>1985</b:Year>
    <b:Author>
      <b:Author>
        <b:NameList>
          <b:Person>
            <b:Last>Abdel-Khalik</b:Last>
            <b:Middle>A.</b:Middle>
            <b:First>Rashad</b:First>
          </b:Person>
        </b:NameList>
      </b:Author>
    </b:Author>
    <b:JournalName>Journal of Accounting Research</b:JournalName>
    <b:Pages>427-447</b:Pages>
    <b:RefOrder>8</b:RefOrder>
  </b:Source>
  <b:Source>
    <b:Tag>Waa02</b:Tag>
    <b:SourceType>Report</b:SourceType>
    <b:Guid>{1C7F9867-D54B-4FAD-BECF-87C7677AB20E}</b:Guid>
    <b:Title>Waardering en verwerking van rundvee en fruitopstanden in de jaarrekening</b:Title>
    <b:JournalName>LEI</b:JournalName>
    <b:Year>2002</b:Year>
    <b:Author>
      <b:Author>
        <b:NameList>
          <b:Person>
            <b:Last>Waasdorp</b:Last>
            <b:First>D</b:First>
          </b:Person>
          <b:Person>
            <b:Last>Boone</b:Last>
            <b:First>J</b:First>
          </b:Person>
        </b:NameList>
      </b:Author>
    </b:Author>
    <b:Publisher>LEI</b:Publisher>
    <b:City>Den Haag</b:City>
    <b:RefOrder>15</b:RefOrder>
  </b:Source>
  <b:Source>
    <b:Tag>PWC11</b:Tag>
    <b:SourceType>JournalArticle</b:SourceType>
    <b:Guid>{41EF27B0-2F64-4DE3-8D9D-D3F2B6A9DE1D}</b:Guid>
    <b:Title>Forest Industry: Application Review of IAS 41, Agriculture: The Fair Value of Standing Timber</b:Title>
    <b:Year>2011</b:Year>
    <b:Author>
      <b:Author>
        <b:NameList>
          <b:Person>
            <b:Last>PWC</b:Last>
          </b:Person>
        </b:NameList>
      </b:Author>
    </b:Author>
    <b:JournalName>PWC: Forest, Paper &amp; Packaging</b:JournalName>
    <b:RefOrder>22</b:RefOrder>
  </b:Source>
  <b:Source>
    <b:Tag>IAS00</b:Tag>
    <b:SourceType>JournalArticle</b:SourceType>
    <b:Guid>{C191B06B-B8F6-4DF8-B404-3FE1885BCE42}</b:Guid>
    <b:Title>Comment Letters on Exposure draft.</b:Title>
    <b:Year>2000</b:Year>
    <b:Author>
      <b:Author>
        <b:NameList>
          <b:Person>
            <b:Last>IASC</b:Last>
          </b:Person>
        </b:NameList>
      </b:Author>
    </b:Author>
    <b:JournalName>International accounting Standards Committee</b:JournalName>
    <b:RefOrder>26</b:RefOrder>
  </b:Source>
  <b:Source>
    <b:Tag>Delnd</b:Tag>
    <b:SourceType>InternetSite</b:SourceType>
    <b:Guid>{453112C7-D3C4-4B3F-9B9B-1D8BCD650C84}</b:Guid>
    <b:Author>
      <b:Author>
        <b:NameList>
          <b:Person>
            <b:Last>Deloitte</b:Last>
          </b:Person>
        </b:NameList>
      </b:Author>
    </b:Author>
    <b:Title>IAS PLUS</b:Title>
    <b:InternetSiteTitle>http://www.iasplus.com</b:InternetSiteTitle>
    <b:Year>2014</b:Year>
    <b:Month>n.d.</b:Month>
    <b:Day>n.d.</b:Day>
    <b:URL>http://www.iasplus.com/en-gb/standards/ias/ias2</b:URL>
    <b:RefOrder>2</b:RefOrder>
  </b:Source>
  <b:Source>
    <b:Tag>Ask10</b:Tag>
    <b:SourceType>JournalArticle</b:SourceType>
    <b:Guid>{FDF36063-FF66-4BAA-AA06-9930C94092C4}</b:Guid>
    <b:Title>Analyzing Financial Statements under IFRS - Opportunities &amp; Challenges</b:Title>
    <b:JournalName>Journal of leadership, accountability and ethics</b:JournalName>
    <b:Year>2010</b:Year>
    <b:Author>
      <b:Author>
        <b:NameList>
          <b:Person>
            <b:Last>Askew</b:Last>
            <b:Middle>A.</b:Middle>
            <b:First>Jeffers</b:First>
          </b:Person>
        </b:NameList>
      </b:Author>
    </b:Author>
    <b:RefOrder>16</b:RefOrder>
  </b:Source>
  <b:Source>
    <b:Tag>Coo12</b:Tag>
    <b:SourceType>JournalArticle</b:SourceType>
    <b:Guid>{029A62C1-62EA-4EF2-9039-D2C9B5E0B2BF}</b:Guid>
    <b:Title>Managing Earnings by Manipulating Inventory: The Effects of Cost Structure and Valuation Method</b:Title>
    <b:JournalName>Social Science Research Network</b:JournalName>
    <b:Year>2012</b:Year>
    <b:Author>
      <b:Author>
        <b:NameList>
          <b:Person>
            <b:Last>Cook</b:Last>
            <b:Middle>A.</b:Middle>
            <b:First>Kirsten</b:First>
          </b:Person>
          <b:Person>
            <b:Last>Huston</b:Last>
            <b:Middle>G.</b:Middle>
            <b:First>Ryan</b:First>
          </b:Person>
          <b:Person>
            <b:Last>Kinney</b:Last>
            <b:Middle>R.</b:Middle>
            <b:First>Michael</b:First>
          </b:Person>
        </b:NameList>
      </b:Author>
    </b:Author>
    <b:RefOrder>17</b:RefOrder>
  </b:Source>
  <b:Source>
    <b:Tag>GROnd</b:Tag>
    <b:SourceType>JournalArticle</b:SourceType>
    <b:Guid>{43058455-CC38-4D23-A940-B2CAE3305336}</b:Guid>
    <b:Title>EVALUATING AND RECOGNISING BIOLOGICAL ASSETS AND AGRICULTURAL ACTIVITIES ACCORDING TO IAS 41</b:Title>
    <b:JournalName>Lucrări Ştiinţifice</b:JournalName>
    <b:Year>2008</b:Year>
    <b:Author>
      <b:Author>
        <b:NameList>
          <b:Person>
            <b:Last> GROSU</b:Last>
            <b:First>Veronica </b:First>
          </b:Person>
          <b:Person>
            <b:Last>MATEŞ</b:Last>
            <b:First>D</b:First>
          </b:Person>
        </b:NameList>
      </b:Author>
    </b:Author>
    <b:RefOrder>18</b:RefOrder>
  </b:Source>
  <b:Source>
    <b:Tag>Viond</b:Tag>
    <b:SourceType>JournalArticle</b:SourceType>
    <b:Guid>{D53B424D-C585-488B-8283-39B0E38EE9E6}</b:Guid>
    <b:Title>IAS 41 Agriculture: Fair Value Accounting</b:Title>
    <b:JournalName>Theoretical and Applied Economics</b:JournalName>
    <b:Year>2007</b:Year>
    <b:Author>
      <b:Author>
        <b:NameList>
          <b:Person>
            <b:Last>Lefter</b:Last>
            <b:First>Viorel</b:First>
          </b:Person>
          <b:Person>
            <b:Last>Roman</b:Last>
            <b:Middle>G.</b:Middle>
            <b:First>Aureliana</b:First>
          </b:Person>
        </b:NameList>
      </b:Author>
    </b:Author>
    <b:RefOrder>19</b:RefOrder>
  </b:Source>
  <b:Source>
    <b:Tag>Ela07</b:Tag>
    <b:SourceType>JournalArticle</b:SourceType>
    <b:Guid>{C2F66A83-D76B-4096-869E-8519E7C320F1}</b:Guid>
    <b:Title>Fair value accounting in the agricultural sector: some implications for international accounting harmonization</b:Title>
    <b:JournalName>European Accounting Review</b:JournalName>
    <b:Year>2007</b:Year>
    <b:Author>
      <b:Author>
        <b:NameList>
          <b:Person>
            <b:Last>Elad</b:Last>
            <b:First>Charles</b:First>
          </b:Person>
        </b:NameList>
      </b:Author>
    </b:Author>
    <b:Pages>621-641</b:Pages>
    <b:RefOrder>20</b:RefOrder>
  </b:Source>
  <b:Source>
    <b:Tag>Pennd</b:Tag>
    <b:SourceType>Report</b:SourceType>
    <b:Guid>{E22CB375-EDB1-4B5A-9455-C091A2140662}</b:Guid>
    <b:Title>IAS Fair Value and Forest Evaluation on Farm Forestry</b:Title>
    <b:Year>2004</b:Year>
    <b:Author>
      <b:Author>
        <b:NameList>
          <b:Person>
            <b:Last>Penttinen</b:Last>
            <b:First>Markku </b:First>
          </b:Person>
          <b:Person>
            <b:Last>Latukka,</b:Last>
            <b:First>Arto</b:First>
          </b:Person>
          <b:Person>
            <b:Last>Meriläinen</b:Last>
            <b:First>Harri </b:First>
          </b:Person>
          <b:Person>
            <b:Last>Salminen</b:Last>
            <b:First>Olli </b:First>
          </b:Person>
          <b:Person>
            <b:Last>Uotila</b:Last>
            <b:First>Esa </b:First>
          </b:Person>
        </b:NameList>
      </b:Author>
    </b:Author>
    <b:JournalName>Scandinavian Forest Economics</b:JournalName>
    <b:Publisher>Scandinavian Society of Forest Economics</b:Publisher>
    <b:City>Finland</b:City>
    <b:RefOrder>23</b:RefOrder>
  </b:Source>
  <b:Source>
    <b:Tag>LAL12</b:Tag>
    <b:SourceType>JournalArticle</b:SourceType>
    <b:Guid>{925DE357-F589-4864-9D4C-9CD9CFC6CF03}</b:Guid>
    <b:Title>The Accounting Treatment of the Biological Process of Transformation</b:Title>
    <b:Year>2012</b:Year>
    <b:Publisher>Research Journal of Agricultural Science,</b:Publisher>
    <b:Author>
      <b:Author>
        <b:NameList>
          <b:Person>
            <b:Last>Lalic</b:Last>
            <b:First>Srdan</b:First>
          </b:Person>
          <b:Person>
            <b:Last>Jovanovic</b:Last>
            <b:First>Drazen</b:First>
          </b:Person>
          <b:Person>
            <b:Last>Peric</b:Last>
            <b:First>Nevena</b:First>
          </b:Person>
        </b:NameList>
      </b:Author>
    </b:Author>
    <b:JournalName>Research Journal of Agricultural science</b:JournalName>
    <b:RefOrder>24</b:RefOrder>
  </b:Source>
  <b:Source>
    <b:Tag>Aze07</b:Tag>
    <b:SourceType>Report</b:SourceType>
    <b:Guid>{C66320C8-9793-4BF9-B627-6098AD911C24}</b:Guid>
    <b:Author>
      <b:Author>
        <b:NameList>
          <b:Person>
            <b:Last>Azevedo</b:Last>
            <b:First>G</b:First>
          </b:Person>
        </b:NameList>
      </b:Author>
    </b:Author>
    <b:Year>2007</b:Year>
    <b:Title>The Impact of International Accounting Standard 41 'Agriculture' in the Wine Industry</b:Title>
    <b:JournalName>Aveiro: Instituto Superior de Contabilidade e Administração da Universidade de Aveiro.</b:JournalName>
    <b:Publisher>Instituto Superior de Contabilidade e Administração da Universidade de Aveiro.</b:Publisher>
    <b:City>Portugal</b:City>
    <b:RefOrder>25</b:RefOrder>
  </b:Source>
  <b:Source>
    <b:Tag>Arg01</b:Tag>
    <b:SourceType>JournalArticle</b:SourceType>
    <b:Guid>{7CF3E021-A615-456E-9EE2-4A858FF641BE}</b:Guid>
    <b:Title>New Opportunities for Farm Accounting</b:Title>
    <b:Year>2000</b:Year>
    <b:JournalName>UPF Economics and Business Working Paper</b:JournalName>
    <b:Author>
      <b:Author>
        <b:NameList>
          <b:Person>
            <b:Last>Argilés</b:Last>
            <b:Middle>M.</b:Middle>
            <b:First>Josep</b:First>
          </b:Person>
          <b:Person>
            <b:Last>Slof</b:Last>
            <b:Middle>J.</b:Middle>
            <b:First>Eric</b:First>
          </b:Person>
        </b:NameList>
      </b:Author>
    </b:Author>
    <b:RefOrder>21</b:RefOrder>
  </b:Source>
</b:Sources>
</file>

<file path=customXml/itemProps1.xml><?xml version="1.0" encoding="utf-8"?>
<ds:datastoreItem xmlns:ds="http://schemas.openxmlformats.org/officeDocument/2006/customXml" ds:itemID="{41EE4B32-D951-48C2-9C9A-0431C5527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8504</Words>
  <Characters>48477</Characters>
  <Application>Microsoft Office Word</Application>
  <DocSecurity>4</DocSecurity>
  <Lines>403</Lines>
  <Paragraphs>113</Paragraphs>
  <ScaleCrop>false</ScaleCrop>
  <HeadingPairs>
    <vt:vector size="2" baseType="variant">
      <vt:variant>
        <vt:lpstr>Titel</vt:lpstr>
      </vt:variant>
      <vt:variant>
        <vt:i4>1</vt:i4>
      </vt:variant>
    </vt:vector>
  </HeadingPairs>
  <TitlesOfParts>
    <vt:vector size="1" baseType="lpstr">
      <vt:lpstr/>
    </vt:vector>
  </TitlesOfParts>
  <Company>Koninklijke KPN NV</Company>
  <LinksUpToDate>false</LinksUpToDate>
  <CharactersWithSpaces>56868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Ramsaroep, Giuliano</dc:creator>
  <cp:lastModifiedBy>Roy Achaibersing</cp:lastModifiedBy>
  <cp:revision>2</cp:revision>
  <dcterms:created xsi:type="dcterms:W3CDTF">2015-08-11T10:46:00Z</dcterms:created>
  <dcterms:modified xsi:type="dcterms:W3CDTF">2015-08-11T10:46:00Z</dcterms:modified>
</cp:coreProperties>
</file>