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charts/chart12.xml" ContentType="application/vnd.openxmlformats-officedocument.drawingml.chart+xml"/>
  <Override PartName="/word/theme/themeOverride11.xml" ContentType="application/vnd.openxmlformats-officedocument.themeOverride+xml"/>
  <Override PartName="/word/charts/chart13.xml" ContentType="application/vnd.openxmlformats-officedocument.drawingml.chart+xml"/>
  <Override PartName="/word/theme/themeOverride12.xml" ContentType="application/vnd.openxmlformats-officedocument.themeOverride+xml"/>
  <Override PartName="/word/charts/chart14.xml" ContentType="application/vnd.openxmlformats-officedocument.drawingml.chart+xml"/>
  <Override PartName="/word/theme/themeOverride13.xml" ContentType="application/vnd.openxmlformats-officedocument.themeOverride+xml"/>
  <Override PartName="/word/charts/chart15.xml" ContentType="application/vnd.openxmlformats-officedocument.drawingml.chart+xml"/>
  <Override PartName="/word/theme/themeOverride14.xml" ContentType="application/vnd.openxmlformats-officedocument.themeOverride+xml"/>
  <Override PartName="/word/charts/chart16.xml" ContentType="application/vnd.openxmlformats-officedocument.drawingml.chart+xml"/>
  <Override PartName="/word/theme/themeOverride15.xml" ContentType="application/vnd.openxmlformats-officedocument.themeOverride+xml"/>
  <Override PartName="/word/charts/chart17.xml" ContentType="application/vnd.openxmlformats-officedocument.drawingml.chart+xml"/>
  <Override PartName="/word/theme/themeOverride16.xml" ContentType="application/vnd.openxmlformats-officedocument.themeOverride+xml"/>
  <Override PartName="/word/charts/chart18.xml" ContentType="application/vnd.openxmlformats-officedocument.drawingml.chart+xml"/>
  <Override PartName="/word/theme/themeOverride17.xml" ContentType="application/vnd.openxmlformats-officedocument.themeOverride+xml"/>
  <Override PartName="/word/charts/chart19.xml" ContentType="application/vnd.openxmlformats-officedocument.drawingml.chart+xml"/>
  <Override PartName="/word/theme/themeOverride18.xml" ContentType="application/vnd.openxmlformats-officedocument.themeOverride+xml"/>
  <Override PartName="/word/charts/chart20.xml" ContentType="application/vnd.openxmlformats-officedocument.drawingml.chart+xml"/>
  <Override PartName="/word/theme/themeOverride19.xml" ContentType="application/vnd.openxmlformats-officedocument.themeOverride+xml"/>
  <Override PartName="/word/charts/chart21.xml" ContentType="application/vnd.openxmlformats-officedocument.drawingml.chart+xml"/>
  <Override PartName="/word/theme/themeOverride20.xml" ContentType="application/vnd.openxmlformats-officedocument.themeOverride+xml"/>
  <Override PartName="/word/charts/chart22.xml" ContentType="application/vnd.openxmlformats-officedocument.drawingml.chart+xml"/>
  <Override PartName="/word/theme/themeOverride21.xml" ContentType="application/vnd.openxmlformats-officedocument.themeOverride+xml"/>
  <Override PartName="/word/charts/chart23.xml" ContentType="application/vnd.openxmlformats-officedocument.drawingml.chart+xml"/>
  <Override PartName="/word/theme/themeOverride22.xml" ContentType="application/vnd.openxmlformats-officedocument.themeOverride+xml"/>
  <Override PartName="/word/charts/chart24.xml" ContentType="application/vnd.openxmlformats-officedocument.drawingml.chart+xml"/>
  <Override PartName="/word/theme/themeOverride23.xml" ContentType="application/vnd.openxmlformats-officedocument.themeOverride+xml"/>
  <Override PartName="/word/charts/chart25.xml" ContentType="application/vnd.openxmlformats-officedocument.drawingml.chart+xml"/>
  <Override PartName="/word/theme/themeOverride24.xml" ContentType="application/vnd.openxmlformats-officedocument.themeOverride+xml"/>
  <Override PartName="/word/charts/chart26.xml" ContentType="application/vnd.openxmlformats-officedocument.drawingml.chart+xml"/>
  <Override PartName="/word/theme/themeOverride25.xml" ContentType="application/vnd.openxmlformats-officedocument.themeOverride+xml"/>
  <Override PartName="/word/charts/chart27.xml" ContentType="application/vnd.openxmlformats-officedocument.drawingml.chart+xml"/>
  <Override PartName="/word/theme/themeOverride26.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id w:val="1692105382"/>
        <w:docPartObj>
          <w:docPartGallery w:val="Cover Pages"/>
          <w:docPartUnique/>
        </w:docPartObj>
      </w:sdtPr>
      <w:sdtEndPr>
        <w:rPr>
          <w:color w:val="0F6FC6" w:themeColor="accent1"/>
        </w:rPr>
      </w:sdtEndPr>
      <w:sdtContent>
        <w:p w14:paraId="4BEB3D9E" w14:textId="77777777" w:rsidR="000C4FE8" w:rsidRDefault="00A93908">
          <w:r w:rsidRPr="009530E6">
            <w:rPr>
              <w:rFonts w:cs="AdvPED1282"/>
              <w:b/>
              <w:noProof/>
              <w:color w:val="000000"/>
              <w:lang w:val="en-GB" w:eastAsia="en-GB"/>
            </w:rPr>
            <w:drawing>
              <wp:anchor distT="0" distB="0" distL="114300" distR="114300" simplePos="0" relativeHeight="251654655" behindDoc="1" locked="0" layoutInCell="1" allowOverlap="1" wp14:anchorId="3DED9D4B" wp14:editId="5FB82B3F">
                <wp:simplePos x="0" y="0"/>
                <wp:positionH relativeFrom="margin">
                  <wp:posOffset>4109720</wp:posOffset>
                </wp:positionH>
                <wp:positionV relativeFrom="paragraph">
                  <wp:posOffset>0</wp:posOffset>
                </wp:positionV>
                <wp:extent cx="2185035" cy="859155"/>
                <wp:effectExtent l="0" t="0" r="5715" b="0"/>
                <wp:wrapTight wrapText="bothSides">
                  <wp:wrapPolygon edited="0">
                    <wp:start x="0" y="0"/>
                    <wp:lineTo x="0" y="21073"/>
                    <wp:lineTo x="21468" y="21073"/>
                    <wp:lineTo x="21468" y="0"/>
                    <wp:lineTo x="0" y="0"/>
                  </wp:wrapPolygon>
                </wp:wrapTight>
                <wp:docPr id="13" name="Picture 13" descr="C:\Users\l.vandenhoeven\Downloads\e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vandenhoeven\Downloads\es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85035" cy="859155"/>
                        </a:xfrm>
                        <a:prstGeom prst="rect">
                          <a:avLst/>
                        </a:prstGeom>
                        <a:noFill/>
                        <a:ln>
                          <a:noFill/>
                        </a:ln>
                      </pic:spPr>
                    </pic:pic>
                  </a:graphicData>
                </a:graphic>
              </wp:anchor>
            </w:drawing>
          </w:r>
        </w:p>
        <w:p w14:paraId="1AA7A886" w14:textId="7C0336E0" w:rsidR="006D2DB3" w:rsidRPr="000C4FE8" w:rsidRDefault="00F0023A" w:rsidP="000C4FE8">
          <w:pPr>
            <w:spacing w:after="0" w:line="240" w:lineRule="auto"/>
            <w:rPr>
              <w:color w:val="0F6FC6" w:themeColor="accent1"/>
            </w:rPr>
          </w:pPr>
          <w:r>
            <w:rPr>
              <w:noProof/>
              <w:lang w:val="en-GB" w:eastAsia="en-GB"/>
            </w:rPr>
            <mc:AlternateContent>
              <mc:Choice Requires="wps">
                <w:drawing>
                  <wp:anchor distT="0" distB="0" distL="114300" distR="114300" simplePos="0" relativeHeight="251664896" behindDoc="0" locked="0" layoutInCell="1" allowOverlap="1" wp14:anchorId="53ECB4B7" wp14:editId="42FC25DD">
                    <wp:simplePos x="0" y="0"/>
                    <wp:positionH relativeFrom="margin">
                      <wp:align>center</wp:align>
                    </wp:positionH>
                    <wp:positionV relativeFrom="page">
                      <wp:posOffset>8549697</wp:posOffset>
                    </wp:positionV>
                    <wp:extent cx="6647815" cy="665480"/>
                    <wp:effectExtent l="0" t="0" r="0" b="13970"/>
                    <wp:wrapSquare wrapText="bothSides"/>
                    <wp:docPr id="129"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47815" cy="6654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262626" w:themeColor="text1" w:themeTint="D9"/>
                                    <w:sz w:val="28"/>
                                    <w:szCs w:val="28"/>
                                  </w:rPr>
                                  <w:alias w:val="Subtitle"/>
                                  <w:tag w:val=""/>
                                  <w:id w:val="-1886626287"/>
                                  <w:dataBinding w:prefixMappings="xmlns:ns0='http://purl.org/dc/elements/1.1/' xmlns:ns1='http://schemas.openxmlformats.org/package/2006/metadata/core-properties' " w:xpath="/ns1:coreProperties[1]/ns0:subject[1]" w:storeItemID="{6C3C8BC8-F283-45AE-878A-BAB7291924A1}"/>
                                  <w:text/>
                                </w:sdtPr>
                                <w:sdtEndPr/>
                                <w:sdtContent>
                                  <w:p w14:paraId="1B9EDD9A" w14:textId="77777777" w:rsidR="00E36784" w:rsidRPr="00003CB0" w:rsidRDefault="00E36784" w:rsidP="000C4FE8">
                                    <w:pPr>
                                      <w:pStyle w:val="NoSpacing"/>
                                      <w:spacing w:before="40" w:after="40"/>
                                      <w:rPr>
                                        <w:caps/>
                                        <w:color w:val="262626" w:themeColor="text1" w:themeTint="D9"/>
                                        <w:sz w:val="28"/>
                                        <w:szCs w:val="28"/>
                                      </w:rPr>
                                    </w:pPr>
                                    <w:r w:rsidRPr="00003CB0">
                                      <w:rPr>
                                        <w:caps/>
                                        <w:color w:val="262626" w:themeColor="text1" w:themeTint="D9"/>
                                        <w:sz w:val="28"/>
                                        <w:szCs w:val="28"/>
                                      </w:rPr>
                                      <w:t>Master Thesis Lennaert van den Hoeven</w:t>
                                    </w:r>
                                  </w:p>
                                </w:sdtContent>
                              </w:sdt>
                              <w:p w14:paraId="38A828A0" w14:textId="77777777" w:rsidR="00E36784" w:rsidRPr="00003CB0" w:rsidRDefault="00E36784">
                                <w:pPr>
                                  <w:pStyle w:val="NoSpacing"/>
                                  <w:spacing w:before="40" w:after="40"/>
                                  <w:rPr>
                                    <w:caps/>
                                    <w:color w:val="262626" w:themeColor="text1" w:themeTint="D9"/>
                                    <w:sz w:val="24"/>
                                    <w:szCs w:val="24"/>
                                  </w:rPr>
                                </w:pPr>
                                <w:r w:rsidRPr="00003CB0">
                                  <w:rPr>
                                    <w:caps/>
                                    <w:color w:val="262626" w:themeColor="text1" w:themeTint="D9"/>
                                    <w:sz w:val="24"/>
                                    <w:szCs w:val="24"/>
                                  </w:rPr>
                                  <w:t>SUPERVISOR: PROF. DR. T.G.M. VAN OURTI                                                    CO-READER: DR. E. VAN DE POEL</w:t>
                                </w:r>
                              </w:p>
                            </w:txbxContent>
                          </wps:txbx>
                          <wps:bodyPr rot="0" spcFirstLastPara="0" vertOverflow="overflow" horzOverflow="overflow" vert="horz" wrap="square" lIns="914400" tIns="0" rIns="1097280" bIns="0" numCol="1" spcCol="0" rtlCol="0" fromWordArt="0" anchor="t"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type w14:anchorId="53ECB4B7" id="_x0000_t202" coordsize="21600,21600" o:spt="202" path="m,l,21600r21600,l21600,xe">
                    <v:stroke joinstyle="miter"/>
                    <v:path gradientshapeok="t" o:connecttype="rect"/>
                  </v:shapetype>
                  <v:shape id="Text Box 129" o:spid="_x0000_s1026" type="#_x0000_t202" style="position:absolute;margin-left:0;margin-top:673.2pt;width:523.45pt;height:52.4pt;z-index:251664896;visibility:visible;mso-wrap-style:square;mso-width-percent:1154;mso-height-percent:0;mso-wrap-distance-left:9pt;mso-wrap-distance-top:0;mso-wrap-distance-right:9pt;mso-wrap-distance-bottom:0;mso-position-horizontal:center;mso-position-horizontal-relative:margin;mso-position-vertical:absolute;mso-position-vertical-relative:page;mso-width-percent:1154;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" filled="f" stroked="f" strokeweight=".5pt">
                    <v:path arrowok="t"/>
                    <v:textbox style="mso-fit-shape-to-text:t" inset="1in,0,86.4pt,0">
                      <w:txbxContent>
                        <w:sdt>
                          <w:sdtPr>
                            <w:rPr>
                              <w:caps/>
                              <w:color w:val="262626" w:themeColor="text1" w:themeTint="D9"/>
                              <w:sz w:val="28"/>
                              <w:szCs w:val="28"/>
                            </w:rPr>
                            <w:alias w:val="Subtitle"/>
                            <w:tag w:val=""/>
                            <w:id w:val="-1886626287"/>
                            <w:dataBinding w:prefixMappings="xmlns:ns0='http://purl.org/dc/elements/1.1/' xmlns:ns1='http://schemas.openxmlformats.org/package/2006/metadata/core-properties' " w:xpath="/ns1:coreProperties[1]/ns0:subject[1]" w:storeItemID="{6C3C8BC8-F283-45AE-878A-BAB7291924A1}"/>
                            <w:text/>
                          </w:sdtPr>
                          <w:sdtContent>
                            <w:p w14:paraId="1B9EDD9A" w14:textId="77777777" w:rsidR="00E36784" w:rsidRPr="00003CB0" w:rsidRDefault="00E36784" w:rsidP="000C4FE8">
                              <w:pPr>
                                <w:pStyle w:val="NoSpacing"/>
                                <w:spacing w:before="40" w:after="40"/>
                                <w:rPr>
                                  <w:caps/>
                                  <w:color w:val="262626" w:themeColor="text1" w:themeTint="D9"/>
                                  <w:sz w:val="28"/>
                                  <w:szCs w:val="28"/>
                                </w:rPr>
                              </w:pPr>
                              <w:r w:rsidRPr="00003CB0">
                                <w:rPr>
                                  <w:caps/>
                                  <w:color w:val="262626" w:themeColor="text1" w:themeTint="D9"/>
                                  <w:sz w:val="28"/>
                                  <w:szCs w:val="28"/>
                                </w:rPr>
                                <w:t>Master Thesis Lennaert van den Hoeven</w:t>
                              </w:r>
                            </w:p>
                          </w:sdtContent>
                        </w:sdt>
                        <w:p w14:paraId="38A828A0" w14:textId="77777777" w:rsidR="00E36784" w:rsidRPr="00003CB0" w:rsidRDefault="00E36784">
                          <w:pPr>
                            <w:pStyle w:val="NoSpacing"/>
                            <w:spacing w:before="40" w:after="40"/>
                            <w:rPr>
                              <w:caps/>
                              <w:color w:val="262626" w:themeColor="text1" w:themeTint="D9"/>
                              <w:sz w:val="24"/>
                              <w:szCs w:val="24"/>
                            </w:rPr>
                          </w:pPr>
                          <w:r w:rsidRPr="00003CB0">
                            <w:rPr>
                              <w:caps/>
                              <w:color w:val="262626" w:themeColor="text1" w:themeTint="D9"/>
                              <w:sz w:val="24"/>
                              <w:szCs w:val="24"/>
                            </w:rPr>
                            <w:t>SUPERVISOR: PROF. DR. T.G.M. VAN OURTI                                                    CO-READER: DR. E. VAN DE POEL</w:t>
                          </w:r>
                        </w:p>
                      </w:txbxContent>
                    </v:textbox>
                    <w10:wrap type="square" anchorx="margin" anchory="page"/>
                  </v:shape>
                </w:pict>
              </mc:Fallback>
            </mc:AlternateContent>
          </w:r>
          <w:r>
            <w:rPr>
              <w:noProof/>
              <w:lang w:val="en-GB" w:eastAsia="en-GB"/>
            </w:rPr>
            <mc:AlternateContent>
              <mc:Choice Requires="wpg">
                <w:drawing>
                  <wp:anchor distT="0" distB="0" distL="114300" distR="114300" simplePos="0" relativeHeight="251662848" behindDoc="1" locked="0" layoutInCell="1" allowOverlap="1" wp14:anchorId="7A7B9DDA" wp14:editId="225D22D7">
                    <wp:simplePos x="0" y="0"/>
                    <wp:positionH relativeFrom="margin">
                      <wp:posOffset>-442595</wp:posOffset>
                    </wp:positionH>
                    <wp:positionV relativeFrom="margin">
                      <wp:posOffset>871855</wp:posOffset>
                    </wp:positionV>
                    <wp:extent cx="6696075" cy="6094729"/>
                    <wp:effectExtent l="0" t="0" r="9525" b="1905"/>
                    <wp:wrapNone/>
                    <wp:docPr id="125" name="Group 12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696075" cy="6094729"/>
                              <a:chOff x="-15448" y="349579"/>
                              <a:chExt cx="5952498" cy="4400556"/>
                            </a:xfrm>
                            <a:solidFill>
                              <a:srgbClr val="EEDD00"/>
                            </a:solidFill>
                          </wpg:grpSpPr>
                          <wps:wsp>
                            <wps:cNvPr id="126" name="Freeform 10"/>
                            <wps:cNvSpPr>
                              <a:spLocks/>
                            </wps:cNvSpPr>
                            <wps:spPr bwMode="auto">
                              <a:xfrm>
                                <a:off x="-15448" y="349579"/>
                                <a:ext cx="5952498" cy="3342369"/>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grpFill/>
                              <a:ln>
                                <a:noFill/>
                              </a:ln>
                            </wps:spPr>
                            <wps:style>
                              <a:lnRef idx="0">
                                <a:scrgbClr r="0" g="0" b="0"/>
                              </a:lnRef>
                              <a:fillRef idx="1003">
                                <a:schemeClr val="dk2"/>
                              </a:fillRef>
                              <a:effectRef idx="0">
                                <a:scrgbClr r="0" g="0" b="0"/>
                              </a:effectRef>
                              <a:fontRef idx="major"/>
                            </wps:style>
                            <wps:txbx>
                              <w:txbxContent>
                                <w:p w14:paraId="6F0579A5" w14:textId="77777777" w:rsidR="00E36784" w:rsidRPr="00A74943" w:rsidRDefault="00EC69BE" w:rsidP="000C4FE8">
                                  <w:pPr>
                                    <w:jc w:val="both"/>
                                    <w:rPr>
                                      <w:color w:val="404040" w:themeColor="text1" w:themeTint="BF"/>
                                      <w:sz w:val="32"/>
                                      <w:szCs w:val="32"/>
                                      <w:lang w:val="en-US"/>
                                    </w:rPr>
                                  </w:pPr>
                                  <w:sdt>
                                    <w:sdtPr>
                                      <w:rPr>
                                        <w:rFonts w:cs="AdvPED1282"/>
                                        <w:b/>
                                        <w:color w:val="262626" w:themeColor="text1" w:themeTint="D9"/>
                                        <w:sz w:val="32"/>
                                        <w:szCs w:val="32"/>
                                        <w:lang w:val="en-US"/>
                                      </w:rPr>
                                      <w:alias w:val="Title"/>
                                      <w:tag w:val=""/>
                                      <w:id w:val="1502390447"/>
                                      <w:dataBinding w:prefixMappings="xmlns:ns0='http://purl.org/dc/elements/1.1/' xmlns:ns1='http://schemas.openxmlformats.org/package/2006/metadata/core-properties' " w:xpath="/ns1:coreProperties[1]/ns0:title[1]" w:storeItemID="{6C3C8BC8-F283-45AE-878A-BAB7291924A1}"/>
                                      <w:text/>
                                    </w:sdtPr>
                                    <w:sdtEndPr/>
                                    <w:sdtContent>
                                      <w:r w:rsidR="00E36784" w:rsidRPr="00A74943">
                                        <w:rPr>
                                          <w:rFonts w:cs="AdvPED1282"/>
                                          <w:b/>
                                          <w:color w:val="262626" w:themeColor="text1" w:themeTint="D9"/>
                                          <w:sz w:val="32"/>
                                          <w:szCs w:val="32"/>
                                          <w:lang w:val="en-US"/>
                                        </w:rPr>
                                        <w:t>Decomposing the mean and absolute Gini index of BMI: An analysis of the Survey of Health, Ageing, and Retirement in Europe</w:t>
                                      </w:r>
                                    </w:sdtContent>
                                  </w:sdt>
                                </w:p>
                              </w:txbxContent>
                            </wps:txbx>
                            <wps:bodyPr rot="0" vert="horz" wrap="square" lIns="914400" tIns="1097280" rIns="1097280" bIns="1097280" anchor="b" anchorCtr="0" upright="1">
                              <a:noAutofit/>
                            </wps:bodyPr>
                          </wps:wsp>
                          <wps:wsp>
                            <wps:cNvPr id="127" name="Freeform 11"/>
                            <wps:cNvSpPr>
                              <a:spLocks/>
                            </wps:cNvSpPr>
                            <wps:spPr bwMode="auto">
                              <a:xfrm>
                                <a:off x="977908" y="4240230"/>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0</wp14:pctWidth>
                    </wp14:sizeRelH>
                    <wp14:sizeRelV relativeFrom="page">
                      <wp14:pctHeight>0</wp14:pctHeight>
                    </wp14:sizeRelV>
                  </wp:anchor>
                </w:drawing>
              </mc:Choice>
              <mc:Fallback>
                <w:pict>
                  <v:group w14:anchorId="7A7B9DDA" id="Group 125" o:spid="_x0000_s1027" style="position:absolute;margin-left:-34.85pt;margin-top:68.65pt;width:527.25pt;height:479.9pt;z-index:-251653632;mso-position-horizontal-relative:margin;mso-position-vertical-relative:margin;mso-width-relative:margin" coordorigin="-154,3495" coordsize="59524,4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">
                    <o:lock v:ext="edit" aspectratio="t"/>
                    <v:shape id="Freeform 10" o:spid="_x0000_s1028" style="position:absolute;left:-154;top:3495;width:59524;height:33424;visibility:visible;mso-wrap-style:square;v-text-anchor:bottom" coordsize="720,7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ueI8IA&#10;AADcAAAADwAAAGRycy9kb3ducmV2LnhtbERP24rCMBB9X/Afwgi+ranipVSjiOCu+iB4+YChGdva&#10;ZlKarHb/3giCb3M415kvW1OJOzWusKxg0I9AEKdWF5wpuJw33zEI55E1VpZJwT85WC46X3NMtH3w&#10;ke4nn4kQwi5BBbn3dSKlS3My6Pq2Jg7c1TYGfYBNJnWDjxBuKjmMook0WHBoyLGmdU5pefozCsrq&#10;ZxqN48tob8e38ncXHzar7KBUr9uuZiA8tf4jfru3OswfTuD1TLh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S54jwgAAANwAAAAPAAAAAAAAAAAAAAAAAJgCAABkcnMvZG93&#10;bnJldi54bWxQSwUGAAAAAAQABAD1AAAAhwMAAAAA&#10;" adj="-11796480,,5400" path="m,c,644,,644,,644v23,6,62,14,113,21c250,685,476,700,720,644v,-27,,-27,,-27c720,,720,,720,,,,,,,e" filled="f" stroked="f">
                      <v:stroke joinstyle="miter"/>
                      <v:formulas/>
                      <v:path arrowok="t" o:connecttype="custom" o:connectlocs="0,0;0,3074979;934211,3175251;5952498,3074979;5952498,2946060;5952498,0;0,0" o:connectangles="0,0,0,0,0,0,0" textboxrect="0,0,720,700"/>
                      <v:textbox inset="1in,86.4pt,86.4pt,86.4pt">
                        <w:txbxContent>
                          <w:p w14:paraId="6F0579A5" w14:textId="77777777" w:rsidR="00E36784" w:rsidRPr="00A74943" w:rsidRDefault="00E36784" w:rsidP="000C4FE8">
                            <w:pPr>
                              <w:jc w:val="both"/>
                              <w:rPr>
                                <w:color w:val="404040" w:themeColor="text1" w:themeTint="BF"/>
                                <w:sz w:val="32"/>
                                <w:szCs w:val="32"/>
                                <w:lang w:val="en-US"/>
                              </w:rPr>
                            </w:pPr>
                            <w:sdt>
                              <w:sdtPr>
                                <w:rPr>
                                  <w:rFonts w:cs="AdvPED1282"/>
                                  <w:b/>
                                  <w:color w:val="262626" w:themeColor="text1" w:themeTint="D9"/>
                                  <w:sz w:val="32"/>
                                  <w:szCs w:val="32"/>
                                  <w:lang w:val="en-US"/>
                                </w:rPr>
                                <w:alias w:val="Title"/>
                                <w:tag w:val=""/>
                                <w:id w:val="1502390447"/>
                                <w:dataBinding w:prefixMappings="xmlns:ns0='http://purl.org/dc/elements/1.1/' xmlns:ns1='http://schemas.openxmlformats.org/package/2006/metadata/core-properties' " w:xpath="/ns1:coreProperties[1]/ns0:title[1]" w:storeItemID="{6C3C8BC8-F283-45AE-878A-BAB7291924A1}"/>
                                <w:text/>
                              </w:sdtPr>
                              <w:sdtContent>
                                <w:r w:rsidRPr="00A74943">
                                  <w:rPr>
                                    <w:rFonts w:cs="AdvPED1282"/>
                                    <w:b/>
                                    <w:color w:val="262626" w:themeColor="text1" w:themeTint="D9"/>
                                    <w:sz w:val="32"/>
                                    <w:szCs w:val="32"/>
                                    <w:lang w:val="en-US"/>
                                  </w:rPr>
                                  <w:t>Decomposing the mean and absolute Gini index of BMI: An analysis of the Survey of Health, Ageing, and Retirement in Europe</w:t>
                                </w:r>
                              </w:sdtContent>
                            </w:sdt>
                          </w:p>
                        </w:txbxContent>
                      </v:textbox>
                    </v:shape>
                    <v:shape id="Freeform 11" o:spid="_x0000_s1029" style="position:absolute;left:9779;top:42402;width:46850;height:5099;visibility:visible;mso-wrap-style:square;v-text-anchor:bottom" coordsize="60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y7CbwA&#10;AADcAAAADwAAAGRycy9kb3ducmV2LnhtbERPzQ7BQBC+S7zDZiRubDmUlCVCiKufi9vojrZ0Z6u7&#10;qLe3EonbfPl+ZzpvTCmeVLvCsoJBPwJBnFpdcKbgeFj3xiCcR9ZYWiYFb3Iwn7VbU0y0ffGOnnuf&#10;iRDCLkEFufdVIqVLczLo+rYiDtzF1gZ9gHUmdY2vEG5KOYyiWBosODTkWNEyp/S2fxgFZ75eGtbx&#10;ZnFa3Xf6bDFeZqhUt9MsJiA8Nf4v/rm3OswfjuD7TLhAzj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WTLsJvAAAANwAAAAPAAAAAAAAAAAAAAAAAJgCAABkcnMvZG93bnJldi54&#10;bWxQSwUGAAAAAAQABAD1AAAAgQMAAAAA&#10;" path="m607,c450,44,300,57,176,57,109,57,49,53,,48,66,58,152,66,251,66,358,66,480,56,607,27,607,,607,,607,e" filled="f" stroked="f">
                      <v:path arrowok="t" o:connecttype="custom" o:connectlocs="4685030,0;1358427,440373;0,370840;1937302,509905;4685030,208598;4685030,0" o:connectangles="0,0,0,0,0,0"/>
                    </v:shape>
                    <w10:wrap anchorx="margin" anchory="margin"/>
                  </v:group>
                </w:pict>
              </mc:Fallback>
            </mc:AlternateContent>
          </w:r>
          <w:r w:rsidR="002C4ADA">
            <w:rPr>
              <w:noProof/>
              <w:lang w:val="en-GB" w:eastAsia="en-GB"/>
            </w:rPr>
            <mc:AlternateContent>
              <mc:Choice Requires="wps">
                <w:drawing>
                  <wp:anchor distT="0" distB="0" distL="114300" distR="114300" simplePos="0" relativeHeight="251663872" behindDoc="0" locked="0" layoutInCell="1" allowOverlap="1" wp14:anchorId="37600A65" wp14:editId="203C3784">
                    <wp:simplePos x="0" y="0"/>
                    <wp:positionH relativeFrom="margin">
                      <wp:posOffset>4989195</wp:posOffset>
                    </wp:positionH>
                    <wp:positionV relativeFrom="page">
                      <wp:posOffset>1780540</wp:posOffset>
                    </wp:positionV>
                    <wp:extent cx="607695" cy="904875"/>
                    <wp:effectExtent l="0" t="0" r="1905" b="9525"/>
                    <wp:wrapNone/>
                    <wp:docPr id="130" name="Rectangle 1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07695" cy="904875"/>
                            </a:xfrm>
                            <a:prstGeom prst="rect">
                              <a:avLst/>
                            </a:prstGeom>
                            <a:solidFill>
                              <a:schemeClr val="tx1">
                                <a:lumMod val="75000"/>
                                <a:lumOff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459380681"/>
                                  <w:dataBinding w:prefixMappings="xmlns:ns0='http://schemas.microsoft.com/office/2006/coverPageProps' " w:xpath="/ns0:CoverPageProperties[1]/ns0:PublishDate[1]" w:storeItemID="{55AF091B-3C7A-41E3-B477-F2FDAA23CFDA}"/>
                                  <w:date w:fullDate="2015-10-09T00:00:00Z">
                                    <w:dateFormat w:val="yyyy"/>
                                    <w:lid w:val="en-US"/>
                                    <w:storeMappedDataAs w:val="dateTime"/>
                                    <w:calendar w:val="gregorian"/>
                                  </w:date>
                                </w:sdtPr>
                                <w:sdtEndPr/>
                                <w:sdtContent>
                                  <w:p w14:paraId="3A74A263" w14:textId="77777777" w:rsidR="00E36784" w:rsidRDefault="00E36784">
                                    <w:pPr>
                                      <w:pStyle w:val="NoSpacing"/>
                                      <w:jc w:val="right"/>
                                      <w:rPr>
                                        <w:color w:val="FFFFFF" w:themeColor="background1"/>
                                        <w:sz w:val="24"/>
                                        <w:szCs w:val="24"/>
                                      </w:rPr>
                                    </w:pPr>
                                    <w:r w:rsidRPr="00402499">
                                      <w:rPr>
                                        <w:color w:val="FFFFFF" w:themeColor="background1"/>
                                        <w:sz w:val="24"/>
                                        <w:szCs w:val="24"/>
                                        <w:lang w:val="en-US"/>
                                      </w:rPr>
                                      <w:t>2015</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7600A65" id="Rectangle 130" o:spid="_x0000_s1030" style="position:absolute;margin-left:392.85pt;margin-top:140.2pt;width:47.85pt;height:71.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" fillcolor="#404040 [2429]" stroked="f" strokeweight="1pt">
                    <v:path arrowok="t"/>
                    <o:lock v:ext="edit" aspectratio="t"/>
                    <v:textbox inset="3.6pt,,3.6pt">
                      <w:txbxContent>
                        <w:sdt>
                          <w:sdtPr>
                            <w:rPr>
                              <w:color w:val="FFFFFF" w:themeColor="background1"/>
                              <w:sz w:val="24"/>
                              <w:szCs w:val="24"/>
                            </w:rPr>
                            <w:alias w:val="Year"/>
                            <w:tag w:val=""/>
                            <w:id w:val="459380681"/>
                            <w:dataBinding w:prefixMappings="xmlns:ns0='http://schemas.microsoft.com/office/2006/coverPageProps' " w:xpath="/ns0:CoverPageProperties[1]/ns0:PublishDate[1]" w:storeItemID="{55AF091B-3C7A-41E3-B477-F2FDAA23CFDA}"/>
                            <w:date w:fullDate="2015-10-09T00:00:00Z">
                              <w:dateFormat w:val="yyyy"/>
                              <w:lid w:val="en-US"/>
                              <w:storeMappedDataAs w:val="dateTime"/>
                              <w:calendar w:val="gregorian"/>
                            </w:date>
                          </w:sdtPr>
                          <w:sdtContent>
                            <w:p w14:paraId="3A74A263" w14:textId="77777777" w:rsidR="00E36784" w:rsidRDefault="00E36784">
                              <w:pPr>
                                <w:pStyle w:val="NoSpacing"/>
                                <w:jc w:val="right"/>
                                <w:rPr>
                                  <w:color w:val="FFFFFF" w:themeColor="background1"/>
                                  <w:sz w:val="24"/>
                                  <w:szCs w:val="24"/>
                                </w:rPr>
                              </w:pPr>
                              <w:r w:rsidRPr="00402499">
                                <w:rPr>
                                  <w:color w:val="FFFFFF" w:themeColor="background1"/>
                                  <w:sz w:val="24"/>
                                  <w:szCs w:val="24"/>
                                  <w:lang w:val="en-US"/>
                                </w:rPr>
                                <w:t>2015</w:t>
                              </w:r>
                            </w:p>
                          </w:sdtContent>
                        </w:sdt>
                      </w:txbxContent>
                    </v:textbox>
                    <w10:wrap anchorx="margin" anchory="page"/>
                  </v:rect>
                </w:pict>
              </mc:Fallback>
            </mc:AlternateContent>
          </w:r>
          <w:r w:rsidR="002C4ADA">
            <w:rPr>
              <w:noProof/>
              <w:lang w:val="en-GB" w:eastAsia="en-GB"/>
            </w:rPr>
            <mc:AlternateContent>
              <mc:Choice Requires="wps">
                <w:drawing>
                  <wp:anchor distT="0" distB="0" distL="114300" distR="114300" simplePos="0" relativeHeight="251665920" behindDoc="0" locked="0" layoutInCell="1" allowOverlap="1" wp14:anchorId="7363BA3D" wp14:editId="1F3B5E47">
                    <wp:simplePos x="0" y="0"/>
                    <wp:positionH relativeFrom="page">
                      <wp:align>center</wp:align>
                    </wp:positionH>
                    <wp:positionV relativeFrom="margin">
                      <wp:align>bottom</wp:align>
                    </wp:positionV>
                    <wp:extent cx="6647815" cy="139700"/>
                    <wp:effectExtent l="0" t="0" r="0" b="6350"/>
                    <wp:wrapSquare wrapText="bothSides"/>
                    <wp:docPr id="128"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47815" cy="139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AB6D637" w14:textId="77777777" w:rsidR="00E36784" w:rsidRDefault="00EC69BE">
                                <w:pPr>
                                  <w:pStyle w:val="NoSpacing"/>
                                  <w:rPr>
                                    <w:color w:val="7F7F7F" w:themeColor="text1" w:themeTint="80"/>
                                    <w:sz w:val="18"/>
                                    <w:szCs w:val="18"/>
                                  </w:rPr>
                                </w:pPr>
                                <w:sdt>
                                  <w:sdtPr>
                                    <w:rPr>
                                      <w:caps/>
                                      <w:color w:val="7F7F7F" w:themeColor="text1" w:themeTint="80"/>
                                      <w:sz w:val="18"/>
                                      <w:szCs w:val="18"/>
                                    </w:rPr>
                                    <w:alias w:val="Company"/>
                                    <w:tag w:val=""/>
                                    <w:id w:val="-1815324429"/>
                                    <w:dataBinding w:prefixMappings="xmlns:ns0='http://schemas.openxmlformats.org/officeDocument/2006/extended-properties' " w:xpath="/ns0:Properties[1]/ns0:Company[1]" w:storeItemID="{6668398D-A668-4E3E-A5EB-62B293D839F1}"/>
                                    <w:text/>
                                  </w:sdtPr>
                                  <w:sdtEndPr/>
                                  <w:sdtContent>
                                    <w:r w:rsidR="00E36784">
                                      <w:rPr>
                                        <w:caps/>
                                        <w:color w:val="7F7F7F" w:themeColor="text1" w:themeTint="80"/>
                                        <w:sz w:val="18"/>
                                        <w:szCs w:val="18"/>
                                      </w:rPr>
                                      <w:t>Erasmus Universiteit</w:t>
                                    </w:r>
                                  </w:sdtContent>
                                </w:sdt>
                                <w:r w:rsidR="00E36784">
                                  <w:rPr>
                                    <w:caps/>
                                    <w:color w:val="7F7F7F" w:themeColor="text1" w:themeTint="80"/>
                                    <w:sz w:val="18"/>
                                    <w:szCs w:val="18"/>
                                  </w:rPr>
                                  <w:t> </w:t>
                                </w:r>
                              </w:p>
                            </w:txbxContent>
                          </wps:txbx>
                          <wps:bodyPr rot="0" spcFirstLastPara="0" vertOverflow="overflow" horzOverflow="overflow" vert="horz" wrap="square" lIns="914400" tIns="0" rIns="1097280" bIns="0" numCol="1" spcCol="0" rtlCol="0" fromWordArt="0" anchor="b" anchorCtr="0" forceAA="0" compatLnSpc="1">
                            <a:prstTxWarp prst="textNoShape">
                              <a:avLst/>
                            </a:prstTxWarp>
                            <a:spAutoFit/>
                          </wps:bodyPr>
                        </wps:wsp>
                      </a:graphicData>
                    </a:graphic>
                    <wp14:sizeRelH relativeFrom="margin">
                      <wp14:pctWidth>115400</wp14:pctWidth>
                    </wp14:sizeRelH>
                    <wp14:sizeRelV relativeFrom="margin">
                      <wp14:pctHeight>0</wp14:pctHeight>
                    </wp14:sizeRelV>
                  </wp:anchor>
                </w:drawing>
              </mc:Choice>
              <mc:Fallback>
                <w:pict>
                  <v:shape w14:anchorId="7363BA3D" id="Text Box 128" o:spid="_x0000_s1031" type="#_x0000_t202" style="position:absolute;margin-left:0;margin-top:0;width:523.45pt;height:11pt;z-index:251665920;visibility:visible;mso-wrap-style:square;mso-width-percent:1154;mso-height-percent:0;mso-wrap-distance-left:9pt;mso-wrap-distance-top:0;mso-wrap-distance-right:9pt;mso-wrap-distance-bottom:0;mso-position-horizontal:center;mso-position-horizontal-relative:page;mso-position-vertical:bottom;mso-position-vertical-relative:margin;mso-width-percent:1154;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" filled="f" stroked="f" strokeweight=".5pt">
                    <v:path arrowok="t"/>
                    <v:textbox style="mso-fit-shape-to-text:t" inset="1in,0,86.4pt,0">
                      <w:txbxContent>
                        <w:p w14:paraId="0AB6D637" w14:textId="77777777" w:rsidR="00E36784" w:rsidRDefault="00E36784">
                          <w:pPr>
                            <w:pStyle w:val="NoSpacing"/>
                            <w:rPr>
                              <w:color w:val="7F7F7F" w:themeColor="text1" w:themeTint="80"/>
                              <w:sz w:val="18"/>
                              <w:szCs w:val="18"/>
                            </w:rPr>
                          </w:pPr>
                          <w:sdt>
                            <w:sdtPr>
                              <w:rPr>
                                <w:caps/>
                                <w:color w:val="7F7F7F" w:themeColor="text1" w:themeTint="80"/>
                                <w:sz w:val="18"/>
                                <w:szCs w:val="18"/>
                              </w:rPr>
                              <w:alias w:val="Company"/>
                              <w:tag w:val=""/>
                              <w:id w:val="-1815324429"/>
                              <w:dataBinding w:prefixMappings="xmlns:ns0='http://schemas.openxmlformats.org/officeDocument/2006/extended-properties' " w:xpath="/ns0:Properties[1]/ns0:Company[1]" w:storeItemID="{6668398D-A668-4E3E-A5EB-62B293D839F1}"/>
                              <w:text/>
                            </w:sdtPr>
                            <w:sdtContent>
                              <w:r>
                                <w:rPr>
                                  <w:caps/>
                                  <w:color w:val="7F7F7F" w:themeColor="text1" w:themeTint="80"/>
                                  <w:sz w:val="18"/>
                                  <w:szCs w:val="18"/>
                                </w:rPr>
                                <w:t>Erasmus Universiteit</w:t>
                              </w:r>
                            </w:sdtContent>
                          </w:sdt>
                          <w:r>
                            <w:rPr>
                              <w:caps/>
                              <w:color w:val="7F7F7F" w:themeColor="text1" w:themeTint="80"/>
                              <w:sz w:val="18"/>
                              <w:szCs w:val="18"/>
                            </w:rPr>
                            <w:t> </w:t>
                          </w:r>
                        </w:p>
                      </w:txbxContent>
                    </v:textbox>
                    <w10:wrap type="square" anchorx="page" anchory="margin"/>
                  </v:shape>
                </w:pict>
              </mc:Fallback>
            </mc:AlternateContent>
          </w:r>
          <w:r w:rsidR="000C4FE8">
            <w:rPr>
              <w:color w:val="0F6FC6" w:themeColor="accent1"/>
            </w:rPr>
            <w:br w:type="page"/>
          </w:r>
        </w:p>
      </w:sdtContent>
    </w:sdt>
    <w:p w14:paraId="2CF8D327" w14:textId="77777777" w:rsidR="004674B9" w:rsidRDefault="007639D8" w:rsidP="004674B9">
      <w:pPr>
        <w:rPr>
          <w:rFonts w:asciiTheme="minorHAnsi" w:eastAsiaTheme="minorEastAsia" w:hAnsiTheme="minorHAnsi" w:cstheme="minorBidi"/>
          <w:noProof/>
          <w:lang w:eastAsia="nl-NL"/>
        </w:rPr>
      </w:pPr>
      <w:bookmarkStart w:id="1" w:name="_Toc432112385"/>
      <w:bookmarkStart w:id="2" w:name="_Toc432114494"/>
      <w:r w:rsidRPr="00994430">
        <w:rPr>
          <w:rStyle w:val="Heading1Char"/>
        </w:rPr>
        <w:lastRenderedPageBreak/>
        <w:t>Contents</w:t>
      </w:r>
      <w:bookmarkEnd w:id="1"/>
      <w:bookmarkEnd w:id="2"/>
      <w:r w:rsidR="00870191">
        <w:fldChar w:fldCharType="begin"/>
      </w:r>
      <w:r>
        <w:instrText xml:space="preserve"> TOC \o "1-3" \h \z \u </w:instrText>
      </w:r>
      <w:r w:rsidR="00870191">
        <w:fldChar w:fldCharType="separate"/>
      </w:r>
    </w:p>
    <w:p w14:paraId="60C95B07" w14:textId="77777777" w:rsidR="004674B9" w:rsidRDefault="00EC69BE">
      <w:pPr>
        <w:pStyle w:val="TOC1"/>
        <w:tabs>
          <w:tab w:val="left" w:pos="440"/>
          <w:tab w:val="right" w:leader="dot" w:pos="9062"/>
        </w:tabs>
        <w:rPr>
          <w:rFonts w:asciiTheme="minorHAnsi" w:eastAsiaTheme="minorEastAsia" w:hAnsiTheme="minorHAnsi" w:cstheme="minorBidi"/>
          <w:noProof/>
          <w:lang w:eastAsia="nl-NL"/>
        </w:rPr>
      </w:pPr>
      <w:hyperlink w:anchor="_Toc432114495" w:history="1">
        <w:r w:rsidR="004674B9" w:rsidRPr="001D12DA">
          <w:rPr>
            <w:rStyle w:val="Hyperlink"/>
            <w:noProof/>
          </w:rPr>
          <w:t>1.</w:t>
        </w:r>
        <w:r w:rsidR="004674B9">
          <w:rPr>
            <w:rFonts w:asciiTheme="minorHAnsi" w:eastAsiaTheme="minorEastAsia" w:hAnsiTheme="minorHAnsi" w:cstheme="minorBidi"/>
            <w:noProof/>
            <w:lang w:eastAsia="nl-NL"/>
          </w:rPr>
          <w:tab/>
        </w:r>
        <w:r w:rsidR="004674B9" w:rsidRPr="001D12DA">
          <w:rPr>
            <w:rStyle w:val="Hyperlink"/>
            <w:rFonts w:cs="Calibri"/>
            <w:noProof/>
          </w:rPr>
          <w:t>Introduction</w:t>
        </w:r>
        <w:r w:rsidR="004674B9">
          <w:rPr>
            <w:noProof/>
            <w:webHidden/>
          </w:rPr>
          <w:tab/>
        </w:r>
        <w:r w:rsidR="00870191">
          <w:rPr>
            <w:noProof/>
            <w:webHidden/>
          </w:rPr>
          <w:fldChar w:fldCharType="begin"/>
        </w:r>
        <w:r w:rsidR="004674B9">
          <w:rPr>
            <w:noProof/>
            <w:webHidden/>
          </w:rPr>
          <w:instrText xml:space="preserve"> PAGEREF _Toc432114495 \h </w:instrText>
        </w:r>
        <w:r w:rsidR="00870191">
          <w:rPr>
            <w:noProof/>
            <w:webHidden/>
          </w:rPr>
        </w:r>
        <w:r w:rsidR="00870191">
          <w:rPr>
            <w:noProof/>
            <w:webHidden/>
          </w:rPr>
          <w:fldChar w:fldCharType="separate"/>
        </w:r>
        <w:r w:rsidR="00216F5E">
          <w:rPr>
            <w:noProof/>
            <w:webHidden/>
          </w:rPr>
          <w:t>2</w:t>
        </w:r>
        <w:r w:rsidR="00870191">
          <w:rPr>
            <w:noProof/>
            <w:webHidden/>
          </w:rPr>
          <w:fldChar w:fldCharType="end"/>
        </w:r>
      </w:hyperlink>
    </w:p>
    <w:p w14:paraId="27B60FE9" w14:textId="77777777" w:rsidR="004674B9" w:rsidRDefault="00EC69BE">
      <w:pPr>
        <w:pStyle w:val="TOC1"/>
        <w:tabs>
          <w:tab w:val="left" w:pos="440"/>
          <w:tab w:val="right" w:leader="dot" w:pos="9062"/>
        </w:tabs>
        <w:rPr>
          <w:rFonts w:asciiTheme="minorHAnsi" w:eastAsiaTheme="minorEastAsia" w:hAnsiTheme="minorHAnsi" w:cstheme="minorBidi"/>
          <w:noProof/>
          <w:lang w:eastAsia="nl-NL"/>
        </w:rPr>
      </w:pPr>
      <w:hyperlink w:anchor="_Toc432114496" w:history="1">
        <w:r w:rsidR="004674B9" w:rsidRPr="001D12DA">
          <w:rPr>
            <w:rStyle w:val="Hyperlink"/>
            <w:noProof/>
          </w:rPr>
          <w:t>2.</w:t>
        </w:r>
        <w:r w:rsidR="004674B9">
          <w:rPr>
            <w:rFonts w:asciiTheme="minorHAnsi" w:eastAsiaTheme="minorEastAsia" w:hAnsiTheme="minorHAnsi" w:cstheme="minorBidi"/>
            <w:noProof/>
            <w:lang w:eastAsia="nl-NL"/>
          </w:rPr>
          <w:tab/>
        </w:r>
        <w:r w:rsidR="004674B9" w:rsidRPr="001D12DA">
          <w:rPr>
            <w:rStyle w:val="Hyperlink"/>
            <w:rFonts w:cs="Calibri"/>
            <w:noProof/>
          </w:rPr>
          <w:t>Methodology</w:t>
        </w:r>
        <w:r w:rsidR="004674B9">
          <w:rPr>
            <w:noProof/>
            <w:webHidden/>
          </w:rPr>
          <w:tab/>
        </w:r>
        <w:r w:rsidR="00870191">
          <w:rPr>
            <w:noProof/>
            <w:webHidden/>
          </w:rPr>
          <w:fldChar w:fldCharType="begin"/>
        </w:r>
        <w:r w:rsidR="004674B9">
          <w:rPr>
            <w:noProof/>
            <w:webHidden/>
          </w:rPr>
          <w:instrText xml:space="preserve"> PAGEREF _Toc432114496 \h </w:instrText>
        </w:r>
        <w:r w:rsidR="00870191">
          <w:rPr>
            <w:noProof/>
            <w:webHidden/>
          </w:rPr>
        </w:r>
        <w:r w:rsidR="00870191">
          <w:rPr>
            <w:noProof/>
            <w:webHidden/>
          </w:rPr>
          <w:fldChar w:fldCharType="separate"/>
        </w:r>
        <w:r w:rsidR="00216F5E">
          <w:rPr>
            <w:noProof/>
            <w:webHidden/>
          </w:rPr>
          <w:t>4</w:t>
        </w:r>
        <w:r w:rsidR="00870191">
          <w:rPr>
            <w:noProof/>
            <w:webHidden/>
          </w:rPr>
          <w:fldChar w:fldCharType="end"/>
        </w:r>
      </w:hyperlink>
    </w:p>
    <w:p w14:paraId="0E8D147F" w14:textId="77777777" w:rsidR="004674B9" w:rsidRDefault="00EC69BE">
      <w:pPr>
        <w:pStyle w:val="TOC2"/>
        <w:tabs>
          <w:tab w:val="right" w:leader="dot" w:pos="9062"/>
        </w:tabs>
        <w:rPr>
          <w:rFonts w:asciiTheme="minorHAnsi" w:eastAsiaTheme="minorEastAsia" w:hAnsiTheme="minorHAnsi" w:cstheme="minorBidi"/>
          <w:noProof/>
          <w:lang w:eastAsia="nl-NL"/>
        </w:rPr>
      </w:pPr>
      <w:hyperlink w:anchor="_Toc432114497" w:history="1">
        <w:r w:rsidR="004674B9" w:rsidRPr="001D12DA">
          <w:rPr>
            <w:rStyle w:val="Hyperlink"/>
            <w:rFonts w:cs="Calibri"/>
            <w:noProof/>
            <w:lang w:val="en-US" w:eastAsia="ja-JP"/>
          </w:rPr>
          <w:t xml:space="preserve">2.1 </w:t>
        </w:r>
        <w:r w:rsidR="004674B9">
          <w:rPr>
            <w:rStyle w:val="Hyperlink"/>
            <w:rFonts w:cs="Calibri"/>
            <w:noProof/>
            <w:lang w:val="en-US" w:eastAsia="ja-JP"/>
          </w:rPr>
          <w:t xml:space="preserve">       </w:t>
        </w:r>
        <w:r w:rsidR="004674B9" w:rsidRPr="001D12DA">
          <w:rPr>
            <w:rStyle w:val="Hyperlink"/>
            <w:rFonts w:cs="Calibri"/>
            <w:noProof/>
            <w:lang w:val="en-US" w:eastAsia="ja-JP"/>
          </w:rPr>
          <w:t>The Oaxaca-Blinder decomposition</w:t>
        </w:r>
        <w:r w:rsidR="004674B9">
          <w:rPr>
            <w:noProof/>
            <w:webHidden/>
          </w:rPr>
          <w:tab/>
        </w:r>
        <w:r w:rsidR="00870191">
          <w:rPr>
            <w:noProof/>
            <w:webHidden/>
          </w:rPr>
          <w:fldChar w:fldCharType="begin"/>
        </w:r>
        <w:r w:rsidR="004674B9">
          <w:rPr>
            <w:noProof/>
            <w:webHidden/>
          </w:rPr>
          <w:instrText xml:space="preserve"> PAGEREF _Toc432114497 \h </w:instrText>
        </w:r>
        <w:r w:rsidR="00870191">
          <w:rPr>
            <w:noProof/>
            <w:webHidden/>
          </w:rPr>
        </w:r>
        <w:r w:rsidR="00870191">
          <w:rPr>
            <w:noProof/>
            <w:webHidden/>
          </w:rPr>
          <w:fldChar w:fldCharType="separate"/>
        </w:r>
        <w:r w:rsidR="00216F5E">
          <w:rPr>
            <w:noProof/>
            <w:webHidden/>
          </w:rPr>
          <w:t>4</w:t>
        </w:r>
        <w:r w:rsidR="00870191">
          <w:rPr>
            <w:noProof/>
            <w:webHidden/>
          </w:rPr>
          <w:fldChar w:fldCharType="end"/>
        </w:r>
      </w:hyperlink>
    </w:p>
    <w:p w14:paraId="5557FE1D" w14:textId="77777777"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498" w:history="1">
        <w:r w:rsidR="004674B9" w:rsidRPr="001D12DA">
          <w:rPr>
            <w:rStyle w:val="Hyperlink"/>
            <w:rFonts w:cs="Calibri"/>
            <w:noProof/>
            <w:lang w:val="en-US" w:eastAsia="ja-JP"/>
          </w:rPr>
          <w:t>2.2</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OB decomposition in an OLS setting</w:t>
        </w:r>
        <w:r w:rsidR="004674B9">
          <w:rPr>
            <w:noProof/>
            <w:webHidden/>
          </w:rPr>
          <w:tab/>
        </w:r>
        <w:r w:rsidR="00870191">
          <w:rPr>
            <w:noProof/>
            <w:webHidden/>
          </w:rPr>
          <w:fldChar w:fldCharType="begin"/>
        </w:r>
        <w:r w:rsidR="004674B9">
          <w:rPr>
            <w:noProof/>
            <w:webHidden/>
          </w:rPr>
          <w:instrText xml:space="preserve"> PAGEREF _Toc432114498 \h </w:instrText>
        </w:r>
        <w:r w:rsidR="00870191">
          <w:rPr>
            <w:noProof/>
            <w:webHidden/>
          </w:rPr>
        </w:r>
        <w:r w:rsidR="00870191">
          <w:rPr>
            <w:noProof/>
            <w:webHidden/>
          </w:rPr>
          <w:fldChar w:fldCharType="separate"/>
        </w:r>
        <w:r w:rsidR="00216F5E">
          <w:rPr>
            <w:noProof/>
            <w:webHidden/>
          </w:rPr>
          <w:t>5</w:t>
        </w:r>
        <w:r w:rsidR="00870191">
          <w:rPr>
            <w:noProof/>
            <w:webHidden/>
          </w:rPr>
          <w:fldChar w:fldCharType="end"/>
        </w:r>
      </w:hyperlink>
    </w:p>
    <w:p w14:paraId="2BBC7E4C" w14:textId="77777777"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499" w:history="1">
        <w:r w:rsidR="004674B9" w:rsidRPr="001D12DA">
          <w:rPr>
            <w:rStyle w:val="Hyperlink"/>
            <w:rFonts w:cs="Calibri"/>
            <w:noProof/>
            <w:lang w:val="en-US" w:eastAsia="ja-JP"/>
          </w:rPr>
          <w:t>2.3</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The absolute Gini coefficient</w:t>
        </w:r>
        <w:r w:rsidR="004674B9">
          <w:rPr>
            <w:noProof/>
            <w:webHidden/>
          </w:rPr>
          <w:tab/>
        </w:r>
        <w:r w:rsidR="00870191">
          <w:rPr>
            <w:noProof/>
            <w:webHidden/>
          </w:rPr>
          <w:fldChar w:fldCharType="begin"/>
        </w:r>
        <w:r w:rsidR="004674B9">
          <w:rPr>
            <w:noProof/>
            <w:webHidden/>
          </w:rPr>
          <w:instrText xml:space="preserve"> PAGEREF _Toc432114499 \h </w:instrText>
        </w:r>
        <w:r w:rsidR="00870191">
          <w:rPr>
            <w:noProof/>
            <w:webHidden/>
          </w:rPr>
        </w:r>
        <w:r w:rsidR="00870191">
          <w:rPr>
            <w:noProof/>
            <w:webHidden/>
          </w:rPr>
          <w:fldChar w:fldCharType="separate"/>
        </w:r>
        <w:r w:rsidR="00216F5E">
          <w:rPr>
            <w:noProof/>
            <w:webHidden/>
          </w:rPr>
          <w:t>7</w:t>
        </w:r>
        <w:r w:rsidR="00870191">
          <w:rPr>
            <w:noProof/>
            <w:webHidden/>
          </w:rPr>
          <w:fldChar w:fldCharType="end"/>
        </w:r>
      </w:hyperlink>
    </w:p>
    <w:p w14:paraId="7945E254" w14:textId="77777777"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500" w:history="1">
        <w:r w:rsidR="004674B9" w:rsidRPr="001D12DA">
          <w:rPr>
            <w:rStyle w:val="Hyperlink"/>
            <w:rFonts w:cs="Calibri"/>
            <w:noProof/>
            <w:lang w:val="en-US" w:eastAsia="ja-JP"/>
          </w:rPr>
          <w:t>2.4</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OB decomposition of the AG</w:t>
        </w:r>
        <w:r w:rsidR="004674B9">
          <w:rPr>
            <w:noProof/>
            <w:webHidden/>
          </w:rPr>
          <w:tab/>
        </w:r>
        <w:r w:rsidR="00870191">
          <w:rPr>
            <w:noProof/>
            <w:webHidden/>
          </w:rPr>
          <w:fldChar w:fldCharType="begin"/>
        </w:r>
        <w:r w:rsidR="004674B9">
          <w:rPr>
            <w:noProof/>
            <w:webHidden/>
          </w:rPr>
          <w:instrText xml:space="preserve"> PAGEREF _Toc432114500 \h </w:instrText>
        </w:r>
        <w:r w:rsidR="00870191">
          <w:rPr>
            <w:noProof/>
            <w:webHidden/>
          </w:rPr>
        </w:r>
        <w:r w:rsidR="00870191">
          <w:rPr>
            <w:noProof/>
            <w:webHidden/>
          </w:rPr>
          <w:fldChar w:fldCharType="separate"/>
        </w:r>
        <w:r w:rsidR="00216F5E">
          <w:rPr>
            <w:noProof/>
            <w:webHidden/>
          </w:rPr>
          <w:t>7</w:t>
        </w:r>
        <w:r w:rsidR="00870191">
          <w:rPr>
            <w:noProof/>
            <w:webHidden/>
          </w:rPr>
          <w:fldChar w:fldCharType="end"/>
        </w:r>
      </w:hyperlink>
    </w:p>
    <w:p w14:paraId="09089D9D" w14:textId="77777777" w:rsidR="004674B9" w:rsidRDefault="00EC69BE">
      <w:pPr>
        <w:pStyle w:val="TOC1"/>
        <w:tabs>
          <w:tab w:val="left" w:pos="440"/>
          <w:tab w:val="right" w:leader="dot" w:pos="9062"/>
        </w:tabs>
        <w:rPr>
          <w:rFonts w:asciiTheme="minorHAnsi" w:eastAsiaTheme="minorEastAsia" w:hAnsiTheme="minorHAnsi" w:cstheme="minorBidi"/>
          <w:noProof/>
          <w:lang w:eastAsia="nl-NL"/>
        </w:rPr>
      </w:pPr>
      <w:hyperlink w:anchor="_Toc432114501" w:history="1">
        <w:r w:rsidR="004674B9" w:rsidRPr="001D12DA">
          <w:rPr>
            <w:rStyle w:val="Hyperlink"/>
            <w:noProof/>
            <w:lang w:val="en-US"/>
          </w:rPr>
          <w:t>3.</w:t>
        </w:r>
        <w:r w:rsidR="004674B9">
          <w:rPr>
            <w:rFonts w:asciiTheme="minorHAnsi" w:eastAsiaTheme="minorEastAsia" w:hAnsiTheme="minorHAnsi" w:cstheme="minorBidi"/>
            <w:noProof/>
            <w:lang w:eastAsia="nl-NL"/>
          </w:rPr>
          <w:tab/>
        </w:r>
        <w:r w:rsidR="004674B9" w:rsidRPr="001D12DA">
          <w:rPr>
            <w:rStyle w:val="Hyperlink"/>
            <w:noProof/>
            <w:lang w:val="en-US"/>
          </w:rPr>
          <w:t>Empirics</w:t>
        </w:r>
        <w:r w:rsidR="004674B9">
          <w:rPr>
            <w:noProof/>
            <w:webHidden/>
          </w:rPr>
          <w:tab/>
        </w:r>
        <w:r w:rsidR="00870191">
          <w:rPr>
            <w:noProof/>
            <w:webHidden/>
          </w:rPr>
          <w:fldChar w:fldCharType="begin"/>
        </w:r>
        <w:r w:rsidR="004674B9">
          <w:rPr>
            <w:noProof/>
            <w:webHidden/>
          </w:rPr>
          <w:instrText xml:space="preserve"> PAGEREF _Toc432114501 \h </w:instrText>
        </w:r>
        <w:r w:rsidR="00870191">
          <w:rPr>
            <w:noProof/>
            <w:webHidden/>
          </w:rPr>
        </w:r>
        <w:r w:rsidR="00870191">
          <w:rPr>
            <w:noProof/>
            <w:webHidden/>
          </w:rPr>
          <w:fldChar w:fldCharType="separate"/>
        </w:r>
        <w:r w:rsidR="00216F5E">
          <w:rPr>
            <w:noProof/>
            <w:webHidden/>
          </w:rPr>
          <w:t>8</w:t>
        </w:r>
        <w:r w:rsidR="00870191">
          <w:rPr>
            <w:noProof/>
            <w:webHidden/>
          </w:rPr>
          <w:fldChar w:fldCharType="end"/>
        </w:r>
      </w:hyperlink>
    </w:p>
    <w:p w14:paraId="2A93557F" w14:textId="77777777" w:rsidR="004674B9" w:rsidRDefault="00EC69BE">
      <w:pPr>
        <w:pStyle w:val="TOC2"/>
        <w:tabs>
          <w:tab w:val="right" w:leader="dot" w:pos="9062"/>
        </w:tabs>
        <w:rPr>
          <w:rFonts w:asciiTheme="minorHAnsi" w:eastAsiaTheme="minorEastAsia" w:hAnsiTheme="minorHAnsi" w:cstheme="minorBidi"/>
          <w:noProof/>
          <w:lang w:eastAsia="nl-NL"/>
        </w:rPr>
      </w:pPr>
      <w:hyperlink w:anchor="_Toc432114502" w:history="1">
        <w:r w:rsidR="004674B9" w:rsidRPr="001D12DA">
          <w:rPr>
            <w:rStyle w:val="Hyperlink"/>
            <w:rFonts w:cs="Calibri"/>
            <w:noProof/>
            <w:lang w:val="en-US" w:eastAsia="ja-JP"/>
          </w:rPr>
          <w:t xml:space="preserve">3.1 </w:t>
        </w:r>
        <w:r w:rsidR="004674B9">
          <w:rPr>
            <w:rStyle w:val="Hyperlink"/>
            <w:rFonts w:cs="Calibri"/>
            <w:noProof/>
            <w:lang w:val="en-US" w:eastAsia="ja-JP"/>
          </w:rPr>
          <w:t xml:space="preserve">       </w:t>
        </w:r>
        <w:r w:rsidR="004674B9" w:rsidRPr="001D12DA">
          <w:rPr>
            <w:rStyle w:val="Hyperlink"/>
            <w:rFonts w:cs="Calibri"/>
            <w:noProof/>
            <w:lang w:val="en-US" w:eastAsia="ja-JP"/>
          </w:rPr>
          <w:t>The data</w:t>
        </w:r>
        <w:r w:rsidR="004674B9">
          <w:rPr>
            <w:noProof/>
            <w:webHidden/>
          </w:rPr>
          <w:tab/>
        </w:r>
        <w:r w:rsidR="00870191">
          <w:rPr>
            <w:noProof/>
            <w:webHidden/>
          </w:rPr>
          <w:fldChar w:fldCharType="begin"/>
        </w:r>
        <w:r w:rsidR="004674B9">
          <w:rPr>
            <w:noProof/>
            <w:webHidden/>
          </w:rPr>
          <w:instrText xml:space="preserve"> PAGEREF _Toc432114502 \h </w:instrText>
        </w:r>
        <w:r w:rsidR="00870191">
          <w:rPr>
            <w:noProof/>
            <w:webHidden/>
          </w:rPr>
        </w:r>
        <w:r w:rsidR="00870191">
          <w:rPr>
            <w:noProof/>
            <w:webHidden/>
          </w:rPr>
          <w:fldChar w:fldCharType="separate"/>
        </w:r>
        <w:r w:rsidR="00216F5E">
          <w:rPr>
            <w:noProof/>
            <w:webHidden/>
          </w:rPr>
          <w:t>8</w:t>
        </w:r>
        <w:r w:rsidR="00870191">
          <w:rPr>
            <w:noProof/>
            <w:webHidden/>
          </w:rPr>
          <w:fldChar w:fldCharType="end"/>
        </w:r>
      </w:hyperlink>
    </w:p>
    <w:p w14:paraId="7143AB39" w14:textId="77777777"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503" w:history="1">
        <w:r w:rsidR="004674B9" w:rsidRPr="001D12DA">
          <w:rPr>
            <w:rStyle w:val="Hyperlink"/>
            <w:rFonts w:cs="Calibri"/>
            <w:noProof/>
            <w:lang w:val="en-US" w:eastAsia="ja-JP"/>
          </w:rPr>
          <w:t>3.2</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BMI mean and drop-out selection</w:t>
        </w:r>
        <w:r w:rsidR="004674B9">
          <w:rPr>
            <w:noProof/>
            <w:webHidden/>
          </w:rPr>
          <w:tab/>
        </w:r>
        <w:r w:rsidR="00870191">
          <w:rPr>
            <w:noProof/>
            <w:webHidden/>
          </w:rPr>
          <w:fldChar w:fldCharType="begin"/>
        </w:r>
        <w:r w:rsidR="004674B9">
          <w:rPr>
            <w:noProof/>
            <w:webHidden/>
          </w:rPr>
          <w:instrText xml:space="preserve"> PAGEREF _Toc432114503 \h </w:instrText>
        </w:r>
        <w:r w:rsidR="00870191">
          <w:rPr>
            <w:noProof/>
            <w:webHidden/>
          </w:rPr>
        </w:r>
        <w:r w:rsidR="00870191">
          <w:rPr>
            <w:noProof/>
            <w:webHidden/>
          </w:rPr>
          <w:fldChar w:fldCharType="separate"/>
        </w:r>
        <w:r w:rsidR="00216F5E">
          <w:rPr>
            <w:noProof/>
            <w:webHidden/>
          </w:rPr>
          <w:t>9</w:t>
        </w:r>
        <w:r w:rsidR="00870191">
          <w:rPr>
            <w:noProof/>
            <w:webHidden/>
          </w:rPr>
          <w:fldChar w:fldCharType="end"/>
        </w:r>
      </w:hyperlink>
    </w:p>
    <w:p w14:paraId="4C0C8B7D" w14:textId="77777777"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504" w:history="1">
        <w:r w:rsidR="004674B9" w:rsidRPr="001D12DA">
          <w:rPr>
            <w:rStyle w:val="Hyperlink"/>
            <w:rFonts w:cs="Calibri"/>
            <w:noProof/>
            <w:lang w:val="en-US" w:eastAsia="ja-JP"/>
          </w:rPr>
          <w:t>3.3</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Variable selection</w:t>
        </w:r>
        <w:r w:rsidR="004674B9">
          <w:rPr>
            <w:noProof/>
            <w:webHidden/>
          </w:rPr>
          <w:tab/>
        </w:r>
        <w:r w:rsidR="00870191">
          <w:rPr>
            <w:noProof/>
            <w:webHidden/>
          </w:rPr>
          <w:fldChar w:fldCharType="begin"/>
        </w:r>
        <w:r w:rsidR="004674B9">
          <w:rPr>
            <w:noProof/>
            <w:webHidden/>
          </w:rPr>
          <w:instrText xml:space="preserve"> PAGEREF _Toc432114504 \h </w:instrText>
        </w:r>
        <w:r w:rsidR="00870191">
          <w:rPr>
            <w:noProof/>
            <w:webHidden/>
          </w:rPr>
        </w:r>
        <w:r w:rsidR="00870191">
          <w:rPr>
            <w:noProof/>
            <w:webHidden/>
          </w:rPr>
          <w:fldChar w:fldCharType="separate"/>
        </w:r>
        <w:r w:rsidR="00216F5E">
          <w:rPr>
            <w:noProof/>
            <w:webHidden/>
          </w:rPr>
          <w:t>10</w:t>
        </w:r>
        <w:r w:rsidR="00870191">
          <w:rPr>
            <w:noProof/>
            <w:webHidden/>
          </w:rPr>
          <w:fldChar w:fldCharType="end"/>
        </w:r>
      </w:hyperlink>
    </w:p>
    <w:p w14:paraId="185015E6" w14:textId="6A032D34"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505" w:history="1">
        <w:r w:rsidR="004674B9" w:rsidRPr="001D12DA">
          <w:rPr>
            <w:rStyle w:val="Hyperlink"/>
            <w:rFonts w:cs="Calibri"/>
            <w:noProof/>
            <w:lang w:val="en-US" w:eastAsia="ja-JP"/>
          </w:rPr>
          <w:t>3.4</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Descriptives of the predictors</w:t>
        </w:r>
        <w:r w:rsidR="004674B9">
          <w:rPr>
            <w:noProof/>
            <w:webHidden/>
          </w:rPr>
          <w:tab/>
        </w:r>
        <w:r w:rsidR="00870191">
          <w:rPr>
            <w:noProof/>
            <w:webHidden/>
          </w:rPr>
          <w:fldChar w:fldCharType="begin"/>
        </w:r>
        <w:r w:rsidR="004674B9">
          <w:rPr>
            <w:noProof/>
            <w:webHidden/>
          </w:rPr>
          <w:instrText xml:space="preserve"> PAGEREF _Toc432114505 \h </w:instrText>
        </w:r>
        <w:r w:rsidR="00870191">
          <w:rPr>
            <w:noProof/>
            <w:webHidden/>
          </w:rPr>
        </w:r>
        <w:r w:rsidR="00870191">
          <w:rPr>
            <w:noProof/>
            <w:webHidden/>
          </w:rPr>
          <w:fldChar w:fldCharType="separate"/>
        </w:r>
        <w:r w:rsidR="00216F5E">
          <w:rPr>
            <w:noProof/>
            <w:webHidden/>
          </w:rPr>
          <w:t>13</w:t>
        </w:r>
        <w:r w:rsidR="00870191">
          <w:rPr>
            <w:noProof/>
            <w:webHidden/>
          </w:rPr>
          <w:fldChar w:fldCharType="end"/>
        </w:r>
      </w:hyperlink>
    </w:p>
    <w:p w14:paraId="5364EA13" w14:textId="16EA09B9"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506" w:history="1">
        <w:r w:rsidR="004674B9" w:rsidRPr="001D12DA">
          <w:rPr>
            <w:rStyle w:val="Hyperlink"/>
            <w:rFonts w:cs="Calibri"/>
            <w:noProof/>
            <w:lang w:val="en-US" w:eastAsia="ja-JP"/>
          </w:rPr>
          <w:t>3.5</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Final sample</w:t>
        </w:r>
        <w:r w:rsidR="004674B9">
          <w:rPr>
            <w:noProof/>
            <w:webHidden/>
          </w:rPr>
          <w:tab/>
        </w:r>
        <w:r w:rsidR="00870191">
          <w:rPr>
            <w:noProof/>
            <w:webHidden/>
          </w:rPr>
          <w:fldChar w:fldCharType="begin"/>
        </w:r>
        <w:r w:rsidR="004674B9">
          <w:rPr>
            <w:noProof/>
            <w:webHidden/>
          </w:rPr>
          <w:instrText xml:space="preserve"> PAGEREF _Toc432114506 \h </w:instrText>
        </w:r>
        <w:r w:rsidR="00870191">
          <w:rPr>
            <w:noProof/>
            <w:webHidden/>
          </w:rPr>
        </w:r>
        <w:r w:rsidR="00870191">
          <w:rPr>
            <w:noProof/>
            <w:webHidden/>
          </w:rPr>
          <w:fldChar w:fldCharType="separate"/>
        </w:r>
        <w:r w:rsidR="00216F5E">
          <w:rPr>
            <w:noProof/>
            <w:webHidden/>
          </w:rPr>
          <w:t>14</w:t>
        </w:r>
        <w:r w:rsidR="00870191">
          <w:rPr>
            <w:noProof/>
            <w:webHidden/>
          </w:rPr>
          <w:fldChar w:fldCharType="end"/>
        </w:r>
      </w:hyperlink>
    </w:p>
    <w:p w14:paraId="6174CCB7" w14:textId="2B83ABEA" w:rsidR="004674B9" w:rsidRDefault="00EC69BE">
      <w:pPr>
        <w:pStyle w:val="TOC1"/>
        <w:tabs>
          <w:tab w:val="left" w:pos="440"/>
          <w:tab w:val="right" w:leader="dot" w:pos="9062"/>
        </w:tabs>
        <w:rPr>
          <w:rFonts w:asciiTheme="minorHAnsi" w:eastAsiaTheme="minorEastAsia" w:hAnsiTheme="minorHAnsi" w:cstheme="minorBidi"/>
          <w:noProof/>
          <w:lang w:eastAsia="nl-NL"/>
        </w:rPr>
      </w:pPr>
      <w:hyperlink w:anchor="_Toc432114507" w:history="1">
        <w:r w:rsidR="004674B9" w:rsidRPr="001D12DA">
          <w:rPr>
            <w:rStyle w:val="Hyperlink"/>
            <w:noProof/>
            <w:lang w:val="en-US"/>
          </w:rPr>
          <w:t>4.</w:t>
        </w:r>
        <w:r w:rsidR="004674B9">
          <w:rPr>
            <w:rFonts w:asciiTheme="minorHAnsi" w:eastAsiaTheme="minorEastAsia" w:hAnsiTheme="minorHAnsi" w:cstheme="minorBidi"/>
            <w:noProof/>
            <w:lang w:eastAsia="nl-NL"/>
          </w:rPr>
          <w:tab/>
        </w:r>
        <w:r w:rsidR="004674B9" w:rsidRPr="001D12DA">
          <w:rPr>
            <w:rStyle w:val="Hyperlink"/>
            <w:noProof/>
            <w:lang w:val="en-US"/>
          </w:rPr>
          <w:t>OLS results</w:t>
        </w:r>
        <w:r w:rsidR="004674B9">
          <w:rPr>
            <w:noProof/>
            <w:webHidden/>
          </w:rPr>
          <w:tab/>
        </w:r>
        <w:r w:rsidR="00870191">
          <w:rPr>
            <w:noProof/>
            <w:webHidden/>
          </w:rPr>
          <w:fldChar w:fldCharType="begin"/>
        </w:r>
        <w:r w:rsidR="004674B9">
          <w:rPr>
            <w:noProof/>
            <w:webHidden/>
          </w:rPr>
          <w:instrText xml:space="preserve"> PAGEREF _Toc432114507 \h </w:instrText>
        </w:r>
        <w:r w:rsidR="00870191">
          <w:rPr>
            <w:noProof/>
            <w:webHidden/>
          </w:rPr>
        </w:r>
        <w:r w:rsidR="00870191">
          <w:rPr>
            <w:noProof/>
            <w:webHidden/>
          </w:rPr>
          <w:fldChar w:fldCharType="separate"/>
        </w:r>
        <w:r w:rsidR="00216F5E">
          <w:rPr>
            <w:noProof/>
            <w:webHidden/>
          </w:rPr>
          <w:t>15</w:t>
        </w:r>
        <w:r w:rsidR="00870191">
          <w:rPr>
            <w:noProof/>
            <w:webHidden/>
          </w:rPr>
          <w:fldChar w:fldCharType="end"/>
        </w:r>
      </w:hyperlink>
    </w:p>
    <w:p w14:paraId="58DE854F" w14:textId="75670234"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508" w:history="1">
        <w:r w:rsidR="004674B9" w:rsidRPr="001D12DA">
          <w:rPr>
            <w:rStyle w:val="Hyperlink"/>
            <w:rFonts w:cs="Calibri"/>
            <w:noProof/>
            <w:lang w:val="en-US" w:eastAsia="ja-JP"/>
          </w:rPr>
          <w:t>4.1</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OLS results basic model</w:t>
        </w:r>
        <w:r w:rsidR="004674B9">
          <w:rPr>
            <w:noProof/>
            <w:webHidden/>
          </w:rPr>
          <w:tab/>
        </w:r>
        <w:r w:rsidR="00870191">
          <w:rPr>
            <w:noProof/>
            <w:webHidden/>
          </w:rPr>
          <w:fldChar w:fldCharType="begin"/>
        </w:r>
        <w:r w:rsidR="004674B9">
          <w:rPr>
            <w:noProof/>
            <w:webHidden/>
          </w:rPr>
          <w:instrText xml:space="preserve"> PAGEREF _Toc432114508 \h </w:instrText>
        </w:r>
        <w:r w:rsidR="00870191">
          <w:rPr>
            <w:noProof/>
            <w:webHidden/>
          </w:rPr>
        </w:r>
        <w:r w:rsidR="00870191">
          <w:rPr>
            <w:noProof/>
            <w:webHidden/>
          </w:rPr>
          <w:fldChar w:fldCharType="separate"/>
        </w:r>
        <w:r w:rsidR="00216F5E">
          <w:rPr>
            <w:noProof/>
            <w:webHidden/>
          </w:rPr>
          <w:t>15</w:t>
        </w:r>
        <w:r w:rsidR="00870191">
          <w:rPr>
            <w:noProof/>
            <w:webHidden/>
          </w:rPr>
          <w:fldChar w:fldCharType="end"/>
        </w:r>
      </w:hyperlink>
    </w:p>
    <w:p w14:paraId="6BAD1910" w14:textId="0BCC68B3"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509" w:history="1">
        <w:r w:rsidR="004674B9" w:rsidRPr="001D12DA">
          <w:rPr>
            <w:rStyle w:val="Hyperlink"/>
            <w:rFonts w:cs="Calibri"/>
            <w:noProof/>
            <w:lang w:val="en-US" w:eastAsia="ja-JP"/>
          </w:rPr>
          <w:t>4.2</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OLS results extended model</w:t>
        </w:r>
        <w:r w:rsidR="004674B9">
          <w:rPr>
            <w:noProof/>
            <w:webHidden/>
          </w:rPr>
          <w:tab/>
        </w:r>
        <w:r w:rsidR="00870191">
          <w:rPr>
            <w:noProof/>
            <w:webHidden/>
          </w:rPr>
          <w:fldChar w:fldCharType="begin"/>
        </w:r>
        <w:r w:rsidR="004674B9">
          <w:rPr>
            <w:noProof/>
            <w:webHidden/>
          </w:rPr>
          <w:instrText xml:space="preserve"> PAGEREF _Toc432114509 \h </w:instrText>
        </w:r>
        <w:r w:rsidR="00870191">
          <w:rPr>
            <w:noProof/>
            <w:webHidden/>
          </w:rPr>
        </w:r>
        <w:r w:rsidR="00870191">
          <w:rPr>
            <w:noProof/>
            <w:webHidden/>
          </w:rPr>
          <w:fldChar w:fldCharType="separate"/>
        </w:r>
        <w:r w:rsidR="00216F5E">
          <w:rPr>
            <w:noProof/>
            <w:webHidden/>
          </w:rPr>
          <w:t>17</w:t>
        </w:r>
        <w:r w:rsidR="00870191">
          <w:rPr>
            <w:noProof/>
            <w:webHidden/>
          </w:rPr>
          <w:fldChar w:fldCharType="end"/>
        </w:r>
      </w:hyperlink>
    </w:p>
    <w:p w14:paraId="6AA77432" w14:textId="3BD94C68" w:rsidR="004674B9" w:rsidRDefault="00EC69BE">
      <w:pPr>
        <w:pStyle w:val="TOC1"/>
        <w:tabs>
          <w:tab w:val="left" w:pos="440"/>
          <w:tab w:val="right" w:leader="dot" w:pos="9062"/>
        </w:tabs>
        <w:rPr>
          <w:rFonts w:asciiTheme="minorHAnsi" w:eastAsiaTheme="minorEastAsia" w:hAnsiTheme="minorHAnsi" w:cstheme="minorBidi"/>
          <w:noProof/>
          <w:lang w:eastAsia="nl-NL"/>
        </w:rPr>
      </w:pPr>
      <w:hyperlink w:anchor="_Toc432114510" w:history="1">
        <w:r w:rsidR="004674B9" w:rsidRPr="001D12DA">
          <w:rPr>
            <w:rStyle w:val="Hyperlink"/>
            <w:noProof/>
          </w:rPr>
          <w:t>5.</w:t>
        </w:r>
        <w:r w:rsidR="004674B9">
          <w:rPr>
            <w:rFonts w:asciiTheme="minorHAnsi" w:eastAsiaTheme="minorEastAsia" w:hAnsiTheme="minorHAnsi" w:cstheme="minorBidi"/>
            <w:noProof/>
            <w:lang w:eastAsia="nl-NL"/>
          </w:rPr>
          <w:tab/>
        </w:r>
        <w:r w:rsidR="004674B9" w:rsidRPr="001D12DA">
          <w:rPr>
            <w:rStyle w:val="Hyperlink"/>
            <w:noProof/>
          </w:rPr>
          <w:t>OB Decomposition results</w:t>
        </w:r>
        <w:r w:rsidR="004674B9">
          <w:rPr>
            <w:noProof/>
            <w:webHidden/>
          </w:rPr>
          <w:tab/>
        </w:r>
        <w:r w:rsidR="00870191">
          <w:rPr>
            <w:noProof/>
            <w:webHidden/>
          </w:rPr>
          <w:fldChar w:fldCharType="begin"/>
        </w:r>
        <w:r w:rsidR="004674B9">
          <w:rPr>
            <w:noProof/>
            <w:webHidden/>
          </w:rPr>
          <w:instrText xml:space="preserve"> PAGEREF _Toc432114510 \h </w:instrText>
        </w:r>
        <w:r w:rsidR="00870191">
          <w:rPr>
            <w:noProof/>
            <w:webHidden/>
          </w:rPr>
        </w:r>
        <w:r w:rsidR="00870191">
          <w:rPr>
            <w:noProof/>
            <w:webHidden/>
          </w:rPr>
          <w:fldChar w:fldCharType="separate"/>
        </w:r>
        <w:r w:rsidR="00216F5E">
          <w:rPr>
            <w:noProof/>
            <w:webHidden/>
          </w:rPr>
          <w:t>19</w:t>
        </w:r>
        <w:r w:rsidR="00870191">
          <w:rPr>
            <w:noProof/>
            <w:webHidden/>
          </w:rPr>
          <w:fldChar w:fldCharType="end"/>
        </w:r>
      </w:hyperlink>
    </w:p>
    <w:p w14:paraId="352185E5" w14:textId="1A550029"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511" w:history="1">
        <w:r w:rsidR="004674B9" w:rsidRPr="001D12DA">
          <w:rPr>
            <w:rStyle w:val="Hyperlink"/>
            <w:rFonts w:cs="Calibri"/>
            <w:noProof/>
            <w:lang w:val="en-US" w:eastAsia="ja-JP"/>
          </w:rPr>
          <w:t>5.1</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OB decomposition of basic model</w:t>
        </w:r>
        <w:r w:rsidR="004674B9">
          <w:rPr>
            <w:noProof/>
            <w:webHidden/>
          </w:rPr>
          <w:tab/>
        </w:r>
        <w:r w:rsidR="00870191">
          <w:rPr>
            <w:noProof/>
            <w:webHidden/>
          </w:rPr>
          <w:fldChar w:fldCharType="begin"/>
        </w:r>
        <w:r w:rsidR="004674B9">
          <w:rPr>
            <w:noProof/>
            <w:webHidden/>
          </w:rPr>
          <w:instrText xml:space="preserve"> PAGEREF _Toc432114511 \h </w:instrText>
        </w:r>
        <w:r w:rsidR="00870191">
          <w:rPr>
            <w:noProof/>
            <w:webHidden/>
          </w:rPr>
        </w:r>
        <w:r w:rsidR="00870191">
          <w:rPr>
            <w:noProof/>
            <w:webHidden/>
          </w:rPr>
          <w:fldChar w:fldCharType="separate"/>
        </w:r>
        <w:r w:rsidR="00216F5E">
          <w:rPr>
            <w:noProof/>
            <w:webHidden/>
          </w:rPr>
          <w:t>19</w:t>
        </w:r>
        <w:r w:rsidR="00870191">
          <w:rPr>
            <w:noProof/>
            <w:webHidden/>
          </w:rPr>
          <w:fldChar w:fldCharType="end"/>
        </w:r>
      </w:hyperlink>
    </w:p>
    <w:p w14:paraId="621A72F6" w14:textId="49F3D838"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512" w:history="1">
        <w:r w:rsidR="004674B9" w:rsidRPr="001D12DA">
          <w:rPr>
            <w:rStyle w:val="Hyperlink"/>
            <w:rFonts w:cs="Calibri"/>
            <w:noProof/>
            <w:lang w:val="en-US" w:eastAsia="ja-JP"/>
          </w:rPr>
          <w:t>5.2</w:t>
        </w:r>
        <w:r w:rsidR="004674B9">
          <w:rPr>
            <w:rFonts w:asciiTheme="minorHAnsi" w:eastAsiaTheme="minorEastAsia" w:hAnsiTheme="minorHAnsi" w:cstheme="minorBidi"/>
            <w:noProof/>
            <w:lang w:eastAsia="nl-NL"/>
          </w:rPr>
          <w:tab/>
        </w:r>
        <w:r w:rsidR="004674B9" w:rsidRPr="001D12DA">
          <w:rPr>
            <w:rStyle w:val="Hyperlink"/>
            <w:noProof/>
            <w:lang w:val="en-US"/>
          </w:rPr>
          <w:t>OB decomposition results extended model</w:t>
        </w:r>
        <w:r w:rsidR="004674B9">
          <w:rPr>
            <w:noProof/>
            <w:webHidden/>
          </w:rPr>
          <w:tab/>
        </w:r>
        <w:r w:rsidR="00870191">
          <w:rPr>
            <w:noProof/>
            <w:webHidden/>
          </w:rPr>
          <w:fldChar w:fldCharType="begin"/>
        </w:r>
        <w:r w:rsidR="004674B9">
          <w:rPr>
            <w:noProof/>
            <w:webHidden/>
          </w:rPr>
          <w:instrText xml:space="preserve"> PAGEREF _Toc432114512 \h </w:instrText>
        </w:r>
        <w:r w:rsidR="00870191">
          <w:rPr>
            <w:noProof/>
            <w:webHidden/>
          </w:rPr>
        </w:r>
        <w:r w:rsidR="00870191">
          <w:rPr>
            <w:noProof/>
            <w:webHidden/>
          </w:rPr>
          <w:fldChar w:fldCharType="separate"/>
        </w:r>
        <w:r w:rsidR="00216F5E">
          <w:rPr>
            <w:noProof/>
            <w:webHidden/>
          </w:rPr>
          <w:t>26</w:t>
        </w:r>
        <w:r w:rsidR="00870191">
          <w:rPr>
            <w:noProof/>
            <w:webHidden/>
          </w:rPr>
          <w:fldChar w:fldCharType="end"/>
        </w:r>
      </w:hyperlink>
    </w:p>
    <w:p w14:paraId="2BB9403A" w14:textId="2ABAC672" w:rsidR="004674B9" w:rsidRDefault="00EC69BE">
      <w:pPr>
        <w:pStyle w:val="TOC1"/>
        <w:tabs>
          <w:tab w:val="left" w:pos="440"/>
          <w:tab w:val="right" w:leader="dot" w:pos="9062"/>
        </w:tabs>
        <w:rPr>
          <w:rFonts w:asciiTheme="minorHAnsi" w:eastAsiaTheme="minorEastAsia" w:hAnsiTheme="minorHAnsi" w:cstheme="minorBidi"/>
          <w:noProof/>
          <w:lang w:eastAsia="nl-NL"/>
        </w:rPr>
      </w:pPr>
      <w:hyperlink w:anchor="_Toc432114513" w:history="1">
        <w:r w:rsidR="004674B9" w:rsidRPr="001D12DA">
          <w:rPr>
            <w:rStyle w:val="Hyperlink"/>
            <w:noProof/>
          </w:rPr>
          <w:t>6.</w:t>
        </w:r>
        <w:r w:rsidR="004674B9">
          <w:rPr>
            <w:rFonts w:asciiTheme="minorHAnsi" w:eastAsiaTheme="minorEastAsia" w:hAnsiTheme="minorHAnsi" w:cstheme="minorBidi"/>
            <w:noProof/>
            <w:lang w:eastAsia="nl-NL"/>
          </w:rPr>
          <w:tab/>
        </w:r>
        <w:r w:rsidR="004674B9" w:rsidRPr="001D12DA">
          <w:rPr>
            <w:rStyle w:val="Hyperlink"/>
            <w:noProof/>
          </w:rPr>
          <w:t>The absolute Gini index</w:t>
        </w:r>
        <w:r w:rsidR="004674B9">
          <w:rPr>
            <w:noProof/>
            <w:webHidden/>
          </w:rPr>
          <w:tab/>
        </w:r>
        <w:r w:rsidR="00870191">
          <w:rPr>
            <w:noProof/>
            <w:webHidden/>
          </w:rPr>
          <w:fldChar w:fldCharType="begin"/>
        </w:r>
        <w:r w:rsidR="004674B9">
          <w:rPr>
            <w:noProof/>
            <w:webHidden/>
          </w:rPr>
          <w:instrText xml:space="preserve"> PAGEREF _Toc432114513 \h </w:instrText>
        </w:r>
        <w:r w:rsidR="00870191">
          <w:rPr>
            <w:noProof/>
            <w:webHidden/>
          </w:rPr>
        </w:r>
        <w:r w:rsidR="00870191">
          <w:rPr>
            <w:noProof/>
            <w:webHidden/>
          </w:rPr>
          <w:fldChar w:fldCharType="separate"/>
        </w:r>
        <w:r w:rsidR="00216F5E">
          <w:rPr>
            <w:noProof/>
            <w:webHidden/>
          </w:rPr>
          <w:t>31</w:t>
        </w:r>
        <w:r w:rsidR="00870191">
          <w:rPr>
            <w:noProof/>
            <w:webHidden/>
          </w:rPr>
          <w:fldChar w:fldCharType="end"/>
        </w:r>
      </w:hyperlink>
    </w:p>
    <w:p w14:paraId="7CE1CA62" w14:textId="5A5BBEAE"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514" w:history="1">
        <w:r w:rsidR="004674B9" w:rsidRPr="001D12DA">
          <w:rPr>
            <w:rStyle w:val="Hyperlink"/>
            <w:rFonts w:cs="Calibri"/>
            <w:noProof/>
            <w:lang w:val="en-US" w:eastAsia="ja-JP"/>
          </w:rPr>
          <w:t>6.1</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Decomposition of the AG with individual BMI</w:t>
        </w:r>
        <w:r w:rsidR="004674B9">
          <w:rPr>
            <w:noProof/>
            <w:webHidden/>
          </w:rPr>
          <w:tab/>
        </w:r>
        <w:r w:rsidR="00870191">
          <w:rPr>
            <w:noProof/>
            <w:webHidden/>
          </w:rPr>
          <w:fldChar w:fldCharType="begin"/>
        </w:r>
        <w:r w:rsidR="004674B9">
          <w:rPr>
            <w:noProof/>
            <w:webHidden/>
          </w:rPr>
          <w:instrText xml:space="preserve"> PAGEREF _Toc432114514 \h </w:instrText>
        </w:r>
        <w:r w:rsidR="00870191">
          <w:rPr>
            <w:noProof/>
            <w:webHidden/>
          </w:rPr>
        </w:r>
        <w:r w:rsidR="00870191">
          <w:rPr>
            <w:noProof/>
            <w:webHidden/>
          </w:rPr>
          <w:fldChar w:fldCharType="separate"/>
        </w:r>
        <w:r w:rsidR="00216F5E">
          <w:rPr>
            <w:noProof/>
            <w:webHidden/>
          </w:rPr>
          <w:t>31</w:t>
        </w:r>
        <w:r w:rsidR="00870191">
          <w:rPr>
            <w:noProof/>
            <w:webHidden/>
          </w:rPr>
          <w:fldChar w:fldCharType="end"/>
        </w:r>
      </w:hyperlink>
    </w:p>
    <w:p w14:paraId="7D1DFF38" w14:textId="0CAF0D0E" w:rsidR="004674B9" w:rsidRDefault="00EC69BE">
      <w:pPr>
        <w:pStyle w:val="TOC2"/>
        <w:tabs>
          <w:tab w:val="left" w:pos="880"/>
          <w:tab w:val="right" w:leader="dot" w:pos="9062"/>
        </w:tabs>
        <w:rPr>
          <w:rFonts w:asciiTheme="minorHAnsi" w:eastAsiaTheme="minorEastAsia" w:hAnsiTheme="minorHAnsi" w:cstheme="minorBidi"/>
          <w:noProof/>
          <w:lang w:eastAsia="nl-NL"/>
        </w:rPr>
      </w:pPr>
      <w:hyperlink w:anchor="_Toc432114515" w:history="1">
        <w:r w:rsidR="004674B9" w:rsidRPr="001D12DA">
          <w:rPr>
            <w:rStyle w:val="Hyperlink"/>
            <w:rFonts w:cs="Calibri"/>
            <w:noProof/>
            <w:lang w:val="en-US" w:eastAsia="ja-JP"/>
          </w:rPr>
          <w:t>6.2</w:t>
        </w:r>
        <w:r w:rsidR="004674B9">
          <w:rPr>
            <w:rFonts w:asciiTheme="minorHAnsi" w:eastAsiaTheme="minorEastAsia" w:hAnsiTheme="minorHAnsi" w:cstheme="minorBidi"/>
            <w:noProof/>
            <w:lang w:eastAsia="nl-NL"/>
          </w:rPr>
          <w:tab/>
        </w:r>
        <w:r w:rsidR="004674B9" w:rsidRPr="001D12DA">
          <w:rPr>
            <w:rStyle w:val="Hyperlink"/>
            <w:rFonts w:cs="Calibri"/>
            <w:noProof/>
            <w:lang w:val="en-US" w:eastAsia="ja-JP"/>
          </w:rPr>
          <w:t>Decomposition of the AG with BMI categories</w:t>
        </w:r>
        <w:r w:rsidR="004674B9">
          <w:rPr>
            <w:noProof/>
            <w:webHidden/>
          </w:rPr>
          <w:tab/>
        </w:r>
        <w:r w:rsidR="00870191">
          <w:rPr>
            <w:noProof/>
            <w:webHidden/>
          </w:rPr>
          <w:fldChar w:fldCharType="begin"/>
        </w:r>
        <w:r w:rsidR="004674B9">
          <w:rPr>
            <w:noProof/>
            <w:webHidden/>
          </w:rPr>
          <w:instrText xml:space="preserve"> PAGEREF _Toc432114515 \h </w:instrText>
        </w:r>
        <w:r w:rsidR="00870191">
          <w:rPr>
            <w:noProof/>
            <w:webHidden/>
          </w:rPr>
        </w:r>
        <w:r w:rsidR="00870191">
          <w:rPr>
            <w:noProof/>
            <w:webHidden/>
          </w:rPr>
          <w:fldChar w:fldCharType="separate"/>
        </w:r>
        <w:r w:rsidR="00216F5E">
          <w:rPr>
            <w:noProof/>
            <w:webHidden/>
          </w:rPr>
          <w:t>32</w:t>
        </w:r>
        <w:r w:rsidR="00870191">
          <w:rPr>
            <w:noProof/>
            <w:webHidden/>
          </w:rPr>
          <w:fldChar w:fldCharType="end"/>
        </w:r>
      </w:hyperlink>
    </w:p>
    <w:p w14:paraId="02D4FDA9" w14:textId="32947E85" w:rsidR="004674B9" w:rsidRDefault="00EC69BE">
      <w:pPr>
        <w:pStyle w:val="TOC1"/>
        <w:tabs>
          <w:tab w:val="left" w:pos="440"/>
          <w:tab w:val="right" w:leader="dot" w:pos="9062"/>
        </w:tabs>
        <w:rPr>
          <w:rFonts w:asciiTheme="minorHAnsi" w:eastAsiaTheme="minorEastAsia" w:hAnsiTheme="minorHAnsi" w:cstheme="minorBidi"/>
          <w:noProof/>
          <w:lang w:eastAsia="nl-NL"/>
        </w:rPr>
      </w:pPr>
      <w:hyperlink w:anchor="_Toc432114517" w:history="1">
        <w:r w:rsidR="004674B9" w:rsidRPr="001D12DA">
          <w:rPr>
            <w:rStyle w:val="Hyperlink"/>
            <w:noProof/>
          </w:rPr>
          <w:t>7.</w:t>
        </w:r>
        <w:r w:rsidR="004674B9">
          <w:rPr>
            <w:rFonts w:asciiTheme="minorHAnsi" w:eastAsiaTheme="minorEastAsia" w:hAnsiTheme="minorHAnsi" w:cstheme="minorBidi"/>
            <w:noProof/>
            <w:lang w:eastAsia="nl-NL"/>
          </w:rPr>
          <w:tab/>
        </w:r>
        <w:r w:rsidR="004674B9" w:rsidRPr="001D12DA">
          <w:rPr>
            <w:rStyle w:val="Hyperlink"/>
            <w:noProof/>
            <w:lang w:val="en-US"/>
          </w:rPr>
          <w:t>Discussion and conclusion</w:t>
        </w:r>
        <w:r w:rsidR="004674B9">
          <w:rPr>
            <w:noProof/>
            <w:webHidden/>
          </w:rPr>
          <w:tab/>
        </w:r>
        <w:r w:rsidR="00870191">
          <w:rPr>
            <w:noProof/>
            <w:webHidden/>
          </w:rPr>
          <w:fldChar w:fldCharType="begin"/>
        </w:r>
        <w:r w:rsidR="004674B9">
          <w:rPr>
            <w:noProof/>
            <w:webHidden/>
          </w:rPr>
          <w:instrText xml:space="preserve"> PAGEREF _Toc432114517 \h </w:instrText>
        </w:r>
        <w:r w:rsidR="00870191">
          <w:rPr>
            <w:noProof/>
            <w:webHidden/>
          </w:rPr>
        </w:r>
        <w:r w:rsidR="00870191">
          <w:rPr>
            <w:noProof/>
            <w:webHidden/>
          </w:rPr>
          <w:fldChar w:fldCharType="separate"/>
        </w:r>
        <w:r w:rsidR="00216F5E">
          <w:rPr>
            <w:noProof/>
            <w:webHidden/>
          </w:rPr>
          <w:t>33</w:t>
        </w:r>
        <w:r w:rsidR="00870191">
          <w:rPr>
            <w:noProof/>
            <w:webHidden/>
          </w:rPr>
          <w:fldChar w:fldCharType="end"/>
        </w:r>
      </w:hyperlink>
    </w:p>
    <w:p w14:paraId="4013E8AD" w14:textId="05C68325" w:rsidR="004674B9" w:rsidRDefault="00EC69BE">
      <w:pPr>
        <w:pStyle w:val="TOC1"/>
        <w:tabs>
          <w:tab w:val="left" w:pos="440"/>
          <w:tab w:val="right" w:leader="dot" w:pos="9062"/>
        </w:tabs>
        <w:rPr>
          <w:rFonts w:asciiTheme="minorHAnsi" w:eastAsiaTheme="minorEastAsia" w:hAnsiTheme="minorHAnsi" w:cstheme="minorBidi"/>
          <w:noProof/>
          <w:lang w:eastAsia="nl-NL"/>
        </w:rPr>
      </w:pPr>
      <w:hyperlink w:anchor="_Toc432114518" w:history="1">
        <w:r w:rsidR="004674B9" w:rsidRPr="001D12DA">
          <w:rPr>
            <w:rStyle w:val="Hyperlink"/>
            <w:noProof/>
          </w:rPr>
          <w:t>8.</w:t>
        </w:r>
        <w:r w:rsidR="004674B9">
          <w:rPr>
            <w:rFonts w:asciiTheme="minorHAnsi" w:eastAsiaTheme="minorEastAsia" w:hAnsiTheme="minorHAnsi" w:cstheme="minorBidi"/>
            <w:noProof/>
            <w:lang w:eastAsia="nl-NL"/>
          </w:rPr>
          <w:tab/>
        </w:r>
        <w:r w:rsidR="004674B9" w:rsidRPr="001D12DA">
          <w:rPr>
            <w:rStyle w:val="Hyperlink"/>
            <w:noProof/>
          </w:rPr>
          <w:t>References</w:t>
        </w:r>
        <w:r w:rsidR="004674B9">
          <w:rPr>
            <w:noProof/>
            <w:webHidden/>
          </w:rPr>
          <w:tab/>
        </w:r>
        <w:r w:rsidR="00870191">
          <w:rPr>
            <w:noProof/>
            <w:webHidden/>
          </w:rPr>
          <w:fldChar w:fldCharType="begin"/>
        </w:r>
        <w:r w:rsidR="004674B9">
          <w:rPr>
            <w:noProof/>
            <w:webHidden/>
          </w:rPr>
          <w:instrText xml:space="preserve"> PAGEREF _Toc432114518 \h </w:instrText>
        </w:r>
        <w:r w:rsidR="00870191">
          <w:rPr>
            <w:noProof/>
            <w:webHidden/>
          </w:rPr>
        </w:r>
        <w:r w:rsidR="00870191">
          <w:rPr>
            <w:noProof/>
            <w:webHidden/>
          </w:rPr>
          <w:fldChar w:fldCharType="separate"/>
        </w:r>
        <w:r w:rsidR="00216F5E">
          <w:rPr>
            <w:noProof/>
            <w:webHidden/>
          </w:rPr>
          <w:t>35</w:t>
        </w:r>
        <w:r w:rsidR="00870191">
          <w:rPr>
            <w:noProof/>
            <w:webHidden/>
          </w:rPr>
          <w:fldChar w:fldCharType="end"/>
        </w:r>
      </w:hyperlink>
    </w:p>
    <w:p w14:paraId="56D21C1A" w14:textId="2BA1D937" w:rsidR="004674B9" w:rsidRDefault="00EC69BE">
      <w:pPr>
        <w:pStyle w:val="TOC1"/>
        <w:tabs>
          <w:tab w:val="left" w:pos="440"/>
          <w:tab w:val="right" w:leader="dot" w:pos="9062"/>
        </w:tabs>
        <w:rPr>
          <w:rFonts w:asciiTheme="minorHAnsi" w:eastAsiaTheme="minorEastAsia" w:hAnsiTheme="minorHAnsi" w:cstheme="minorBidi"/>
          <w:noProof/>
          <w:lang w:eastAsia="nl-NL"/>
        </w:rPr>
      </w:pPr>
      <w:hyperlink w:anchor="_Toc432114519" w:history="1">
        <w:r w:rsidR="004674B9" w:rsidRPr="001D12DA">
          <w:rPr>
            <w:rStyle w:val="Hyperlink"/>
            <w:noProof/>
          </w:rPr>
          <w:t>9.</w:t>
        </w:r>
        <w:r w:rsidR="004674B9">
          <w:rPr>
            <w:rFonts w:asciiTheme="minorHAnsi" w:eastAsiaTheme="minorEastAsia" w:hAnsiTheme="minorHAnsi" w:cstheme="minorBidi"/>
            <w:noProof/>
            <w:lang w:eastAsia="nl-NL"/>
          </w:rPr>
          <w:tab/>
        </w:r>
        <w:r w:rsidR="004674B9" w:rsidRPr="001D12DA">
          <w:rPr>
            <w:rStyle w:val="Hyperlink"/>
            <w:noProof/>
          </w:rPr>
          <w:t>Appendix</w:t>
        </w:r>
        <w:r w:rsidR="004674B9">
          <w:rPr>
            <w:noProof/>
            <w:webHidden/>
          </w:rPr>
          <w:tab/>
        </w:r>
        <w:r w:rsidR="00870191">
          <w:rPr>
            <w:noProof/>
            <w:webHidden/>
          </w:rPr>
          <w:fldChar w:fldCharType="begin"/>
        </w:r>
        <w:r w:rsidR="004674B9">
          <w:rPr>
            <w:noProof/>
            <w:webHidden/>
          </w:rPr>
          <w:instrText xml:space="preserve"> PAGEREF _Toc432114519 \h </w:instrText>
        </w:r>
        <w:r w:rsidR="00870191">
          <w:rPr>
            <w:noProof/>
            <w:webHidden/>
          </w:rPr>
        </w:r>
        <w:r w:rsidR="00870191">
          <w:rPr>
            <w:noProof/>
            <w:webHidden/>
          </w:rPr>
          <w:fldChar w:fldCharType="separate"/>
        </w:r>
        <w:r w:rsidR="00216F5E">
          <w:rPr>
            <w:noProof/>
            <w:webHidden/>
          </w:rPr>
          <w:t>38</w:t>
        </w:r>
        <w:r w:rsidR="00870191">
          <w:rPr>
            <w:noProof/>
            <w:webHidden/>
          </w:rPr>
          <w:fldChar w:fldCharType="end"/>
        </w:r>
      </w:hyperlink>
    </w:p>
    <w:p w14:paraId="558CE776" w14:textId="77777777" w:rsidR="007639D8" w:rsidRDefault="00870191">
      <w:r>
        <w:rPr>
          <w:b/>
          <w:bCs/>
          <w:noProof/>
        </w:rPr>
        <w:fldChar w:fldCharType="end"/>
      </w:r>
    </w:p>
    <w:p w14:paraId="199887CA" w14:textId="77777777" w:rsidR="006D2DB3" w:rsidRDefault="006D2DB3" w:rsidP="0031293D">
      <w:pPr>
        <w:pStyle w:val="ListParagraph"/>
        <w:autoSpaceDE w:val="0"/>
        <w:autoSpaceDN w:val="0"/>
        <w:adjustRightInd w:val="0"/>
        <w:spacing w:after="0" w:line="360" w:lineRule="auto"/>
        <w:jc w:val="center"/>
        <w:rPr>
          <w:rFonts w:cs="AdvPED1282"/>
          <w:b/>
          <w:color w:val="000000"/>
          <w:lang w:val="en-US"/>
        </w:rPr>
      </w:pPr>
    </w:p>
    <w:p w14:paraId="0B9E15C5" w14:textId="77777777" w:rsidR="006D2DB3" w:rsidRDefault="006D2DB3" w:rsidP="0031293D">
      <w:pPr>
        <w:pStyle w:val="ListParagraph"/>
        <w:autoSpaceDE w:val="0"/>
        <w:autoSpaceDN w:val="0"/>
        <w:adjustRightInd w:val="0"/>
        <w:spacing w:after="0" w:line="360" w:lineRule="auto"/>
        <w:jc w:val="center"/>
        <w:rPr>
          <w:rFonts w:cs="AdvPED1282"/>
          <w:b/>
          <w:color w:val="000000"/>
          <w:lang w:val="en-US"/>
        </w:rPr>
      </w:pPr>
    </w:p>
    <w:p w14:paraId="4AB5E1AF" w14:textId="77777777" w:rsidR="006D2DB3" w:rsidRDefault="006D2DB3" w:rsidP="0031293D">
      <w:pPr>
        <w:pStyle w:val="ListParagraph"/>
        <w:autoSpaceDE w:val="0"/>
        <w:autoSpaceDN w:val="0"/>
        <w:adjustRightInd w:val="0"/>
        <w:spacing w:after="0" w:line="360" w:lineRule="auto"/>
        <w:jc w:val="center"/>
        <w:rPr>
          <w:rFonts w:cs="AdvPED1282"/>
          <w:b/>
          <w:color w:val="000000"/>
          <w:lang w:val="en-US"/>
        </w:rPr>
      </w:pPr>
    </w:p>
    <w:p w14:paraId="3E9FDC7A" w14:textId="77777777" w:rsidR="006D2DB3" w:rsidRDefault="006D2DB3" w:rsidP="0031293D">
      <w:pPr>
        <w:pStyle w:val="ListParagraph"/>
        <w:autoSpaceDE w:val="0"/>
        <w:autoSpaceDN w:val="0"/>
        <w:adjustRightInd w:val="0"/>
        <w:spacing w:after="0" w:line="360" w:lineRule="auto"/>
        <w:jc w:val="center"/>
        <w:rPr>
          <w:rFonts w:cs="AdvPED1282"/>
          <w:b/>
          <w:color w:val="000000"/>
          <w:lang w:val="en-US"/>
        </w:rPr>
      </w:pPr>
    </w:p>
    <w:p w14:paraId="15DA0F5C" w14:textId="77777777" w:rsidR="008F0DF0" w:rsidRDefault="008F0DF0" w:rsidP="0031293D">
      <w:pPr>
        <w:pStyle w:val="ListParagraph"/>
        <w:autoSpaceDE w:val="0"/>
        <w:autoSpaceDN w:val="0"/>
        <w:adjustRightInd w:val="0"/>
        <w:spacing w:after="0" w:line="360" w:lineRule="auto"/>
        <w:jc w:val="center"/>
        <w:rPr>
          <w:rFonts w:cs="AdvPED1282"/>
          <w:b/>
          <w:color w:val="000000"/>
          <w:lang w:val="en-US"/>
        </w:rPr>
      </w:pPr>
    </w:p>
    <w:p w14:paraId="698C0A7F" w14:textId="77777777" w:rsidR="008F0DF0" w:rsidRDefault="008F0DF0" w:rsidP="0031293D">
      <w:pPr>
        <w:pStyle w:val="ListParagraph"/>
        <w:autoSpaceDE w:val="0"/>
        <w:autoSpaceDN w:val="0"/>
        <w:adjustRightInd w:val="0"/>
        <w:spacing w:after="0" w:line="360" w:lineRule="auto"/>
        <w:jc w:val="center"/>
        <w:rPr>
          <w:rFonts w:cs="AdvPED1282"/>
          <w:b/>
          <w:color w:val="000000"/>
          <w:lang w:val="en-US"/>
        </w:rPr>
      </w:pPr>
    </w:p>
    <w:p w14:paraId="3C7B8E51" w14:textId="77777777" w:rsidR="005820B0" w:rsidRPr="0021493E" w:rsidRDefault="005820B0" w:rsidP="0021493E">
      <w:pPr>
        <w:autoSpaceDE w:val="0"/>
        <w:autoSpaceDN w:val="0"/>
        <w:adjustRightInd w:val="0"/>
        <w:spacing w:after="0" w:line="360" w:lineRule="auto"/>
        <w:rPr>
          <w:rFonts w:ascii="AdvPED1282" w:hAnsi="AdvPED1282" w:cs="AdvPED1282"/>
          <w:color w:val="000000"/>
          <w:lang w:val="en-US"/>
        </w:rPr>
      </w:pPr>
    </w:p>
    <w:p w14:paraId="6B0F8DA5" w14:textId="77777777" w:rsidR="00C90CD8" w:rsidRPr="009F3306" w:rsidRDefault="00A31732" w:rsidP="00994430">
      <w:pPr>
        <w:pStyle w:val="Heading1"/>
        <w:rPr>
          <w:rFonts w:ascii="Calibri" w:hAnsi="Calibri" w:cs="Calibri"/>
        </w:rPr>
      </w:pPr>
      <w:bookmarkStart w:id="3" w:name="_Toc432114495"/>
      <w:r w:rsidRPr="009F3306">
        <w:rPr>
          <w:rFonts w:ascii="Calibri" w:hAnsi="Calibri" w:cs="Calibri"/>
        </w:rPr>
        <w:lastRenderedPageBreak/>
        <w:t>Introduction</w:t>
      </w:r>
      <w:bookmarkEnd w:id="3"/>
    </w:p>
    <w:p w14:paraId="4EB9D313" w14:textId="77777777" w:rsidR="004573A4" w:rsidRPr="004573A4" w:rsidRDefault="004573A4" w:rsidP="004573A4">
      <w:pPr>
        <w:rPr>
          <w:lang w:eastAsia="ja-JP"/>
        </w:rPr>
      </w:pPr>
    </w:p>
    <w:p w14:paraId="49E35B8A" w14:textId="77777777" w:rsidR="00EB185F" w:rsidRDefault="00EB185F" w:rsidP="004D1DB1">
      <w:pPr>
        <w:spacing w:line="360" w:lineRule="auto"/>
        <w:ind w:firstLine="360"/>
        <w:jc w:val="both"/>
        <w:rPr>
          <w:rFonts w:cs="AdvPED1282"/>
          <w:color w:val="000000"/>
          <w:lang w:val="en-US"/>
        </w:rPr>
      </w:pPr>
      <w:r>
        <w:rPr>
          <w:rFonts w:cs="AdvPED1282"/>
          <w:color w:val="000000"/>
          <w:lang w:val="en-US"/>
        </w:rPr>
        <w:t>Worldwide</w:t>
      </w:r>
      <w:r w:rsidR="000D6920" w:rsidRPr="0031293D">
        <w:rPr>
          <w:rFonts w:cs="AdvPED1282"/>
          <w:color w:val="000000"/>
          <w:lang w:val="en-US"/>
        </w:rPr>
        <w:t xml:space="preserve"> at least 2.8 million people die each year as a result of being overweight or obese and an estimated 35.8 million (2.3%) of global DALY</w:t>
      </w:r>
      <w:r w:rsidR="004933E5">
        <w:rPr>
          <w:rFonts w:cs="AdvPED1282"/>
          <w:color w:val="000000"/>
          <w:lang w:val="en-US"/>
        </w:rPr>
        <w:t>’</w:t>
      </w:r>
      <w:r w:rsidR="000D6920" w:rsidRPr="0031293D">
        <w:rPr>
          <w:rFonts w:cs="AdvPED1282"/>
          <w:color w:val="000000"/>
          <w:lang w:val="en-US"/>
        </w:rPr>
        <w:t xml:space="preserve">s are caused by overweight or obesity. </w:t>
      </w:r>
      <w:r w:rsidR="00BA302D">
        <w:rPr>
          <w:rFonts w:cs="AdvPED1282"/>
          <w:color w:val="000000"/>
          <w:lang w:val="en-US"/>
        </w:rPr>
        <w:t>Obesity is a complex medical disease and prevails among people of all ages, genders and socio-economic groups. In the past few decades obesity was assumed to be a problem of</w:t>
      </w:r>
      <w:r w:rsidR="00BA302D" w:rsidRPr="00BA302D">
        <w:rPr>
          <w:rFonts w:cs="AdvPED1282"/>
          <w:color w:val="000000"/>
          <w:lang w:val="en-US"/>
        </w:rPr>
        <w:t xml:space="preserve"> </w:t>
      </w:r>
      <w:r w:rsidR="00BA302D">
        <w:rPr>
          <w:rFonts w:cs="AdvPED1282"/>
          <w:color w:val="000000"/>
          <w:lang w:val="en-US"/>
        </w:rPr>
        <w:t xml:space="preserve">developed </w:t>
      </w:r>
      <w:r w:rsidR="00BA302D" w:rsidRPr="00BA302D">
        <w:rPr>
          <w:rFonts w:cs="AdvPED1282"/>
          <w:color w:val="000000"/>
          <w:lang w:val="en-US"/>
        </w:rPr>
        <w:t>countries</w:t>
      </w:r>
      <w:r w:rsidR="00BA302D">
        <w:rPr>
          <w:rFonts w:cs="AdvPED1282"/>
          <w:color w:val="000000"/>
          <w:lang w:val="en-US"/>
        </w:rPr>
        <w:t xml:space="preserve">. However, the average rise in BMI is now also offset in middle- and low-income countries, particularly in urban areas </w:t>
      </w:r>
      <w:r w:rsidR="00BA302D" w:rsidRPr="00BA302D">
        <w:rPr>
          <w:rFonts w:cs="AdvPED1282"/>
          <w:noProof/>
          <w:color w:val="000000"/>
          <w:lang w:val="en-US"/>
        </w:rPr>
        <w:t>(WHO</w:t>
      </w:r>
      <w:r w:rsidR="00BA302D" w:rsidRPr="009F3306">
        <w:rPr>
          <w:rFonts w:cs="AdvPED1282"/>
          <w:noProof/>
          <w:color w:val="000000"/>
          <w:lang w:val="en-US"/>
        </w:rPr>
        <w:t>, 2015)</w:t>
      </w:r>
      <w:r w:rsidR="00BA302D">
        <w:rPr>
          <w:rFonts w:cs="AdvPED1282"/>
          <w:color w:val="000000"/>
          <w:lang w:val="en-US"/>
        </w:rPr>
        <w:t xml:space="preserve">. </w:t>
      </w:r>
      <w:r w:rsidR="000D6920" w:rsidRPr="0031293D">
        <w:rPr>
          <w:rFonts w:cs="AdvPED1282"/>
          <w:color w:val="000000"/>
          <w:lang w:val="en-US"/>
        </w:rPr>
        <w:t xml:space="preserve">Overweight and obesity lead to </w:t>
      </w:r>
      <w:r w:rsidR="002A1A2D">
        <w:rPr>
          <w:rFonts w:cs="AdvPED1282"/>
          <w:color w:val="000000"/>
          <w:lang w:val="en-US"/>
        </w:rPr>
        <w:t xml:space="preserve">unhealthy effects </w:t>
      </w:r>
      <w:r w:rsidR="000D6920" w:rsidRPr="0031293D">
        <w:rPr>
          <w:rFonts w:cs="AdvPED1282"/>
          <w:color w:val="000000"/>
          <w:lang w:val="en-US"/>
        </w:rPr>
        <w:t xml:space="preserve">on blood pressure, cholesterol, triglycerides and insulin resistance. </w:t>
      </w:r>
      <w:r w:rsidR="0098069D">
        <w:rPr>
          <w:rFonts w:cs="AdvPED1282"/>
          <w:color w:val="000000"/>
          <w:lang w:val="en-US"/>
        </w:rPr>
        <w:t>F</w:t>
      </w:r>
      <w:r w:rsidR="000D6920" w:rsidRPr="0031293D">
        <w:rPr>
          <w:rFonts w:cs="AdvPED1282"/>
          <w:color w:val="000000"/>
          <w:lang w:val="en-US"/>
        </w:rPr>
        <w:t xml:space="preserve">or </w:t>
      </w:r>
      <w:r w:rsidR="0098069D">
        <w:rPr>
          <w:rFonts w:cs="AdvPED1282"/>
          <w:color w:val="000000"/>
          <w:lang w:val="en-US"/>
        </w:rPr>
        <w:t>very high</w:t>
      </w:r>
      <w:r w:rsidR="0098069D" w:rsidRPr="0031293D">
        <w:rPr>
          <w:rFonts w:cs="AdvPED1282"/>
          <w:color w:val="000000"/>
          <w:lang w:val="en-US"/>
        </w:rPr>
        <w:t xml:space="preserve"> </w:t>
      </w:r>
      <w:r w:rsidR="000D6920" w:rsidRPr="0031293D">
        <w:rPr>
          <w:rFonts w:cs="AdvPED1282"/>
          <w:color w:val="000000"/>
          <w:lang w:val="en-US"/>
        </w:rPr>
        <w:t>levels of BMI there is an increased risk of coronary heart disease, ischemic stroke</w:t>
      </w:r>
      <w:r w:rsidR="0098069D">
        <w:rPr>
          <w:rFonts w:cs="AdvPED1282"/>
          <w:color w:val="000000"/>
          <w:lang w:val="en-US"/>
        </w:rPr>
        <w:t xml:space="preserve">, </w:t>
      </w:r>
      <w:r w:rsidR="000D6920" w:rsidRPr="0031293D">
        <w:rPr>
          <w:rFonts w:cs="AdvPED1282"/>
          <w:color w:val="000000"/>
          <w:lang w:val="en-US"/>
        </w:rPr>
        <w:t xml:space="preserve">type 2 diabetes and </w:t>
      </w:r>
      <w:r w:rsidR="004933E5">
        <w:rPr>
          <w:rFonts w:cs="AdvPED1282"/>
          <w:color w:val="000000"/>
          <w:lang w:val="en-US"/>
        </w:rPr>
        <w:t>different forms of cancer.</w:t>
      </w:r>
    </w:p>
    <w:p w14:paraId="323B9C98" w14:textId="77777777" w:rsidR="002A1A2D" w:rsidRPr="00EB185F" w:rsidRDefault="002A1A2D" w:rsidP="004D1DB1">
      <w:pPr>
        <w:spacing w:line="360" w:lineRule="auto"/>
        <w:ind w:firstLine="360"/>
        <w:jc w:val="both"/>
        <w:rPr>
          <w:rFonts w:cs="AdvPED1282"/>
          <w:color w:val="000000"/>
          <w:lang w:val="en-US"/>
        </w:rPr>
      </w:pPr>
      <w:r w:rsidRPr="0031293D">
        <w:rPr>
          <w:rFonts w:cs="AdvPED1282"/>
          <w:color w:val="000000"/>
          <w:lang w:val="en-US"/>
        </w:rPr>
        <w:t xml:space="preserve">The Body Mass Index (BMI) is a generally accepted measure </w:t>
      </w:r>
      <w:r w:rsidR="0098069D">
        <w:rPr>
          <w:rFonts w:cs="AdvPED1282"/>
          <w:color w:val="000000"/>
          <w:lang w:val="en-US"/>
        </w:rPr>
        <w:t xml:space="preserve">used to classify </w:t>
      </w:r>
      <w:r w:rsidRPr="0031293D">
        <w:rPr>
          <w:rFonts w:cs="AdvPED1282"/>
          <w:color w:val="000000"/>
          <w:lang w:val="en-US"/>
        </w:rPr>
        <w:t>a person’s body fat</w:t>
      </w:r>
      <w:r w:rsidR="0098069D">
        <w:rPr>
          <w:rFonts w:cs="AdvPED1282"/>
          <w:color w:val="000000"/>
          <w:lang w:val="en-US"/>
        </w:rPr>
        <w:t>. It is a simple weigh</w:t>
      </w:r>
      <w:r w:rsidRPr="0031293D">
        <w:rPr>
          <w:rFonts w:cs="AdvPED1282"/>
          <w:color w:val="000000"/>
          <w:lang w:val="en-US"/>
        </w:rPr>
        <w:t>t</w:t>
      </w:r>
      <w:r w:rsidR="0098069D">
        <w:rPr>
          <w:rFonts w:cs="AdvPED1282"/>
          <w:color w:val="000000"/>
          <w:lang w:val="en-US"/>
        </w:rPr>
        <w:t xml:space="preserve">-for-height </w:t>
      </w:r>
      <w:r w:rsidR="0098069D">
        <w:rPr>
          <w:rFonts w:cs="AdvPED1282"/>
          <w:color w:val="000000"/>
          <w:lang w:val="en-US"/>
        </w:rPr>
        <w:lastRenderedPageBreak/>
        <w:t xml:space="preserve">index, calculated by </w:t>
      </w:r>
      <w:r w:rsidR="0098069D" w:rsidRPr="0098069D">
        <w:rPr>
          <w:rFonts w:cs="AdvPED1282"/>
          <w:color w:val="000000"/>
          <w:lang w:val="en-US"/>
        </w:rPr>
        <w:t>the weight in kilograms divided by the square of the height in meters</w:t>
      </w:r>
      <w:r w:rsidRPr="0031293D">
        <w:rPr>
          <w:rFonts w:cs="AdvPED1282"/>
          <w:color w:val="000000"/>
          <w:lang w:val="en-US"/>
        </w:rPr>
        <w:t xml:space="preserve">. One can speak of a healthy BMI when it is between 19 and 25. Below 19 means underweight and above 25 means overweight, implying increased risk of co-morbidities. Having a BMI above 30 </w:t>
      </w:r>
      <w:r w:rsidR="0098069D">
        <w:rPr>
          <w:rFonts w:cs="AdvPED1282"/>
          <w:color w:val="000000"/>
          <w:lang w:val="en-US"/>
        </w:rPr>
        <w:t>is classified</w:t>
      </w:r>
      <w:r w:rsidRPr="0031293D">
        <w:rPr>
          <w:rFonts w:cs="AdvPED1282"/>
          <w:color w:val="000000"/>
          <w:lang w:val="en-US"/>
        </w:rPr>
        <w:t xml:space="preserve"> as obese, indicating a moderate to a</w:t>
      </w:r>
      <w:r w:rsidR="00144E85">
        <w:rPr>
          <w:rFonts w:cs="AdvPED1282"/>
          <w:color w:val="000000"/>
          <w:lang w:val="en-US"/>
        </w:rPr>
        <w:t xml:space="preserve"> severe risk of co-morbidities. </w:t>
      </w:r>
      <w:r w:rsidR="00144E85" w:rsidRPr="00144E85">
        <w:rPr>
          <w:rFonts w:cs="AdvPED1282"/>
          <w:noProof/>
          <w:color w:val="000000"/>
          <w:lang w:val="en-US"/>
        </w:rPr>
        <w:t xml:space="preserve">BMI </w:t>
      </w:r>
      <w:r w:rsidR="00144E85">
        <w:rPr>
          <w:rFonts w:cs="AdvPED1282"/>
          <w:noProof/>
          <w:color w:val="000000"/>
          <w:lang w:val="en-US"/>
        </w:rPr>
        <w:t>levels have been rising steadily for the past three decades</w:t>
      </w:r>
      <w:r w:rsidR="0098069D">
        <w:rPr>
          <w:rFonts w:cs="AdvPED1282"/>
          <w:noProof/>
          <w:color w:val="000000"/>
          <w:lang w:val="en-US"/>
        </w:rPr>
        <w:t>,</w:t>
      </w:r>
      <w:r w:rsidR="00144E85">
        <w:rPr>
          <w:rFonts w:cs="AdvPED1282"/>
          <w:noProof/>
          <w:color w:val="000000"/>
          <w:lang w:val="en-US"/>
        </w:rPr>
        <w:t xml:space="preserve"> with</w:t>
      </w:r>
      <w:r w:rsidR="00144E85" w:rsidRPr="00144E85">
        <w:rPr>
          <w:rFonts w:cs="AdvPED1282"/>
          <w:noProof/>
          <w:color w:val="000000"/>
          <w:lang w:val="en-US"/>
        </w:rPr>
        <w:t xml:space="preserve"> 39% of </w:t>
      </w:r>
      <w:r w:rsidR="00144E85">
        <w:rPr>
          <w:rFonts w:cs="AdvPED1282"/>
          <w:noProof/>
          <w:color w:val="000000"/>
          <w:lang w:val="en-US"/>
        </w:rPr>
        <w:t xml:space="preserve">the </w:t>
      </w:r>
      <w:r w:rsidR="00144E85" w:rsidRPr="00144E85">
        <w:rPr>
          <w:rFonts w:cs="AdvPED1282"/>
          <w:noProof/>
          <w:color w:val="000000"/>
          <w:lang w:val="en-US"/>
        </w:rPr>
        <w:t xml:space="preserve">adults </w:t>
      </w:r>
      <w:r w:rsidR="00144E85">
        <w:rPr>
          <w:rFonts w:cs="AdvPED1282"/>
          <w:noProof/>
          <w:color w:val="000000"/>
          <w:lang w:val="en-US"/>
        </w:rPr>
        <w:t>being overweight in 2014 and an obesity prevalence of 13%</w:t>
      </w:r>
      <w:r w:rsidR="007945F7">
        <w:rPr>
          <w:rFonts w:cs="AdvPED1282"/>
          <w:noProof/>
          <w:color w:val="000000"/>
          <w:lang w:val="en-US"/>
        </w:rPr>
        <w:t xml:space="preserve"> worldwide</w:t>
      </w:r>
      <w:r w:rsidR="00144E85">
        <w:rPr>
          <w:rFonts w:cs="AdvPED1282"/>
          <w:noProof/>
          <w:color w:val="000000"/>
          <w:lang w:val="en-US"/>
        </w:rPr>
        <w:t xml:space="preserve">. </w:t>
      </w:r>
      <w:r w:rsidR="00144E85" w:rsidRPr="00144E85">
        <w:rPr>
          <w:rFonts w:cs="AdvPED1282"/>
          <w:noProof/>
          <w:color w:val="000000"/>
          <w:lang w:val="en-US"/>
        </w:rPr>
        <w:t>(</w:t>
      </w:r>
      <w:r w:rsidR="00BA302D">
        <w:rPr>
          <w:rFonts w:cs="AdvPED1282"/>
          <w:noProof/>
          <w:color w:val="000000"/>
          <w:lang w:val="en-US"/>
        </w:rPr>
        <w:t>WHO</w:t>
      </w:r>
      <w:r w:rsidR="00144E85" w:rsidRPr="00144E85">
        <w:rPr>
          <w:rFonts w:cs="AdvPED1282"/>
          <w:noProof/>
          <w:color w:val="000000"/>
          <w:lang w:val="en-US"/>
        </w:rPr>
        <w:t>, 2015)</w:t>
      </w:r>
      <w:r w:rsidR="00144E85">
        <w:rPr>
          <w:rFonts w:cs="AdvPED1282"/>
          <w:noProof/>
          <w:color w:val="000000"/>
          <w:lang w:val="en-US"/>
        </w:rPr>
        <w:t>.</w:t>
      </w:r>
      <w:r w:rsidR="006261E3">
        <w:rPr>
          <w:rStyle w:val="FootnoteReference"/>
          <w:rFonts w:cs="AdvPED1282"/>
          <w:noProof/>
          <w:color w:val="000000"/>
          <w:lang w:val="en-US"/>
        </w:rPr>
        <w:footnoteReference w:id="1"/>
      </w:r>
    </w:p>
    <w:p w14:paraId="33F3366E" w14:textId="77777777" w:rsidR="000D617F" w:rsidRDefault="0098069D" w:rsidP="004D1DB1">
      <w:pPr>
        <w:spacing w:line="360" w:lineRule="auto"/>
        <w:ind w:firstLine="360"/>
        <w:jc w:val="both"/>
        <w:rPr>
          <w:rFonts w:cs="AdvPED1282"/>
          <w:color w:val="000000"/>
          <w:lang w:val="en-US"/>
        </w:rPr>
      </w:pPr>
      <w:r>
        <w:rPr>
          <w:rFonts w:cs="AdvPED1282"/>
          <w:color w:val="000000"/>
          <w:lang w:val="en-US"/>
        </w:rPr>
        <w:t>Given the continuous</w:t>
      </w:r>
      <w:r w:rsidR="004933E5">
        <w:rPr>
          <w:rFonts w:cs="AdvPED1282"/>
          <w:color w:val="000000"/>
          <w:lang w:val="en-US"/>
        </w:rPr>
        <w:t xml:space="preserve"> rise in BMI there</w:t>
      </w:r>
      <w:r w:rsidR="0067010C">
        <w:rPr>
          <w:rFonts w:cs="AdvPED1282"/>
          <w:color w:val="000000"/>
          <w:lang w:val="en-US"/>
        </w:rPr>
        <w:t xml:space="preserve"> </w:t>
      </w:r>
      <w:r>
        <w:rPr>
          <w:rFonts w:cs="AdvPED1282"/>
          <w:color w:val="000000"/>
          <w:lang w:val="en-US"/>
        </w:rPr>
        <w:t>has been a</w:t>
      </w:r>
      <w:r w:rsidR="00AA4A53">
        <w:rPr>
          <w:rFonts w:cs="AdvPED1282"/>
          <w:color w:val="000000"/>
          <w:lang w:val="en-US"/>
        </w:rPr>
        <w:t xml:space="preserve"> growing interest for the effects of BMI</w:t>
      </w:r>
      <w:r w:rsidR="00A0421E">
        <w:rPr>
          <w:rFonts w:cs="AdvPED1282"/>
          <w:color w:val="000000"/>
          <w:lang w:val="en-US"/>
        </w:rPr>
        <w:t xml:space="preserve"> and obesity</w:t>
      </w:r>
      <w:r w:rsidR="00AA4A53">
        <w:rPr>
          <w:rFonts w:cs="AdvPED1282"/>
          <w:color w:val="000000"/>
          <w:lang w:val="en-US"/>
        </w:rPr>
        <w:t xml:space="preserve"> on </w:t>
      </w:r>
      <w:r w:rsidR="0067010C">
        <w:rPr>
          <w:rFonts w:cs="AdvPED1282"/>
          <w:color w:val="000000"/>
          <w:lang w:val="en-US"/>
        </w:rPr>
        <w:t>(</w:t>
      </w:r>
      <w:r w:rsidR="00AA4A53">
        <w:rPr>
          <w:rFonts w:cs="AdvPED1282"/>
          <w:color w:val="000000"/>
          <w:lang w:val="en-US"/>
        </w:rPr>
        <w:t>public</w:t>
      </w:r>
      <w:r w:rsidR="0067010C">
        <w:rPr>
          <w:rFonts w:cs="AdvPED1282"/>
          <w:color w:val="000000"/>
          <w:lang w:val="en-US"/>
        </w:rPr>
        <w:t xml:space="preserve">) </w:t>
      </w:r>
      <w:r w:rsidR="00AA4A53">
        <w:rPr>
          <w:rFonts w:cs="AdvPED1282"/>
          <w:color w:val="000000"/>
          <w:lang w:val="en-US"/>
        </w:rPr>
        <w:t>health</w:t>
      </w:r>
      <w:r>
        <w:rPr>
          <w:rFonts w:cs="AdvPED1282"/>
          <w:color w:val="000000"/>
          <w:lang w:val="en-US"/>
        </w:rPr>
        <w:t>,</w:t>
      </w:r>
      <w:r w:rsidR="00A0421E" w:rsidRPr="00A0421E">
        <w:rPr>
          <w:rFonts w:cs="AdvPED1282"/>
          <w:color w:val="000000"/>
          <w:lang w:val="en-US"/>
        </w:rPr>
        <w:t xml:space="preserve"> </w:t>
      </w:r>
      <w:r w:rsidR="00A0421E">
        <w:rPr>
          <w:rFonts w:cs="AdvPED1282"/>
          <w:color w:val="000000"/>
          <w:lang w:val="en-US"/>
        </w:rPr>
        <w:t>and BMI has received increased attention in the health economic literature</w:t>
      </w:r>
      <w:r w:rsidR="00AA4A53">
        <w:rPr>
          <w:rFonts w:cs="AdvPED1282"/>
          <w:color w:val="000000"/>
          <w:lang w:val="en-US"/>
        </w:rPr>
        <w:t>.</w:t>
      </w:r>
      <w:r w:rsidR="00A0421E">
        <w:rPr>
          <w:rFonts w:cs="AdvPED1282"/>
          <w:color w:val="000000"/>
          <w:lang w:val="en-US"/>
        </w:rPr>
        <w:t xml:space="preserve"> </w:t>
      </w:r>
      <w:r w:rsidR="00D0413C">
        <w:rPr>
          <w:rFonts w:cs="AdvPED1282"/>
          <w:color w:val="000000"/>
          <w:lang w:val="en-US"/>
        </w:rPr>
        <w:t>Much of the economic literature has focused</w:t>
      </w:r>
      <w:r w:rsidR="000D6920" w:rsidRPr="0031293D">
        <w:rPr>
          <w:rFonts w:cs="AdvPED1282"/>
          <w:color w:val="000000"/>
          <w:lang w:val="en-US"/>
        </w:rPr>
        <w:t xml:space="preserve"> on the determinants of BMI, for an</w:t>
      </w:r>
      <w:r w:rsidR="00266A69">
        <w:rPr>
          <w:rFonts w:cs="AdvPED1282"/>
          <w:color w:val="000000"/>
          <w:lang w:val="en-US"/>
        </w:rPr>
        <w:t xml:space="preserve"> extensive</w:t>
      </w:r>
      <w:r w:rsidR="00BD6ECB">
        <w:rPr>
          <w:rFonts w:cs="AdvPED1282"/>
          <w:color w:val="000000"/>
          <w:lang w:val="en-US"/>
        </w:rPr>
        <w:t xml:space="preserve"> </w:t>
      </w:r>
      <w:r w:rsidR="000D6920" w:rsidRPr="0031293D">
        <w:rPr>
          <w:rFonts w:cs="AdvPED1282"/>
          <w:color w:val="000000"/>
          <w:lang w:val="en-US"/>
        </w:rPr>
        <w:t>overview see</w:t>
      </w:r>
      <w:r w:rsidR="00BD6ECB">
        <w:rPr>
          <w:rFonts w:cs="AdvPED1282"/>
          <w:color w:val="000000"/>
          <w:lang w:val="en-US"/>
        </w:rPr>
        <w:t xml:space="preserve"> </w:t>
      </w:r>
      <w:r>
        <w:rPr>
          <w:rFonts w:cs="AdvPED1282"/>
          <w:noProof/>
          <w:color w:val="000000"/>
          <w:lang w:val="en-US"/>
        </w:rPr>
        <w:t>Cawley</w:t>
      </w:r>
      <w:r w:rsidRPr="00BD6ECB">
        <w:rPr>
          <w:rFonts w:cs="AdvPED1282"/>
          <w:noProof/>
          <w:color w:val="000000"/>
          <w:lang w:val="en-US"/>
        </w:rPr>
        <w:t xml:space="preserve"> </w:t>
      </w:r>
      <w:r>
        <w:rPr>
          <w:rFonts w:cs="AdvPED1282"/>
          <w:noProof/>
          <w:color w:val="000000"/>
          <w:lang w:val="en-US"/>
        </w:rPr>
        <w:t>(</w:t>
      </w:r>
      <w:r w:rsidRPr="00BD6ECB">
        <w:rPr>
          <w:rFonts w:cs="AdvPED1282"/>
          <w:noProof/>
          <w:color w:val="000000"/>
          <w:lang w:val="en-US"/>
        </w:rPr>
        <w:t>2011)</w:t>
      </w:r>
      <w:r w:rsidR="00BD6ECB">
        <w:rPr>
          <w:rFonts w:cs="AdvPED1282"/>
          <w:color w:val="000000"/>
          <w:lang w:val="en-US"/>
        </w:rPr>
        <w:t xml:space="preserve">. </w:t>
      </w:r>
      <w:r w:rsidR="006160FB">
        <w:rPr>
          <w:rFonts w:cs="AdvPED1282"/>
          <w:color w:val="000000"/>
          <w:lang w:val="en-US"/>
        </w:rPr>
        <w:t xml:space="preserve">The increase </w:t>
      </w:r>
      <w:r w:rsidR="006160FB">
        <w:rPr>
          <w:rFonts w:cs="AdvPED1282"/>
          <w:color w:val="000000"/>
          <w:lang w:val="en-US"/>
        </w:rPr>
        <w:lastRenderedPageBreak/>
        <w:t>in obesity is primarily the result of consuming more calories</w:t>
      </w:r>
      <w:r w:rsidR="006160FB">
        <w:rPr>
          <w:rFonts w:cs="AdvPED1282"/>
          <w:noProof/>
          <w:color w:val="000000"/>
          <w:lang w:val="en-US"/>
        </w:rPr>
        <w:t xml:space="preserve"> </w:t>
      </w:r>
      <w:r w:rsidR="006160FB" w:rsidRPr="009F3306">
        <w:rPr>
          <w:rFonts w:cs="AdvPED1282"/>
          <w:noProof/>
          <w:color w:val="000000"/>
          <w:lang w:val="en-US"/>
        </w:rPr>
        <w:t>(Cutler, 2003)</w:t>
      </w:r>
      <w:r w:rsidR="006160FB">
        <w:rPr>
          <w:rFonts w:cs="AdvPED1282"/>
          <w:color w:val="000000"/>
          <w:lang w:val="en-US"/>
        </w:rPr>
        <w:t>. Th</w:t>
      </w:r>
      <w:r w:rsidR="00266A69">
        <w:rPr>
          <w:rFonts w:cs="AdvPED1282"/>
          <w:color w:val="000000"/>
          <w:lang w:val="en-US"/>
        </w:rPr>
        <w:t>e extra</w:t>
      </w:r>
      <w:r w:rsidR="006160FB">
        <w:rPr>
          <w:rFonts w:cs="AdvPED1282"/>
          <w:color w:val="000000"/>
          <w:lang w:val="en-US"/>
        </w:rPr>
        <w:t xml:space="preserve"> intake of </w:t>
      </w:r>
      <w:r w:rsidR="00266A69">
        <w:rPr>
          <w:rFonts w:cs="AdvPED1282"/>
          <w:color w:val="000000"/>
          <w:lang w:val="en-US"/>
        </w:rPr>
        <w:t>calories</w:t>
      </w:r>
      <w:r w:rsidR="00266A69" w:rsidRPr="00266A69">
        <w:rPr>
          <w:rFonts w:cs="AdvPED1282"/>
          <w:color w:val="000000"/>
          <w:lang w:val="en-US"/>
        </w:rPr>
        <w:t xml:space="preserve"> </w:t>
      </w:r>
      <w:r w:rsidR="00266A69">
        <w:rPr>
          <w:rFonts w:cs="AdvPED1282"/>
          <w:color w:val="000000"/>
          <w:lang w:val="en-US"/>
        </w:rPr>
        <w:t>is continuously excessive to the calories expended for daily functioning. This</w:t>
      </w:r>
      <w:r w:rsidR="006160FB">
        <w:rPr>
          <w:rFonts w:cs="AdvPED1282"/>
          <w:color w:val="000000"/>
          <w:lang w:val="en-US"/>
        </w:rPr>
        <w:t xml:space="preserve"> leads to abnormal fat accumulation in the body</w:t>
      </w:r>
      <w:r w:rsidR="0073064B">
        <w:rPr>
          <w:rFonts w:cs="AdvPED1282"/>
          <w:color w:val="000000"/>
          <w:lang w:val="en-US"/>
        </w:rPr>
        <w:t xml:space="preserve">. </w:t>
      </w:r>
      <w:r w:rsidR="00266A69">
        <w:rPr>
          <w:rFonts w:cs="AdvPED1282"/>
          <w:color w:val="000000"/>
          <w:lang w:val="en-US"/>
        </w:rPr>
        <w:t>Many underlying factors that contribute to obesity</w:t>
      </w:r>
      <w:r w:rsidR="009F24A0">
        <w:rPr>
          <w:rFonts w:cs="AdvPED1282"/>
          <w:color w:val="000000"/>
          <w:lang w:val="en-US"/>
        </w:rPr>
        <w:t xml:space="preserve"> have been</w:t>
      </w:r>
      <w:r w:rsidR="00266A69">
        <w:rPr>
          <w:rFonts w:cs="AdvPED1282"/>
          <w:color w:val="000000"/>
          <w:lang w:val="en-US"/>
        </w:rPr>
        <w:t xml:space="preserve"> identified </w:t>
      </w:r>
      <w:r w:rsidR="009F24A0">
        <w:rPr>
          <w:rFonts w:cs="AdvPED1282"/>
          <w:color w:val="000000"/>
          <w:lang w:val="en-US"/>
        </w:rPr>
        <w:t>in order to address the question what causes people to overeat, resulting in the energy imbalance. Consequently found are</w:t>
      </w:r>
      <w:r w:rsidR="0080637C">
        <w:rPr>
          <w:rFonts w:cs="AdvPED1282"/>
          <w:color w:val="000000"/>
          <w:lang w:val="en-US"/>
        </w:rPr>
        <w:t xml:space="preserve"> the increased availability of energy dense</w:t>
      </w:r>
      <w:r w:rsidR="00266A69">
        <w:rPr>
          <w:rFonts w:cs="AdvPED1282"/>
          <w:color w:val="000000"/>
          <w:lang w:val="en-US"/>
        </w:rPr>
        <w:t xml:space="preserve"> and processed</w:t>
      </w:r>
      <w:r w:rsidR="0080637C">
        <w:rPr>
          <w:rFonts w:cs="AdvPED1282"/>
          <w:color w:val="000000"/>
          <w:lang w:val="en-US"/>
        </w:rPr>
        <w:t xml:space="preserve"> foods</w:t>
      </w:r>
      <w:r w:rsidR="0080637C">
        <w:rPr>
          <w:rFonts w:cs="AdvPED1282"/>
          <w:noProof/>
          <w:color w:val="000000"/>
          <w:lang w:val="en-US"/>
        </w:rPr>
        <w:t xml:space="preserve"> </w:t>
      </w:r>
      <w:r w:rsidR="0080637C" w:rsidRPr="0080637C">
        <w:rPr>
          <w:rFonts w:cs="AdvPED1282"/>
          <w:noProof/>
          <w:color w:val="000000"/>
          <w:lang w:val="en-US"/>
        </w:rPr>
        <w:t>(Chou et al,</w:t>
      </w:r>
      <w:r w:rsidR="0080637C" w:rsidRPr="009F3306">
        <w:rPr>
          <w:rFonts w:cs="AdvPED1282"/>
          <w:noProof/>
          <w:color w:val="000000"/>
          <w:lang w:val="en-US"/>
        </w:rPr>
        <w:t>2004)</w:t>
      </w:r>
      <w:r w:rsidR="00266A69">
        <w:rPr>
          <w:rFonts w:cs="AdvPED1282"/>
          <w:noProof/>
          <w:color w:val="000000"/>
          <w:lang w:val="en-US"/>
        </w:rPr>
        <w:t xml:space="preserve"> </w:t>
      </w:r>
      <w:r w:rsidR="000D617F">
        <w:rPr>
          <w:rFonts w:cs="AdvPED1282"/>
          <w:noProof/>
          <w:color w:val="000000"/>
          <w:lang w:val="en-US"/>
        </w:rPr>
        <w:t xml:space="preserve">and limited knowledge of health consequences related to obesity </w:t>
      </w:r>
      <w:r w:rsidR="000D617F" w:rsidRPr="000D617F">
        <w:rPr>
          <w:rFonts w:cs="AdvPED1282"/>
          <w:noProof/>
          <w:color w:val="000000"/>
          <w:lang w:val="en-US"/>
        </w:rPr>
        <w:t>(Tsai &amp; Kan,</w:t>
      </w:r>
      <w:r w:rsidR="000D617F" w:rsidRPr="009F3306">
        <w:rPr>
          <w:rFonts w:cs="AdvPED1282"/>
          <w:noProof/>
          <w:color w:val="000000"/>
          <w:lang w:val="en-US"/>
        </w:rPr>
        <w:t xml:space="preserve"> 2004)</w:t>
      </w:r>
      <w:r w:rsidR="000D617F">
        <w:rPr>
          <w:rFonts w:cs="AdvPED1282"/>
          <w:noProof/>
          <w:color w:val="000000"/>
          <w:lang w:val="en-US"/>
        </w:rPr>
        <w:t>.</w:t>
      </w:r>
      <w:r w:rsidR="0080637C">
        <w:rPr>
          <w:rFonts w:cs="AdvPED1282"/>
          <w:noProof/>
          <w:color w:val="000000"/>
          <w:lang w:val="en-US"/>
        </w:rPr>
        <w:t xml:space="preserve"> </w:t>
      </w:r>
      <w:r w:rsidR="000D617F">
        <w:rPr>
          <w:rFonts w:cs="AdvPED1282"/>
          <w:noProof/>
          <w:color w:val="000000"/>
          <w:lang w:val="en-US"/>
        </w:rPr>
        <w:t>Besides the</w:t>
      </w:r>
      <w:r w:rsidR="0080637C">
        <w:rPr>
          <w:rFonts w:cs="AdvPED1282"/>
          <w:noProof/>
          <w:color w:val="000000"/>
          <w:lang w:val="en-US"/>
        </w:rPr>
        <w:t xml:space="preserve"> exessive calory intake people</w:t>
      </w:r>
      <w:r w:rsidR="000D617F">
        <w:rPr>
          <w:rFonts w:cs="AdvPED1282"/>
          <w:noProof/>
          <w:color w:val="000000"/>
          <w:lang w:val="en-US"/>
        </w:rPr>
        <w:t xml:space="preserve"> also</w:t>
      </w:r>
      <w:r w:rsidR="0080637C">
        <w:rPr>
          <w:rFonts w:cs="AdvPED1282"/>
          <w:noProof/>
          <w:color w:val="000000"/>
          <w:lang w:val="en-US"/>
        </w:rPr>
        <w:t xml:space="preserve"> use less calories in their daily functioning due to</w:t>
      </w:r>
      <w:r w:rsidR="00266A69">
        <w:rPr>
          <w:rFonts w:cs="AdvPED1282"/>
          <w:noProof/>
          <w:color w:val="000000"/>
          <w:lang w:val="en-US"/>
        </w:rPr>
        <w:t xml:space="preserve"> technological progress, which is directly related to</w:t>
      </w:r>
      <w:r w:rsidR="0080637C">
        <w:rPr>
          <w:rFonts w:cs="AdvPED1282"/>
          <w:noProof/>
          <w:color w:val="000000"/>
          <w:lang w:val="en-US"/>
        </w:rPr>
        <w:t xml:space="preserve"> the more sedentary nature of work environments, </w:t>
      </w:r>
      <w:r w:rsidR="000D617F">
        <w:rPr>
          <w:rFonts w:cs="AdvPED1282"/>
          <w:noProof/>
          <w:color w:val="000000"/>
          <w:lang w:val="en-US"/>
        </w:rPr>
        <w:t xml:space="preserve">transportation and urbanisation </w:t>
      </w:r>
      <w:r w:rsidR="000D617F" w:rsidRPr="009F3306">
        <w:rPr>
          <w:rFonts w:cs="AdvPED1282"/>
          <w:noProof/>
          <w:color w:val="000000"/>
          <w:lang w:val="en-US"/>
        </w:rPr>
        <w:t>(Lakdawalla &amp; Philipson, 2009)</w:t>
      </w:r>
      <w:r w:rsidR="000D617F">
        <w:rPr>
          <w:rFonts w:cs="AdvPED1282"/>
          <w:noProof/>
          <w:color w:val="000000"/>
          <w:lang w:val="en-US"/>
        </w:rPr>
        <w:t xml:space="preserve">. </w:t>
      </w:r>
    </w:p>
    <w:p w14:paraId="147BF12E" w14:textId="7E4747B7" w:rsidR="001E3A5F" w:rsidRDefault="001E3A5F" w:rsidP="004D1DB1">
      <w:pPr>
        <w:spacing w:line="360" w:lineRule="auto"/>
        <w:ind w:firstLine="360"/>
        <w:jc w:val="both"/>
        <w:rPr>
          <w:rFonts w:cs="AdvPED1282"/>
          <w:noProof/>
          <w:color w:val="000000"/>
          <w:lang w:val="en-US"/>
        </w:rPr>
      </w:pPr>
      <w:r>
        <w:rPr>
          <w:rFonts w:cs="AdvPED1282"/>
          <w:color w:val="000000"/>
          <w:lang w:val="en-US"/>
        </w:rPr>
        <w:t>To tackle the rise of obesity the WHO initiated the development of a global strategy</w:t>
      </w:r>
      <w:r w:rsidRPr="009F3306">
        <w:rPr>
          <w:lang w:val="en-US"/>
        </w:rPr>
        <w:t xml:space="preserve"> on </w:t>
      </w:r>
      <w:r>
        <w:rPr>
          <w:rFonts w:cs="AdvPED1282"/>
          <w:color w:val="000000"/>
          <w:lang w:val="en-US"/>
        </w:rPr>
        <w:t xml:space="preserve">diet, physical activity and health. On 16 </w:t>
      </w:r>
      <w:r w:rsidR="00266A69">
        <w:rPr>
          <w:rFonts w:cs="AdvPED1282"/>
          <w:color w:val="000000"/>
          <w:lang w:val="en-US"/>
        </w:rPr>
        <w:t>September</w:t>
      </w:r>
      <w:r>
        <w:rPr>
          <w:rFonts w:cs="AdvPED1282"/>
          <w:color w:val="000000"/>
          <w:lang w:val="en-US"/>
        </w:rPr>
        <w:t xml:space="preserve"> 2015</w:t>
      </w:r>
      <w:r w:rsidR="00157539">
        <w:rPr>
          <w:rFonts w:cs="AdvPED1282"/>
          <w:color w:val="000000"/>
          <w:lang w:val="en-US"/>
        </w:rPr>
        <w:t xml:space="preserve"> European</w:t>
      </w:r>
      <w:r>
        <w:rPr>
          <w:rFonts w:cs="AdvPED1282"/>
          <w:color w:val="000000"/>
          <w:lang w:val="en-US"/>
        </w:rPr>
        <w:t xml:space="preserve"> ministers</w:t>
      </w:r>
      <w:r w:rsidR="00157539">
        <w:rPr>
          <w:rFonts w:cs="AdvPED1282"/>
          <w:color w:val="000000"/>
          <w:lang w:val="en-US"/>
        </w:rPr>
        <w:t xml:space="preserve"> acknowledged the worldwide </w:t>
      </w:r>
      <w:r w:rsidR="00157539">
        <w:rPr>
          <w:rFonts w:cs="AdvPED1282"/>
          <w:color w:val="000000"/>
          <w:lang w:val="en-US"/>
        </w:rPr>
        <w:lastRenderedPageBreak/>
        <w:t>problem of obesity and adopted a strategy to fight physical inactivity in 53 WHO member states</w:t>
      </w:r>
      <w:r>
        <w:rPr>
          <w:rFonts w:cs="AdvPED1282"/>
          <w:color w:val="000000"/>
          <w:lang w:val="en-US"/>
        </w:rPr>
        <w:t xml:space="preserve"> </w:t>
      </w:r>
      <w:r w:rsidR="00157539">
        <w:rPr>
          <w:rFonts w:cs="AdvPED1282"/>
          <w:color w:val="000000"/>
          <w:lang w:val="en-US"/>
        </w:rPr>
        <w:t>as a preventive measure against obesity.</w:t>
      </w:r>
      <w:r w:rsidR="00540D30">
        <w:rPr>
          <w:rFonts w:cs="AdvPED1282"/>
          <w:color w:val="000000"/>
          <w:lang w:val="en-US"/>
        </w:rPr>
        <w:t xml:space="preserve"> </w:t>
      </w:r>
      <w:r w:rsidR="00540D30" w:rsidRPr="00540D30">
        <w:rPr>
          <w:rFonts w:cs="AdvPED1282"/>
          <w:color w:val="000000"/>
          <w:lang w:val="en-US"/>
        </w:rPr>
        <w:t xml:space="preserve">Many </w:t>
      </w:r>
      <w:r w:rsidR="006F5AA4">
        <w:rPr>
          <w:rFonts w:cs="AdvPED1282"/>
          <w:color w:val="000000"/>
          <w:lang w:val="en-US"/>
        </w:rPr>
        <w:t>policy</w:t>
      </w:r>
      <w:r w:rsidR="004933E5">
        <w:rPr>
          <w:rFonts w:cs="AdvPED1282"/>
          <w:color w:val="000000"/>
          <w:lang w:val="en-US"/>
        </w:rPr>
        <w:t xml:space="preserve"> makers</w:t>
      </w:r>
      <w:r w:rsidR="00540D30" w:rsidRPr="00540D30">
        <w:rPr>
          <w:rFonts w:cs="AdvPED1282"/>
          <w:color w:val="000000"/>
          <w:lang w:val="en-US"/>
        </w:rPr>
        <w:t xml:space="preserve"> </w:t>
      </w:r>
      <w:r w:rsidR="00540D30">
        <w:rPr>
          <w:rFonts w:cs="AdvPED1282"/>
          <w:color w:val="000000"/>
          <w:lang w:val="en-US"/>
        </w:rPr>
        <w:t xml:space="preserve">embrace the </w:t>
      </w:r>
      <w:r w:rsidR="00540D30" w:rsidRPr="00540D30">
        <w:rPr>
          <w:rFonts w:cs="AdvPED1282"/>
          <w:color w:val="000000"/>
          <w:lang w:val="en-US"/>
        </w:rPr>
        <w:t>strategy of disease prevention</w:t>
      </w:r>
      <w:r w:rsidR="006F5AA4">
        <w:rPr>
          <w:rFonts w:cs="AdvPED1282"/>
          <w:color w:val="000000"/>
          <w:lang w:val="en-US"/>
        </w:rPr>
        <w:t xml:space="preserve">, with the rationale that it is </w:t>
      </w:r>
      <w:r w:rsidR="00266A69">
        <w:rPr>
          <w:rFonts w:cs="AdvPED1282"/>
          <w:color w:val="000000"/>
          <w:lang w:val="en-US"/>
        </w:rPr>
        <w:t xml:space="preserve">always </w:t>
      </w:r>
      <w:r w:rsidR="006F5AA4">
        <w:rPr>
          <w:rFonts w:cs="AdvPED1282"/>
          <w:color w:val="000000"/>
          <w:lang w:val="en-US"/>
        </w:rPr>
        <w:t xml:space="preserve">better </w:t>
      </w:r>
      <w:r w:rsidR="008C4514">
        <w:rPr>
          <w:rFonts w:cs="AdvPED1282"/>
          <w:color w:val="000000"/>
          <w:lang w:val="en-US"/>
        </w:rPr>
        <w:t>to be healthy than sick or dead</w:t>
      </w:r>
      <w:r w:rsidR="006F5AA4">
        <w:rPr>
          <w:rFonts w:cs="AdvPED1282"/>
          <w:color w:val="000000"/>
          <w:lang w:val="en-US"/>
        </w:rPr>
        <w:t>.</w:t>
      </w:r>
      <w:r w:rsidR="00540D30" w:rsidRPr="00540D30">
        <w:rPr>
          <w:rFonts w:cs="AdvPED1282"/>
          <w:color w:val="000000"/>
          <w:lang w:val="en-US"/>
        </w:rPr>
        <w:t xml:space="preserve"> </w:t>
      </w:r>
      <w:r w:rsidR="006F5AA4">
        <w:rPr>
          <w:rFonts w:cs="AdvPED1282"/>
          <w:color w:val="000000"/>
          <w:lang w:val="en-US"/>
        </w:rPr>
        <w:t xml:space="preserve">The strategy of preventive care </w:t>
      </w:r>
      <w:r w:rsidR="006F5AA4" w:rsidRPr="00540D30">
        <w:rPr>
          <w:rFonts w:cs="AdvPED1282"/>
          <w:color w:val="000000"/>
          <w:lang w:val="en-US"/>
        </w:rPr>
        <w:t>by applying interventions to an entire population</w:t>
      </w:r>
      <w:r w:rsidR="00266A69">
        <w:rPr>
          <w:rFonts w:cs="AdvPED1282"/>
          <w:color w:val="000000"/>
          <w:lang w:val="en-US"/>
        </w:rPr>
        <w:t xml:space="preserve"> </w:t>
      </w:r>
      <w:r w:rsidR="008C3041">
        <w:rPr>
          <w:rFonts w:cs="AdvPED1282"/>
          <w:color w:val="000000"/>
          <w:lang w:val="en-US"/>
        </w:rPr>
        <w:t xml:space="preserve">draws similarities with </w:t>
      </w:r>
      <w:r w:rsidR="006F5AA4" w:rsidRPr="006F5AA4">
        <w:rPr>
          <w:rFonts w:cs="AdvPED1282"/>
          <w:color w:val="000000"/>
          <w:lang w:val="en-US"/>
        </w:rPr>
        <w:t>Geoffrey Rose</w:t>
      </w:r>
      <w:r w:rsidR="006F5AA4">
        <w:rPr>
          <w:rFonts w:cs="AdvPED1282"/>
          <w:color w:val="000000"/>
          <w:lang w:val="en-US"/>
        </w:rPr>
        <w:t>’s</w:t>
      </w:r>
      <w:r w:rsidR="006F5AA4" w:rsidRPr="006F5AA4">
        <w:rPr>
          <w:rFonts w:cs="AdvPED1282"/>
          <w:color w:val="000000"/>
          <w:lang w:val="en-US"/>
        </w:rPr>
        <w:t xml:space="preserve"> </w:t>
      </w:r>
      <w:r w:rsidR="008C3041">
        <w:rPr>
          <w:rFonts w:cs="AdvPED1282"/>
          <w:color w:val="000000"/>
          <w:lang w:val="en-US"/>
        </w:rPr>
        <w:t xml:space="preserve">renowned </w:t>
      </w:r>
      <w:r w:rsidR="006F5AA4" w:rsidRPr="006F5AA4">
        <w:rPr>
          <w:rFonts w:cs="AdvPED1282"/>
          <w:color w:val="000000"/>
          <w:lang w:val="en-US"/>
        </w:rPr>
        <w:t>population-based prevention concept</w:t>
      </w:r>
      <w:r w:rsidR="006F5AA4">
        <w:rPr>
          <w:rFonts w:cs="AdvPED1282"/>
          <w:color w:val="000000"/>
          <w:lang w:val="en-US"/>
        </w:rPr>
        <w:t xml:space="preserve"> </w:t>
      </w:r>
      <w:r w:rsidR="006F5AA4" w:rsidRPr="009F3306">
        <w:rPr>
          <w:rFonts w:cs="AdvPED1282"/>
          <w:noProof/>
          <w:color w:val="000000"/>
          <w:lang w:val="en-US"/>
        </w:rPr>
        <w:t>(Rose, 1992)</w:t>
      </w:r>
      <w:r w:rsidR="006F5AA4">
        <w:rPr>
          <w:rFonts w:cs="AdvPED1282"/>
          <w:color w:val="000000"/>
          <w:lang w:val="en-US"/>
        </w:rPr>
        <w:t>.</w:t>
      </w:r>
      <w:r w:rsidR="008A6402">
        <w:rPr>
          <w:rFonts w:cs="AdvPED1282"/>
          <w:color w:val="000000"/>
          <w:lang w:val="en-US"/>
        </w:rPr>
        <w:t xml:space="preserve"> Rose proposes that the distribution of a health statistic is bell shaped and that very high values of this statistic are unhealthy, also known as ‘the burden of disease’. Take for example BMI as a health statistic, where very high values (BMI &gt; 30) are associated with increased comorbidities. Rose found</w:t>
      </w:r>
      <w:r w:rsidR="00B570C1">
        <w:rPr>
          <w:rFonts w:cs="AdvPED1282"/>
          <w:color w:val="000000"/>
          <w:lang w:val="en-US"/>
        </w:rPr>
        <w:t xml:space="preserve"> </w:t>
      </w:r>
      <w:r w:rsidR="001F7804">
        <w:rPr>
          <w:rFonts w:cs="AdvPED1282"/>
          <w:color w:val="000000"/>
          <w:lang w:val="en-US"/>
        </w:rPr>
        <w:t xml:space="preserve">that higher </w:t>
      </w:r>
      <w:r w:rsidR="00C82258">
        <w:rPr>
          <w:rFonts w:cs="AdvPED1282"/>
          <w:color w:val="000000"/>
          <w:lang w:val="en-US"/>
        </w:rPr>
        <w:t>mean value</w:t>
      </w:r>
      <w:r w:rsidR="00D60B1F">
        <w:rPr>
          <w:rFonts w:cs="AdvPED1282"/>
          <w:color w:val="000000"/>
          <w:lang w:val="en-US"/>
        </w:rPr>
        <w:t>s</w:t>
      </w:r>
      <w:r w:rsidR="00C82258">
        <w:rPr>
          <w:rFonts w:cs="AdvPED1282"/>
          <w:color w:val="000000"/>
          <w:lang w:val="en-US"/>
        </w:rPr>
        <w:t xml:space="preserve"> of a </w:t>
      </w:r>
      <w:r w:rsidR="008A6402">
        <w:rPr>
          <w:rFonts w:cs="AdvPED1282"/>
          <w:color w:val="000000"/>
          <w:lang w:val="en-US"/>
        </w:rPr>
        <w:t xml:space="preserve">health </w:t>
      </w:r>
      <w:r w:rsidR="00C82258">
        <w:rPr>
          <w:rFonts w:cs="AdvPED1282"/>
          <w:color w:val="000000"/>
          <w:lang w:val="en-US"/>
        </w:rPr>
        <w:t xml:space="preserve">statistic </w:t>
      </w:r>
      <w:r w:rsidR="00003CB0">
        <w:rPr>
          <w:rFonts w:cs="AdvPED1282"/>
          <w:color w:val="000000"/>
          <w:lang w:val="en-US"/>
        </w:rPr>
        <w:t xml:space="preserve">in a population </w:t>
      </w:r>
      <w:r w:rsidR="001F7804">
        <w:rPr>
          <w:rFonts w:cs="AdvPED1282"/>
          <w:color w:val="000000"/>
          <w:lang w:val="en-US"/>
        </w:rPr>
        <w:t>correspond</w:t>
      </w:r>
      <w:r w:rsidR="00003CB0">
        <w:rPr>
          <w:rFonts w:cs="AdvPED1282"/>
          <w:color w:val="000000"/>
          <w:lang w:val="en-US"/>
        </w:rPr>
        <w:t xml:space="preserve"> </w:t>
      </w:r>
      <w:r w:rsidR="001F7804">
        <w:rPr>
          <w:rFonts w:cs="AdvPED1282"/>
          <w:color w:val="000000"/>
          <w:lang w:val="en-US"/>
        </w:rPr>
        <w:t xml:space="preserve">with more people </w:t>
      </w:r>
      <w:r w:rsidR="00003CB0">
        <w:rPr>
          <w:rFonts w:cs="AdvPED1282"/>
          <w:color w:val="000000"/>
          <w:lang w:val="en-US"/>
        </w:rPr>
        <w:t>passing</w:t>
      </w:r>
      <w:r w:rsidR="001F7804">
        <w:rPr>
          <w:rFonts w:cs="AdvPED1282"/>
          <w:color w:val="000000"/>
          <w:lang w:val="en-US"/>
        </w:rPr>
        <w:t xml:space="preserve"> the burden of disease</w:t>
      </w:r>
      <w:r w:rsidR="00003CB0">
        <w:rPr>
          <w:rFonts w:cs="AdvPED1282"/>
          <w:color w:val="000000"/>
          <w:lang w:val="en-US"/>
        </w:rPr>
        <w:t xml:space="preserve">, concluding that </w:t>
      </w:r>
      <w:r w:rsidR="008A6402">
        <w:rPr>
          <w:rFonts w:cs="AdvPED1282"/>
          <w:color w:val="000000"/>
          <w:lang w:val="en-US"/>
        </w:rPr>
        <w:t>all people in th</w:t>
      </w:r>
      <w:r w:rsidR="00003CB0">
        <w:rPr>
          <w:rFonts w:cs="AdvPED1282"/>
          <w:color w:val="000000"/>
          <w:lang w:val="en-US"/>
        </w:rPr>
        <w:t>is</w:t>
      </w:r>
      <w:r w:rsidR="008A6402">
        <w:rPr>
          <w:rFonts w:cs="AdvPED1282"/>
          <w:color w:val="000000"/>
          <w:lang w:val="en-US"/>
        </w:rPr>
        <w:t xml:space="preserve"> population collectively move towards the ‘burden of disease’</w:t>
      </w:r>
      <w:r w:rsidR="001F7804">
        <w:rPr>
          <w:rFonts w:cs="AdvPED1282"/>
          <w:color w:val="000000"/>
          <w:lang w:val="en-US"/>
        </w:rPr>
        <w:t>. G</w:t>
      </w:r>
      <w:r w:rsidR="006E15D6">
        <w:rPr>
          <w:rFonts w:cs="AdvPED1282"/>
          <w:color w:val="000000"/>
          <w:lang w:val="en-US"/>
        </w:rPr>
        <w:t xml:space="preserve">iven the bell shape distribution </w:t>
      </w:r>
      <w:r w:rsidR="008A6402">
        <w:rPr>
          <w:rFonts w:cs="AdvPED1282"/>
          <w:color w:val="000000"/>
          <w:lang w:val="en-US"/>
        </w:rPr>
        <w:t xml:space="preserve">this </w:t>
      </w:r>
      <w:r w:rsidR="0073064B">
        <w:rPr>
          <w:rFonts w:cs="AdvPED1282"/>
          <w:color w:val="000000"/>
          <w:lang w:val="en-US"/>
        </w:rPr>
        <w:t xml:space="preserve">will </w:t>
      </w:r>
      <w:r w:rsidR="001F7804">
        <w:rPr>
          <w:rFonts w:cs="AdvPED1282"/>
          <w:color w:val="000000"/>
          <w:lang w:val="en-US"/>
        </w:rPr>
        <w:t xml:space="preserve">enforce </w:t>
      </w:r>
      <w:r w:rsidR="0073064B">
        <w:rPr>
          <w:rFonts w:cs="AdvPED1282"/>
          <w:color w:val="000000"/>
          <w:lang w:val="en-US"/>
        </w:rPr>
        <w:t>an exponential</w:t>
      </w:r>
      <w:r w:rsidR="00B570C1">
        <w:rPr>
          <w:rFonts w:cs="AdvPED1282"/>
          <w:color w:val="000000"/>
          <w:lang w:val="en-US"/>
        </w:rPr>
        <w:t xml:space="preserve"> increas</w:t>
      </w:r>
      <w:r w:rsidR="0073064B">
        <w:rPr>
          <w:rFonts w:cs="AdvPED1282"/>
          <w:color w:val="000000"/>
          <w:lang w:val="en-US"/>
        </w:rPr>
        <w:t>e</w:t>
      </w:r>
      <w:r w:rsidR="00B570C1">
        <w:rPr>
          <w:rFonts w:cs="AdvPED1282"/>
          <w:color w:val="000000"/>
          <w:lang w:val="en-US"/>
        </w:rPr>
        <w:t xml:space="preserve"> </w:t>
      </w:r>
      <w:r w:rsidR="0073064B">
        <w:rPr>
          <w:rFonts w:cs="AdvPED1282"/>
          <w:color w:val="000000"/>
          <w:lang w:val="en-US"/>
        </w:rPr>
        <w:t xml:space="preserve">in </w:t>
      </w:r>
      <w:r w:rsidR="0073064B">
        <w:rPr>
          <w:rFonts w:cs="AdvPED1282"/>
          <w:color w:val="000000"/>
          <w:lang w:val="en-US"/>
        </w:rPr>
        <w:lastRenderedPageBreak/>
        <w:t xml:space="preserve">the </w:t>
      </w:r>
      <w:r w:rsidR="00B570C1">
        <w:rPr>
          <w:rFonts w:cs="AdvPED1282"/>
          <w:color w:val="000000"/>
          <w:lang w:val="en-US"/>
        </w:rPr>
        <w:t xml:space="preserve">number </w:t>
      </w:r>
      <w:r w:rsidR="001F7804">
        <w:rPr>
          <w:rFonts w:cs="AdvPED1282"/>
          <w:color w:val="000000"/>
          <w:lang w:val="en-US"/>
        </w:rPr>
        <w:t>‘</w:t>
      </w:r>
      <w:r w:rsidR="006E15D6">
        <w:rPr>
          <w:rFonts w:cs="AdvPED1282"/>
          <w:color w:val="000000"/>
          <w:lang w:val="en-US"/>
        </w:rPr>
        <w:t>sick</w:t>
      </w:r>
      <w:r w:rsidR="001F7804">
        <w:rPr>
          <w:rFonts w:cs="AdvPED1282"/>
          <w:color w:val="000000"/>
          <w:lang w:val="en-US"/>
        </w:rPr>
        <w:t>’</w:t>
      </w:r>
      <w:r w:rsidR="006E15D6">
        <w:rPr>
          <w:rFonts w:cs="AdvPED1282"/>
          <w:color w:val="000000"/>
          <w:lang w:val="en-US"/>
        </w:rPr>
        <w:t xml:space="preserve"> people</w:t>
      </w:r>
      <w:r w:rsidR="00D60B1F">
        <w:rPr>
          <w:rFonts w:cs="AdvPED1282"/>
          <w:color w:val="000000"/>
          <w:lang w:val="en-US"/>
        </w:rPr>
        <w:t>.</w:t>
      </w:r>
      <w:r w:rsidR="006E15D6">
        <w:rPr>
          <w:rFonts w:cs="AdvPED1282"/>
          <w:color w:val="000000"/>
          <w:lang w:val="en-US"/>
        </w:rPr>
        <w:t xml:space="preserve"> Applying a preventive measure on the whole population can slow down or reverse this collective movement towards the burden of disease, creating a healthier population.</w:t>
      </w:r>
      <w:r w:rsidR="00D60B1F">
        <w:rPr>
          <w:rFonts w:cs="AdvPED1282"/>
          <w:color w:val="000000"/>
          <w:lang w:val="en-US"/>
        </w:rPr>
        <w:t xml:space="preserve"> </w:t>
      </w:r>
      <w:r w:rsidR="00B570C1">
        <w:rPr>
          <w:rFonts w:cs="AdvPED1282"/>
          <w:color w:val="000000"/>
          <w:lang w:val="en-US"/>
        </w:rPr>
        <w:t xml:space="preserve">However, </w:t>
      </w:r>
      <w:r w:rsidR="00FA0DA0">
        <w:rPr>
          <w:rFonts w:cs="AdvPED1282"/>
          <w:color w:val="000000"/>
          <w:lang w:val="en-US"/>
        </w:rPr>
        <w:t xml:space="preserve">it has </w:t>
      </w:r>
      <w:r w:rsidR="00C82258">
        <w:rPr>
          <w:rFonts w:cs="AdvPED1282"/>
          <w:color w:val="000000"/>
          <w:lang w:val="en-US"/>
        </w:rPr>
        <w:t>not been proven that</w:t>
      </w:r>
      <w:r w:rsidR="00B570C1">
        <w:rPr>
          <w:rFonts w:cs="AdvPED1282"/>
          <w:color w:val="000000"/>
          <w:lang w:val="en-US"/>
        </w:rPr>
        <w:t xml:space="preserve"> BMI indeed follows a bell-shaped</w:t>
      </w:r>
      <w:r w:rsidR="00FA0DA0">
        <w:rPr>
          <w:rFonts w:cs="AdvPED1282"/>
          <w:color w:val="000000"/>
          <w:lang w:val="en-US"/>
        </w:rPr>
        <w:t xml:space="preserve"> distribution</w:t>
      </w:r>
      <w:r w:rsidR="001F7804">
        <w:rPr>
          <w:rFonts w:cs="AdvPED1282"/>
          <w:color w:val="000000"/>
          <w:lang w:val="en-US"/>
        </w:rPr>
        <w:t>, which may undermine Rose’s concept.</w:t>
      </w:r>
      <w:r w:rsidR="00C82258">
        <w:rPr>
          <w:rFonts w:cs="AdvPED1282"/>
          <w:color w:val="000000"/>
          <w:lang w:val="en-US"/>
        </w:rPr>
        <w:t xml:space="preserve"> Penman and Johnson (2006) found indications that the distribution of BMI can become </w:t>
      </w:r>
      <w:r w:rsidR="00FA0DA0">
        <w:rPr>
          <w:rFonts w:cs="AdvPED1282"/>
          <w:color w:val="000000"/>
          <w:lang w:val="en-US"/>
        </w:rPr>
        <w:t>m</w:t>
      </w:r>
      <w:r w:rsidR="0002694F">
        <w:rPr>
          <w:rFonts w:cs="AdvPED1282"/>
          <w:color w:val="000000"/>
          <w:lang w:val="en-US"/>
        </w:rPr>
        <w:t>ore</w:t>
      </w:r>
      <w:r w:rsidR="00C82258">
        <w:rPr>
          <w:rFonts w:cs="AdvPED1282"/>
          <w:color w:val="000000"/>
          <w:lang w:val="en-US"/>
        </w:rPr>
        <w:t xml:space="preserve"> skewed over time</w:t>
      </w:r>
      <w:r w:rsidR="0073064B">
        <w:rPr>
          <w:rFonts w:cs="AdvPED1282"/>
          <w:color w:val="000000"/>
          <w:lang w:val="en-US"/>
        </w:rPr>
        <w:t>,</w:t>
      </w:r>
      <w:r w:rsidR="001370D6">
        <w:rPr>
          <w:rFonts w:cs="AdvPED1282"/>
          <w:color w:val="000000"/>
          <w:lang w:val="en-US"/>
        </w:rPr>
        <w:t xml:space="preserve"> with hardly or no shifting of the distribution</w:t>
      </w:r>
      <w:r w:rsidR="00C82258">
        <w:rPr>
          <w:rFonts w:cs="AdvPED1282"/>
          <w:color w:val="000000"/>
          <w:lang w:val="en-US"/>
        </w:rPr>
        <w:t xml:space="preserve"> and </w:t>
      </w:r>
      <w:r w:rsidR="0073064B">
        <w:rPr>
          <w:rFonts w:cs="AdvPED1282"/>
          <w:color w:val="000000"/>
          <w:lang w:val="en-US"/>
        </w:rPr>
        <w:t xml:space="preserve">also </w:t>
      </w:r>
      <w:r w:rsidR="006E6852">
        <w:rPr>
          <w:rFonts w:cs="AdvPED1282"/>
          <w:color w:val="000000"/>
          <w:lang w:val="en-US"/>
        </w:rPr>
        <w:t>these changes are very country specific.</w:t>
      </w:r>
      <w:r w:rsidR="006E15D6">
        <w:rPr>
          <w:rFonts w:cs="AdvPED1282"/>
          <w:color w:val="000000"/>
          <w:lang w:val="en-US"/>
        </w:rPr>
        <w:t xml:space="preserve"> This study will try to gain insight into the distribution of BMI and</w:t>
      </w:r>
      <w:r w:rsidR="001F7804">
        <w:rPr>
          <w:rFonts w:cs="AdvPED1282"/>
          <w:color w:val="000000"/>
          <w:lang w:val="en-US"/>
        </w:rPr>
        <w:t xml:space="preserve"> reveal</w:t>
      </w:r>
      <w:r w:rsidR="006E15D6">
        <w:rPr>
          <w:rFonts w:cs="AdvPED1282"/>
          <w:color w:val="000000"/>
          <w:lang w:val="en-US"/>
        </w:rPr>
        <w:t xml:space="preserve"> how people move within the distribution over time.</w:t>
      </w:r>
      <w:r w:rsidR="008C3041">
        <w:rPr>
          <w:rFonts w:cs="AdvPED1282"/>
          <w:color w:val="000000"/>
          <w:lang w:val="en-US"/>
        </w:rPr>
        <w:t xml:space="preserve"> </w:t>
      </w:r>
      <w:r w:rsidR="006E15D6">
        <w:rPr>
          <w:rFonts w:cs="AdvPED1282"/>
          <w:noProof/>
          <w:color w:val="000000"/>
          <w:lang w:val="en-US"/>
        </w:rPr>
        <w:t>The results of this study</w:t>
      </w:r>
      <w:r w:rsidR="00FA0DA0">
        <w:rPr>
          <w:rFonts w:cs="AdvPED1282"/>
          <w:noProof/>
          <w:color w:val="000000"/>
          <w:lang w:val="en-US"/>
        </w:rPr>
        <w:t xml:space="preserve"> may lead to new insights for the prevention of obesity</w:t>
      </w:r>
      <w:r w:rsidR="0073064B">
        <w:rPr>
          <w:rFonts w:cs="AdvPED1282"/>
          <w:noProof/>
          <w:color w:val="000000"/>
          <w:lang w:val="en-US"/>
        </w:rPr>
        <w:t>, as subjecting the entire population to an intervention may not</w:t>
      </w:r>
      <w:r w:rsidR="006E15D6">
        <w:rPr>
          <w:rFonts w:cs="AdvPED1282"/>
          <w:noProof/>
          <w:color w:val="000000"/>
          <w:lang w:val="en-US"/>
        </w:rPr>
        <w:t xml:space="preserve"> be the most effective </w:t>
      </w:r>
      <w:r w:rsidR="001F7804">
        <w:rPr>
          <w:rFonts w:cs="AdvPED1282"/>
          <w:noProof/>
          <w:color w:val="000000"/>
          <w:lang w:val="en-US"/>
        </w:rPr>
        <w:t>way to go for BMI</w:t>
      </w:r>
      <w:r w:rsidR="00FA0DA0">
        <w:rPr>
          <w:rFonts w:cs="AdvPED1282"/>
          <w:noProof/>
          <w:color w:val="000000"/>
          <w:lang w:val="en-US"/>
        </w:rPr>
        <w:t>.</w:t>
      </w:r>
    </w:p>
    <w:p w14:paraId="71E035AB" w14:textId="0F97428D" w:rsidR="00FC2F10" w:rsidRPr="00AD590F" w:rsidRDefault="000D617F" w:rsidP="004D1DB1">
      <w:pPr>
        <w:spacing w:line="360" w:lineRule="auto"/>
        <w:ind w:firstLine="360"/>
        <w:jc w:val="both"/>
        <w:rPr>
          <w:rFonts w:cs="AdvPED1282"/>
          <w:color w:val="000000"/>
          <w:lang w:val="en-US"/>
        </w:rPr>
      </w:pPr>
      <w:r>
        <w:rPr>
          <w:rFonts w:cs="AdvPED1282"/>
          <w:noProof/>
          <w:color w:val="000000"/>
          <w:lang w:val="en-US"/>
        </w:rPr>
        <w:t>T</w:t>
      </w:r>
      <w:r w:rsidR="000D6920" w:rsidRPr="0031293D">
        <w:rPr>
          <w:rFonts w:cs="AdvPED1282"/>
          <w:noProof/>
          <w:color w:val="000000"/>
          <w:lang w:val="en-US"/>
        </w:rPr>
        <w:t>he distribution</w:t>
      </w:r>
      <w:r w:rsidR="000D6920" w:rsidRPr="0031293D">
        <w:rPr>
          <w:rFonts w:cs="AdvPED1282"/>
          <w:color w:val="000000"/>
          <w:lang w:val="en-US"/>
        </w:rPr>
        <w:t xml:space="preserve"> of BMI within a population and the evolution of this distribution over time </w:t>
      </w:r>
      <w:r w:rsidR="00EB4CB4" w:rsidRPr="0031293D">
        <w:rPr>
          <w:rFonts w:cs="AdvPED1282"/>
          <w:color w:val="000000"/>
          <w:lang w:val="en-US"/>
        </w:rPr>
        <w:t>have</w:t>
      </w:r>
      <w:r w:rsidR="000D6920" w:rsidRPr="0031293D">
        <w:rPr>
          <w:rFonts w:cs="AdvPED1282"/>
          <w:color w:val="000000"/>
          <w:lang w:val="en-US"/>
        </w:rPr>
        <w:t xml:space="preserve"> not been extensively researche</w:t>
      </w:r>
      <w:r w:rsidR="00EB185F">
        <w:rPr>
          <w:rFonts w:cs="AdvPED1282"/>
          <w:color w:val="000000"/>
          <w:lang w:val="en-US"/>
        </w:rPr>
        <w:t>d</w:t>
      </w:r>
      <w:r w:rsidR="001370D6">
        <w:rPr>
          <w:rFonts w:cs="AdvPED1282"/>
          <w:color w:val="000000"/>
          <w:lang w:val="en-US"/>
        </w:rPr>
        <w:t xml:space="preserve">. The limited studies that have been published on this subject suggest </w:t>
      </w:r>
      <w:r w:rsidR="001370D6">
        <w:rPr>
          <w:rFonts w:cs="AdvPED1282"/>
          <w:color w:val="000000"/>
          <w:lang w:val="en-US"/>
        </w:rPr>
        <w:lastRenderedPageBreak/>
        <w:t>that BMI distribution</w:t>
      </w:r>
      <w:r w:rsidR="007B6432">
        <w:rPr>
          <w:rFonts w:cs="AdvPED1282"/>
          <w:color w:val="000000"/>
          <w:lang w:val="en-US"/>
        </w:rPr>
        <w:t>s and their pattern over time</w:t>
      </w:r>
      <w:r w:rsidR="001370D6">
        <w:rPr>
          <w:rFonts w:cs="AdvPED1282"/>
          <w:color w:val="000000"/>
          <w:lang w:val="en-US"/>
        </w:rPr>
        <w:t xml:space="preserve"> are v</w:t>
      </w:r>
      <w:r w:rsidR="007B6432">
        <w:rPr>
          <w:rFonts w:cs="AdvPED1282"/>
          <w:color w:val="000000"/>
          <w:lang w:val="en-US"/>
        </w:rPr>
        <w:t xml:space="preserve">ery different between countries </w:t>
      </w:r>
      <w:r w:rsidR="007B6432" w:rsidRPr="009F3306">
        <w:rPr>
          <w:rFonts w:cs="AdvPED1282"/>
          <w:noProof/>
          <w:color w:val="000000"/>
          <w:lang w:val="en-US"/>
        </w:rPr>
        <w:t>(Shah</w:t>
      </w:r>
      <w:r w:rsidR="007B6432">
        <w:rPr>
          <w:rFonts w:cs="AdvPED1282"/>
          <w:noProof/>
          <w:color w:val="000000"/>
          <w:lang w:val="en-US"/>
        </w:rPr>
        <w:t xml:space="preserve"> et al</w:t>
      </w:r>
      <w:r w:rsidR="007B6432" w:rsidRPr="009F3306">
        <w:rPr>
          <w:rFonts w:cs="AdvPED1282"/>
          <w:noProof/>
          <w:color w:val="000000"/>
          <w:lang w:val="en-US"/>
        </w:rPr>
        <w:t>, 1991)</w:t>
      </w:r>
      <w:r w:rsidR="007B6432">
        <w:rPr>
          <w:rFonts w:cs="AdvPED1282"/>
          <w:noProof/>
          <w:color w:val="000000"/>
          <w:lang w:val="en-US"/>
        </w:rPr>
        <w:t xml:space="preserve"> </w:t>
      </w:r>
      <w:r w:rsidR="0073064B">
        <w:rPr>
          <w:rFonts w:cs="AdvPED1282"/>
          <w:noProof/>
          <w:color w:val="000000"/>
          <w:lang w:val="en-US"/>
        </w:rPr>
        <w:t>(Midthj</w:t>
      </w:r>
      <w:r w:rsidR="007B6432" w:rsidRPr="00B16B10">
        <w:rPr>
          <w:rFonts w:cs="AdvPED1282"/>
          <w:noProof/>
          <w:color w:val="000000"/>
          <w:lang w:val="en-US"/>
        </w:rPr>
        <w:t>ell et al</w:t>
      </w:r>
      <w:r w:rsidR="007B6432" w:rsidRPr="009F3306">
        <w:rPr>
          <w:rFonts w:cs="AdvPED1282"/>
          <w:noProof/>
          <w:color w:val="000000"/>
          <w:lang w:val="en-US"/>
        </w:rPr>
        <w:t>, 1999)</w:t>
      </w:r>
      <w:r w:rsidR="007B6432">
        <w:rPr>
          <w:rFonts w:cs="AdvPED1282"/>
          <w:color w:val="000000"/>
          <w:lang w:val="en-US"/>
        </w:rPr>
        <w:t xml:space="preserve"> </w:t>
      </w:r>
      <w:r w:rsidR="007B6432" w:rsidRPr="009F3306">
        <w:rPr>
          <w:rFonts w:cs="AdvPED1282"/>
          <w:noProof/>
          <w:color w:val="000000"/>
          <w:lang w:val="en-US"/>
        </w:rPr>
        <w:t>(Flegal &amp; Troiano, 2000)</w:t>
      </w:r>
      <w:r w:rsidR="007B6432">
        <w:rPr>
          <w:rFonts w:cs="AdvPED1282"/>
          <w:noProof/>
          <w:color w:val="000000"/>
          <w:lang w:val="en-US"/>
        </w:rPr>
        <w:t>.</w:t>
      </w:r>
      <w:r w:rsidR="007B6432">
        <w:rPr>
          <w:rFonts w:cs="AdvPED1282"/>
          <w:color w:val="000000"/>
          <w:lang w:val="en-US"/>
        </w:rPr>
        <w:t xml:space="preserve"> </w:t>
      </w:r>
      <w:r w:rsidR="00EB185F">
        <w:rPr>
          <w:rFonts w:cs="AdvPED1282"/>
          <w:color w:val="000000"/>
          <w:lang w:val="en-US"/>
        </w:rPr>
        <w:t>Identifying</w:t>
      </w:r>
      <w:r w:rsidR="001370D6">
        <w:rPr>
          <w:rFonts w:cs="AdvPED1282"/>
          <w:color w:val="000000"/>
          <w:lang w:val="en-US"/>
        </w:rPr>
        <w:t xml:space="preserve"> </w:t>
      </w:r>
      <w:r w:rsidR="00EB185F">
        <w:rPr>
          <w:rFonts w:cs="AdvPED1282"/>
          <w:color w:val="000000"/>
          <w:lang w:val="en-US"/>
        </w:rPr>
        <w:t xml:space="preserve">changes in the distribution of BMI </w:t>
      </w:r>
      <w:r w:rsidR="00F92DD6">
        <w:rPr>
          <w:rFonts w:cs="AdvPED1282"/>
          <w:color w:val="000000"/>
          <w:lang w:val="en-US"/>
        </w:rPr>
        <w:t xml:space="preserve">and linking them to the determinants </w:t>
      </w:r>
      <w:r w:rsidR="00EB185F">
        <w:rPr>
          <w:rFonts w:cs="AdvPED1282"/>
          <w:color w:val="000000"/>
          <w:lang w:val="en-US"/>
        </w:rPr>
        <w:t>of BMI</w:t>
      </w:r>
      <w:r w:rsidR="001370D6">
        <w:rPr>
          <w:rFonts w:cs="AdvPED1282"/>
          <w:color w:val="000000"/>
          <w:lang w:val="en-US"/>
        </w:rPr>
        <w:t xml:space="preserve"> can </w:t>
      </w:r>
      <w:r w:rsidR="000D6920" w:rsidRPr="0031293D">
        <w:rPr>
          <w:rFonts w:cs="AdvPED1282"/>
          <w:color w:val="000000"/>
          <w:lang w:val="en-US"/>
        </w:rPr>
        <w:t>offer a better insight in the</w:t>
      </w:r>
      <w:r w:rsidR="00F92DD6">
        <w:rPr>
          <w:rFonts w:cs="AdvPED1282"/>
          <w:color w:val="000000"/>
          <w:lang w:val="en-US"/>
        </w:rPr>
        <w:t xml:space="preserve"> fight against obesity</w:t>
      </w:r>
      <w:r w:rsidR="000D6920" w:rsidRPr="0031293D">
        <w:rPr>
          <w:rFonts w:cs="AdvPED1282"/>
          <w:color w:val="000000"/>
          <w:lang w:val="en-US"/>
        </w:rPr>
        <w:t>. It can be a valuable asset</w:t>
      </w:r>
      <w:r w:rsidR="00F92DD6">
        <w:rPr>
          <w:rFonts w:cs="AdvPED1282"/>
          <w:color w:val="000000"/>
          <w:lang w:val="en-US"/>
        </w:rPr>
        <w:t xml:space="preserve"> for policy</w:t>
      </w:r>
      <w:r w:rsidR="0073064B">
        <w:rPr>
          <w:rFonts w:cs="AdvPED1282"/>
          <w:color w:val="000000"/>
          <w:lang w:val="en-US"/>
        </w:rPr>
        <w:t xml:space="preserve"> </w:t>
      </w:r>
      <w:r w:rsidR="00F92DD6">
        <w:rPr>
          <w:rFonts w:cs="AdvPED1282"/>
          <w:color w:val="000000"/>
          <w:lang w:val="en-US"/>
        </w:rPr>
        <w:t>makers</w:t>
      </w:r>
      <w:r w:rsidR="000D6920" w:rsidRPr="0031293D">
        <w:rPr>
          <w:rFonts w:cs="AdvPED1282"/>
          <w:color w:val="000000"/>
          <w:lang w:val="en-US"/>
        </w:rPr>
        <w:t xml:space="preserve"> to </w:t>
      </w:r>
      <w:r w:rsidR="00F92DD6">
        <w:rPr>
          <w:rFonts w:cs="AdvPED1282"/>
          <w:color w:val="000000"/>
          <w:lang w:val="en-US"/>
        </w:rPr>
        <w:t>understand</w:t>
      </w:r>
      <w:r w:rsidR="00F92DD6" w:rsidRPr="0031293D">
        <w:rPr>
          <w:rFonts w:cs="AdvPED1282"/>
          <w:color w:val="000000"/>
          <w:lang w:val="en-US"/>
        </w:rPr>
        <w:t xml:space="preserve"> </w:t>
      </w:r>
      <w:r w:rsidR="000D6920" w:rsidRPr="0031293D">
        <w:rPr>
          <w:rFonts w:cs="AdvPED1282"/>
          <w:color w:val="000000"/>
          <w:lang w:val="en-US"/>
        </w:rPr>
        <w:t>th</w:t>
      </w:r>
      <w:r w:rsidR="00F92DD6">
        <w:rPr>
          <w:rFonts w:cs="AdvPED1282"/>
          <w:color w:val="000000"/>
          <w:lang w:val="en-US"/>
        </w:rPr>
        <w:t>e</w:t>
      </w:r>
      <w:r w:rsidR="000D6920" w:rsidRPr="0031293D">
        <w:rPr>
          <w:rFonts w:cs="AdvPED1282"/>
          <w:color w:val="000000"/>
          <w:lang w:val="en-US"/>
        </w:rPr>
        <w:t xml:space="preserve"> complex relationship of BMI an</w:t>
      </w:r>
      <w:r w:rsidR="0043561A">
        <w:rPr>
          <w:rFonts w:cs="AdvPED1282"/>
          <w:color w:val="000000"/>
          <w:lang w:val="en-US"/>
        </w:rPr>
        <w:t>d its drivers</w:t>
      </w:r>
      <w:r w:rsidR="00F92DD6">
        <w:rPr>
          <w:rFonts w:cs="AdvPED1282"/>
          <w:color w:val="000000"/>
          <w:lang w:val="en-US"/>
        </w:rPr>
        <w:t xml:space="preserve"> as well as to know which people in the BMI distribution are getting fatter or slimmer. This can provide a </w:t>
      </w:r>
      <w:r w:rsidR="009C68E6">
        <w:rPr>
          <w:rFonts w:cs="AdvPED1282"/>
          <w:color w:val="000000"/>
          <w:lang w:val="en-US"/>
        </w:rPr>
        <w:t xml:space="preserve">basis </w:t>
      </w:r>
      <w:r w:rsidR="00F92DD6">
        <w:rPr>
          <w:rFonts w:cs="AdvPED1282"/>
          <w:color w:val="000000"/>
          <w:lang w:val="en-US"/>
        </w:rPr>
        <w:t>for more effective strategies</w:t>
      </w:r>
      <w:r w:rsidR="009C68E6">
        <w:rPr>
          <w:rFonts w:cs="AdvPED1282"/>
          <w:color w:val="000000"/>
          <w:lang w:val="en-US"/>
        </w:rPr>
        <w:t xml:space="preserve"> against </w:t>
      </w:r>
      <w:r w:rsidR="008C4514">
        <w:rPr>
          <w:rFonts w:cs="AdvPED1282"/>
          <w:color w:val="000000"/>
          <w:lang w:val="en-US"/>
        </w:rPr>
        <w:t xml:space="preserve">high </w:t>
      </w:r>
      <w:r w:rsidR="009C68E6">
        <w:rPr>
          <w:rFonts w:cs="AdvPED1282"/>
          <w:color w:val="000000"/>
          <w:lang w:val="en-US"/>
        </w:rPr>
        <w:t xml:space="preserve">BMI and more targeted </w:t>
      </w:r>
      <w:r w:rsidR="00F92DD6">
        <w:rPr>
          <w:rFonts w:cs="AdvPED1282"/>
          <w:color w:val="000000"/>
          <w:lang w:val="en-US"/>
        </w:rPr>
        <w:t xml:space="preserve">interventions </w:t>
      </w:r>
      <w:r w:rsidR="009C68E6">
        <w:rPr>
          <w:rFonts w:cs="AdvPED1282"/>
          <w:color w:val="000000"/>
          <w:lang w:val="en-US"/>
        </w:rPr>
        <w:t>on specific groups in the population</w:t>
      </w:r>
      <w:r w:rsidR="0043561A">
        <w:rPr>
          <w:rFonts w:cs="AdvPED1282"/>
          <w:color w:val="000000"/>
          <w:lang w:val="en-US"/>
        </w:rPr>
        <w:t>.</w:t>
      </w:r>
      <w:r w:rsidR="00FA0DA0">
        <w:rPr>
          <w:rFonts w:cs="AdvPED1282"/>
          <w:color w:val="000000"/>
          <w:lang w:val="en-US"/>
        </w:rPr>
        <w:t xml:space="preserve"> </w:t>
      </w:r>
    </w:p>
    <w:p w14:paraId="4177D7A8" w14:textId="174FEA20" w:rsidR="00901D8D" w:rsidRDefault="0026648F" w:rsidP="004D1DB1">
      <w:pPr>
        <w:spacing w:line="360" w:lineRule="auto"/>
        <w:ind w:firstLine="360"/>
        <w:jc w:val="both"/>
        <w:rPr>
          <w:rFonts w:cs="AdvPED1282"/>
          <w:color w:val="000000"/>
          <w:lang w:val="en-US"/>
        </w:rPr>
      </w:pPr>
      <w:r>
        <w:rPr>
          <w:rFonts w:cs="AdvPED1282"/>
          <w:color w:val="000000"/>
          <w:lang w:val="en-US"/>
        </w:rPr>
        <w:t>The aim</w:t>
      </w:r>
      <w:r w:rsidR="006347BF" w:rsidRPr="0031293D">
        <w:rPr>
          <w:rFonts w:cs="AdvPED1282"/>
          <w:color w:val="000000"/>
          <w:lang w:val="en-US"/>
        </w:rPr>
        <w:t xml:space="preserve"> of this research will be to identify key variables associated with BMI changes over time</w:t>
      </w:r>
      <w:r w:rsidR="009C68E6">
        <w:rPr>
          <w:rFonts w:cs="AdvPED1282"/>
          <w:color w:val="000000"/>
          <w:lang w:val="en-US"/>
        </w:rPr>
        <w:t xml:space="preserve"> and</w:t>
      </w:r>
      <w:r w:rsidR="006347BF" w:rsidRPr="0031293D">
        <w:rPr>
          <w:rFonts w:cs="AdvPED1282"/>
          <w:color w:val="000000"/>
          <w:lang w:val="en-US"/>
        </w:rPr>
        <w:t xml:space="preserve"> to unravel</w:t>
      </w:r>
      <w:r w:rsidR="009C68E6">
        <w:rPr>
          <w:rFonts w:cs="AdvPED1282"/>
          <w:color w:val="000000"/>
          <w:lang w:val="en-US"/>
        </w:rPr>
        <w:t xml:space="preserve"> the evolution of the</w:t>
      </w:r>
      <w:r w:rsidR="00450272">
        <w:rPr>
          <w:rFonts w:cs="AdvPED1282"/>
          <w:color w:val="000000"/>
          <w:lang w:val="en-US"/>
        </w:rPr>
        <w:t xml:space="preserve"> BMI distribution</w:t>
      </w:r>
      <w:r w:rsidR="009C68E6">
        <w:rPr>
          <w:rFonts w:cs="AdvPED1282"/>
          <w:color w:val="000000"/>
          <w:lang w:val="en-US"/>
        </w:rPr>
        <w:t>.</w:t>
      </w:r>
      <w:r w:rsidR="006347BF" w:rsidRPr="0031293D">
        <w:rPr>
          <w:rFonts w:cs="AdvPED1282"/>
          <w:color w:val="000000"/>
          <w:lang w:val="en-US"/>
        </w:rPr>
        <w:t xml:space="preserve"> </w:t>
      </w:r>
      <w:r w:rsidR="00B45285">
        <w:rPr>
          <w:rFonts w:cs="AdvPED1282"/>
          <w:color w:val="000000"/>
          <w:lang w:val="en-US"/>
        </w:rPr>
        <w:t>This will be done by using the decomposition method of Oaxaca and Blinder. Their intuition implies that d</w:t>
      </w:r>
      <w:r w:rsidR="009C68E6">
        <w:rPr>
          <w:rFonts w:cs="AdvPED1282"/>
          <w:color w:val="000000"/>
          <w:lang w:val="en-US"/>
        </w:rPr>
        <w:t>eterminants of a person’s BMI can show</w:t>
      </w:r>
      <w:r w:rsidR="006347BF" w:rsidRPr="0031293D">
        <w:rPr>
          <w:rFonts w:cs="AdvPED1282"/>
          <w:color w:val="000000"/>
          <w:lang w:val="en-US"/>
        </w:rPr>
        <w:t xml:space="preserve"> their </w:t>
      </w:r>
      <w:r w:rsidR="00FC2F10">
        <w:rPr>
          <w:rFonts w:cs="AdvPED1282"/>
          <w:color w:val="000000"/>
          <w:lang w:val="en-US"/>
        </w:rPr>
        <w:t xml:space="preserve">impact </w:t>
      </w:r>
      <w:r w:rsidR="009C68E6">
        <w:rPr>
          <w:rFonts w:cs="AdvPED1282"/>
          <w:color w:val="000000"/>
          <w:lang w:val="en-US"/>
        </w:rPr>
        <w:t>in two different</w:t>
      </w:r>
      <w:r w:rsidR="00B471D6">
        <w:rPr>
          <w:rFonts w:cs="AdvPED1282"/>
          <w:color w:val="000000"/>
          <w:lang w:val="en-US"/>
        </w:rPr>
        <w:t xml:space="preserve"> ways;</w:t>
      </w:r>
      <w:r w:rsidR="009C68E6">
        <w:rPr>
          <w:rFonts w:cs="AdvPED1282"/>
          <w:color w:val="000000"/>
          <w:lang w:val="en-US"/>
        </w:rPr>
        <w:t xml:space="preserve"> (1)</w:t>
      </w:r>
      <w:r w:rsidR="006347BF" w:rsidRPr="0031293D">
        <w:rPr>
          <w:rFonts w:cs="AdvPED1282"/>
          <w:color w:val="000000"/>
          <w:lang w:val="en-US"/>
        </w:rPr>
        <w:t xml:space="preserve"> in terms</w:t>
      </w:r>
      <w:r w:rsidR="00B471D6">
        <w:rPr>
          <w:rFonts w:cs="AdvPED1282"/>
          <w:color w:val="000000"/>
          <w:lang w:val="en-US"/>
        </w:rPr>
        <w:t xml:space="preserve"> of</w:t>
      </w:r>
      <w:r w:rsidR="009C68E6">
        <w:rPr>
          <w:rFonts w:cs="AdvPED1282"/>
          <w:color w:val="000000"/>
          <w:lang w:val="en-US"/>
        </w:rPr>
        <w:t xml:space="preserve"> </w:t>
      </w:r>
      <w:r w:rsidR="006347BF" w:rsidRPr="0031293D">
        <w:rPr>
          <w:rFonts w:cs="AdvPED1282"/>
          <w:color w:val="000000"/>
          <w:lang w:val="en-US"/>
        </w:rPr>
        <w:t>input</w:t>
      </w:r>
      <w:r w:rsidR="009C68E6">
        <w:rPr>
          <w:rFonts w:cs="AdvPED1282"/>
          <w:color w:val="000000"/>
          <w:lang w:val="en-US"/>
        </w:rPr>
        <w:t>, meaning</w:t>
      </w:r>
      <w:r w:rsidR="002851C7">
        <w:rPr>
          <w:rFonts w:cs="AdvPED1282"/>
          <w:color w:val="000000"/>
          <w:lang w:val="en-US"/>
        </w:rPr>
        <w:t xml:space="preserve"> that a certain characteristic is </w:t>
      </w:r>
      <w:r w:rsidR="002851C7">
        <w:rPr>
          <w:rFonts w:cs="AdvPED1282"/>
          <w:color w:val="000000"/>
          <w:lang w:val="en-US"/>
        </w:rPr>
        <w:lastRenderedPageBreak/>
        <w:t>found in that person</w:t>
      </w:r>
      <w:r w:rsidR="009C68E6">
        <w:rPr>
          <w:rFonts w:cs="AdvPED1282"/>
          <w:color w:val="000000"/>
          <w:lang w:val="en-US"/>
        </w:rPr>
        <w:t xml:space="preserve"> </w:t>
      </w:r>
      <w:r w:rsidR="002851C7">
        <w:rPr>
          <w:rFonts w:cs="AdvPED1282"/>
          <w:color w:val="000000"/>
          <w:lang w:val="en-US"/>
        </w:rPr>
        <w:t xml:space="preserve">or indicates </w:t>
      </w:r>
      <w:r w:rsidR="009C68E6">
        <w:rPr>
          <w:rFonts w:cs="AdvPED1282"/>
          <w:color w:val="000000"/>
          <w:lang w:val="en-US"/>
        </w:rPr>
        <w:t>how many</w:t>
      </w:r>
      <w:r w:rsidR="006347BF" w:rsidRPr="0031293D">
        <w:rPr>
          <w:rFonts w:cs="AdvPED1282"/>
          <w:color w:val="000000"/>
          <w:lang w:val="en-US"/>
        </w:rPr>
        <w:t xml:space="preserve"> </w:t>
      </w:r>
      <w:r w:rsidR="009C68E6">
        <w:rPr>
          <w:rFonts w:cs="AdvPED1282"/>
          <w:color w:val="000000"/>
          <w:lang w:val="en-US"/>
        </w:rPr>
        <w:t>someone has of that variable</w:t>
      </w:r>
      <w:r w:rsidR="00B471D6">
        <w:rPr>
          <w:rFonts w:cs="AdvPED1282"/>
          <w:color w:val="000000"/>
          <w:lang w:val="en-US"/>
        </w:rPr>
        <w:t xml:space="preserve">; (2) </w:t>
      </w:r>
      <w:r w:rsidR="006347BF" w:rsidRPr="0031293D">
        <w:rPr>
          <w:rFonts w:cs="AdvPED1282"/>
          <w:color w:val="000000"/>
          <w:lang w:val="en-US"/>
        </w:rPr>
        <w:t>the</w:t>
      </w:r>
      <w:r w:rsidR="00B471D6">
        <w:rPr>
          <w:rFonts w:cs="AdvPED1282"/>
          <w:color w:val="000000"/>
          <w:lang w:val="en-US"/>
        </w:rPr>
        <w:t xml:space="preserve"> strength of the</w:t>
      </w:r>
      <w:r w:rsidR="006347BF" w:rsidRPr="0031293D">
        <w:rPr>
          <w:rFonts w:cs="AdvPED1282"/>
          <w:color w:val="000000"/>
          <w:lang w:val="en-US"/>
        </w:rPr>
        <w:t xml:space="preserve"> relationship </w:t>
      </w:r>
      <w:r w:rsidR="00B471D6">
        <w:rPr>
          <w:rFonts w:cs="AdvPED1282"/>
          <w:color w:val="000000"/>
          <w:lang w:val="en-US"/>
        </w:rPr>
        <w:t>between the</w:t>
      </w:r>
      <w:r w:rsidR="006347BF" w:rsidRPr="0031293D">
        <w:rPr>
          <w:rFonts w:cs="AdvPED1282"/>
          <w:color w:val="000000"/>
          <w:lang w:val="en-US"/>
        </w:rPr>
        <w:t xml:space="preserve"> variable </w:t>
      </w:r>
      <w:r w:rsidR="00B471D6">
        <w:rPr>
          <w:rFonts w:cs="AdvPED1282"/>
          <w:color w:val="000000"/>
          <w:lang w:val="en-US"/>
        </w:rPr>
        <w:t>and</w:t>
      </w:r>
      <w:r w:rsidR="006347BF" w:rsidRPr="0031293D">
        <w:rPr>
          <w:rFonts w:cs="AdvPED1282"/>
          <w:color w:val="000000"/>
          <w:lang w:val="en-US"/>
        </w:rPr>
        <w:t xml:space="preserve"> BMI.</w:t>
      </w:r>
      <w:r w:rsidR="00B471D6">
        <w:rPr>
          <w:rFonts w:cs="AdvPED1282"/>
          <w:color w:val="000000"/>
          <w:lang w:val="en-US"/>
        </w:rPr>
        <w:t xml:space="preserve"> </w:t>
      </w:r>
      <w:r w:rsidR="00FC2F10" w:rsidRPr="0031293D">
        <w:rPr>
          <w:rFonts w:cs="AdvPED1282"/>
          <w:color w:val="000000"/>
          <w:lang w:val="en-US"/>
        </w:rPr>
        <w:t>The basic idea is</w:t>
      </w:r>
      <w:r w:rsidR="00FC2F10">
        <w:rPr>
          <w:rFonts w:cs="AdvPED1282"/>
          <w:color w:val="000000"/>
          <w:lang w:val="en-US"/>
        </w:rPr>
        <w:t xml:space="preserve"> that the total impact</w:t>
      </w:r>
      <w:r w:rsidR="00FC2F10" w:rsidRPr="0031293D">
        <w:rPr>
          <w:rFonts w:cs="AdvPED1282"/>
          <w:color w:val="000000"/>
          <w:lang w:val="en-US"/>
        </w:rPr>
        <w:t xml:space="preserve"> </w:t>
      </w:r>
      <w:r w:rsidR="00FC2F10">
        <w:rPr>
          <w:rFonts w:cs="AdvPED1282"/>
          <w:color w:val="000000"/>
          <w:lang w:val="en-US"/>
        </w:rPr>
        <w:t>of a determinant on BMI is driven by</w:t>
      </w:r>
      <w:r w:rsidR="00FC2F10" w:rsidRPr="0031293D">
        <w:rPr>
          <w:rFonts w:cs="AdvPED1282"/>
          <w:color w:val="000000"/>
          <w:lang w:val="en-US"/>
        </w:rPr>
        <w:t xml:space="preserve"> the</w:t>
      </w:r>
      <w:r w:rsidR="00FC2F10">
        <w:rPr>
          <w:rFonts w:cs="AdvPED1282"/>
          <w:color w:val="000000"/>
          <w:lang w:val="en-US"/>
        </w:rPr>
        <w:t xml:space="preserve">se two components </w:t>
      </w:r>
      <w:r w:rsidR="00FC2F10" w:rsidRPr="00EC3838">
        <w:rPr>
          <w:rFonts w:cs="AdvPED1282"/>
          <w:noProof/>
          <w:color w:val="000000"/>
          <w:lang w:val="en-US"/>
        </w:rPr>
        <w:t>(Fortin</w:t>
      </w:r>
      <w:r w:rsidR="00FC2F10">
        <w:rPr>
          <w:rFonts w:cs="AdvPED1282"/>
          <w:noProof/>
          <w:color w:val="000000"/>
          <w:lang w:val="en-US"/>
        </w:rPr>
        <w:t xml:space="preserve"> et al,</w:t>
      </w:r>
      <w:r w:rsidR="00FC2F10" w:rsidRPr="00EC3838">
        <w:rPr>
          <w:rFonts w:cs="AdvPED1282"/>
          <w:noProof/>
          <w:color w:val="000000"/>
          <w:lang w:val="en-US"/>
        </w:rPr>
        <w:t xml:space="preserve"> 2011)</w:t>
      </w:r>
      <w:r w:rsidR="00FC2F10">
        <w:rPr>
          <w:rFonts w:cs="AdvPED1282"/>
          <w:color w:val="000000"/>
          <w:lang w:val="en-US"/>
        </w:rPr>
        <w:t xml:space="preserve">. </w:t>
      </w:r>
      <w:r w:rsidR="00B471D6">
        <w:rPr>
          <w:rFonts w:cs="AdvPED1282"/>
          <w:color w:val="000000"/>
          <w:lang w:val="en-US"/>
        </w:rPr>
        <w:t>When comparing the</w:t>
      </w:r>
      <w:r w:rsidR="00FC2F10">
        <w:rPr>
          <w:rFonts w:cs="AdvPED1282"/>
          <w:color w:val="000000"/>
          <w:lang w:val="en-US"/>
        </w:rPr>
        <w:t xml:space="preserve"> impact of determinants on</w:t>
      </w:r>
      <w:r w:rsidR="00B471D6">
        <w:rPr>
          <w:rFonts w:cs="AdvPED1282"/>
          <w:color w:val="000000"/>
          <w:lang w:val="en-US"/>
        </w:rPr>
        <w:t xml:space="preserve"> BMI in two different time periods</w:t>
      </w:r>
      <w:r w:rsidR="00FC2F10">
        <w:rPr>
          <w:rFonts w:cs="AdvPED1282"/>
          <w:color w:val="000000"/>
          <w:lang w:val="en-US"/>
        </w:rPr>
        <w:t>,</w:t>
      </w:r>
      <w:r w:rsidR="00B471D6">
        <w:rPr>
          <w:rFonts w:cs="AdvPED1282"/>
          <w:color w:val="000000"/>
          <w:lang w:val="en-US"/>
        </w:rPr>
        <w:t xml:space="preserve"> </w:t>
      </w:r>
      <w:r w:rsidR="00FC2F10">
        <w:rPr>
          <w:rFonts w:cs="AdvPED1282"/>
          <w:color w:val="000000"/>
          <w:lang w:val="en-US"/>
        </w:rPr>
        <w:t xml:space="preserve">a change can be observed in these two components. </w:t>
      </w:r>
      <w:r w:rsidR="00B471D6">
        <w:rPr>
          <w:rFonts w:cs="AdvPED1282"/>
          <w:color w:val="000000"/>
          <w:lang w:val="en-US"/>
        </w:rPr>
        <w:t>The</w:t>
      </w:r>
      <w:r w:rsidR="00FC2F10">
        <w:rPr>
          <w:rFonts w:cs="AdvPED1282"/>
          <w:color w:val="000000"/>
          <w:lang w:val="en-US"/>
        </w:rPr>
        <w:t xml:space="preserve"> change in the</w:t>
      </w:r>
      <w:r w:rsidR="00B471D6">
        <w:rPr>
          <w:rFonts w:cs="AdvPED1282"/>
          <w:color w:val="000000"/>
          <w:lang w:val="en-US"/>
        </w:rPr>
        <w:t xml:space="preserve"> first </w:t>
      </w:r>
      <w:r w:rsidR="00FC2F10">
        <w:rPr>
          <w:rFonts w:cs="AdvPED1282"/>
          <w:color w:val="000000"/>
          <w:lang w:val="en-US"/>
        </w:rPr>
        <w:t>component</w:t>
      </w:r>
      <w:r w:rsidR="00B471D6">
        <w:rPr>
          <w:rFonts w:cs="AdvPED1282"/>
          <w:color w:val="000000"/>
          <w:lang w:val="en-US"/>
        </w:rPr>
        <w:t xml:space="preserve"> will be referred to in this study as ‘endowment change’ and the latter as ‘</w:t>
      </w:r>
      <w:r w:rsidR="002851C7">
        <w:rPr>
          <w:rFonts w:cs="AdvPED1282"/>
          <w:color w:val="000000"/>
          <w:lang w:val="en-US"/>
        </w:rPr>
        <w:t>association change</w:t>
      </w:r>
      <w:r w:rsidR="00B471D6">
        <w:rPr>
          <w:rFonts w:cs="AdvPED1282"/>
          <w:color w:val="000000"/>
          <w:lang w:val="en-US"/>
        </w:rPr>
        <w:t>’. This</w:t>
      </w:r>
      <w:r w:rsidR="006347BF" w:rsidRPr="0031293D">
        <w:rPr>
          <w:rFonts w:cs="AdvPED1282"/>
          <w:color w:val="000000"/>
          <w:lang w:val="en-US"/>
        </w:rPr>
        <w:t xml:space="preserve"> study will elaborate how the </w:t>
      </w:r>
      <w:r w:rsidR="00B471D6">
        <w:rPr>
          <w:rFonts w:cs="AdvPED1282"/>
          <w:color w:val="000000"/>
          <w:lang w:val="en-US"/>
        </w:rPr>
        <w:t>endow</w:t>
      </w:r>
      <w:r w:rsidR="00FC2F10">
        <w:rPr>
          <w:rFonts w:cs="AdvPED1282"/>
          <w:color w:val="000000"/>
          <w:lang w:val="en-US"/>
        </w:rPr>
        <w:t xml:space="preserve">ment and </w:t>
      </w:r>
      <w:r w:rsidR="002851C7">
        <w:rPr>
          <w:rFonts w:cs="AdvPED1282"/>
          <w:color w:val="000000"/>
          <w:lang w:val="en-US"/>
        </w:rPr>
        <w:t>association change</w:t>
      </w:r>
      <w:r w:rsidR="006347BF" w:rsidRPr="0031293D">
        <w:rPr>
          <w:rFonts w:cs="AdvPED1282"/>
          <w:color w:val="000000"/>
          <w:lang w:val="en-US"/>
        </w:rPr>
        <w:t>s</w:t>
      </w:r>
      <w:r w:rsidR="00FC2F10">
        <w:rPr>
          <w:rFonts w:cs="AdvPED1282"/>
          <w:color w:val="000000"/>
          <w:lang w:val="en-US"/>
        </w:rPr>
        <w:t xml:space="preserve"> of </w:t>
      </w:r>
      <w:r w:rsidR="00B16B10">
        <w:rPr>
          <w:rFonts w:cs="AdvPED1282"/>
          <w:color w:val="000000"/>
          <w:lang w:val="en-US"/>
        </w:rPr>
        <w:t xml:space="preserve">different </w:t>
      </w:r>
      <w:r w:rsidR="00FC2F10">
        <w:rPr>
          <w:rFonts w:cs="AdvPED1282"/>
          <w:color w:val="000000"/>
          <w:lang w:val="en-US"/>
        </w:rPr>
        <w:t>variables affected</w:t>
      </w:r>
      <w:r w:rsidR="006347BF" w:rsidRPr="0031293D">
        <w:rPr>
          <w:rFonts w:cs="AdvPED1282"/>
          <w:color w:val="000000"/>
          <w:lang w:val="en-US"/>
        </w:rPr>
        <w:t xml:space="preserve"> BMI</w:t>
      </w:r>
      <w:r w:rsidR="00FC2F10">
        <w:rPr>
          <w:rFonts w:cs="AdvPED1282"/>
          <w:color w:val="000000"/>
          <w:lang w:val="en-US"/>
        </w:rPr>
        <w:t xml:space="preserve"> over time.</w:t>
      </w:r>
    </w:p>
    <w:p w14:paraId="2D992FA9" w14:textId="51517DD4" w:rsidR="004573A4" w:rsidRPr="006D2DB3" w:rsidRDefault="00CD4217" w:rsidP="004D1DB1">
      <w:pPr>
        <w:spacing w:line="360" w:lineRule="auto"/>
        <w:ind w:firstLine="360"/>
        <w:jc w:val="both"/>
        <w:rPr>
          <w:rFonts w:cs="AdvPED1282"/>
          <w:color w:val="000000"/>
          <w:lang w:val="en-US"/>
        </w:rPr>
      </w:pPr>
      <w:r>
        <w:rPr>
          <w:rFonts w:cs="AdvPED1282"/>
          <w:color w:val="000000"/>
          <w:lang w:val="en-US"/>
        </w:rPr>
        <w:t>However, there is a need to go beyond the analysis of the mean BMI to uncover the inequalities in the distribution of BMI</w:t>
      </w:r>
      <w:r w:rsidR="00003CB0">
        <w:rPr>
          <w:rFonts w:cs="AdvPED1282"/>
          <w:color w:val="000000"/>
          <w:lang w:val="en-US"/>
        </w:rPr>
        <w:t xml:space="preserve"> and put Rose’s concept to the test</w:t>
      </w:r>
      <w:r>
        <w:rPr>
          <w:rFonts w:cs="AdvPED1282"/>
          <w:color w:val="000000"/>
          <w:lang w:val="en-US"/>
        </w:rPr>
        <w:t xml:space="preserve">. </w:t>
      </w:r>
      <w:r w:rsidR="00101728">
        <w:rPr>
          <w:rFonts w:cs="AdvPED1282"/>
          <w:color w:val="000000"/>
          <w:lang w:val="en-US"/>
        </w:rPr>
        <w:t>A population’s</w:t>
      </w:r>
      <w:r w:rsidR="00901D8D">
        <w:rPr>
          <w:rFonts w:cs="AdvPED1282"/>
          <w:color w:val="000000"/>
          <w:lang w:val="en-US"/>
        </w:rPr>
        <w:t xml:space="preserve"> distribution of BMI is obtained by </w:t>
      </w:r>
      <w:r w:rsidR="00101728">
        <w:rPr>
          <w:rFonts w:cs="AdvPED1282"/>
          <w:color w:val="000000"/>
          <w:lang w:val="en-US"/>
        </w:rPr>
        <w:t xml:space="preserve">sorting </w:t>
      </w:r>
      <w:r w:rsidR="00195F41">
        <w:rPr>
          <w:rFonts w:cs="AdvPED1282"/>
          <w:color w:val="000000"/>
          <w:lang w:val="en-US"/>
        </w:rPr>
        <w:t>all</w:t>
      </w:r>
      <w:r w:rsidR="00101728">
        <w:rPr>
          <w:rFonts w:cs="AdvPED1282"/>
          <w:color w:val="000000"/>
          <w:lang w:val="en-US"/>
        </w:rPr>
        <w:t xml:space="preserve"> people in the population from the lowest BMI value to the highest</w:t>
      </w:r>
      <w:r w:rsidR="006208B0">
        <w:rPr>
          <w:rFonts w:cs="AdvPED1282"/>
          <w:color w:val="000000"/>
          <w:lang w:val="en-US"/>
        </w:rPr>
        <w:t xml:space="preserve"> BMI</w:t>
      </w:r>
      <w:r w:rsidR="00101728">
        <w:rPr>
          <w:rFonts w:cs="AdvPED1282"/>
          <w:color w:val="000000"/>
          <w:lang w:val="en-US"/>
        </w:rPr>
        <w:t xml:space="preserve"> value. </w:t>
      </w:r>
      <w:r w:rsidR="00901D8D">
        <w:rPr>
          <w:rFonts w:cs="AdvPED1282"/>
          <w:color w:val="000000"/>
          <w:lang w:val="en-US"/>
        </w:rPr>
        <w:t xml:space="preserve">By </w:t>
      </w:r>
      <w:r w:rsidR="00101728">
        <w:rPr>
          <w:rFonts w:cs="AdvPED1282"/>
          <w:color w:val="000000"/>
          <w:lang w:val="en-US"/>
        </w:rPr>
        <w:t>comparing BMI observations of two time periods the change of everyone’s BMI can be measured</w:t>
      </w:r>
      <w:r w:rsidR="00195F41">
        <w:rPr>
          <w:rFonts w:cs="AdvPED1282"/>
          <w:color w:val="000000"/>
          <w:lang w:val="en-US"/>
        </w:rPr>
        <w:t xml:space="preserve">. </w:t>
      </w:r>
      <w:r w:rsidR="00195F41">
        <w:rPr>
          <w:rFonts w:cs="AdvPED1282"/>
          <w:color w:val="000000"/>
          <w:lang w:val="en-US"/>
        </w:rPr>
        <w:lastRenderedPageBreak/>
        <w:t>W</w:t>
      </w:r>
      <w:r w:rsidR="00101728">
        <w:rPr>
          <w:rFonts w:cs="AdvPED1282"/>
          <w:color w:val="000000"/>
          <w:lang w:val="en-US"/>
        </w:rPr>
        <w:t>ith this information the</w:t>
      </w:r>
      <w:r w:rsidR="00901D8D">
        <w:rPr>
          <w:rFonts w:cs="AdvPED1282"/>
          <w:color w:val="000000"/>
          <w:lang w:val="en-US"/>
        </w:rPr>
        <w:t xml:space="preserve"> path </w:t>
      </w:r>
      <w:r w:rsidR="00101728">
        <w:rPr>
          <w:rFonts w:cs="AdvPED1282"/>
          <w:color w:val="000000"/>
          <w:lang w:val="en-US"/>
        </w:rPr>
        <w:t>that each individual</w:t>
      </w:r>
      <w:r w:rsidR="00901D8D">
        <w:rPr>
          <w:rFonts w:cs="AdvPED1282"/>
          <w:color w:val="000000"/>
          <w:lang w:val="en-US"/>
        </w:rPr>
        <w:t xml:space="preserve"> travelled in the BMI distribution can be tracked. </w:t>
      </w:r>
      <w:r w:rsidR="00101728">
        <w:rPr>
          <w:rFonts w:cs="AdvPED1282"/>
          <w:color w:val="000000"/>
          <w:lang w:val="en-US"/>
        </w:rPr>
        <w:t>This means that, compared to the first period, people may have gone up in the distribution, have gone down, or stayed at the same place. This is off course offset by their own change in BMI, but</w:t>
      </w:r>
      <w:r w:rsidR="00195F41">
        <w:rPr>
          <w:rFonts w:cs="AdvPED1282"/>
          <w:color w:val="000000"/>
          <w:lang w:val="en-US"/>
        </w:rPr>
        <w:t xml:space="preserve"> also depends on how BMI changed for</w:t>
      </w:r>
      <w:r w:rsidR="00101728">
        <w:rPr>
          <w:rFonts w:cs="AdvPED1282"/>
          <w:color w:val="000000"/>
          <w:lang w:val="en-US"/>
        </w:rPr>
        <w:t xml:space="preserve"> other people in </w:t>
      </w:r>
      <w:r w:rsidR="00195F41">
        <w:rPr>
          <w:rFonts w:cs="AdvPED1282"/>
          <w:color w:val="000000"/>
          <w:lang w:val="en-US"/>
        </w:rPr>
        <w:t>the population. To illustrate: i</w:t>
      </w:r>
      <w:r w:rsidR="00101728">
        <w:rPr>
          <w:rFonts w:cs="AdvPED1282"/>
          <w:color w:val="000000"/>
          <w:lang w:val="en-US"/>
        </w:rPr>
        <w:t xml:space="preserve">f </w:t>
      </w:r>
      <w:r w:rsidR="00195F41">
        <w:rPr>
          <w:rFonts w:cs="AdvPED1282"/>
          <w:color w:val="000000"/>
          <w:lang w:val="en-US"/>
        </w:rPr>
        <w:t>someone’s</w:t>
      </w:r>
      <w:r w:rsidR="00101728">
        <w:rPr>
          <w:rFonts w:cs="AdvPED1282"/>
          <w:color w:val="000000"/>
          <w:lang w:val="en-US"/>
        </w:rPr>
        <w:t xml:space="preserve"> BMI has risen </w:t>
      </w:r>
      <w:r w:rsidR="007714BC">
        <w:rPr>
          <w:rFonts w:cs="AdvPED1282"/>
          <w:color w:val="000000"/>
          <w:lang w:val="en-US"/>
        </w:rPr>
        <w:t>it does not automatically mean</w:t>
      </w:r>
      <w:r w:rsidR="00B83ACE">
        <w:rPr>
          <w:rFonts w:cs="AdvPED1282"/>
          <w:color w:val="000000"/>
          <w:lang w:val="en-US"/>
        </w:rPr>
        <w:t xml:space="preserve"> he goes up in the distribution. This is</w:t>
      </w:r>
      <w:r w:rsidR="007714BC">
        <w:rPr>
          <w:rFonts w:cs="AdvPED1282"/>
          <w:color w:val="000000"/>
          <w:lang w:val="en-US"/>
        </w:rPr>
        <w:t xml:space="preserve"> because h</w:t>
      </w:r>
      <w:r w:rsidR="00B83ACE">
        <w:rPr>
          <w:rFonts w:cs="AdvPED1282"/>
          <w:color w:val="000000"/>
          <w:lang w:val="en-US"/>
        </w:rPr>
        <w:t xml:space="preserve">is </w:t>
      </w:r>
      <w:r w:rsidR="007714BC">
        <w:rPr>
          <w:rFonts w:cs="AdvPED1282"/>
          <w:color w:val="000000"/>
          <w:lang w:val="en-US"/>
        </w:rPr>
        <w:t>rank is also affected by others that maybe have gotten much fatter than him and overtake his place in the distribution. The opposite off course</w:t>
      </w:r>
      <w:r w:rsidR="00B83ACE">
        <w:rPr>
          <w:rFonts w:cs="AdvPED1282"/>
          <w:color w:val="000000"/>
          <w:lang w:val="en-US"/>
        </w:rPr>
        <w:t xml:space="preserve"> holds for people that decrease</w:t>
      </w:r>
      <w:r w:rsidR="007714BC">
        <w:rPr>
          <w:rFonts w:cs="AdvPED1282"/>
          <w:color w:val="000000"/>
          <w:lang w:val="en-US"/>
        </w:rPr>
        <w:t xml:space="preserve"> their BMI, </w:t>
      </w:r>
      <w:r w:rsidR="008D148B">
        <w:rPr>
          <w:rFonts w:cs="AdvPED1282"/>
          <w:color w:val="000000"/>
          <w:lang w:val="en-US"/>
        </w:rPr>
        <w:t>whose</w:t>
      </w:r>
      <w:r w:rsidR="007714BC">
        <w:rPr>
          <w:rFonts w:cs="AdvPED1282"/>
          <w:color w:val="000000"/>
          <w:lang w:val="en-US"/>
        </w:rPr>
        <w:t xml:space="preserve"> potential downfall in the distribution will let the ranks of others rise. </w:t>
      </w:r>
      <w:r w:rsidR="00B53799">
        <w:rPr>
          <w:rFonts w:cs="AdvPED1282"/>
          <w:color w:val="000000"/>
          <w:lang w:val="en-US"/>
        </w:rPr>
        <w:t>One can imagine t</w:t>
      </w:r>
      <w:r w:rsidR="005A44F0">
        <w:rPr>
          <w:rFonts w:cs="AdvPED1282"/>
          <w:color w:val="000000"/>
          <w:lang w:val="en-US"/>
        </w:rPr>
        <w:t>hat the</w:t>
      </w:r>
      <w:r w:rsidR="00B83ACE">
        <w:rPr>
          <w:rFonts w:cs="AdvPED1282"/>
          <w:color w:val="000000"/>
          <w:lang w:val="en-US"/>
        </w:rPr>
        <w:t xml:space="preserve"> order of people, the two tails of the distribution (</w:t>
      </w:r>
      <w:r w:rsidR="005A44F0">
        <w:rPr>
          <w:rFonts w:cs="AdvPED1282"/>
          <w:color w:val="000000"/>
          <w:lang w:val="en-US"/>
        </w:rPr>
        <w:t>the highest and lowest BMI value</w:t>
      </w:r>
      <w:r w:rsidR="00B83ACE">
        <w:rPr>
          <w:rFonts w:cs="AdvPED1282"/>
          <w:color w:val="000000"/>
          <w:lang w:val="en-US"/>
        </w:rPr>
        <w:t>)</w:t>
      </w:r>
      <w:r w:rsidR="005A44F0">
        <w:rPr>
          <w:rFonts w:cs="AdvPED1282"/>
          <w:color w:val="000000"/>
          <w:lang w:val="en-US"/>
        </w:rPr>
        <w:t xml:space="preserve"> and how BMI is concentrated in the population are likely to be completely different in both periods. </w:t>
      </w:r>
      <w:r w:rsidR="007714BC">
        <w:rPr>
          <w:rFonts w:cs="AdvPED1282"/>
          <w:color w:val="000000"/>
          <w:lang w:val="en-US"/>
        </w:rPr>
        <w:t xml:space="preserve">This redistribution of </w:t>
      </w:r>
      <w:r w:rsidR="005A44F0">
        <w:rPr>
          <w:rFonts w:cs="AdvPED1282"/>
          <w:color w:val="000000"/>
          <w:lang w:val="en-US"/>
        </w:rPr>
        <w:t xml:space="preserve">BMI and </w:t>
      </w:r>
      <w:r w:rsidR="007714BC">
        <w:rPr>
          <w:rFonts w:cs="AdvPED1282"/>
          <w:color w:val="000000"/>
          <w:lang w:val="en-US"/>
        </w:rPr>
        <w:t xml:space="preserve">the population will be measured, and its impact can also be decomposed in </w:t>
      </w:r>
      <w:r w:rsidR="007714BC">
        <w:rPr>
          <w:rFonts w:cs="AdvPED1282"/>
          <w:color w:val="000000"/>
          <w:lang w:val="en-US"/>
        </w:rPr>
        <w:lastRenderedPageBreak/>
        <w:t xml:space="preserve">two separate effects; (1) </w:t>
      </w:r>
      <w:r w:rsidR="00B53799">
        <w:rPr>
          <w:rFonts w:cs="AdvPED1282"/>
          <w:color w:val="000000"/>
          <w:lang w:val="en-US"/>
        </w:rPr>
        <w:t>how the changes in BMI affected the</w:t>
      </w:r>
      <w:r>
        <w:rPr>
          <w:rFonts w:cs="AdvPED1282"/>
          <w:color w:val="000000"/>
          <w:lang w:val="en-US"/>
        </w:rPr>
        <w:t xml:space="preserve"> original BMI distribution on </w:t>
      </w:r>
      <w:r w:rsidR="00003CB0">
        <w:rPr>
          <w:rFonts w:cs="AdvPED1282"/>
          <w:color w:val="000000"/>
          <w:lang w:val="en-US"/>
        </w:rPr>
        <w:t>average</w:t>
      </w:r>
      <w:r>
        <w:rPr>
          <w:rFonts w:cs="AdvPED1282"/>
          <w:color w:val="000000"/>
          <w:lang w:val="en-US"/>
        </w:rPr>
        <w:t xml:space="preserve">, thus have the people with an initial lower BMI or the ones with an initial higher BMI become fatter </w:t>
      </w:r>
      <w:r w:rsidR="002851C7">
        <w:rPr>
          <w:rFonts w:cs="AdvPED1282"/>
          <w:color w:val="000000"/>
          <w:lang w:val="en-US"/>
        </w:rPr>
        <w:t xml:space="preserve">; </w:t>
      </w:r>
      <w:r w:rsidR="00B53799">
        <w:rPr>
          <w:rFonts w:cs="AdvPED1282"/>
          <w:color w:val="000000"/>
          <w:lang w:val="en-US"/>
        </w:rPr>
        <w:t xml:space="preserve">(2) how people have switched places in the order from low to high BMI, thus to what extend have people seen their ranks </w:t>
      </w:r>
      <w:r w:rsidR="005A44F0">
        <w:rPr>
          <w:rFonts w:cs="AdvPED1282"/>
          <w:color w:val="000000"/>
          <w:lang w:val="en-US"/>
        </w:rPr>
        <w:t>increase or decline and are these</w:t>
      </w:r>
      <w:r w:rsidR="00B53799">
        <w:rPr>
          <w:rFonts w:cs="AdvPED1282"/>
          <w:color w:val="000000"/>
          <w:lang w:val="en-US"/>
        </w:rPr>
        <w:t xml:space="preserve"> differences</w:t>
      </w:r>
      <w:r w:rsidR="005A44F0">
        <w:rPr>
          <w:rFonts w:cs="AdvPED1282"/>
          <w:color w:val="000000"/>
          <w:lang w:val="en-US"/>
        </w:rPr>
        <w:t xml:space="preserve"> very large or small</w:t>
      </w:r>
      <w:r w:rsidR="00B53799">
        <w:rPr>
          <w:rFonts w:cs="AdvPED1282"/>
          <w:color w:val="000000"/>
          <w:lang w:val="en-US"/>
        </w:rPr>
        <w:t>.</w:t>
      </w:r>
      <w:r w:rsidR="005A44F0">
        <w:rPr>
          <w:rFonts w:cs="AdvPED1282"/>
          <w:color w:val="000000"/>
          <w:lang w:val="en-US"/>
        </w:rPr>
        <w:t xml:space="preserve"> The first effect will be referred to in this study as the ‘initial change’ and the second effect will be called the ‘re-ranking effect’.</w:t>
      </w:r>
    </w:p>
    <w:p w14:paraId="68C621E3" w14:textId="77777777" w:rsidR="00B95A2A" w:rsidRPr="002A1B83" w:rsidRDefault="00B95A2A" w:rsidP="00B95A2A">
      <w:pPr>
        <w:pStyle w:val="Heading1"/>
        <w:rPr>
          <w:rFonts w:ascii="Calibri" w:hAnsi="Calibri" w:cs="Calibri"/>
        </w:rPr>
      </w:pPr>
      <w:bookmarkStart w:id="4" w:name="_Toc432114496"/>
      <w:r w:rsidRPr="002A1B83">
        <w:rPr>
          <w:rFonts w:ascii="Calibri" w:hAnsi="Calibri" w:cs="Calibri"/>
        </w:rPr>
        <w:t>Methodology</w:t>
      </w:r>
      <w:bookmarkEnd w:id="4"/>
    </w:p>
    <w:p w14:paraId="140EE3D9" w14:textId="77777777" w:rsidR="00B95A2A" w:rsidRDefault="00B95A2A" w:rsidP="00B95A2A"/>
    <w:p w14:paraId="1A47C244" w14:textId="77777777" w:rsidR="00B95A2A" w:rsidRDefault="00B95A2A" w:rsidP="00B95A2A">
      <w:pPr>
        <w:pStyle w:val="Heading2"/>
        <w:ind w:firstLine="360"/>
        <w:rPr>
          <w:lang w:val="en-US" w:eastAsia="ja-JP"/>
        </w:rPr>
      </w:pPr>
      <w:bookmarkStart w:id="5" w:name="_Toc432114497"/>
      <w:r w:rsidRPr="002A1B83">
        <w:rPr>
          <w:rFonts w:cs="Calibri"/>
          <w:sz w:val="24"/>
          <w:szCs w:val="24"/>
          <w:lang w:val="en-US" w:eastAsia="ja-JP"/>
        </w:rPr>
        <w:t>2.1 The O</w:t>
      </w:r>
      <w:r w:rsidR="003233C8">
        <w:rPr>
          <w:rFonts w:cs="Calibri"/>
          <w:sz w:val="24"/>
          <w:szCs w:val="24"/>
          <w:lang w:val="en-US" w:eastAsia="ja-JP"/>
        </w:rPr>
        <w:t>axaca-</w:t>
      </w:r>
      <w:r w:rsidRPr="002A1B83">
        <w:rPr>
          <w:rFonts w:cs="Calibri"/>
          <w:sz w:val="24"/>
          <w:szCs w:val="24"/>
          <w:lang w:val="en-US" w:eastAsia="ja-JP"/>
        </w:rPr>
        <w:t>B</w:t>
      </w:r>
      <w:r w:rsidR="003233C8">
        <w:rPr>
          <w:rFonts w:cs="Calibri"/>
          <w:sz w:val="24"/>
          <w:szCs w:val="24"/>
          <w:lang w:val="en-US" w:eastAsia="ja-JP"/>
        </w:rPr>
        <w:t>linder</w:t>
      </w:r>
      <w:r w:rsidRPr="002A1B83">
        <w:rPr>
          <w:rFonts w:cs="Calibri"/>
          <w:sz w:val="24"/>
          <w:szCs w:val="24"/>
          <w:lang w:val="en-US" w:eastAsia="ja-JP"/>
        </w:rPr>
        <w:t xml:space="preserve"> </w:t>
      </w:r>
      <w:r w:rsidR="00EA7E89" w:rsidRPr="002A1B83">
        <w:rPr>
          <w:rFonts w:cs="Calibri"/>
          <w:sz w:val="24"/>
          <w:szCs w:val="24"/>
          <w:lang w:val="en-US" w:eastAsia="ja-JP"/>
        </w:rPr>
        <w:t>decomposition</w:t>
      </w:r>
      <w:bookmarkEnd w:id="5"/>
      <w:r w:rsidRPr="002A1B83">
        <w:rPr>
          <w:rFonts w:cs="Calibri"/>
          <w:sz w:val="24"/>
          <w:szCs w:val="24"/>
          <w:lang w:val="en-US" w:eastAsia="ja-JP"/>
        </w:rPr>
        <w:t xml:space="preserve"> </w:t>
      </w:r>
    </w:p>
    <w:p w14:paraId="4DF47AA7" w14:textId="77777777" w:rsidR="00B95A2A" w:rsidRPr="00B70739" w:rsidRDefault="00B95A2A" w:rsidP="00B95A2A">
      <w:pPr>
        <w:rPr>
          <w:lang w:val="en-US" w:eastAsia="ja-JP"/>
        </w:rPr>
      </w:pPr>
    </w:p>
    <w:p w14:paraId="37122B3D" w14:textId="6DAABD36" w:rsidR="003233C8" w:rsidRDefault="00B95A2A" w:rsidP="004D1DB1">
      <w:pPr>
        <w:spacing w:line="360" w:lineRule="auto"/>
        <w:ind w:firstLine="360"/>
        <w:jc w:val="both"/>
        <w:rPr>
          <w:rFonts w:cs="AdvPED1282"/>
          <w:color w:val="000000"/>
          <w:lang w:val="en-US"/>
        </w:rPr>
      </w:pPr>
      <w:r>
        <w:rPr>
          <w:rFonts w:cs="AdvPED1282"/>
          <w:color w:val="000000"/>
          <w:lang w:val="en-US"/>
        </w:rPr>
        <w:t xml:space="preserve">To unravel the change </w:t>
      </w:r>
      <w:r w:rsidR="00B45285">
        <w:rPr>
          <w:rFonts w:cs="AdvPED1282"/>
          <w:color w:val="000000"/>
          <w:lang w:val="en-US"/>
        </w:rPr>
        <w:t xml:space="preserve">in mean BMI </w:t>
      </w:r>
      <w:r>
        <w:rPr>
          <w:rFonts w:cs="AdvPED1282"/>
          <w:color w:val="000000"/>
          <w:lang w:val="en-US"/>
        </w:rPr>
        <w:t xml:space="preserve">into the endowment and </w:t>
      </w:r>
      <w:r w:rsidR="002851C7">
        <w:rPr>
          <w:rFonts w:cs="AdvPED1282"/>
          <w:color w:val="000000"/>
          <w:lang w:val="en-US"/>
        </w:rPr>
        <w:t>association change</w:t>
      </w:r>
      <w:r>
        <w:rPr>
          <w:rFonts w:cs="AdvPED1282"/>
          <w:color w:val="000000"/>
          <w:lang w:val="en-US"/>
        </w:rPr>
        <w:t xml:space="preserve"> a d</w:t>
      </w:r>
      <w:r w:rsidR="00A237BD">
        <w:rPr>
          <w:rFonts w:cs="AdvPED1282"/>
          <w:color w:val="000000"/>
          <w:lang w:val="en-US"/>
        </w:rPr>
        <w:t>ecomposition method</w:t>
      </w:r>
      <w:r>
        <w:rPr>
          <w:rFonts w:cs="AdvPED1282"/>
          <w:color w:val="000000"/>
          <w:lang w:val="en-US"/>
        </w:rPr>
        <w:t xml:space="preserve"> in the style of Oaxaca-Blinder (OB) will</w:t>
      </w:r>
      <w:r w:rsidRPr="0031293D">
        <w:rPr>
          <w:rFonts w:cs="AdvPED1282"/>
          <w:color w:val="000000"/>
          <w:lang w:val="en-US"/>
        </w:rPr>
        <w:t xml:space="preserve"> </w:t>
      </w:r>
      <w:r w:rsidRPr="000C440D">
        <w:rPr>
          <w:rFonts w:cs="AdvPED1282"/>
          <w:color w:val="000000"/>
          <w:lang w:val="en-US"/>
        </w:rPr>
        <w:t>be used. The</w:t>
      </w:r>
      <w:r w:rsidRPr="00EC3838">
        <w:rPr>
          <w:rFonts w:cs="AdvPED1282"/>
          <w:lang w:val="en-US"/>
        </w:rPr>
        <w:t xml:space="preserve"> O</w:t>
      </w:r>
      <w:r>
        <w:rPr>
          <w:rFonts w:cs="AdvPED1282"/>
          <w:lang w:val="en-US"/>
        </w:rPr>
        <w:t>B decomposition originates from the influential papers of Oaxaca (1973) and Blinder (1973)</w:t>
      </w:r>
      <w:r w:rsidR="00A237BD">
        <w:rPr>
          <w:rFonts w:cs="AdvPED1282"/>
          <w:lang w:val="en-US"/>
        </w:rPr>
        <w:t>,</w:t>
      </w:r>
      <w:r>
        <w:rPr>
          <w:rFonts w:cs="AdvPED1282"/>
          <w:lang w:val="en-US"/>
        </w:rPr>
        <w:t xml:space="preserve"> but </w:t>
      </w:r>
      <w:r w:rsidRPr="00EC3838">
        <w:rPr>
          <w:rFonts w:cs="AdvPED1282"/>
          <w:lang w:val="en-US"/>
        </w:rPr>
        <w:t xml:space="preserve">still </w:t>
      </w:r>
      <w:r w:rsidRPr="00EC3838">
        <w:rPr>
          <w:rFonts w:cs="AdvPED1282"/>
          <w:lang w:val="en-US"/>
        </w:rPr>
        <w:lastRenderedPageBreak/>
        <w:t>provides the framework for most decomposition metho</w:t>
      </w:r>
      <w:r w:rsidRPr="0031293D">
        <w:rPr>
          <w:rFonts w:cs="AdvPED1282"/>
          <w:color w:val="000000"/>
          <w:lang w:val="en-US"/>
        </w:rPr>
        <w:t xml:space="preserve">ds </w:t>
      </w:r>
      <w:r>
        <w:rPr>
          <w:rFonts w:cs="AdvPED1282"/>
          <w:color w:val="000000"/>
          <w:lang w:val="en-US"/>
        </w:rPr>
        <w:t>today</w:t>
      </w:r>
      <w:r w:rsidRPr="0031293D">
        <w:rPr>
          <w:rFonts w:cs="AdvPED1282"/>
          <w:color w:val="000000"/>
          <w:lang w:val="en-US"/>
        </w:rPr>
        <w:t>.</w:t>
      </w:r>
      <w:r w:rsidR="0074748C">
        <w:rPr>
          <w:rFonts w:cs="AdvPED1282"/>
          <w:color w:val="000000"/>
          <w:lang w:val="en-US"/>
        </w:rPr>
        <w:t xml:space="preserve"> It divides differences of a statistic between groups into an </w:t>
      </w:r>
      <w:r w:rsidR="00F177BE">
        <w:rPr>
          <w:rFonts w:cs="AdvPED1282"/>
          <w:color w:val="000000"/>
          <w:lang w:val="en-US"/>
        </w:rPr>
        <w:t xml:space="preserve">endowment </w:t>
      </w:r>
      <w:r w:rsidR="0074748C">
        <w:rPr>
          <w:rFonts w:cs="AdvPED1282"/>
          <w:color w:val="000000"/>
          <w:lang w:val="en-US"/>
        </w:rPr>
        <w:t xml:space="preserve">part, which is the difference that can be attributed to observed differences in characteristics, and an </w:t>
      </w:r>
      <w:r w:rsidR="00F177BE">
        <w:rPr>
          <w:rFonts w:cs="AdvPED1282"/>
          <w:color w:val="000000"/>
          <w:lang w:val="en-US"/>
        </w:rPr>
        <w:t xml:space="preserve">association </w:t>
      </w:r>
      <w:r w:rsidR="0074748C">
        <w:rPr>
          <w:rFonts w:cs="AdvPED1282"/>
          <w:color w:val="000000"/>
          <w:lang w:val="en-US"/>
        </w:rPr>
        <w:t>part, which</w:t>
      </w:r>
      <w:r w:rsidR="00FE5D9B">
        <w:rPr>
          <w:rFonts w:cs="AdvPED1282"/>
          <w:color w:val="000000"/>
          <w:lang w:val="en-US"/>
        </w:rPr>
        <w:t xml:space="preserve"> is</w:t>
      </w:r>
      <w:r w:rsidR="0074748C">
        <w:rPr>
          <w:rFonts w:cs="AdvPED1282"/>
          <w:color w:val="000000"/>
          <w:lang w:val="en-US"/>
        </w:rPr>
        <w:t xml:space="preserve"> the part of the difference that cannot be explained by observed changes</w:t>
      </w:r>
      <w:r w:rsidR="00500DE6">
        <w:rPr>
          <w:rFonts w:cs="AdvPED1282"/>
          <w:color w:val="000000"/>
          <w:lang w:val="en-US"/>
        </w:rPr>
        <w:t xml:space="preserve"> but </w:t>
      </w:r>
      <w:r w:rsidR="0074748C">
        <w:rPr>
          <w:rFonts w:cs="AdvPED1282"/>
          <w:color w:val="000000"/>
          <w:lang w:val="en-US"/>
        </w:rPr>
        <w:t xml:space="preserve">must be sought in changes </w:t>
      </w:r>
      <w:r w:rsidR="00500DE6">
        <w:rPr>
          <w:rFonts w:cs="AdvPED1282"/>
          <w:color w:val="000000"/>
          <w:lang w:val="en-US"/>
        </w:rPr>
        <w:t xml:space="preserve">of the relation between </w:t>
      </w:r>
      <w:r w:rsidR="0074748C">
        <w:rPr>
          <w:rFonts w:cs="AdvPED1282"/>
          <w:color w:val="000000"/>
          <w:lang w:val="en-US"/>
        </w:rPr>
        <w:t xml:space="preserve">the explanatory variables and its outcome </w:t>
      </w:r>
      <w:r w:rsidR="00500DE6">
        <w:rPr>
          <w:rFonts w:cs="AdvPED1282"/>
          <w:color w:val="000000"/>
          <w:lang w:val="en-US"/>
        </w:rPr>
        <w:t>variable</w:t>
      </w:r>
      <w:r w:rsidR="0074748C">
        <w:rPr>
          <w:rFonts w:cs="AdvPED1282"/>
          <w:color w:val="000000"/>
          <w:lang w:val="en-US"/>
        </w:rPr>
        <w:t xml:space="preserve">. For the purpose of this study </w:t>
      </w:r>
      <w:r w:rsidR="003233C8">
        <w:rPr>
          <w:rFonts w:cs="AdvPED1282"/>
          <w:color w:val="000000"/>
          <w:lang w:val="en-US"/>
        </w:rPr>
        <w:t>the variable that defines group membership is time.</w:t>
      </w:r>
      <w:r w:rsidR="0074748C">
        <w:rPr>
          <w:rFonts w:cs="AdvPED1282"/>
          <w:color w:val="000000"/>
          <w:lang w:val="en-US"/>
        </w:rPr>
        <w:t xml:space="preserve"> </w:t>
      </w:r>
      <w:r w:rsidR="003233C8">
        <w:rPr>
          <w:rFonts w:cs="AdvPED1282"/>
          <w:color w:val="000000"/>
          <w:lang w:val="en-US"/>
        </w:rPr>
        <w:t>A</w:t>
      </w:r>
      <w:r w:rsidR="0074748C">
        <w:rPr>
          <w:rFonts w:cs="AdvPED1282"/>
          <w:color w:val="000000"/>
          <w:lang w:val="en-US"/>
        </w:rPr>
        <w:t xml:space="preserve"> population </w:t>
      </w:r>
      <w:r w:rsidR="003233C8">
        <w:rPr>
          <w:rFonts w:cs="AdvPED1282"/>
          <w:color w:val="000000"/>
          <w:lang w:val="en-US"/>
        </w:rPr>
        <w:t xml:space="preserve">with various observed characteristics will be evaluate at two time periods, with BMI as the statistic of interest. </w:t>
      </w:r>
    </w:p>
    <w:p w14:paraId="4F11A371" w14:textId="77777777" w:rsidR="003233C8" w:rsidRDefault="00EA7E89" w:rsidP="004D1DB1">
      <w:pPr>
        <w:pStyle w:val="Heading2"/>
        <w:numPr>
          <w:ilvl w:val="1"/>
          <w:numId w:val="24"/>
        </w:numPr>
        <w:rPr>
          <w:rFonts w:cs="Calibri"/>
          <w:sz w:val="24"/>
          <w:szCs w:val="24"/>
          <w:lang w:val="en-US" w:eastAsia="ja-JP"/>
        </w:rPr>
      </w:pPr>
      <w:bookmarkStart w:id="6" w:name="_Toc432114498"/>
      <w:r>
        <w:rPr>
          <w:rFonts w:cs="Calibri"/>
          <w:sz w:val="24"/>
          <w:szCs w:val="24"/>
          <w:lang w:val="en-US" w:eastAsia="ja-JP"/>
        </w:rPr>
        <w:t>OB decomposition</w:t>
      </w:r>
      <w:r w:rsidR="00824BA7">
        <w:rPr>
          <w:rFonts w:cs="Calibri"/>
          <w:sz w:val="24"/>
          <w:szCs w:val="24"/>
          <w:lang w:val="en-US" w:eastAsia="ja-JP"/>
        </w:rPr>
        <w:t xml:space="preserve"> in an</w:t>
      </w:r>
      <w:r w:rsidR="003233C8" w:rsidRPr="003233C8">
        <w:rPr>
          <w:rFonts w:cs="Calibri"/>
          <w:sz w:val="24"/>
          <w:szCs w:val="24"/>
          <w:lang w:val="en-US" w:eastAsia="ja-JP"/>
        </w:rPr>
        <w:t xml:space="preserve"> OLS setting</w:t>
      </w:r>
      <w:bookmarkEnd w:id="6"/>
    </w:p>
    <w:p w14:paraId="72B80F8C" w14:textId="77777777" w:rsidR="003233C8" w:rsidRPr="003233C8" w:rsidRDefault="003233C8" w:rsidP="003233C8">
      <w:pPr>
        <w:rPr>
          <w:lang w:val="en-US" w:eastAsia="ja-JP"/>
        </w:rPr>
      </w:pPr>
    </w:p>
    <w:p w14:paraId="1A396479" w14:textId="77777777" w:rsidR="00B95A2A" w:rsidRPr="00AD590F" w:rsidRDefault="00B95A2A" w:rsidP="004D1DB1">
      <w:pPr>
        <w:spacing w:line="360" w:lineRule="auto"/>
        <w:ind w:firstLine="360"/>
        <w:jc w:val="both"/>
        <w:rPr>
          <w:rFonts w:cs="AdvPED1282"/>
          <w:color w:val="000000"/>
          <w:lang w:val="en-US"/>
        </w:rPr>
      </w:pPr>
      <w:r w:rsidRPr="0031293D">
        <w:rPr>
          <w:rFonts w:cs="AdvPED1282"/>
          <w:color w:val="000000"/>
          <w:lang w:val="en-US"/>
        </w:rPr>
        <w:t>In general all OB decompositions share three essential features</w:t>
      </w:r>
      <w:r w:rsidR="003233C8">
        <w:rPr>
          <w:rFonts w:cs="AdvPED1282"/>
          <w:color w:val="000000"/>
          <w:lang w:val="en-US"/>
        </w:rPr>
        <w:t xml:space="preserve"> </w:t>
      </w:r>
      <w:r w:rsidR="003233C8" w:rsidRPr="003233C8">
        <w:rPr>
          <w:rFonts w:cs="AdvPED1282"/>
          <w:noProof/>
          <w:color w:val="000000"/>
          <w:lang w:val="en-US"/>
        </w:rPr>
        <w:t>(Fortin</w:t>
      </w:r>
      <w:r w:rsidR="003233C8">
        <w:rPr>
          <w:rFonts w:cs="AdvPED1282"/>
          <w:noProof/>
          <w:color w:val="000000"/>
          <w:lang w:val="en-US"/>
        </w:rPr>
        <w:t xml:space="preserve"> et al</w:t>
      </w:r>
      <w:r w:rsidR="003233C8" w:rsidRPr="003233C8">
        <w:rPr>
          <w:rFonts w:cs="AdvPED1282"/>
          <w:noProof/>
          <w:color w:val="000000"/>
          <w:lang w:val="en-US"/>
        </w:rPr>
        <w:t>, 2011)</w:t>
      </w:r>
      <w:r w:rsidRPr="0031293D">
        <w:rPr>
          <w:rFonts w:cs="AdvPED1282"/>
          <w:color w:val="000000"/>
          <w:lang w:val="en-US"/>
        </w:rPr>
        <w:t>.</w:t>
      </w:r>
      <w:r w:rsidR="003233C8">
        <w:rPr>
          <w:rFonts w:cs="AdvPED1282"/>
          <w:color w:val="000000"/>
          <w:lang w:val="en-US"/>
        </w:rPr>
        <w:t xml:space="preserve"> </w:t>
      </w:r>
      <w:r w:rsidRPr="0031293D">
        <w:rPr>
          <w:rFonts w:cs="AdvPED1282"/>
          <w:color w:val="000000"/>
          <w:lang w:val="en-US"/>
        </w:rPr>
        <w:t>First, it is off course concerned with changes in a statistic</w:t>
      </w:r>
      <w:r w:rsidR="00A237BD">
        <w:rPr>
          <w:rFonts w:cs="AdvPED1282"/>
          <w:color w:val="000000"/>
          <w:lang w:val="en-US"/>
        </w:rPr>
        <w:t xml:space="preserve"> </w:t>
      </w:r>
      <w:r w:rsidR="00A237BD" w:rsidRPr="0031293D">
        <w:rPr>
          <w:rFonts w:cs="AdvPED1282"/>
          <w:color w:val="000000"/>
          <w:lang w:val="en-US"/>
        </w:rPr>
        <w:t>over time</w:t>
      </w:r>
      <w:r>
        <w:rPr>
          <w:rFonts w:cs="AdvPED1282"/>
          <w:color w:val="000000"/>
          <w:lang w:val="en-US"/>
        </w:rPr>
        <w:t>.</w:t>
      </w:r>
      <w:r w:rsidRPr="0031293D">
        <w:rPr>
          <w:rFonts w:cs="AdvPED1282"/>
          <w:color w:val="000000"/>
          <w:lang w:val="en-US"/>
        </w:rPr>
        <w:t xml:space="preserve"> </w:t>
      </w:r>
      <w:r>
        <w:rPr>
          <w:rFonts w:cs="AdvPED1282"/>
          <w:color w:val="000000"/>
          <w:lang w:val="en-US"/>
        </w:rPr>
        <w:t>I</w:t>
      </w:r>
      <w:r w:rsidRPr="0031293D">
        <w:rPr>
          <w:rFonts w:cs="AdvPED1282"/>
          <w:color w:val="000000"/>
          <w:lang w:val="en-US"/>
        </w:rPr>
        <w:t xml:space="preserve">n this study the distributional statistic of interest is mean </w:t>
      </w:r>
      <w:r w:rsidRPr="002A1B83">
        <w:rPr>
          <w:rFonts w:cs="AdvPED1282"/>
          <w:color w:val="000000"/>
          <w:lang w:val="en-US"/>
        </w:rPr>
        <w:t xml:space="preserve">BMI of a population. The population consists of n </w:t>
      </w:r>
      <w:r w:rsidRPr="002A1B83">
        <w:rPr>
          <w:rFonts w:cs="AdvPED1282"/>
          <w:color w:val="000000"/>
          <w:lang w:val="en-US"/>
        </w:rPr>
        <w:lastRenderedPageBreak/>
        <w:t>individuals represented by the set N = {1,2</w:t>
      </w:r>
      <w:r w:rsidR="003233C8">
        <w:rPr>
          <w:rFonts w:cs="AdvPED1282"/>
          <w:color w:val="000000"/>
          <w:lang w:val="en-US"/>
        </w:rPr>
        <w:t>,…</w:t>
      </w:r>
      <w:r w:rsidRPr="002A1B83">
        <w:rPr>
          <w:rFonts w:cs="AdvPED1282"/>
          <w:color w:val="000000"/>
          <w:lang w:val="en-US"/>
        </w:rPr>
        <w:t xml:space="preserve">n} of whom mean BMI can be measured in time period one (t=1) and time period two (t=2), which can be denoted respectively </w:t>
      </w:r>
      <w:r w:rsidRPr="0031293D">
        <w:rPr>
          <w:rFonts w:cs="AdvPED1282"/>
          <w:color w:val="000000"/>
          <w:lang w:val="en-US"/>
        </w:rPr>
        <w:t xml:space="preserve">as </w:t>
      </w:r>
      <m:oMath>
        <m:acc>
          <m:accPr>
            <m:chr m:val="̅"/>
            <m:ctrlPr>
              <w:rPr>
                <w:rFonts w:ascii="Cambria Math" w:hAnsi="Cambria Math" w:cs="AdvPED1282"/>
                <w:i/>
                <w:color w:val="000000"/>
                <w:lang w:val="en-US"/>
              </w:rPr>
            </m:ctrlPr>
          </m:accPr>
          <m:e>
            <m:r>
              <w:rPr>
                <w:rFonts w:ascii="Cambria Math" w:hAnsi="Cambria Math" w:cs="AdvPED1282"/>
                <w:color w:val="000000"/>
                <w:lang w:val="en-US"/>
              </w:rPr>
              <m:t>BMI₁</m:t>
            </m:r>
          </m:e>
        </m:acc>
      </m:oMath>
      <w:r>
        <w:rPr>
          <w:rFonts w:cs="AdvPED1282"/>
          <w:color w:val="000000"/>
          <w:lang w:val="en-US"/>
        </w:rPr>
        <w:t xml:space="preserve"> and </w:t>
      </w:r>
      <m:oMath>
        <m:acc>
          <m:accPr>
            <m:chr m:val="̅"/>
            <m:ctrlPr>
              <w:rPr>
                <w:rFonts w:ascii="Cambria Math" w:hAnsi="Cambria Math" w:cs="AdvPED1282"/>
                <w:i/>
                <w:color w:val="000000"/>
                <w:lang w:val="en-US"/>
              </w:rPr>
            </m:ctrlPr>
          </m:accPr>
          <m:e>
            <m:r>
              <w:rPr>
                <w:rFonts w:ascii="Cambria Math" w:hAnsi="Cambria Math" w:cs="AdvPED1282"/>
                <w:color w:val="000000"/>
                <w:lang w:val="en-US"/>
              </w:rPr>
              <m:t>BMI₂</m:t>
            </m:r>
          </m:e>
        </m:acc>
      </m:oMath>
      <w:r w:rsidRPr="00A237BD">
        <w:rPr>
          <w:rFonts w:eastAsia="SimSun" w:cs="AdvPED1282"/>
          <w:i/>
          <w:color w:val="000000"/>
          <w:lang w:val="en-US"/>
        </w:rPr>
        <w:t>.</w:t>
      </w:r>
      <w:r w:rsidRPr="000C440D">
        <w:rPr>
          <w:rFonts w:eastAsia="SimSun" w:cs="AdvPED1282"/>
          <w:color w:val="000000"/>
          <w:lang w:val="en-US"/>
        </w:rPr>
        <w:t xml:space="preserve"> </w:t>
      </w:r>
      <w:r w:rsidRPr="0031293D">
        <w:rPr>
          <w:rFonts w:cs="AdvPED1282"/>
          <w:color w:val="000000"/>
          <w:lang w:val="en-US"/>
        </w:rPr>
        <w:t>The change in the mean BMI between two time periods then boils down to</w:t>
      </w:r>
      <w:r>
        <w:rPr>
          <w:rFonts w:cs="AdvPED1282"/>
          <w:color w:val="000000"/>
          <w:lang w:val="en-US"/>
        </w:rPr>
        <w:t xml:space="preserve"> formula (1), where</w:t>
      </w:r>
      <w:r w:rsidRPr="0031293D">
        <w:rPr>
          <w:rFonts w:cs="AdvPED1282"/>
          <w:color w:val="000000"/>
          <w:lang w:val="en-US"/>
        </w:rPr>
        <w:t xml:space="preserve"> </w:t>
      </w:r>
      <m:oMath>
        <m:r>
          <w:rPr>
            <w:rFonts w:ascii="Cambria Math" w:eastAsia="SimSun" w:hAnsi="Cambria Math" w:cs="AdvPED1282"/>
            <w:color w:val="000000"/>
            <w:lang w:val="en-US"/>
          </w:rPr>
          <m:t>bmiᵢ₁</m:t>
        </m:r>
      </m:oMath>
      <w:r w:rsidRPr="0031293D">
        <w:rPr>
          <w:rFonts w:cs="AdvPED1282"/>
          <w:color w:val="000000"/>
          <w:lang w:val="en-US"/>
        </w:rPr>
        <w:t xml:space="preserve"> and </w:t>
      </w:r>
      <m:oMath>
        <m:r>
          <w:rPr>
            <w:rFonts w:ascii="Cambria Math" w:eastAsia="SimSun" w:hAnsi="Cambria Math" w:cs="AdvPED1282"/>
            <w:color w:val="000000"/>
            <w:lang w:val="en-US"/>
          </w:rPr>
          <m:t>bmiᵢ₂</m:t>
        </m:r>
      </m:oMath>
      <w:r>
        <w:rPr>
          <w:rFonts w:cs="AdvPED1282"/>
          <w:color w:val="000000"/>
          <w:lang w:val="en-US"/>
        </w:rPr>
        <w:t xml:space="preserve"> are the </w:t>
      </w:r>
      <w:r w:rsidRPr="0031293D">
        <w:rPr>
          <w:rFonts w:cs="AdvPED1282"/>
          <w:color w:val="000000"/>
          <w:lang w:val="en-US"/>
        </w:rPr>
        <w:t>BMI levels</w:t>
      </w:r>
      <w:r>
        <w:rPr>
          <w:rFonts w:cs="AdvPED1282"/>
          <w:color w:val="000000"/>
          <w:lang w:val="en-US"/>
        </w:rPr>
        <w:t xml:space="preserve"> of individual </w:t>
      </w:r>
      <w:r w:rsidRPr="000F1F9C">
        <w:rPr>
          <w:rFonts w:cs="Calibri"/>
          <w:i/>
          <w:color w:val="000000"/>
          <w:lang w:val="en-US"/>
        </w:rPr>
        <w:t>i</w:t>
      </w:r>
      <w:r w:rsidRPr="0031293D">
        <w:rPr>
          <w:rFonts w:cs="AdvPED1282"/>
          <w:color w:val="000000"/>
          <w:lang w:val="en-US"/>
        </w:rPr>
        <w:t xml:space="preserve"> in period one and two</w:t>
      </w:r>
      <w:r>
        <w:rPr>
          <w:rFonts w:cs="AdvPED1282"/>
          <w:color w:val="000000"/>
          <w:lang w:val="en-US"/>
        </w:rPr>
        <w:t>.</w:t>
      </w:r>
    </w:p>
    <w:p w14:paraId="26D03E1D" w14:textId="77777777" w:rsidR="00B95A2A" w:rsidRPr="00A237BD" w:rsidRDefault="00EC69BE" w:rsidP="009F3306">
      <w:pPr>
        <w:numPr>
          <w:ilvl w:val="0"/>
          <w:numId w:val="28"/>
        </w:numPr>
        <w:autoSpaceDE w:val="0"/>
        <w:autoSpaceDN w:val="0"/>
        <w:adjustRightInd w:val="0"/>
        <w:spacing w:after="0" w:line="360" w:lineRule="auto"/>
        <w:contextualSpacing/>
        <w:jc w:val="both"/>
        <w:rPr>
          <w:rFonts w:cs="AdvPED1282"/>
          <w:i/>
          <w:color w:val="000000"/>
          <w:lang w:val="en-US"/>
        </w:rPr>
      </w:pPr>
      <m:oMath>
        <m:acc>
          <m:accPr>
            <m:chr m:val="̅"/>
            <m:ctrlPr>
              <w:rPr>
                <w:rFonts w:ascii="Cambria Math" w:hAnsi="Cambria Math" w:cs="AdvPED1282"/>
                <w:i/>
                <w:color w:val="000000"/>
                <w:lang w:val="en-US"/>
              </w:rPr>
            </m:ctrlPr>
          </m:accPr>
          <m:e>
            <m:r>
              <w:rPr>
                <w:rFonts w:ascii="Cambria Math" w:hAnsi="Cambria Math" w:cs="AdvPED1282"/>
                <w:color w:val="000000"/>
                <w:lang w:val="en-US"/>
              </w:rPr>
              <m:t xml:space="preserve"> BMI₂</m:t>
            </m:r>
          </m:e>
        </m:acc>
        <m:r>
          <w:rPr>
            <w:rFonts w:ascii="Cambria Math" w:hAnsi="Cambria Math" w:cs="AdvPED1282"/>
            <w:color w:val="000000"/>
            <w:lang w:val="en-US"/>
          </w:rPr>
          <m:t xml:space="preserve"> – </m:t>
        </m:r>
        <m:acc>
          <m:accPr>
            <m:chr m:val="̅"/>
            <m:ctrlPr>
              <w:rPr>
                <w:rFonts w:ascii="Cambria Math" w:hAnsi="Cambria Math" w:cs="AdvPED1282"/>
                <w:i/>
                <w:color w:val="000000"/>
                <w:lang w:val="en-US"/>
              </w:rPr>
            </m:ctrlPr>
          </m:accPr>
          <m:e>
            <m:r>
              <w:rPr>
                <w:rFonts w:ascii="Cambria Math" w:hAnsi="Cambria Math" w:cs="AdvPED1282"/>
                <w:color w:val="000000"/>
                <w:lang w:val="en-US"/>
              </w:rPr>
              <m:t>BMI₁</m:t>
            </m:r>
          </m:e>
        </m:acc>
        <m:r>
          <w:rPr>
            <w:rFonts w:ascii="Cambria Math" w:hAnsi="Cambria Math" w:cs="AdvPED1282"/>
            <w:color w:val="000000"/>
            <w:lang w:val="en-US"/>
          </w:rPr>
          <m:t xml:space="preserve">  = </m:t>
        </m:r>
        <m:f>
          <m:fPr>
            <m:ctrlPr>
              <w:rPr>
                <w:rFonts w:ascii="Cambria Math" w:hAnsi="Cambria Math" w:cs="AdvPED1282"/>
                <w:i/>
                <w:color w:val="000000"/>
                <w:lang w:val="en-US"/>
              </w:rPr>
            </m:ctrlPr>
          </m:fPr>
          <m:num>
            <m:r>
              <w:rPr>
                <w:rFonts w:ascii="Cambria Math" w:hAnsi="Cambria Math" w:cs="AdvPED1282"/>
                <w:color w:val="000000"/>
                <w:lang w:val="en-US"/>
              </w:rPr>
              <m:t>1</m:t>
            </m:r>
          </m:num>
          <m:den>
            <m:r>
              <w:rPr>
                <w:rFonts w:ascii="Cambria Math" w:hAnsi="Cambria Math" w:cs="AdvPED1282"/>
                <w:color w:val="000000"/>
                <w:lang w:val="en-US"/>
              </w:rPr>
              <m:t>N</m:t>
            </m:r>
          </m:den>
        </m:f>
        <m:r>
          <w:rPr>
            <w:rFonts w:ascii="Cambria Math" w:eastAsia="SimSun" w:hAnsi="Cambria Math" w:cs="AdvPED1282"/>
            <w:color w:val="000000"/>
            <w:lang w:val="en-US"/>
          </w:rPr>
          <m:t xml:space="preserve"> </m:t>
        </m:r>
        <m:nary>
          <m:naryPr>
            <m:chr m:val="∑"/>
            <m:limLoc m:val="undOvr"/>
            <m:ctrlPr>
              <w:rPr>
                <w:rFonts w:ascii="Cambria Math" w:eastAsia="SimSun" w:hAnsi="Cambria Math" w:cs="AdvPED1282"/>
                <w:i/>
                <w:color w:val="000000"/>
                <w:lang w:val="en-US"/>
              </w:rPr>
            </m:ctrlPr>
          </m:naryPr>
          <m:sub>
            <m:r>
              <w:rPr>
                <w:rFonts w:ascii="Cambria Math" w:eastAsia="SimSun" w:hAnsi="Cambria Math" w:cs="AdvPED1282"/>
                <w:color w:val="000000"/>
                <w:lang w:val="en-US"/>
              </w:rPr>
              <m:t>i=1</m:t>
            </m:r>
          </m:sub>
          <m:sup>
            <m:r>
              <w:rPr>
                <w:rFonts w:ascii="Cambria Math" w:eastAsia="SimSun" w:hAnsi="Cambria Math" w:cs="AdvPED1282"/>
                <w:color w:val="000000"/>
                <w:lang w:val="en-US"/>
              </w:rPr>
              <m:t>n</m:t>
            </m:r>
          </m:sup>
          <m:e>
            <m:r>
              <w:rPr>
                <w:rFonts w:ascii="Cambria Math" w:eastAsia="SimSun" w:hAnsi="Cambria Math" w:cs="AdvPED1282"/>
                <w:color w:val="000000"/>
                <w:lang w:val="en-US"/>
              </w:rPr>
              <m:t>bmiᵢ₂</m:t>
            </m:r>
          </m:e>
        </m:nary>
        <m:r>
          <w:rPr>
            <w:rFonts w:ascii="Cambria Math" w:eastAsia="SimSun" w:hAnsi="Cambria Math" w:cs="AdvPED1282"/>
            <w:color w:val="000000"/>
            <w:lang w:val="en-US"/>
          </w:rPr>
          <m:t xml:space="preserve"> - </m:t>
        </m:r>
        <m:f>
          <m:fPr>
            <m:ctrlPr>
              <w:rPr>
                <w:rFonts w:ascii="Cambria Math" w:hAnsi="Cambria Math" w:cs="AdvPED1282"/>
                <w:i/>
                <w:color w:val="000000"/>
                <w:lang w:val="en-US"/>
              </w:rPr>
            </m:ctrlPr>
          </m:fPr>
          <m:num>
            <m:r>
              <w:rPr>
                <w:rFonts w:ascii="Cambria Math" w:hAnsi="Cambria Math" w:cs="AdvPED1282"/>
                <w:color w:val="000000"/>
                <w:lang w:val="en-US"/>
              </w:rPr>
              <m:t>1</m:t>
            </m:r>
          </m:num>
          <m:den>
            <m:r>
              <w:rPr>
                <w:rFonts w:ascii="Cambria Math" w:hAnsi="Cambria Math" w:cs="AdvPED1282"/>
                <w:color w:val="000000"/>
                <w:lang w:val="en-US"/>
              </w:rPr>
              <m:t>N</m:t>
            </m:r>
          </m:den>
        </m:f>
        <m:r>
          <w:rPr>
            <w:rFonts w:ascii="Cambria Math" w:eastAsia="SimSun" w:hAnsi="Cambria Math" w:cs="AdvPED1282"/>
            <w:color w:val="000000"/>
            <w:lang w:val="en-US"/>
          </w:rPr>
          <m:t xml:space="preserve"> </m:t>
        </m:r>
        <m:nary>
          <m:naryPr>
            <m:chr m:val="∑"/>
            <m:limLoc m:val="undOvr"/>
            <m:ctrlPr>
              <w:rPr>
                <w:rFonts w:ascii="Cambria Math" w:eastAsia="SimSun" w:hAnsi="Cambria Math" w:cs="AdvPED1282"/>
                <w:i/>
                <w:color w:val="000000"/>
                <w:lang w:val="en-US"/>
              </w:rPr>
            </m:ctrlPr>
          </m:naryPr>
          <m:sub>
            <m:r>
              <w:rPr>
                <w:rFonts w:ascii="Cambria Math" w:eastAsia="SimSun" w:hAnsi="Cambria Math" w:cs="AdvPED1282"/>
                <w:color w:val="000000"/>
                <w:lang w:val="en-US"/>
              </w:rPr>
              <m:t>i=1</m:t>
            </m:r>
          </m:sub>
          <m:sup>
            <m:r>
              <w:rPr>
                <w:rFonts w:ascii="Cambria Math" w:eastAsia="SimSun" w:hAnsi="Cambria Math" w:cs="AdvPED1282"/>
                <w:color w:val="000000"/>
                <w:lang w:val="en-US"/>
              </w:rPr>
              <m:t>n</m:t>
            </m:r>
          </m:sup>
          <m:e>
            <m:r>
              <w:rPr>
                <w:rFonts w:ascii="Cambria Math" w:eastAsia="SimSun" w:hAnsi="Cambria Math" w:cs="AdvPED1282"/>
                <w:color w:val="000000"/>
                <w:lang w:val="en-US"/>
              </w:rPr>
              <m:t>bmiᵢ₁</m:t>
            </m:r>
          </m:e>
        </m:nary>
      </m:oMath>
    </w:p>
    <w:p w14:paraId="1DEBB54E" w14:textId="77777777" w:rsidR="00B95A2A" w:rsidRPr="00C77E6F" w:rsidRDefault="00B95A2A" w:rsidP="00B95A2A">
      <w:pPr>
        <w:pStyle w:val="ListParagraph"/>
        <w:autoSpaceDE w:val="0"/>
        <w:autoSpaceDN w:val="0"/>
        <w:adjustRightInd w:val="0"/>
        <w:spacing w:after="0" w:line="360" w:lineRule="auto"/>
        <w:ind w:left="2136"/>
        <w:jc w:val="both"/>
        <w:rPr>
          <w:rFonts w:cs="AdvPED1282"/>
          <w:color w:val="000000"/>
          <w:lang w:val="en-US"/>
        </w:rPr>
      </w:pPr>
    </w:p>
    <w:p w14:paraId="769731D9" w14:textId="77777777" w:rsidR="00B95A2A" w:rsidRDefault="00B95A2A" w:rsidP="004D1DB1">
      <w:pPr>
        <w:spacing w:line="360" w:lineRule="auto"/>
        <w:ind w:firstLine="360"/>
        <w:jc w:val="both"/>
        <w:rPr>
          <w:rFonts w:cs="AdvPED1282"/>
          <w:color w:val="000000"/>
          <w:lang w:val="en-US"/>
        </w:rPr>
      </w:pPr>
      <w:r w:rsidRPr="0031293D">
        <w:rPr>
          <w:rFonts w:cs="AdvPED1282"/>
          <w:color w:val="000000"/>
          <w:lang w:val="en-US"/>
        </w:rPr>
        <w:t xml:space="preserve">Second, it assumes an underlying regression model for both time periods that links </w:t>
      </w:r>
      <w:r>
        <w:rPr>
          <w:rFonts w:cs="AdvPED1282"/>
          <w:color w:val="000000"/>
          <w:lang w:val="en-US"/>
        </w:rPr>
        <w:t>BMI to</w:t>
      </w:r>
      <w:r w:rsidRPr="0031293D">
        <w:rPr>
          <w:rFonts w:cs="AdvPED1282"/>
          <w:color w:val="000000"/>
          <w:lang w:val="en-US"/>
        </w:rPr>
        <w:t xml:space="preserve"> its selected associated factors. This </w:t>
      </w:r>
      <w:r w:rsidRPr="0013333A">
        <w:rPr>
          <w:rFonts w:cs="AdvPED1282"/>
          <w:color w:val="000000"/>
          <w:lang w:val="en-US"/>
        </w:rPr>
        <w:t>regression model estimates the average impacts of variables</w:t>
      </w:r>
      <w:r w:rsidRPr="00401F25">
        <w:rPr>
          <w:rFonts w:cs="AdvPED1282"/>
          <w:color w:val="000000"/>
          <w:lang w:val="en-US"/>
        </w:rPr>
        <w:t xml:space="preserve"> on BMI at two point</w:t>
      </w:r>
      <w:r>
        <w:rPr>
          <w:rFonts w:cs="AdvPED1282"/>
          <w:color w:val="000000"/>
          <w:lang w:val="en-US"/>
        </w:rPr>
        <w:t>s</w:t>
      </w:r>
      <w:r w:rsidRPr="00401F25">
        <w:rPr>
          <w:rFonts w:cs="AdvPED1282"/>
          <w:color w:val="000000"/>
          <w:lang w:val="en-US"/>
        </w:rPr>
        <w:t xml:space="preserve"> in time. </w:t>
      </w:r>
      <w:r w:rsidRPr="00080524">
        <w:rPr>
          <w:rFonts w:cs="AdvPED1282"/>
          <w:color w:val="000000"/>
          <w:lang w:val="en-US"/>
        </w:rPr>
        <w:t xml:space="preserve">By comparing the results of the model for both periods, it can be seen how much these impacts changed. </w:t>
      </w:r>
      <w:r w:rsidRPr="00FB49A9">
        <w:rPr>
          <w:rFonts w:cs="AdvPED1282"/>
          <w:color w:val="000000"/>
          <w:lang w:val="en-US"/>
        </w:rPr>
        <w:t>This change of impacts than serves as the input for the OB decomposition, that aims to</w:t>
      </w:r>
      <w:r>
        <w:rPr>
          <w:rFonts w:cs="AdvPED1282"/>
          <w:color w:val="000000"/>
          <w:lang w:val="en-US"/>
        </w:rPr>
        <w:t xml:space="preserve"> decompose the change</w:t>
      </w:r>
      <w:r w:rsidRPr="00FB49A9">
        <w:rPr>
          <w:rFonts w:cs="AdvPED1282"/>
          <w:color w:val="000000"/>
          <w:lang w:val="en-US"/>
        </w:rPr>
        <w:t xml:space="preserve"> i</w:t>
      </w:r>
      <w:r>
        <w:rPr>
          <w:rFonts w:cs="AdvPED1282"/>
          <w:color w:val="000000"/>
          <w:lang w:val="en-US"/>
        </w:rPr>
        <w:t xml:space="preserve">nto the endowment and </w:t>
      </w:r>
      <w:r>
        <w:rPr>
          <w:rFonts w:cs="AdvPED1282"/>
          <w:color w:val="000000"/>
          <w:lang w:val="en-US"/>
        </w:rPr>
        <w:lastRenderedPageBreak/>
        <w:t xml:space="preserve">the </w:t>
      </w:r>
      <w:r w:rsidR="007945F7">
        <w:rPr>
          <w:rFonts w:cs="AdvPED1282"/>
          <w:color w:val="000000"/>
          <w:lang w:val="en-US"/>
        </w:rPr>
        <w:t>association</w:t>
      </w:r>
      <w:r w:rsidR="007945F7" w:rsidRPr="00FB49A9">
        <w:rPr>
          <w:rFonts w:cs="AdvPED1282"/>
          <w:color w:val="000000"/>
          <w:lang w:val="en-US"/>
        </w:rPr>
        <w:t xml:space="preserve"> </w:t>
      </w:r>
      <w:r w:rsidRPr="00FB49A9">
        <w:rPr>
          <w:rFonts w:cs="AdvPED1282"/>
          <w:color w:val="000000"/>
          <w:lang w:val="en-US"/>
        </w:rPr>
        <w:t>part. Given t</w:t>
      </w:r>
      <w:r w:rsidRPr="002A1B83">
        <w:rPr>
          <w:rFonts w:cs="AdvPED1282"/>
          <w:color w:val="000000"/>
          <w:lang w:val="en-US"/>
        </w:rPr>
        <w:t>hat BMI is a continuous variable</w:t>
      </w:r>
      <w:r w:rsidR="00A237BD">
        <w:rPr>
          <w:rFonts w:cs="AdvPED1282"/>
          <w:color w:val="000000"/>
          <w:lang w:val="en-US"/>
        </w:rPr>
        <w:t>,</w:t>
      </w:r>
      <w:r w:rsidRPr="0013333A">
        <w:rPr>
          <w:rFonts w:cs="AdvPED1282"/>
          <w:color w:val="000000"/>
          <w:lang w:val="en-US"/>
        </w:rPr>
        <w:t xml:space="preserve"> the regression model of choice is an ordinary least squares (OLS) regression</w:t>
      </w:r>
      <w:r w:rsidRPr="002A1B83">
        <w:rPr>
          <w:rFonts w:cs="AdvPED1282"/>
          <w:color w:val="000000"/>
          <w:lang w:val="en-US"/>
        </w:rPr>
        <w:t xml:space="preserve">. </w:t>
      </w:r>
      <w:r>
        <w:rPr>
          <w:rFonts w:cs="AdvPED1282"/>
          <w:color w:val="000000"/>
          <w:lang w:val="en-US"/>
        </w:rPr>
        <w:t xml:space="preserve">To control for the possibility of heteroskedasticity, meaning that there could be sub-populations within the sample that have a different variance from others, the model will be estimated with </w:t>
      </w:r>
      <w:r w:rsidRPr="00BC27CA">
        <w:rPr>
          <w:rFonts w:cs="AdvPED1282"/>
          <w:color w:val="000000"/>
          <w:lang w:val="en-US"/>
        </w:rPr>
        <w:t>het</w:t>
      </w:r>
      <w:r>
        <w:rPr>
          <w:rFonts w:cs="AdvPED1282"/>
          <w:color w:val="000000"/>
          <w:lang w:val="en-US"/>
        </w:rPr>
        <w:t xml:space="preserve">eroscedasticity-consistent </w:t>
      </w:r>
      <w:r w:rsidRPr="00BC27CA">
        <w:rPr>
          <w:rFonts w:cs="AdvPED1282"/>
          <w:color w:val="000000"/>
          <w:lang w:val="en-US"/>
        </w:rPr>
        <w:t>standard errors</w:t>
      </w:r>
      <w:r>
        <w:rPr>
          <w:rFonts w:cs="AdvPED1282"/>
          <w:color w:val="000000"/>
          <w:lang w:val="en-US"/>
        </w:rPr>
        <w:t xml:space="preserve"> </w:t>
      </w:r>
      <w:r w:rsidRPr="002A1B83">
        <w:rPr>
          <w:rFonts w:cs="AdvPED1282"/>
          <w:color w:val="000000"/>
          <w:lang w:val="en-US"/>
        </w:rPr>
        <w:t>(White, 1980)</w:t>
      </w:r>
      <w:r>
        <w:rPr>
          <w:rFonts w:cs="AdvPED1282"/>
          <w:color w:val="000000"/>
          <w:lang w:val="en-US"/>
        </w:rPr>
        <w:t>.</w:t>
      </w:r>
    </w:p>
    <w:p w14:paraId="21603ABC" w14:textId="77777777" w:rsidR="00B95A2A" w:rsidRPr="00401F25" w:rsidRDefault="00B95A2A" w:rsidP="004D1DB1">
      <w:pPr>
        <w:spacing w:line="360" w:lineRule="auto"/>
        <w:ind w:firstLine="360"/>
        <w:jc w:val="both"/>
        <w:rPr>
          <w:rFonts w:cs="AdvPED1282"/>
          <w:color w:val="000000"/>
          <w:lang w:val="en-US"/>
        </w:rPr>
      </w:pPr>
      <w:r w:rsidRPr="0031293D">
        <w:rPr>
          <w:rFonts w:cs="AdvPED1282"/>
          <w:color w:val="000000"/>
          <w:lang w:val="en-US"/>
        </w:rPr>
        <w:t>A simplification of the regression model</w:t>
      </w:r>
      <w:r>
        <w:rPr>
          <w:rFonts w:cs="AdvPED1282"/>
          <w:color w:val="000000"/>
          <w:lang w:val="en-US"/>
        </w:rPr>
        <w:t xml:space="preserve"> with only two explanatory variables is depicted</w:t>
      </w:r>
      <w:r w:rsidRPr="0031293D">
        <w:rPr>
          <w:rFonts w:cs="AdvPED1282"/>
          <w:color w:val="000000"/>
          <w:lang w:val="en-US"/>
        </w:rPr>
        <w:t xml:space="preserve"> for the first and second time </w:t>
      </w:r>
      <w:r w:rsidRPr="00080524">
        <w:rPr>
          <w:rFonts w:cs="AdvPED1282"/>
          <w:color w:val="000000"/>
          <w:lang w:val="en-US"/>
        </w:rPr>
        <w:t xml:space="preserve">period </w:t>
      </w:r>
      <w:r w:rsidRPr="00401F25">
        <w:rPr>
          <w:rFonts w:cs="AdvPED1282"/>
          <w:color w:val="000000"/>
          <w:lang w:val="en-US"/>
        </w:rPr>
        <w:t>in formula (</w:t>
      </w:r>
      <w:r w:rsidRPr="002A1B83">
        <w:rPr>
          <w:rFonts w:cs="AdvPED1282"/>
          <w:color w:val="000000"/>
          <w:lang w:val="en-US"/>
        </w:rPr>
        <w:t>2</w:t>
      </w:r>
      <w:r w:rsidRPr="00080524">
        <w:rPr>
          <w:rFonts w:cs="AdvPED1282"/>
          <w:color w:val="000000"/>
          <w:lang w:val="en-US"/>
        </w:rPr>
        <w:t xml:space="preserve">) </w:t>
      </w:r>
      <w:r w:rsidRPr="002A1B83">
        <w:rPr>
          <w:rFonts w:cs="AdvPED1282"/>
          <w:color w:val="000000"/>
          <w:lang w:val="en-US"/>
        </w:rPr>
        <w:t>and</w:t>
      </w:r>
      <w:r w:rsidRPr="00080524">
        <w:rPr>
          <w:rFonts w:cs="AdvPED1282"/>
          <w:color w:val="000000"/>
          <w:lang w:val="en-US"/>
        </w:rPr>
        <w:t xml:space="preserve"> (</w:t>
      </w:r>
      <w:r w:rsidRPr="002A1B83">
        <w:rPr>
          <w:rFonts w:cs="AdvPED1282"/>
          <w:color w:val="000000"/>
          <w:lang w:val="en-US"/>
        </w:rPr>
        <w:t>3</w:t>
      </w:r>
      <w:r w:rsidRPr="00080524">
        <w:rPr>
          <w:rFonts w:cs="AdvPED1282"/>
          <w:color w:val="000000"/>
          <w:lang w:val="en-US"/>
        </w:rPr>
        <w:t>).</w:t>
      </w:r>
      <w:r w:rsidRPr="00401F25">
        <w:rPr>
          <w:rFonts w:cs="AdvPED1282"/>
          <w:color w:val="000000"/>
          <w:lang w:val="en-US"/>
        </w:rPr>
        <w:t xml:space="preserve"> In this</w:t>
      </w:r>
      <w:r w:rsidRPr="0031293D">
        <w:rPr>
          <w:rFonts w:cs="AdvPED1282"/>
          <w:color w:val="000000"/>
          <w:lang w:val="en-US"/>
        </w:rPr>
        <w:t xml:space="preserve"> </w:t>
      </w:r>
      <w:r w:rsidRPr="0013333A">
        <w:rPr>
          <w:rFonts w:cs="AdvPED1282"/>
          <w:color w:val="000000"/>
          <w:lang w:val="en-US"/>
        </w:rPr>
        <w:t xml:space="preserve">model </w:t>
      </w:r>
      <m:oMath>
        <m:r>
          <w:rPr>
            <w:rFonts w:ascii="Cambria Math" w:eastAsia="SimSun" w:hAnsi="Cambria Math" w:cs="AdvPED1282"/>
            <w:color w:val="000000"/>
            <w:lang w:val="en-US"/>
          </w:rPr>
          <m:t>bmi₁</m:t>
        </m:r>
      </m:oMath>
      <w:r w:rsidRPr="002A1B83">
        <w:rPr>
          <w:rFonts w:cs="AdvPED1282"/>
          <w:color w:val="000000"/>
          <w:lang w:val="en-US"/>
        </w:rPr>
        <w:t xml:space="preserve"> </w:t>
      </w:r>
      <w:r>
        <w:rPr>
          <w:rFonts w:cs="AdvPED1282"/>
          <w:color w:val="000000"/>
          <w:lang w:val="en-US"/>
        </w:rPr>
        <w:t xml:space="preserve">is derived from </w:t>
      </w:r>
      <w:r w:rsidRPr="0031293D">
        <w:rPr>
          <w:rFonts w:cs="AdvPED1282"/>
          <w:color w:val="000000"/>
          <w:lang w:val="en-US"/>
        </w:rPr>
        <w:t xml:space="preserve">explanatory variables </w:t>
      </w:r>
      <m:oMath>
        <m:r>
          <w:rPr>
            <w:rFonts w:ascii="Cambria Math" w:hAnsi="Cambria Math" w:cs="AdvPED1282"/>
            <w:color w:val="000000"/>
            <w:lang w:val="en-US"/>
          </w:rPr>
          <m:t>xᵢ</m:t>
        </m:r>
        <m:r>
          <w:rPr>
            <w:rFonts w:ascii="Cambria Math" w:hAnsi="Cambria Math" w:cs="Calibri"/>
            <w:color w:val="000000"/>
            <w:lang w:val="en-US"/>
          </w:rPr>
          <m:t xml:space="preserve">₁ </m:t>
        </m:r>
      </m:oMath>
      <w:r w:rsidRPr="0031293D">
        <w:rPr>
          <w:rFonts w:cs="AdvPED1282"/>
          <w:color w:val="000000"/>
          <w:lang w:val="en-US"/>
        </w:rPr>
        <w:t xml:space="preserve">and </w:t>
      </w:r>
      <m:oMath>
        <m:r>
          <w:rPr>
            <w:rFonts w:ascii="Cambria Math" w:hAnsi="Cambria Math" w:cs="AdvPED1282"/>
            <w:color w:val="000000"/>
            <w:lang w:val="en-US"/>
          </w:rPr>
          <m:t>yᵢ</m:t>
        </m:r>
        <m:r>
          <w:rPr>
            <w:rFonts w:ascii="Cambria Math" w:hAnsi="Cambria Math" w:cs="Calibri"/>
            <w:color w:val="000000"/>
            <w:lang w:val="en-US"/>
          </w:rPr>
          <m:t>₁</m:t>
        </m:r>
      </m:oMath>
      <w:r w:rsidRPr="0031293D">
        <w:rPr>
          <w:rFonts w:cs="AdvPED1282"/>
          <w:color w:val="000000"/>
          <w:lang w:val="en-US"/>
        </w:rPr>
        <w:t xml:space="preserve"> for </w:t>
      </w:r>
      <w:r w:rsidRPr="00080524">
        <w:rPr>
          <w:rFonts w:cs="AdvPED1282"/>
          <w:color w:val="000000"/>
          <w:lang w:val="en-US"/>
        </w:rPr>
        <w:t>individual</w:t>
      </w:r>
      <w:r w:rsidRPr="00B93925">
        <w:rPr>
          <w:rFonts w:cs="AdvPED1282"/>
          <w:i/>
          <w:color w:val="000000"/>
          <w:lang w:val="en-US"/>
        </w:rPr>
        <w:t xml:space="preserve"> i</w:t>
      </w:r>
      <w:r w:rsidRPr="00080524">
        <w:rPr>
          <w:rFonts w:cs="AdvPED1282"/>
          <w:color w:val="000000"/>
          <w:lang w:val="en-US"/>
        </w:rPr>
        <w:t xml:space="preserve"> </w:t>
      </w:r>
      <w:r w:rsidRPr="00401F25">
        <w:rPr>
          <w:rFonts w:cs="AdvPED1282"/>
          <w:color w:val="000000"/>
          <w:lang w:val="en-US"/>
        </w:rPr>
        <w:t>in period one, with their corresponding parameters β</w:t>
      </w:r>
      <w:r w:rsidRPr="000C440D">
        <w:rPr>
          <w:rFonts w:cs="Calibri"/>
          <w:color w:val="000000"/>
          <w:lang w:val="en-US"/>
        </w:rPr>
        <w:t>₁</w:t>
      </w:r>
      <w:r w:rsidRPr="00401F25">
        <w:rPr>
          <w:rFonts w:cs="AdvPED1282"/>
          <w:color w:val="000000"/>
          <w:lang w:val="en-US"/>
        </w:rPr>
        <w:t xml:space="preserve"> and χ</w:t>
      </w:r>
      <w:r w:rsidRPr="000C440D">
        <w:rPr>
          <w:rFonts w:cs="Calibri"/>
          <w:color w:val="000000"/>
          <w:lang w:val="en-US"/>
        </w:rPr>
        <w:t>₁</w:t>
      </w:r>
      <w:r w:rsidRPr="00401F25">
        <w:rPr>
          <w:rFonts w:cs="AdvPED1282"/>
          <w:color w:val="000000"/>
          <w:lang w:val="en-US"/>
        </w:rPr>
        <w:t xml:space="preserve">, a constant </w:t>
      </w:r>
      <w:r w:rsidRPr="00A237BD">
        <w:rPr>
          <w:rFonts w:cs="AdvPED1282"/>
          <w:i/>
          <w:color w:val="000000"/>
          <w:lang w:val="en-US"/>
        </w:rPr>
        <w:t>α</w:t>
      </w:r>
      <w:r w:rsidRPr="00A237BD">
        <w:rPr>
          <w:rFonts w:cs="Calibri"/>
          <w:i/>
          <w:color w:val="000000"/>
          <w:lang w:val="en-US"/>
        </w:rPr>
        <w:t>₁</w:t>
      </w:r>
      <w:r w:rsidRPr="00401F25">
        <w:rPr>
          <w:rFonts w:cs="AdvPED1282"/>
          <w:color w:val="000000"/>
          <w:lang w:val="en-US"/>
        </w:rPr>
        <w:t xml:space="preserve"> and error term </w:t>
      </w:r>
      <w:r w:rsidRPr="00A237BD">
        <w:rPr>
          <w:rFonts w:cs="AdvPED1282"/>
          <w:i/>
          <w:color w:val="000000"/>
          <w:lang w:val="en-US"/>
        </w:rPr>
        <w:t>ε</w:t>
      </w:r>
      <w:r w:rsidR="00B93925" w:rsidRPr="00A237BD">
        <w:rPr>
          <w:rFonts w:cs="AdvPED1282"/>
          <w:i/>
          <w:color w:val="000000"/>
          <w:lang w:val="en-US"/>
        </w:rPr>
        <w:t>ᵢ</w:t>
      </w:r>
      <w:r w:rsidRPr="00A237BD">
        <w:rPr>
          <w:rFonts w:cs="Calibri"/>
          <w:i/>
          <w:color w:val="000000"/>
          <w:lang w:val="en-US"/>
        </w:rPr>
        <w:t>₁</w:t>
      </w:r>
      <w:r w:rsidRPr="00401F25">
        <w:rPr>
          <w:rFonts w:cs="AdvPED1282"/>
          <w:color w:val="000000"/>
          <w:lang w:val="en-US"/>
        </w:rPr>
        <w:t>. A similar representation is used for period two</w:t>
      </w:r>
      <w:r>
        <w:rPr>
          <w:rFonts w:cs="AdvPED1282"/>
          <w:color w:val="000000"/>
          <w:lang w:val="en-US"/>
        </w:rPr>
        <w:t>.</w:t>
      </w:r>
    </w:p>
    <w:p w14:paraId="03B9FD2A" w14:textId="77777777" w:rsidR="00B95A2A" w:rsidRDefault="00B95A2A" w:rsidP="00B95A2A">
      <w:pPr>
        <w:pStyle w:val="ListParagraph"/>
        <w:numPr>
          <w:ilvl w:val="0"/>
          <w:numId w:val="28"/>
        </w:numPr>
        <w:autoSpaceDE w:val="0"/>
        <w:autoSpaceDN w:val="0"/>
        <w:adjustRightInd w:val="0"/>
        <w:spacing w:after="0" w:line="360" w:lineRule="auto"/>
        <w:jc w:val="both"/>
        <w:rPr>
          <w:rFonts w:cs="AdvPED1282"/>
          <w:color w:val="000000"/>
          <w:lang w:val="en-US"/>
        </w:rPr>
      </w:pPr>
      <w:r w:rsidRPr="002A1B83">
        <w:rPr>
          <w:rFonts w:cs="AdvPED1282"/>
          <w:color w:val="000000"/>
          <w:lang w:val="en-US"/>
        </w:rPr>
        <w:t xml:space="preserve"> </w:t>
      </w:r>
      <m:oMath>
        <m:r>
          <w:rPr>
            <w:rFonts w:ascii="Cambria Math" w:eastAsia="SimSun" w:hAnsi="Cambria Math" w:cs="AdvPED1282"/>
            <w:color w:val="000000"/>
            <w:lang w:val="en-US"/>
          </w:rPr>
          <m:t>bmiᵢ₁</m:t>
        </m:r>
        <m:r>
          <m:rPr>
            <m:sty m:val="p"/>
          </m:rPr>
          <w:rPr>
            <w:rFonts w:ascii="Cambria Math" w:hAnsi="Cambria Math" w:cs="AdvPED1282"/>
            <w:color w:val="000000"/>
            <w:lang w:val="en-US"/>
          </w:rPr>
          <m:t>=</m:t>
        </m:r>
        <m:r>
          <w:rPr>
            <w:rFonts w:ascii="Cambria Math" w:hAnsi="Cambria Math" w:cs="AdvPED1282"/>
            <w:color w:val="000000"/>
            <w:lang w:val="en-US"/>
          </w:rPr>
          <m:t xml:space="preserve"> α</m:t>
        </m:r>
        <m:r>
          <w:rPr>
            <w:rFonts w:ascii="Cambria Math" w:hAnsi="Cambria Math" w:cs="Calibri"/>
            <w:color w:val="000000"/>
            <w:lang w:val="en-US"/>
          </w:rPr>
          <m:t>₁</m:t>
        </m:r>
        <m:r>
          <w:rPr>
            <w:rFonts w:ascii="Cambria Math" w:hAnsi="Cambria Math" w:cs="AdvPED1282"/>
            <w:color w:val="000000"/>
            <w:lang w:val="en-US"/>
          </w:rPr>
          <m:t xml:space="preserve"> + β</m:t>
        </m:r>
        <m:r>
          <w:rPr>
            <w:rFonts w:ascii="Cambria Math" w:hAnsi="Cambria Math" w:cs="Calibri"/>
            <w:color w:val="000000"/>
            <w:lang w:val="en-US"/>
          </w:rPr>
          <m:t>₁</m:t>
        </m:r>
        <m:r>
          <w:rPr>
            <w:rFonts w:ascii="Cambria Math" w:hAnsi="Cambria Math" w:cs="AdvPED1282"/>
            <w:color w:val="000000"/>
            <w:lang w:val="en-US"/>
          </w:rPr>
          <m:t>xᵢ</m:t>
        </m:r>
        <m:r>
          <w:rPr>
            <w:rFonts w:ascii="Cambria Math" w:hAnsi="Cambria Math" w:cs="Calibri"/>
            <w:color w:val="000000"/>
            <w:lang w:val="en-US"/>
          </w:rPr>
          <m:t>₁</m:t>
        </m:r>
        <m:r>
          <w:rPr>
            <w:rFonts w:ascii="Cambria Math" w:hAnsi="Cambria Math" w:cs="AdvPED1282"/>
            <w:color w:val="000000"/>
            <w:lang w:val="en-US"/>
          </w:rPr>
          <m:t xml:space="preserve"> + χ</m:t>
        </m:r>
        <m:r>
          <w:rPr>
            <w:rFonts w:ascii="Cambria Math" w:hAnsi="Cambria Math" w:cs="Calibri"/>
            <w:color w:val="000000"/>
            <w:lang w:val="en-US"/>
          </w:rPr>
          <m:t>₁</m:t>
        </m:r>
        <m:r>
          <w:rPr>
            <w:rFonts w:ascii="Cambria Math" w:hAnsi="Cambria Math" w:cs="AdvPED1282"/>
            <w:color w:val="000000"/>
            <w:lang w:val="en-US"/>
          </w:rPr>
          <m:t>yᵢ</m:t>
        </m:r>
        <m:r>
          <w:rPr>
            <w:rFonts w:ascii="Cambria Math" w:hAnsi="Cambria Math" w:cs="Calibri"/>
            <w:color w:val="000000"/>
            <w:lang w:val="en-US"/>
          </w:rPr>
          <m:t>₁</m:t>
        </m:r>
        <m:r>
          <w:rPr>
            <w:rFonts w:ascii="Cambria Math" w:hAnsi="Cambria Math" w:cs="AdvPED1282"/>
            <w:color w:val="000000"/>
            <w:lang w:val="en-US"/>
          </w:rPr>
          <m:t xml:space="preserve"> + εᵢ</m:t>
        </m:r>
        <m:r>
          <w:rPr>
            <w:rFonts w:ascii="Cambria Math" w:hAnsi="Cambria Math" w:cs="Calibri"/>
            <w:color w:val="000000"/>
            <w:lang w:val="en-US"/>
          </w:rPr>
          <m:t>₁</m:t>
        </m:r>
      </m:oMath>
      <w:r w:rsidRPr="00FA757E">
        <w:rPr>
          <w:rFonts w:cs="AdvPED1282"/>
          <w:i/>
          <w:color w:val="000000"/>
          <w:lang w:val="en-US"/>
        </w:rPr>
        <w:t xml:space="preserve"> </w:t>
      </w:r>
    </w:p>
    <w:p w14:paraId="1131F6F2" w14:textId="77777777" w:rsidR="00B95A2A" w:rsidRPr="00C77E6F" w:rsidRDefault="00B95A2A" w:rsidP="00B95A2A">
      <w:pPr>
        <w:pStyle w:val="ListParagraph"/>
        <w:autoSpaceDE w:val="0"/>
        <w:autoSpaceDN w:val="0"/>
        <w:adjustRightInd w:val="0"/>
        <w:spacing w:after="0" w:line="360" w:lineRule="auto"/>
        <w:ind w:left="2136"/>
        <w:jc w:val="both"/>
        <w:rPr>
          <w:rFonts w:cs="AdvPED1282"/>
          <w:color w:val="000000"/>
          <w:lang w:val="en-US"/>
        </w:rPr>
      </w:pPr>
    </w:p>
    <w:p w14:paraId="44DB6EB7" w14:textId="77777777" w:rsidR="00B95A2A" w:rsidRPr="00C77E6F" w:rsidRDefault="00B95A2A" w:rsidP="00B95A2A">
      <w:pPr>
        <w:pStyle w:val="ListParagraph"/>
        <w:numPr>
          <w:ilvl w:val="0"/>
          <w:numId w:val="28"/>
        </w:numPr>
        <w:autoSpaceDE w:val="0"/>
        <w:autoSpaceDN w:val="0"/>
        <w:adjustRightInd w:val="0"/>
        <w:spacing w:after="0" w:line="360" w:lineRule="auto"/>
        <w:jc w:val="both"/>
        <w:rPr>
          <w:rFonts w:cs="AdvPED1282"/>
          <w:color w:val="000000"/>
          <w:lang w:val="en-US"/>
        </w:rPr>
      </w:pPr>
      <w:r w:rsidRPr="002A1B83">
        <w:rPr>
          <w:rFonts w:eastAsia="SimSun" w:cs="AdvPED1282"/>
          <w:color w:val="000000"/>
          <w:lang w:val="en-US"/>
        </w:rPr>
        <w:t xml:space="preserve"> </w:t>
      </w:r>
      <m:oMath>
        <m:r>
          <w:rPr>
            <w:rFonts w:ascii="Cambria Math" w:eastAsia="SimSun" w:hAnsi="Cambria Math" w:cs="AdvPED1282"/>
            <w:color w:val="000000"/>
            <w:lang w:val="en-US"/>
          </w:rPr>
          <m:t>bmiᵢ₂</m:t>
        </m:r>
        <m:r>
          <m:rPr>
            <m:sty m:val="p"/>
          </m:rPr>
          <w:rPr>
            <w:rFonts w:ascii="Cambria Math" w:hAnsi="Cambria Math" w:cs="AdvPED1282"/>
            <w:color w:val="000000"/>
            <w:lang w:val="en-US"/>
          </w:rPr>
          <m:t xml:space="preserve">= </m:t>
        </m:r>
        <m:r>
          <w:rPr>
            <w:rFonts w:ascii="Cambria Math" w:hAnsi="Cambria Math" w:cs="AdvPED1282"/>
            <w:color w:val="000000"/>
            <w:lang w:val="en-US"/>
          </w:rPr>
          <m:t>α</m:t>
        </m:r>
        <m:r>
          <w:rPr>
            <w:rFonts w:ascii="Cambria Math" w:hAnsi="Cambria Math" w:cs="Calibri"/>
            <w:color w:val="000000"/>
            <w:lang w:val="en-US"/>
          </w:rPr>
          <m:t>₂</m:t>
        </m:r>
        <m:r>
          <w:rPr>
            <w:rFonts w:ascii="Cambria Math" w:hAnsi="Cambria Math" w:cs="AdvPED1282"/>
            <w:color w:val="000000"/>
            <w:lang w:val="en-US"/>
          </w:rPr>
          <m:t xml:space="preserve"> + β</m:t>
        </m:r>
        <m:r>
          <w:rPr>
            <w:rFonts w:ascii="Cambria Math" w:hAnsi="Cambria Math" w:cs="Calibri"/>
            <w:color w:val="000000"/>
            <w:lang w:val="en-US"/>
          </w:rPr>
          <m:t>₂</m:t>
        </m:r>
        <m:r>
          <w:rPr>
            <w:rFonts w:ascii="Cambria Math" w:hAnsi="Cambria Math" w:cs="AdvPED1282"/>
            <w:color w:val="000000"/>
            <w:lang w:val="en-US"/>
          </w:rPr>
          <m:t>xᵢ</m:t>
        </m:r>
        <m:r>
          <w:rPr>
            <w:rFonts w:ascii="Cambria Math" w:hAnsi="Cambria Math" w:cs="Calibri"/>
            <w:color w:val="000000"/>
            <w:lang w:val="en-US"/>
          </w:rPr>
          <m:t>₂</m:t>
        </m:r>
        <m:r>
          <w:rPr>
            <w:rFonts w:ascii="Cambria Math" w:hAnsi="Cambria Math" w:cs="AdvPED1282"/>
            <w:color w:val="000000"/>
            <w:lang w:val="en-US"/>
          </w:rPr>
          <m:t xml:space="preserve"> + χ</m:t>
        </m:r>
        <m:r>
          <w:rPr>
            <w:rFonts w:ascii="Cambria Math" w:hAnsi="Cambria Math" w:cs="Calibri"/>
            <w:color w:val="000000"/>
            <w:lang w:val="en-US"/>
          </w:rPr>
          <m:t>₂</m:t>
        </m:r>
        <m:r>
          <w:rPr>
            <w:rFonts w:ascii="Cambria Math" w:hAnsi="Cambria Math" w:cs="AdvPED1282"/>
            <w:color w:val="000000"/>
            <w:lang w:val="en-US"/>
          </w:rPr>
          <m:t>yᵢ</m:t>
        </m:r>
        <m:r>
          <w:rPr>
            <w:rFonts w:ascii="Cambria Math" w:hAnsi="Cambria Math" w:cs="Calibri"/>
            <w:color w:val="000000"/>
            <w:lang w:val="en-US"/>
          </w:rPr>
          <m:t>₂</m:t>
        </m:r>
        <m:r>
          <w:rPr>
            <w:rFonts w:ascii="Cambria Math" w:hAnsi="Cambria Math" w:cs="AdvPED1282"/>
            <w:color w:val="000000"/>
            <w:lang w:val="en-US"/>
          </w:rPr>
          <m:t xml:space="preserve"> + εᵢ</m:t>
        </m:r>
        <m:r>
          <w:rPr>
            <w:rFonts w:ascii="Cambria Math" w:hAnsi="Cambria Math" w:cs="Calibri"/>
            <w:color w:val="000000"/>
            <w:lang w:val="en-US"/>
          </w:rPr>
          <m:t>₂</m:t>
        </m:r>
      </m:oMath>
      <w:r w:rsidRPr="00401F25">
        <w:rPr>
          <w:rFonts w:cs="AdvPED1282"/>
          <w:color w:val="000000"/>
          <w:lang w:val="en-US"/>
        </w:rPr>
        <w:t xml:space="preserve"> </w:t>
      </w:r>
    </w:p>
    <w:p w14:paraId="3133434A" w14:textId="77777777" w:rsidR="00B95A2A" w:rsidRPr="00C77E6F" w:rsidRDefault="00B95A2A" w:rsidP="00B95A2A">
      <w:pPr>
        <w:pStyle w:val="ListParagraph"/>
        <w:autoSpaceDE w:val="0"/>
        <w:autoSpaceDN w:val="0"/>
        <w:adjustRightInd w:val="0"/>
        <w:spacing w:after="0" w:line="360" w:lineRule="auto"/>
        <w:ind w:left="2136"/>
        <w:jc w:val="both"/>
        <w:rPr>
          <w:rFonts w:cs="AdvPED1282"/>
          <w:color w:val="000000"/>
          <w:lang w:val="en-US"/>
        </w:rPr>
      </w:pPr>
    </w:p>
    <w:p w14:paraId="16A93B70" w14:textId="77777777" w:rsidR="00B95A2A" w:rsidRDefault="00B95A2A" w:rsidP="004D1DB1">
      <w:pPr>
        <w:spacing w:line="360" w:lineRule="auto"/>
        <w:ind w:firstLine="360"/>
        <w:jc w:val="both"/>
        <w:rPr>
          <w:rFonts w:cs="AdvPED1282"/>
          <w:color w:val="000000"/>
          <w:lang w:val="en-US"/>
        </w:rPr>
      </w:pPr>
      <w:r w:rsidRPr="00401F25">
        <w:rPr>
          <w:rFonts w:cs="AdvPED1282"/>
          <w:color w:val="000000"/>
          <w:lang w:val="en-US"/>
        </w:rPr>
        <w:lastRenderedPageBreak/>
        <w:t>This method allows for a change over time in the regression</w:t>
      </w:r>
      <w:r w:rsidRPr="0031293D">
        <w:rPr>
          <w:rFonts w:cs="AdvPED1282"/>
          <w:color w:val="000000"/>
          <w:lang w:val="en-US"/>
        </w:rPr>
        <w:t xml:space="preserve"> model that links the variable of interest to its associated factors, or in other words allowing a change in the coefficients of the independent variables. Following equations </w:t>
      </w:r>
      <w:r>
        <w:rPr>
          <w:rFonts w:cs="AdvPED1282"/>
          <w:color w:val="000000"/>
          <w:lang w:val="en-US"/>
        </w:rPr>
        <w:t>(</w:t>
      </w:r>
      <w:r w:rsidRPr="0031293D">
        <w:rPr>
          <w:rFonts w:cs="AdvPED1282"/>
          <w:color w:val="000000"/>
          <w:lang w:val="en-US"/>
        </w:rPr>
        <w:t>1</w:t>
      </w:r>
      <w:r>
        <w:rPr>
          <w:rFonts w:cs="AdvPED1282"/>
          <w:color w:val="000000"/>
          <w:lang w:val="en-US"/>
        </w:rPr>
        <w:t>)</w:t>
      </w:r>
      <w:r w:rsidRPr="0031293D">
        <w:rPr>
          <w:rFonts w:cs="AdvPED1282"/>
          <w:color w:val="000000"/>
          <w:lang w:val="en-US"/>
        </w:rPr>
        <w:t xml:space="preserve">, </w:t>
      </w:r>
      <w:r>
        <w:rPr>
          <w:rFonts w:cs="AdvPED1282"/>
          <w:color w:val="000000"/>
          <w:lang w:val="en-US"/>
        </w:rPr>
        <w:t>(</w:t>
      </w:r>
      <w:r w:rsidRPr="0031293D">
        <w:rPr>
          <w:rFonts w:cs="AdvPED1282"/>
          <w:color w:val="000000"/>
          <w:lang w:val="en-US"/>
        </w:rPr>
        <w:t>2</w:t>
      </w:r>
      <w:r>
        <w:rPr>
          <w:rFonts w:cs="AdvPED1282"/>
          <w:color w:val="000000"/>
          <w:lang w:val="en-US"/>
        </w:rPr>
        <w:t>)</w:t>
      </w:r>
      <w:r w:rsidRPr="0031293D">
        <w:rPr>
          <w:rFonts w:cs="AdvPED1282"/>
          <w:color w:val="000000"/>
          <w:lang w:val="en-US"/>
        </w:rPr>
        <w:t xml:space="preserve"> and </w:t>
      </w:r>
      <w:r>
        <w:rPr>
          <w:rFonts w:cs="AdvPED1282"/>
          <w:color w:val="000000"/>
          <w:lang w:val="en-US"/>
        </w:rPr>
        <w:t>(</w:t>
      </w:r>
      <w:r w:rsidRPr="0031293D">
        <w:rPr>
          <w:rFonts w:cs="AdvPED1282"/>
          <w:color w:val="000000"/>
          <w:lang w:val="en-US"/>
        </w:rPr>
        <w:t>3</w:t>
      </w:r>
      <w:r>
        <w:rPr>
          <w:rFonts w:cs="AdvPED1282"/>
          <w:color w:val="000000"/>
          <w:lang w:val="en-US"/>
        </w:rPr>
        <w:t>)</w:t>
      </w:r>
      <w:r w:rsidRPr="0031293D">
        <w:rPr>
          <w:rFonts w:cs="AdvPED1282"/>
          <w:color w:val="000000"/>
          <w:lang w:val="en-US"/>
        </w:rPr>
        <w:t xml:space="preserve"> they can be combined into one equatio</w:t>
      </w:r>
      <w:r>
        <w:rPr>
          <w:rFonts w:cs="AdvPED1282"/>
          <w:color w:val="000000"/>
          <w:lang w:val="en-US"/>
        </w:rPr>
        <w:t xml:space="preserve">n. Equation (4) </w:t>
      </w:r>
      <w:r w:rsidRPr="0031293D">
        <w:rPr>
          <w:rFonts w:cs="AdvPED1282"/>
          <w:color w:val="000000"/>
          <w:lang w:val="en-US"/>
        </w:rPr>
        <w:t>represents the change observed in mean BMI between period one and two for the selected population linked to the factors that are associated with BMI</w:t>
      </w:r>
      <w:r>
        <w:rPr>
          <w:rFonts w:cs="AdvPED1282"/>
          <w:color w:val="000000"/>
          <w:lang w:val="en-US"/>
        </w:rPr>
        <w:t>.</w:t>
      </w:r>
      <w:r w:rsidR="00234F6E">
        <w:rPr>
          <w:rFonts w:cs="AdvPED1282"/>
          <w:color w:val="000000"/>
          <w:lang w:val="en-US"/>
        </w:rPr>
        <w:t xml:space="preserve"> </w:t>
      </w:r>
      <w:r w:rsidR="00234F6E" w:rsidRPr="0031293D">
        <w:rPr>
          <w:rFonts w:cs="AdvPED1282"/>
          <w:color w:val="000000"/>
          <w:lang w:val="en-US"/>
        </w:rPr>
        <w:t>The</w:t>
      </w:r>
      <w:r w:rsidR="00234F6E">
        <w:rPr>
          <w:rFonts w:cs="AdvPED1282"/>
          <w:color w:val="000000"/>
          <w:lang w:val="en-US"/>
        </w:rPr>
        <w:t xml:space="preserve"> error term </w:t>
      </w:r>
      <w:r w:rsidR="00234F6E" w:rsidRPr="0031293D">
        <w:rPr>
          <w:rFonts w:cs="AdvPED1282"/>
          <w:color w:val="000000"/>
          <w:lang w:val="en-US"/>
        </w:rPr>
        <w:t xml:space="preserve">in </w:t>
      </w:r>
      <w:r w:rsidR="00234F6E">
        <w:rPr>
          <w:rFonts w:cs="AdvPED1282"/>
          <w:color w:val="000000"/>
          <w:lang w:val="en-US"/>
        </w:rPr>
        <w:t>equation (4),</w:t>
      </w:r>
      <w:r w:rsidR="00234F6E" w:rsidRPr="0031293D">
        <w:rPr>
          <w:rFonts w:cs="AdvPED1282"/>
          <w:color w:val="000000"/>
          <w:lang w:val="en-US"/>
        </w:rPr>
        <w:t xml:space="preserve"> which can be denoted as </w:t>
      </w:r>
      <w:r w:rsidR="00234F6E" w:rsidRPr="00A237BD">
        <w:rPr>
          <w:rFonts w:cs="AdvPED1282"/>
          <w:i/>
          <w:color w:val="000000"/>
          <w:lang w:val="en-US"/>
        </w:rPr>
        <w:t>ε₂ - ε₁,</w:t>
      </w:r>
      <w:r w:rsidR="00234F6E" w:rsidRPr="0031293D">
        <w:rPr>
          <w:rFonts w:cs="AdvPED1282"/>
          <w:color w:val="000000"/>
          <w:lang w:val="en-US"/>
        </w:rPr>
        <w:t xml:space="preserve"> is assumed to drop out</w:t>
      </w:r>
      <w:r w:rsidR="00234F6E">
        <w:rPr>
          <w:rFonts w:cs="AdvPED1282"/>
          <w:color w:val="000000"/>
          <w:lang w:val="en-US"/>
        </w:rPr>
        <w:t>.</w:t>
      </w:r>
      <w:r w:rsidR="00234F6E" w:rsidRPr="004D1DB1">
        <w:rPr>
          <w:rStyle w:val="FootnoteReference"/>
          <w:rFonts w:cs="AdvPED1282"/>
          <w:noProof/>
          <w:color w:val="000000"/>
          <w:lang w:val="en-US"/>
        </w:rPr>
        <w:footnoteReference w:id="2"/>
      </w:r>
      <w:r w:rsidR="00234F6E" w:rsidRPr="005D405B">
        <w:rPr>
          <w:rStyle w:val="FootnoteReference"/>
          <w:noProof/>
          <w:lang w:val="en-GB"/>
        </w:rPr>
        <w:t xml:space="preserve"> </w:t>
      </w:r>
    </w:p>
    <w:p w14:paraId="7559EB16" w14:textId="77777777" w:rsidR="00B95A2A" w:rsidRPr="00C77E6F" w:rsidRDefault="00B95A2A" w:rsidP="00B95A2A">
      <w:pPr>
        <w:autoSpaceDE w:val="0"/>
        <w:autoSpaceDN w:val="0"/>
        <w:adjustRightInd w:val="0"/>
        <w:spacing w:after="0" w:line="360" w:lineRule="auto"/>
        <w:jc w:val="both"/>
        <w:rPr>
          <w:rFonts w:cs="AdvPED1282"/>
          <w:color w:val="000000"/>
          <w:lang w:val="en-US"/>
        </w:rPr>
      </w:pPr>
    </w:p>
    <w:p w14:paraId="159C9C10" w14:textId="77777777" w:rsidR="00B95A2A" w:rsidRDefault="00EC69BE" w:rsidP="00B95A2A">
      <w:pPr>
        <w:pStyle w:val="ListParagraph"/>
        <w:numPr>
          <w:ilvl w:val="0"/>
          <w:numId w:val="28"/>
        </w:numPr>
        <w:autoSpaceDE w:val="0"/>
        <w:autoSpaceDN w:val="0"/>
        <w:adjustRightInd w:val="0"/>
        <w:spacing w:after="0" w:line="360" w:lineRule="auto"/>
        <w:jc w:val="both"/>
        <w:rPr>
          <w:rFonts w:cs="AdvPED1282"/>
          <w:color w:val="000000"/>
          <w:lang w:val="en-US"/>
        </w:rPr>
      </w:pPr>
      <m:oMath>
        <m:acc>
          <m:accPr>
            <m:chr m:val="̅"/>
            <m:ctrlPr>
              <w:rPr>
                <w:rFonts w:ascii="Cambria Math" w:hAnsi="Cambria Math" w:cs="AdvPED1282"/>
                <w:i/>
                <w:color w:val="000000"/>
                <w:lang w:val="en-US"/>
              </w:rPr>
            </m:ctrlPr>
          </m:accPr>
          <m:e>
            <m:r>
              <w:rPr>
                <w:rFonts w:ascii="Cambria Math" w:hAnsi="Cambria Math" w:cs="AdvPED1282"/>
                <w:color w:val="000000"/>
                <w:lang w:val="en-US"/>
              </w:rPr>
              <m:t xml:space="preserve"> BMI₂</m:t>
            </m:r>
          </m:e>
        </m:acc>
        <m:r>
          <w:rPr>
            <w:rFonts w:ascii="Cambria Math" w:hAnsi="Cambria Math" w:cs="AdvPED1282"/>
            <w:color w:val="000000"/>
            <w:lang w:val="en-US"/>
          </w:rPr>
          <m:t xml:space="preserve"> – </m:t>
        </m:r>
        <m:acc>
          <m:accPr>
            <m:chr m:val="̅"/>
            <m:ctrlPr>
              <w:rPr>
                <w:rFonts w:ascii="Cambria Math" w:hAnsi="Cambria Math" w:cs="AdvPED1282"/>
                <w:i/>
                <w:color w:val="000000"/>
                <w:lang w:val="en-US"/>
              </w:rPr>
            </m:ctrlPr>
          </m:accPr>
          <m:e>
            <m:r>
              <w:rPr>
                <w:rFonts w:ascii="Cambria Math" w:hAnsi="Cambria Math" w:cs="AdvPED1282"/>
                <w:color w:val="000000"/>
                <w:lang w:val="en-US"/>
              </w:rPr>
              <m:t>BMI₁</m:t>
            </m:r>
          </m:e>
        </m:acc>
        <m:r>
          <w:rPr>
            <w:rFonts w:ascii="Cambria Math" w:hAnsi="Cambria Math" w:cs="AdvPED1282"/>
            <w:color w:val="000000"/>
            <w:lang w:val="en-US"/>
          </w:rPr>
          <m:t xml:space="preserve"> = (α₂ + β₂</m:t>
        </m:r>
        <m:acc>
          <m:accPr>
            <m:chr m:val="̅"/>
            <m:ctrlPr>
              <w:rPr>
                <w:rFonts w:ascii="Cambria Math" w:hAnsi="Cambria Math" w:cs="AdvPED1282"/>
                <w:i/>
                <w:color w:val="000000"/>
                <w:lang w:val="en-US"/>
              </w:rPr>
            </m:ctrlPr>
          </m:accPr>
          <m:e>
            <m:r>
              <w:rPr>
                <w:rFonts w:ascii="Cambria Math" w:hAnsi="Cambria Math" w:cs="AdvPED1282"/>
                <w:color w:val="000000"/>
                <w:lang w:val="en-US"/>
              </w:rPr>
              <m:t>x₂</m:t>
            </m:r>
          </m:e>
        </m:acc>
        <m:r>
          <w:rPr>
            <w:rFonts w:ascii="Cambria Math" w:hAnsi="Cambria Math" w:cs="AdvPED1282"/>
            <w:color w:val="000000"/>
            <w:lang w:val="en-US"/>
          </w:rPr>
          <m:t xml:space="preserve"> + χ₂</m:t>
        </m:r>
        <m:acc>
          <m:accPr>
            <m:chr m:val="̅"/>
            <m:ctrlPr>
              <w:rPr>
                <w:rFonts w:ascii="Cambria Math" w:hAnsi="Cambria Math" w:cs="AdvPED1282"/>
                <w:i/>
                <w:color w:val="000000"/>
                <w:lang w:val="en-US"/>
              </w:rPr>
            </m:ctrlPr>
          </m:accPr>
          <m:e>
            <m:r>
              <w:rPr>
                <w:rFonts w:ascii="Cambria Math" w:hAnsi="Cambria Math" w:cs="AdvPED1282"/>
                <w:color w:val="000000"/>
                <w:lang w:val="en-US"/>
              </w:rPr>
              <m:t>y₂</m:t>
            </m:r>
          </m:e>
        </m:acc>
        <m:r>
          <w:rPr>
            <w:rFonts w:ascii="Cambria Math" w:hAnsi="Cambria Math" w:cs="AdvPED1282"/>
            <w:color w:val="000000"/>
            <w:lang w:val="en-US"/>
          </w:rPr>
          <m:t>) - (α₁ + β₁</m:t>
        </m:r>
        <m:acc>
          <m:accPr>
            <m:chr m:val="̅"/>
            <m:ctrlPr>
              <w:rPr>
                <w:rFonts w:ascii="Cambria Math" w:hAnsi="Cambria Math" w:cs="AdvPED1282"/>
                <w:i/>
                <w:color w:val="000000"/>
                <w:lang w:val="en-US"/>
              </w:rPr>
            </m:ctrlPr>
          </m:accPr>
          <m:e>
            <m:r>
              <w:rPr>
                <w:rFonts w:ascii="Cambria Math" w:hAnsi="Cambria Math" w:cs="AdvPED1282"/>
                <w:color w:val="000000"/>
                <w:lang w:val="en-US"/>
              </w:rPr>
              <m:t>x₁</m:t>
            </m:r>
          </m:e>
        </m:acc>
        <m:r>
          <w:rPr>
            <w:rFonts w:ascii="Cambria Math" w:hAnsi="Cambria Math" w:cs="AdvPED1282"/>
            <w:color w:val="000000"/>
            <w:lang w:val="en-US"/>
          </w:rPr>
          <m:t xml:space="preserve"> + χ₁</m:t>
        </m:r>
        <m:acc>
          <m:accPr>
            <m:chr m:val="̅"/>
            <m:ctrlPr>
              <w:rPr>
                <w:rFonts w:ascii="Cambria Math" w:hAnsi="Cambria Math" w:cs="AdvPED1282"/>
                <w:i/>
                <w:color w:val="000000"/>
                <w:lang w:val="en-US"/>
              </w:rPr>
            </m:ctrlPr>
          </m:accPr>
          <m:e>
            <m:r>
              <w:rPr>
                <w:rFonts w:ascii="Cambria Math" w:hAnsi="Cambria Math" w:cs="AdvPED1282"/>
                <w:color w:val="000000"/>
                <w:lang w:val="en-US"/>
              </w:rPr>
              <m:t>y₁</m:t>
            </m:r>
          </m:e>
        </m:acc>
        <m:r>
          <w:rPr>
            <w:rFonts w:ascii="Cambria Math" w:hAnsi="Cambria Math" w:cs="AdvPED1282"/>
            <w:color w:val="000000"/>
            <w:lang w:val="en-US"/>
          </w:rPr>
          <m:t>)</m:t>
        </m:r>
      </m:oMath>
    </w:p>
    <w:p w14:paraId="341BC909" w14:textId="77777777" w:rsidR="00B95A2A" w:rsidRPr="00C77E6F" w:rsidRDefault="00B95A2A" w:rsidP="00B95A2A">
      <w:pPr>
        <w:pStyle w:val="ListParagraph"/>
        <w:autoSpaceDE w:val="0"/>
        <w:autoSpaceDN w:val="0"/>
        <w:adjustRightInd w:val="0"/>
        <w:spacing w:after="0" w:line="360" w:lineRule="auto"/>
        <w:ind w:left="2136"/>
        <w:jc w:val="both"/>
        <w:rPr>
          <w:rFonts w:cs="AdvPED1282"/>
          <w:color w:val="000000"/>
          <w:lang w:val="en-US"/>
        </w:rPr>
      </w:pPr>
    </w:p>
    <w:p w14:paraId="28FC3317" w14:textId="3CED509B" w:rsidR="00B95A2A" w:rsidRPr="0031293D" w:rsidRDefault="00B95A2A" w:rsidP="00D2060E">
      <w:pPr>
        <w:spacing w:line="360" w:lineRule="auto"/>
        <w:ind w:firstLine="360"/>
        <w:jc w:val="both"/>
        <w:rPr>
          <w:rFonts w:cs="AdvPED1282"/>
          <w:color w:val="000000"/>
          <w:lang w:val="en-US"/>
        </w:rPr>
      </w:pPr>
      <w:r w:rsidRPr="0031293D">
        <w:rPr>
          <w:rFonts w:cs="AdvPED1282"/>
          <w:color w:val="000000"/>
          <w:lang w:val="en-US"/>
        </w:rPr>
        <w:lastRenderedPageBreak/>
        <w:t>Third, the decomposition tries to estimate to which extent the changes in BMI are due to the changes in the levels of the explanatory variables</w:t>
      </w:r>
      <w:r>
        <w:rPr>
          <w:rFonts w:cs="AdvPED1282"/>
          <w:color w:val="000000"/>
          <w:lang w:val="en-US"/>
        </w:rPr>
        <w:t xml:space="preserve">, </w:t>
      </w:r>
      <w:r w:rsidRPr="00B70739">
        <w:rPr>
          <w:rFonts w:cs="AdvPED1282"/>
          <w:color w:val="000000"/>
          <w:lang w:val="en-US"/>
        </w:rPr>
        <w:t xml:space="preserve">which </w:t>
      </w:r>
      <w:r w:rsidR="006419FD">
        <w:rPr>
          <w:rFonts w:cs="AdvPED1282"/>
          <w:color w:val="000000"/>
          <w:lang w:val="en-US"/>
        </w:rPr>
        <w:t xml:space="preserve">will </w:t>
      </w:r>
      <w:r w:rsidRPr="00B70739">
        <w:rPr>
          <w:rFonts w:cs="AdvPED1282"/>
          <w:color w:val="000000"/>
          <w:lang w:val="en-US"/>
        </w:rPr>
        <w:t xml:space="preserve">be denoted as </w:t>
      </w:r>
      <m:oMath>
        <m:r>
          <w:rPr>
            <w:rFonts w:ascii="Cambria Math" w:hAnsi="Cambria Math" w:cs="AdvPED1282"/>
            <w:color w:val="000000"/>
            <w:lang w:val="en-US"/>
          </w:rPr>
          <m:t>BMIvar</m:t>
        </m:r>
      </m:oMath>
      <w:r w:rsidRPr="004D1DB1">
        <w:rPr>
          <w:rFonts w:cs="AdvPED1282"/>
          <w:color w:val="000000"/>
          <w:lang w:val="en-US"/>
        </w:rPr>
        <w:t>,</w:t>
      </w:r>
      <w:r w:rsidRPr="00B70739">
        <w:rPr>
          <w:rFonts w:cs="AdvPED1282"/>
          <w:color w:val="000000"/>
          <w:lang w:val="en-US"/>
        </w:rPr>
        <w:t xml:space="preserve"> </w:t>
      </w:r>
      <w:r w:rsidRPr="00177FF9">
        <w:rPr>
          <w:rFonts w:cs="AdvPED1282"/>
          <w:color w:val="000000"/>
          <w:lang w:val="en-US"/>
        </w:rPr>
        <w:t xml:space="preserve">and to the changes in the coefficients, which will be denoted as </w:t>
      </w:r>
      <m:oMath>
        <m:r>
          <w:rPr>
            <w:rFonts w:ascii="Cambria Math" w:hAnsi="Cambria Math" w:cs="AdvPED1282"/>
            <w:color w:val="000000"/>
            <w:lang w:val="en-US"/>
          </w:rPr>
          <m:t>BMIcoef</m:t>
        </m:r>
      </m:oMath>
      <w:r w:rsidRPr="00B70739">
        <w:rPr>
          <w:rFonts w:cs="AdvPED1282"/>
          <w:color w:val="000000"/>
          <w:lang w:val="en-US"/>
        </w:rPr>
        <w:t>. The endowment changes</w:t>
      </w:r>
      <w:r w:rsidRPr="0031293D">
        <w:rPr>
          <w:rFonts w:cs="AdvPED1282"/>
          <w:color w:val="000000"/>
          <w:lang w:val="en-US"/>
        </w:rPr>
        <w:t xml:space="preserve"> </w:t>
      </w:r>
      <w:r>
        <w:rPr>
          <w:rFonts w:cs="AdvPED1282"/>
          <w:color w:val="000000"/>
          <w:lang w:val="en-US"/>
        </w:rPr>
        <w:t xml:space="preserve">can </w:t>
      </w:r>
      <w:r w:rsidRPr="0031293D">
        <w:rPr>
          <w:rFonts w:cs="AdvPED1282"/>
          <w:color w:val="000000"/>
          <w:lang w:val="en-US"/>
        </w:rPr>
        <w:t xml:space="preserve">also </w:t>
      </w:r>
      <w:r>
        <w:rPr>
          <w:rFonts w:cs="AdvPED1282"/>
          <w:color w:val="000000"/>
          <w:lang w:val="en-US"/>
        </w:rPr>
        <w:t xml:space="preserve">be </w:t>
      </w:r>
      <w:r w:rsidRPr="0031293D">
        <w:rPr>
          <w:rFonts w:cs="AdvPED1282"/>
          <w:color w:val="000000"/>
          <w:lang w:val="en-US"/>
        </w:rPr>
        <w:t xml:space="preserve">referred to as the explained effect, since </w:t>
      </w:r>
      <w:r>
        <w:rPr>
          <w:rFonts w:cs="AdvPED1282"/>
          <w:color w:val="000000"/>
          <w:lang w:val="en-US"/>
        </w:rPr>
        <w:t>the changes in</w:t>
      </w:r>
      <w:r w:rsidRPr="0031293D">
        <w:rPr>
          <w:rFonts w:cs="AdvPED1282"/>
          <w:color w:val="000000"/>
          <w:lang w:val="en-US"/>
        </w:rPr>
        <w:t xml:space="preserve"> BMI</w:t>
      </w:r>
      <w:r>
        <w:rPr>
          <w:rFonts w:cs="AdvPED1282"/>
          <w:color w:val="000000"/>
          <w:lang w:val="en-US"/>
        </w:rPr>
        <w:t xml:space="preserve"> levels</w:t>
      </w:r>
      <w:r w:rsidRPr="0031293D">
        <w:rPr>
          <w:rFonts w:cs="AdvPED1282"/>
          <w:color w:val="000000"/>
          <w:lang w:val="en-US"/>
        </w:rPr>
        <w:t xml:space="preserve"> can be related to observed</w:t>
      </w:r>
      <w:r>
        <w:rPr>
          <w:rFonts w:cs="AdvPED1282"/>
          <w:color w:val="000000"/>
          <w:lang w:val="en-US"/>
        </w:rPr>
        <w:t xml:space="preserve"> changes</w:t>
      </w:r>
      <w:r w:rsidRPr="0031293D">
        <w:rPr>
          <w:rFonts w:cs="AdvPED1282"/>
          <w:color w:val="000000"/>
          <w:lang w:val="en-US"/>
        </w:rPr>
        <w:t xml:space="preserve">. The </w:t>
      </w:r>
      <w:r w:rsidR="002851C7">
        <w:rPr>
          <w:rFonts w:cs="AdvPED1282"/>
          <w:color w:val="000000"/>
          <w:lang w:val="en-US"/>
        </w:rPr>
        <w:t>association change</w:t>
      </w:r>
      <w:r w:rsidRPr="0031293D">
        <w:rPr>
          <w:rFonts w:cs="AdvPED1282"/>
          <w:color w:val="000000"/>
          <w:lang w:val="en-US"/>
        </w:rPr>
        <w:t>s are sometimes also referred to as the unexplained effect, since</w:t>
      </w:r>
      <w:r>
        <w:rPr>
          <w:rFonts w:cs="AdvPED1282"/>
          <w:color w:val="000000"/>
          <w:lang w:val="en-US"/>
        </w:rPr>
        <w:t xml:space="preserve"> this</w:t>
      </w:r>
      <w:r w:rsidRPr="0031293D">
        <w:rPr>
          <w:rFonts w:cs="AdvPED1282"/>
          <w:color w:val="000000"/>
          <w:lang w:val="en-US"/>
        </w:rPr>
        <w:t xml:space="preserve"> part </w:t>
      </w:r>
      <w:r>
        <w:rPr>
          <w:rFonts w:cs="AdvPED1282"/>
          <w:color w:val="000000"/>
          <w:lang w:val="en-US"/>
        </w:rPr>
        <w:t xml:space="preserve">is not directly observable from </w:t>
      </w:r>
      <w:r w:rsidRPr="0031293D">
        <w:rPr>
          <w:rFonts w:cs="AdvPED1282"/>
          <w:color w:val="000000"/>
          <w:lang w:val="en-US"/>
        </w:rPr>
        <w:t xml:space="preserve">changes in the </w:t>
      </w:r>
      <w:r>
        <w:rPr>
          <w:rFonts w:cs="AdvPED1282"/>
          <w:color w:val="000000"/>
          <w:lang w:val="en-US"/>
        </w:rPr>
        <w:t xml:space="preserve">level of the </w:t>
      </w:r>
      <w:r w:rsidRPr="0031293D">
        <w:rPr>
          <w:rFonts w:cs="AdvPED1282"/>
          <w:color w:val="000000"/>
          <w:lang w:val="en-US"/>
        </w:rPr>
        <w:t>variables but must be sought in the coefficient changes of the variables. The</w:t>
      </w:r>
      <w:r>
        <w:rPr>
          <w:rFonts w:cs="AdvPED1282"/>
          <w:color w:val="000000"/>
          <w:lang w:val="en-US"/>
        </w:rPr>
        <w:t xml:space="preserve"> OB</w:t>
      </w:r>
      <w:r w:rsidRPr="0031293D">
        <w:rPr>
          <w:rFonts w:cs="AdvPED1282"/>
          <w:color w:val="000000"/>
          <w:lang w:val="en-US"/>
        </w:rPr>
        <w:t xml:space="preserve"> decomposition method seeks to </w:t>
      </w:r>
      <w:r>
        <w:rPr>
          <w:rFonts w:cs="AdvPED1282"/>
          <w:color w:val="000000"/>
          <w:lang w:val="en-US"/>
        </w:rPr>
        <w:t xml:space="preserve">estimate these </w:t>
      </w:r>
      <w:r w:rsidRPr="0031293D">
        <w:rPr>
          <w:rFonts w:cs="AdvPED1282"/>
          <w:color w:val="000000"/>
          <w:lang w:val="en-US"/>
        </w:rPr>
        <w:t>separate contributions</w:t>
      </w:r>
      <w:r>
        <w:rPr>
          <w:rFonts w:cs="AdvPED1282"/>
          <w:color w:val="000000"/>
          <w:lang w:val="en-US"/>
        </w:rPr>
        <w:t>,</w:t>
      </w:r>
      <w:r w:rsidRPr="0031293D">
        <w:rPr>
          <w:rFonts w:cs="AdvPED1282"/>
          <w:color w:val="000000"/>
          <w:lang w:val="en-US"/>
        </w:rPr>
        <w:t xml:space="preserve"> </w:t>
      </w:r>
      <w:r>
        <w:rPr>
          <w:rFonts w:cs="AdvPED1282"/>
          <w:color w:val="000000"/>
          <w:lang w:val="en-US"/>
        </w:rPr>
        <w:t>which</w:t>
      </w:r>
      <w:r w:rsidRPr="0031293D">
        <w:rPr>
          <w:rFonts w:cs="AdvPED1282"/>
          <w:color w:val="000000"/>
          <w:lang w:val="en-US"/>
        </w:rPr>
        <w:t xml:space="preserve"> are derived from the combined changes in the endowments and </w:t>
      </w:r>
      <w:r>
        <w:rPr>
          <w:rFonts w:cs="AdvPED1282"/>
          <w:color w:val="000000"/>
          <w:lang w:val="en-US"/>
        </w:rPr>
        <w:t xml:space="preserve">relations </w:t>
      </w:r>
      <w:r w:rsidRPr="0031293D">
        <w:rPr>
          <w:rFonts w:cs="AdvPED1282"/>
          <w:color w:val="000000"/>
          <w:lang w:val="en-US"/>
        </w:rPr>
        <w:t>of all individual explanatory variables</w:t>
      </w:r>
      <w:r>
        <w:rPr>
          <w:rFonts w:cs="AdvPED1282"/>
          <w:color w:val="000000"/>
          <w:lang w:val="en-US"/>
        </w:rPr>
        <w:t>.</w:t>
      </w:r>
      <w:r w:rsidRPr="00B70739">
        <w:rPr>
          <w:rFonts w:cs="AdvPED1282"/>
          <w:color w:val="000000"/>
          <w:lang w:val="en-US"/>
        </w:rPr>
        <w:t xml:space="preserve"> </w:t>
      </w:r>
      <w:r>
        <w:rPr>
          <w:rFonts w:cs="AdvPED1282"/>
          <w:color w:val="000000"/>
          <w:lang w:val="en-US"/>
        </w:rPr>
        <w:t xml:space="preserve">Equation (5) shows how the endowment effect will be estimated and equation (6) shows how the </w:t>
      </w:r>
      <w:r w:rsidR="00153401">
        <w:rPr>
          <w:rFonts w:cs="AdvPED1282"/>
          <w:color w:val="000000"/>
          <w:lang w:val="en-US"/>
        </w:rPr>
        <w:t>as</w:t>
      </w:r>
      <w:r w:rsidR="008E2A0C">
        <w:rPr>
          <w:rFonts w:cs="AdvPED1282"/>
          <w:color w:val="000000"/>
          <w:lang w:val="en-US"/>
        </w:rPr>
        <w:t>s</w:t>
      </w:r>
      <w:r w:rsidR="00153401">
        <w:rPr>
          <w:rFonts w:cs="AdvPED1282"/>
          <w:color w:val="000000"/>
          <w:lang w:val="en-US"/>
        </w:rPr>
        <w:t>ociation</w:t>
      </w:r>
      <w:r>
        <w:rPr>
          <w:rFonts w:cs="AdvPED1282"/>
          <w:color w:val="000000"/>
          <w:lang w:val="en-US"/>
        </w:rPr>
        <w:t xml:space="preserve"> effect will be estimated. </w:t>
      </w:r>
      <w:r w:rsidRPr="0031293D">
        <w:rPr>
          <w:rFonts w:cs="AdvPED1282"/>
          <w:color w:val="000000"/>
          <w:lang w:val="en-US"/>
        </w:rPr>
        <w:t xml:space="preserve">In equation </w:t>
      </w:r>
      <w:r>
        <w:rPr>
          <w:rFonts w:cs="AdvPED1282"/>
          <w:color w:val="000000"/>
          <w:lang w:val="en-US"/>
        </w:rPr>
        <w:t>(</w:t>
      </w:r>
      <w:r w:rsidRPr="0031293D">
        <w:rPr>
          <w:rFonts w:cs="AdvPED1282"/>
          <w:color w:val="000000"/>
          <w:lang w:val="en-US"/>
        </w:rPr>
        <w:t>5</w:t>
      </w:r>
      <w:r>
        <w:rPr>
          <w:rFonts w:cs="AdvPED1282"/>
          <w:color w:val="000000"/>
          <w:lang w:val="en-US"/>
        </w:rPr>
        <w:t>)</w:t>
      </w:r>
      <w:r w:rsidRPr="0031293D">
        <w:rPr>
          <w:rFonts w:cs="AdvPED1282"/>
          <w:color w:val="000000"/>
          <w:lang w:val="en-US"/>
        </w:rPr>
        <w:t xml:space="preserve"> the differences in endowments between period one and period two are weighted </w:t>
      </w:r>
      <w:r w:rsidRPr="0031293D">
        <w:rPr>
          <w:rFonts w:cs="AdvPED1282"/>
          <w:color w:val="000000"/>
          <w:lang w:val="en-US"/>
        </w:rPr>
        <w:lastRenderedPageBreak/>
        <w:t xml:space="preserve">by the coefficients of period one and in equation </w:t>
      </w:r>
      <w:r>
        <w:rPr>
          <w:rFonts w:cs="AdvPED1282"/>
          <w:color w:val="000000"/>
          <w:lang w:val="en-US"/>
        </w:rPr>
        <w:t>(</w:t>
      </w:r>
      <w:r w:rsidRPr="0031293D">
        <w:rPr>
          <w:rFonts w:cs="AdvPED1282"/>
          <w:color w:val="000000"/>
          <w:lang w:val="en-US"/>
        </w:rPr>
        <w:t>6</w:t>
      </w:r>
      <w:r>
        <w:rPr>
          <w:rFonts w:cs="AdvPED1282"/>
          <w:color w:val="000000"/>
          <w:lang w:val="en-US"/>
        </w:rPr>
        <w:t>)</w:t>
      </w:r>
      <w:r w:rsidRPr="0031293D">
        <w:rPr>
          <w:rFonts w:cs="AdvPED1282"/>
          <w:color w:val="000000"/>
          <w:lang w:val="en-US"/>
        </w:rPr>
        <w:t xml:space="preserve"> the coefficient changes are valued by the endowment i</w:t>
      </w:r>
      <w:r w:rsidR="00E36784">
        <w:rPr>
          <w:rFonts w:cs="AdvPED1282"/>
          <w:color w:val="000000"/>
          <w:lang w:val="en-US"/>
        </w:rPr>
        <w:t>nputs of period one</w:t>
      </w:r>
      <w:r w:rsidRPr="0031293D">
        <w:rPr>
          <w:rFonts w:cs="AdvPED1282"/>
          <w:color w:val="000000"/>
          <w:lang w:val="en-US"/>
        </w:rPr>
        <w:t xml:space="preserve">. </w:t>
      </w:r>
      <w:r w:rsidR="00D2060E">
        <w:rPr>
          <w:rFonts w:cs="AdvPED1282"/>
          <w:color w:val="000000"/>
          <w:lang w:val="en-US"/>
        </w:rPr>
        <w:t>When decomposing</w:t>
      </w:r>
      <w:r w:rsidR="008E2A0C">
        <w:rPr>
          <w:rFonts w:cs="AdvPED1282"/>
          <w:color w:val="000000"/>
          <w:lang w:val="en-US"/>
        </w:rPr>
        <w:t>,</w:t>
      </w:r>
      <w:r w:rsidR="00D2060E">
        <w:rPr>
          <w:rFonts w:cs="AdvPED1282"/>
          <w:color w:val="000000"/>
          <w:lang w:val="en-US"/>
        </w:rPr>
        <w:t xml:space="preserve"> there will also be a </w:t>
      </w:r>
      <w:r w:rsidR="00D2060E" w:rsidRPr="00D2060E">
        <w:rPr>
          <w:rFonts w:cs="AdvPED1282"/>
          <w:color w:val="000000"/>
          <w:lang w:val="en-US"/>
        </w:rPr>
        <w:t>g</w:t>
      </w:r>
      <w:r w:rsidR="00D2060E">
        <w:rPr>
          <w:rFonts w:cs="AdvPED1282"/>
          <w:color w:val="000000"/>
          <w:lang w:val="en-US"/>
        </w:rPr>
        <w:t>ap arising from the interaction of endowments and coeffi</w:t>
      </w:r>
      <w:r w:rsidR="00D2060E" w:rsidRPr="00D2060E">
        <w:rPr>
          <w:rFonts w:cs="AdvPED1282"/>
          <w:color w:val="000000"/>
          <w:lang w:val="en-US"/>
        </w:rPr>
        <w:t>cients</w:t>
      </w:r>
      <w:r w:rsidR="00D2060E">
        <w:rPr>
          <w:rFonts w:cs="AdvPED1282"/>
          <w:color w:val="000000"/>
          <w:lang w:val="en-US"/>
        </w:rPr>
        <w:t xml:space="preserve">, which is denoted in equation (7). Since this interaction can either be mathematically included in the </w:t>
      </w:r>
      <w:r w:rsidR="00153401">
        <w:rPr>
          <w:rFonts w:cs="AdvPED1282"/>
          <w:color w:val="000000"/>
          <w:lang w:val="en-US"/>
        </w:rPr>
        <w:t>explained part</w:t>
      </w:r>
      <w:r w:rsidR="00D2060E">
        <w:rPr>
          <w:rFonts w:cs="AdvPED1282"/>
          <w:color w:val="000000"/>
          <w:lang w:val="en-US"/>
        </w:rPr>
        <w:t xml:space="preserve"> and the </w:t>
      </w:r>
      <w:r w:rsidR="00153401">
        <w:rPr>
          <w:rFonts w:cs="AdvPED1282"/>
          <w:color w:val="000000"/>
          <w:lang w:val="en-US"/>
        </w:rPr>
        <w:t>unexplained part</w:t>
      </w:r>
      <w:r w:rsidR="00FA757E">
        <w:rPr>
          <w:rFonts w:cs="AdvPED1282"/>
          <w:color w:val="000000"/>
          <w:lang w:val="en-US"/>
        </w:rPr>
        <w:t>, its contribution will be assumed to flow half through the changes in variables  and half through the changes in coefficients.</w:t>
      </w:r>
      <w:r w:rsidR="007077C7">
        <w:rPr>
          <w:rStyle w:val="FootnoteReference"/>
          <w:rFonts w:cs="AdvPED1282"/>
          <w:color w:val="000000"/>
          <w:lang w:val="en-US"/>
        </w:rPr>
        <w:footnoteReference w:id="3"/>
      </w:r>
    </w:p>
    <w:p w14:paraId="6E40C482" w14:textId="77777777" w:rsidR="00B95A2A" w:rsidRPr="00FA757E" w:rsidRDefault="00EB0B13" w:rsidP="00B95A2A">
      <w:pPr>
        <w:pStyle w:val="ListParagraph"/>
        <w:numPr>
          <w:ilvl w:val="0"/>
          <w:numId w:val="28"/>
        </w:numPr>
        <w:autoSpaceDE w:val="0"/>
        <w:autoSpaceDN w:val="0"/>
        <w:adjustRightInd w:val="0"/>
        <w:spacing w:after="0" w:line="360" w:lineRule="auto"/>
        <w:jc w:val="both"/>
        <w:rPr>
          <w:rFonts w:cs="AdvPED1282"/>
          <w:i/>
          <w:color w:val="000000"/>
          <w:lang w:val="en-US"/>
        </w:rPr>
      </w:pPr>
      <m:oMath>
        <m:r>
          <w:rPr>
            <w:rFonts w:ascii="Cambria Math" w:hAnsi="Cambria Math" w:cs="AdvPED1282"/>
            <w:color w:val="000000"/>
            <w:lang w:val="en-US"/>
          </w:rPr>
          <m:t>BMIvar = β₁(</m:t>
        </m:r>
        <m:acc>
          <m:accPr>
            <m:chr m:val="̅"/>
            <m:ctrlPr>
              <w:rPr>
                <w:rFonts w:ascii="Cambria Math" w:hAnsi="Cambria Math" w:cs="AdvPED1282"/>
                <w:i/>
                <w:color w:val="000000"/>
                <w:lang w:val="en-US"/>
              </w:rPr>
            </m:ctrlPr>
          </m:accPr>
          <m:e>
            <m:r>
              <w:rPr>
                <w:rFonts w:ascii="Cambria Math" w:hAnsi="Cambria Math" w:cs="AdvPED1282"/>
                <w:color w:val="000000"/>
                <w:lang w:val="en-US"/>
              </w:rPr>
              <m:t>x₂</m:t>
            </m:r>
          </m:e>
        </m:acc>
        <m:r>
          <w:rPr>
            <w:rFonts w:ascii="Cambria Math" w:hAnsi="Cambria Math" w:cs="AdvPED1282"/>
            <w:color w:val="000000"/>
            <w:lang w:val="en-US"/>
          </w:rPr>
          <m:t>-</m:t>
        </m:r>
        <m:acc>
          <m:accPr>
            <m:chr m:val="̅"/>
            <m:ctrlPr>
              <w:rPr>
                <w:rFonts w:ascii="Cambria Math" w:hAnsi="Cambria Math" w:cs="AdvPED1282"/>
                <w:i/>
                <w:color w:val="000000"/>
                <w:lang w:val="en-US"/>
              </w:rPr>
            </m:ctrlPr>
          </m:accPr>
          <m:e>
            <m:r>
              <w:rPr>
                <w:rFonts w:ascii="Cambria Math" w:hAnsi="Cambria Math" w:cs="AdvPED1282"/>
                <w:color w:val="000000"/>
                <w:lang w:val="en-US"/>
              </w:rPr>
              <m:t>x₁</m:t>
            </m:r>
          </m:e>
        </m:acc>
        <m:r>
          <w:rPr>
            <w:rFonts w:ascii="Cambria Math" w:hAnsi="Cambria Math" w:cs="AdvPED1282"/>
            <w:color w:val="000000"/>
            <w:lang w:val="en-US"/>
          </w:rPr>
          <m:t>) + χ₁(</m:t>
        </m:r>
        <m:acc>
          <m:accPr>
            <m:chr m:val="̅"/>
            <m:ctrlPr>
              <w:rPr>
                <w:rFonts w:ascii="Cambria Math" w:hAnsi="Cambria Math" w:cs="AdvPED1282"/>
                <w:i/>
                <w:color w:val="000000"/>
                <w:lang w:val="en-US"/>
              </w:rPr>
            </m:ctrlPr>
          </m:accPr>
          <m:e>
            <m:r>
              <w:rPr>
                <w:rFonts w:ascii="Cambria Math" w:hAnsi="Cambria Math" w:cs="AdvPED1282"/>
                <w:color w:val="000000"/>
                <w:lang w:val="en-US"/>
              </w:rPr>
              <m:t>y₂</m:t>
            </m:r>
          </m:e>
        </m:acc>
        <m:r>
          <w:rPr>
            <w:rFonts w:ascii="Cambria Math" w:hAnsi="Cambria Math" w:cs="AdvPED1282"/>
            <w:color w:val="000000"/>
            <w:lang w:val="en-US"/>
          </w:rPr>
          <m:t>-</m:t>
        </m:r>
        <m:acc>
          <m:accPr>
            <m:chr m:val="̅"/>
            <m:ctrlPr>
              <w:rPr>
                <w:rFonts w:ascii="Cambria Math" w:hAnsi="Cambria Math" w:cs="AdvPED1282"/>
                <w:i/>
                <w:color w:val="000000"/>
                <w:lang w:val="en-US"/>
              </w:rPr>
            </m:ctrlPr>
          </m:accPr>
          <m:e>
            <m:r>
              <w:rPr>
                <w:rFonts w:ascii="Cambria Math" w:hAnsi="Cambria Math" w:cs="AdvPED1282"/>
                <w:color w:val="000000"/>
                <w:lang w:val="en-US"/>
              </w:rPr>
              <m:t>γ₁</m:t>
            </m:r>
          </m:e>
        </m:acc>
        <m:r>
          <w:rPr>
            <w:rFonts w:ascii="Cambria Math" w:hAnsi="Cambria Math" w:cs="AdvPED1282"/>
            <w:color w:val="000000"/>
            <w:lang w:val="en-US"/>
          </w:rPr>
          <m:t>)</m:t>
        </m:r>
      </m:oMath>
    </w:p>
    <w:p w14:paraId="45BF902F" w14:textId="77777777" w:rsidR="00B95A2A" w:rsidRPr="00C77E6F" w:rsidRDefault="00B95A2A" w:rsidP="00B95A2A">
      <w:pPr>
        <w:pStyle w:val="ListParagraph"/>
        <w:autoSpaceDE w:val="0"/>
        <w:autoSpaceDN w:val="0"/>
        <w:adjustRightInd w:val="0"/>
        <w:spacing w:after="0" w:line="360" w:lineRule="auto"/>
        <w:ind w:left="2136"/>
        <w:jc w:val="both"/>
        <w:rPr>
          <w:rFonts w:cs="AdvPED1282"/>
          <w:color w:val="000000"/>
          <w:lang w:val="en-US"/>
        </w:rPr>
      </w:pPr>
    </w:p>
    <w:p w14:paraId="610B36B6" w14:textId="3AC958CC" w:rsidR="00B95A2A" w:rsidRPr="00C77E6F" w:rsidRDefault="00EB0B13" w:rsidP="00B95A2A">
      <w:pPr>
        <w:pStyle w:val="ListParagraph"/>
        <w:numPr>
          <w:ilvl w:val="0"/>
          <w:numId w:val="28"/>
        </w:numPr>
        <w:jc w:val="both"/>
        <w:rPr>
          <w:rFonts w:cs="AdvPED1282"/>
          <w:color w:val="000000"/>
          <w:lang w:val="en-US"/>
        </w:rPr>
      </w:pPr>
      <m:oMath>
        <m:r>
          <w:rPr>
            <w:rFonts w:ascii="Cambria Math" w:hAnsi="Cambria Math" w:cs="AdvPED1282"/>
            <w:color w:val="000000"/>
            <w:lang w:val="en-US"/>
          </w:rPr>
          <w:lastRenderedPageBreak/>
          <m:t xml:space="preserve">BMIcoef= (α₂-α₁) + </m:t>
        </m:r>
        <m:acc>
          <m:accPr>
            <m:chr m:val="̅"/>
            <m:ctrlPr>
              <w:rPr>
                <w:rFonts w:ascii="Cambria Math" w:hAnsi="Cambria Math" w:cs="AdvPED1282"/>
                <w:i/>
                <w:color w:val="000000"/>
                <w:lang w:val="en-US"/>
              </w:rPr>
            </m:ctrlPr>
          </m:accPr>
          <m:e>
            <m:r>
              <w:rPr>
                <w:rFonts w:ascii="Cambria Math" w:hAnsi="Cambria Math" w:cs="AdvPED1282"/>
                <w:color w:val="000000"/>
                <w:lang w:val="en-US"/>
              </w:rPr>
              <m:t>x₁</m:t>
            </m:r>
          </m:e>
        </m:acc>
        <m:r>
          <w:rPr>
            <w:rFonts w:ascii="Cambria Math" w:hAnsi="Cambria Math" w:cs="AdvPED1282"/>
            <w:color w:val="000000"/>
            <w:lang w:val="en-US"/>
          </w:rPr>
          <m:t xml:space="preserve">(β₂-β₁) + </m:t>
        </m:r>
        <m:acc>
          <m:accPr>
            <m:chr m:val="̅"/>
            <m:ctrlPr>
              <w:rPr>
                <w:rFonts w:ascii="Cambria Math" w:hAnsi="Cambria Math" w:cs="AdvPED1282"/>
                <w:i/>
                <w:color w:val="000000"/>
                <w:lang w:val="en-US"/>
              </w:rPr>
            </m:ctrlPr>
          </m:accPr>
          <m:e>
            <m:r>
              <w:rPr>
                <w:rFonts w:ascii="Cambria Math" w:hAnsi="Cambria Math" w:cs="AdvPED1282"/>
                <w:color w:val="000000"/>
                <w:lang w:val="en-US"/>
              </w:rPr>
              <m:t>y₁</m:t>
            </m:r>
          </m:e>
        </m:acc>
        <m:r>
          <w:rPr>
            <w:rFonts w:ascii="Cambria Math" w:hAnsi="Cambria Math" w:cs="AdvPED1282"/>
            <w:color w:val="000000"/>
            <w:lang w:val="en-US"/>
          </w:rPr>
          <m:t>(χ₂-χ₁)</m:t>
        </m:r>
      </m:oMath>
    </w:p>
    <w:p w14:paraId="063EC394" w14:textId="77777777" w:rsidR="00D2060E" w:rsidRDefault="00D2060E" w:rsidP="00D2060E">
      <w:pPr>
        <w:autoSpaceDE w:val="0"/>
        <w:autoSpaceDN w:val="0"/>
        <w:adjustRightInd w:val="0"/>
        <w:spacing w:after="0" w:line="360" w:lineRule="auto"/>
        <w:jc w:val="both"/>
        <w:rPr>
          <w:rFonts w:cs="AdvPED1282"/>
          <w:color w:val="000000"/>
          <w:lang w:val="en-US"/>
        </w:rPr>
      </w:pPr>
    </w:p>
    <w:p w14:paraId="30E1C7FA" w14:textId="77777777" w:rsidR="00D2060E" w:rsidRDefault="00D2060E" w:rsidP="00D2060E">
      <w:pPr>
        <w:pStyle w:val="ListParagraph"/>
        <w:numPr>
          <w:ilvl w:val="0"/>
          <w:numId w:val="28"/>
        </w:numPr>
        <w:autoSpaceDE w:val="0"/>
        <w:autoSpaceDN w:val="0"/>
        <w:adjustRightInd w:val="0"/>
        <w:spacing w:after="0" w:line="360" w:lineRule="auto"/>
        <w:jc w:val="both"/>
        <w:rPr>
          <w:rFonts w:cs="AdvPED1282"/>
          <w:color w:val="000000"/>
          <w:lang w:val="en-US"/>
        </w:rPr>
      </w:pPr>
      <m:oMath>
        <m:r>
          <w:rPr>
            <w:rFonts w:ascii="Cambria Math" w:hAnsi="Cambria Math" w:cs="AdvPED1282"/>
            <w:color w:val="000000"/>
            <w:lang w:val="en-US"/>
          </w:rPr>
          <m:t>interaction= ΔβΔx+ ΔχΔy</m:t>
        </m:r>
      </m:oMath>
    </w:p>
    <w:p w14:paraId="77ACC894" w14:textId="77777777" w:rsidR="00E36784" w:rsidRPr="00E36784" w:rsidRDefault="00E36784" w:rsidP="00E36784">
      <w:pPr>
        <w:autoSpaceDE w:val="0"/>
        <w:autoSpaceDN w:val="0"/>
        <w:adjustRightInd w:val="0"/>
        <w:spacing w:after="0" w:line="360" w:lineRule="auto"/>
        <w:jc w:val="both"/>
        <w:rPr>
          <w:rFonts w:cs="AdvPED1282"/>
          <w:color w:val="000000"/>
          <w:lang w:val="en-US"/>
        </w:rPr>
      </w:pPr>
    </w:p>
    <w:p w14:paraId="60C19909" w14:textId="77777777" w:rsidR="00EA7E89" w:rsidRDefault="00EA7E89" w:rsidP="00EA7E89">
      <w:pPr>
        <w:pStyle w:val="Heading2"/>
        <w:numPr>
          <w:ilvl w:val="1"/>
          <w:numId w:val="24"/>
        </w:numPr>
        <w:rPr>
          <w:rFonts w:cs="Calibri"/>
          <w:sz w:val="24"/>
          <w:szCs w:val="24"/>
          <w:lang w:val="en-US" w:eastAsia="ja-JP"/>
        </w:rPr>
      </w:pPr>
      <w:bookmarkStart w:id="7" w:name="_Toc432114499"/>
      <w:r>
        <w:rPr>
          <w:rFonts w:cs="Calibri"/>
          <w:sz w:val="24"/>
          <w:szCs w:val="24"/>
          <w:lang w:val="en-US" w:eastAsia="ja-JP"/>
        </w:rPr>
        <w:t>The absolute Gini coefficient</w:t>
      </w:r>
      <w:bookmarkEnd w:id="7"/>
    </w:p>
    <w:p w14:paraId="7E18D897" w14:textId="77777777" w:rsidR="00B95A2A" w:rsidRPr="00B70739" w:rsidRDefault="00B95A2A" w:rsidP="00B95A2A">
      <w:pPr>
        <w:rPr>
          <w:lang w:val="en-US"/>
        </w:rPr>
      </w:pPr>
    </w:p>
    <w:p w14:paraId="1A3A0F65" w14:textId="52FEB1EB" w:rsidR="00D66074" w:rsidRPr="004D1DB1" w:rsidRDefault="00B95A2A" w:rsidP="004D1DB1">
      <w:pPr>
        <w:spacing w:line="360" w:lineRule="auto"/>
        <w:ind w:firstLine="360"/>
        <w:jc w:val="both"/>
        <w:rPr>
          <w:rFonts w:cs="AdvPED1282"/>
          <w:color w:val="000000"/>
          <w:lang w:val="en-US"/>
        </w:rPr>
      </w:pPr>
      <w:r>
        <w:rPr>
          <w:rFonts w:cs="AdvPED1282"/>
          <w:color w:val="000000"/>
          <w:lang w:val="en-US"/>
        </w:rPr>
        <w:t xml:space="preserve">To estimate </w:t>
      </w:r>
      <w:r w:rsidR="00FB7572">
        <w:rPr>
          <w:rFonts w:cs="AdvPED1282"/>
          <w:color w:val="000000"/>
          <w:lang w:val="en-US"/>
        </w:rPr>
        <w:t xml:space="preserve">how unequal BMI is distributed </w:t>
      </w:r>
      <w:r>
        <w:rPr>
          <w:rFonts w:cs="AdvPED1282"/>
          <w:color w:val="000000"/>
          <w:lang w:val="en-US"/>
        </w:rPr>
        <w:t>within the population the Absolute Gini (AG) coefficient will be used. The AG is a rank-dependent index that measures the absolute inequality of BMI in a population.</w:t>
      </w:r>
      <w:r w:rsidR="00A6533C">
        <w:rPr>
          <w:rFonts w:cs="AdvPED1282"/>
          <w:color w:val="000000"/>
          <w:lang w:val="en-US"/>
        </w:rPr>
        <w:t xml:space="preserve"> </w:t>
      </w:r>
      <w:r w:rsidR="006D6B15">
        <w:rPr>
          <w:rFonts w:cs="AdvPED1282"/>
          <w:color w:val="000000"/>
          <w:lang w:val="en-US"/>
        </w:rPr>
        <w:t>The</w:t>
      </w:r>
      <w:r>
        <w:rPr>
          <w:rFonts w:cs="AdvPED1282"/>
          <w:color w:val="000000"/>
          <w:lang w:val="en-US"/>
        </w:rPr>
        <w:t xml:space="preserve"> level of inequality is </w:t>
      </w:r>
      <w:r w:rsidR="00FB7572">
        <w:rPr>
          <w:rFonts w:cs="AdvPED1282"/>
          <w:color w:val="000000"/>
          <w:lang w:val="en-US"/>
        </w:rPr>
        <w:t>based on everyone’s</w:t>
      </w:r>
      <w:r>
        <w:rPr>
          <w:rFonts w:cs="AdvPED1282"/>
          <w:color w:val="000000"/>
          <w:lang w:val="en-US"/>
        </w:rPr>
        <w:t xml:space="preserve"> deviation </w:t>
      </w:r>
      <w:r w:rsidR="00FB7572">
        <w:rPr>
          <w:rFonts w:cs="AdvPED1282"/>
          <w:color w:val="000000"/>
          <w:lang w:val="en-US"/>
        </w:rPr>
        <w:t>from</w:t>
      </w:r>
      <w:r>
        <w:rPr>
          <w:rFonts w:cs="AdvPED1282"/>
          <w:color w:val="000000"/>
          <w:lang w:val="en-US"/>
        </w:rPr>
        <w:t xml:space="preserve"> the median BMI observation. The AG can be calculated as two times the average BMI, weighted by the deviation between an individual’s fractional rank in the </w:t>
      </w:r>
      <w:r w:rsidR="00D1728A">
        <w:rPr>
          <w:rFonts w:cs="AdvPED1282"/>
          <w:color w:val="000000"/>
          <w:lang w:val="en-US"/>
        </w:rPr>
        <w:t xml:space="preserve">BMI </w:t>
      </w:r>
      <w:r>
        <w:rPr>
          <w:rFonts w:cs="AdvPED1282"/>
          <w:color w:val="000000"/>
          <w:lang w:val="en-US"/>
        </w:rPr>
        <w:t xml:space="preserve">distribution and </w:t>
      </w:r>
      <w:r w:rsidR="00D1728A">
        <w:rPr>
          <w:rFonts w:cs="AdvPED1282"/>
          <w:color w:val="000000"/>
          <w:lang w:val="en-US"/>
        </w:rPr>
        <w:t>the median</w:t>
      </w:r>
      <w:r>
        <w:rPr>
          <w:rFonts w:cs="AdvPED1282"/>
          <w:color w:val="000000"/>
          <w:lang w:val="en-US"/>
        </w:rPr>
        <w:t xml:space="preserve"> fractional ran</w:t>
      </w:r>
      <w:r w:rsidR="00D677EE">
        <w:rPr>
          <w:rFonts w:cs="AdvPED1282"/>
          <w:color w:val="000000"/>
          <w:lang w:val="en-US"/>
        </w:rPr>
        <w:t xml:space="preserve">k </w:t>
      </w:r>
      <w:r w:rsidR="00216F5E">
        <w:rPr>
          <w:rFonts w:cs="AdvPED1282"/>
          <w:color w:val="000000"/>
          <w:lang w:val="en-US"/>
        </w:rPr>
        <w:t>(Kakwani et al. 1997</w:t>
      </w:r>
      <w:r w:rsidR="00D677EE">
        <w:rPr>
          <w:rFonts w:cs="AdvPED1282"/>
          <w:color w:val="000000"/>
          <w:lang w:val="en-US"/>
        </w:rPr>
        <w:t>,</w:t>
      </w:r>
      <w:r w:rsidR="00216F5E">
        <w:rPr>
          <w:rFonts w:cs="AdvPED1282"/>
          <w:color w:val="000000"/>
          <w:lang w:val="en-US"/>
        </w:rPr>
        <w:t xml:space="preserve"> Yitzhaki 1983</w:t>
      </w:r>
      <w:r w:rsidR="00D677EE">
        <w:rPr>
          <w:rFonts w:cs="AdvPED1282"/>
          <w:color w:val="000000"/>
          <w:lang w:val="en-US"/>
        </w:rPr>
        <w:t>,</w:t>
      </w:r>
      <w:r w:rsidR="00D677EE" w:rsidRPr="00D677EE">
        <w:rPr>
          <w:rFonts w:cs="AdvPED1282"/>
          <w:color w:val="000000"/>
          <w:lang w:val="en-US"/>
        </w:rPr>
        <w:t xml:space="preserve"> </w:t>
      </w:r>
      <w:r w:rsidR="00D677EE" w:rsidRPr="000C440D">
        <w:rPr>
          <w:rFonts w:cs="AdvPED1282"/>
          <w:color w:val="000000"/>
          <w:lang w:val="en-US"/>
        </w:rPr>
        <w:t>Jenkins &amp; Van Kerm 2006</w:t>
      </w:r>
      <w:r w:rsidR="00216F5E">
        <w:rPr>
          <w:rFonts w:cs="AdvPED1282"/>
          <w:color w:val="000000"/>
          <w:lang w:val="en-US"/>
        </w:rPr>
        <w:t>)</w:t>
      </w:r>
      <w:r w:rsidR="00D677EE">
        <w:rPr>
          <w:rFonts w:cs="AdvPED1282"/>
          <w:color w:val="000000"/>
          <w:lang w:val="en-US"/>
        </w:rPr>
        <w:t>.</w:t>
      </w:r>
      <w:r>
        <w:rPr>
          <w:rFonts w:cs="AdvPED1282"/>
          <w:color w:val="000000"/>
          <w:lang w:val="en-US"/>
        </w:rPr>
        <w:t xml:space="preserve"> </w:t>
      </w:r>
      <w:r w:rsidR="00710508">
        <w:rPr>
          <w:rFonts w:cs="AdvPED1282"/>
          <w:color w:val="000000"/>
          <w:lang w:val="en-US"/>
        </w:rPr>
        <w:t xml:space="preserve">By looking at the difference of AG </w:t>
      </w:r>
      <w:r w:rsidR="00753B08">
        <w:rPr>
          <w:rFonts w:cs="AdvPED1282"/>
          <w:color w:val="000000"/>
          <w:lang w:val="en-US"/>
        </w:rPr>
        <w:t>between</w:t>
      </w:r>
      <w:r w:rsidR="00710508">
        <w:rPr>
          <w:rFonts w:cs="AdvPED1282"/>
          <w:color w:val="000000"/>
          <w:lang w:val="en-US"/>
        </w:rPr>
        <w:t xml:space="preserve"> period one and period two</w:t>
      </w:r>
      <w:r w:rsidR="00153401">
        <w:rPr>
          <w:rFonts w:cs="AdvPED1282"/>
          <w:color w:val="000000"/>
          <w:lang w:val="en-US"/>
        </w:rPr>
        <w:t>,</w:t>
      </w:r>
      <w:r w:rsidR="00710508">
        <w:rPr>
          <w:rFonts w:cs="AdvPED1282"/>
          <w:color w:val="000000"/>
          <w:lang w:val="en-US"/>
        </w:rPr>
        <w:t xml:space="preserve"> the change in inequality can be observed. </w:t>
      </w:r>
      <w:r>
        <w:rPr>
          <w:rFonts w:cs="AdvPED1282"/>
          <w:color w:val="000000"/>
          <w:lang w:val="en-US"/>
        </w:rPr>
        <w:t xml:space="preserve">This is </w:t>
      </w:r>
      <w:r w:rsidR="0087240B">
        <w:rPr>
          <w:rFonts w:cs="AdvPED1282"/>
          <w:color w:val="000000"/>
          <w:lang w:val="en-US"/>
        </w:rPr>
        <w:lastRenderedPageBreak/>
        <w:t>denoted</w:t>
      </w:r>
      <w:r w:rsidR="00153401">
        <w:rPr>
          <w:rFonts w:cs="AdvPED1282"/>
          <w:color w:val="000000"/>
          <w:lang w:val="en-US"/>
        </w:rPr>
        <w:t xml:space="preserve"> in formula (8) and (9</w:t>
      </w:r>
      <w:r w:rsidR="009E5A58">
        <w:rPr>
          <w:rFonts w:cs="AdvPED1282"/>
          <w:color w:val="000000"/>
          <w:lang w:val="en-US"/>
        </w:rPr>
        <w:t>). The individual weight in period</w:t>
      </w:r>
      <w:r w:rsidR="009E5A58" w:rsidRPr="004D1DB1">
        <w:rPr>
          <w:rFonts w:cs="AdvPED1282"/>
          <w:color w:val="000000"/>
          <w:lang w:val="en-US"/>
        </w:rPr>
        <w:t xml:space="preserve"> t</w:t>
      </w:r>
      <w:r w:rsidR="009E5A58">
        <w:rPr>
          <w:rFonts w:cs="AdvPED1282"/>
          <w:color w:val="000000"/>
          <w:lang w:val="en-US"/>
        </w:rPr>
        <w:t xml:space="preserve"> is denoted with </w:t>
      </w:r>
      <m:oMath>
        <m:r>
          <w:rPr>
            <w:rFonts w:ascii="Cambria Math" w:hAnsi="Cambria Math" w:cs="AdvPED1282"/>
            <w:color w:val="000000"/>
            <w:lang w:val="en-US"/>
          </w:rPr>
          <m:t>ζ</m:t>
        </m:r>
        <m:r>
          <m:rPr>
            <m:sty m:val="p"/>
          </m:rPr>
          <w:rPr>
            <w:rFonts w:ascii="Cambria Math" w:hAnsi="Cambria Math" w:cs="AdvPED1282"/>
            <w:color w:val="000000"/>
            <w:lang w:val="en-US"/>
          </w:rPr>
          <m:t>ᵢ</m:t>
        </m:r>
        <m:r>
          <w:rPr>
            <w:rFonts w:ascii="Cambria Math" w:hAnsi="Cambria Math" w:cs="AdvPED1282"/>
            <w:color w:val="000000"/>
            <w:lang w:val="en-US"/>
          </w:rPr>
          <m:t>t</m:t>
        </m:r>
      </m:oMath>
      <w:r w:rsidR="009E5A58">
        <w:rPr>
          <w:rFonts w:cs="AdvPED1282"/>
          <w:color w:val="000000"/>
          <w:lang w:val="en-US"/>
        </w:rPr>
        <w:t xml:space="preserve"> and</w:t>
      </w:r>
      <w:r>
        <w:rPr>
          <w:rFonts w:cs="AdvPED1282"/>
          <w:color w:val="000000"/>
          <w:lang w:val="en-US"/>
        </w:rPr>
        <w:t xml:space="preserve"> </w:t>
      </w:r>
      <m:oMath>
        <m:r>
          <w:rPr>
            <w:rFonts w:ascii="Cambria Math" w:hAnsi="Cambria Math" w:cs="AdvPED1282"/>
            <w:color w:val="000000"/>
            <w:lang w:val="en-US"/>
          </w:rPr>
          <m:t>rank</m:t>
        </m:r>
        <m:r>
          <m:rPr>
            <m:sty m:val="p"/>
          </m:rPr>
          <w:rPr>
            <w:rFonts w:ascii="Cambria Math" w:hAnsi="Cambria Math" w:cs="AdvPED1282"/>
            <w:color w:val="000000"/>
            <w:lang w:val="en-US"/>
          </w:rPr>
          <m:t>ᵢ</m:t>
        </m:r>
        <m:r>
          <w:rPr>
            <w:rFonts w:ascii="Cambria Math" w:hAnsi="Cambria Math" w:cs="AdvPED1282"/>
            <w:color w:val="000000"/>
            <w:lang w:val="en-US"/>
          </w:rPr>
          <m:t>t</m:t>
        </m:r>
      </m:oMath>
      <w:r>
        <w:rPr>
          <w:rFonts w:cs="AdvPED1282"/>
          <w:color w:val="000000"/>
          <w:lang w:val="en-US"/>
        </w:rPr>
        <w:t xml:space="preserve"> refers to someone’s rank </w:t>
      </w:r>
      <w:r w:rsidR="00D677EE">
        <w:rPr>
          <w:rFonts w:cs="AdvPED1282"/>
          <w:color w:val="000000"/>
          <w:lang w:val="en-US"/>
        </w:rPr>
        <w:t>in</w:t>
      </w:r>
      <w:r>
        <w:rPr>
          <w:rFonts w:cs="AdvPED1282"/>
          <w:color w:val="000000"/>
          <w:lang w:val="en-US"/>
        </w:rPr>
        <w:t xml:space="preserve"> the population</w:t>
      </w:r>
      <w:r w:rsidR="005A469D">
        <w:rPr>
          <w:rFonts w:cs="AdvPED1282"/>
          <w:color w:val="000000"/>
          <w:lang w:val="en-US"/>
        </w:rPr>
        <w:t xml:space="preserve"> in period </w:t>
      </w:r>
      <w:r w:rsidR="005A469D" w:rsidRPr="004D1DB1">
        <w:rPr>
          <w:rFonts w:cs="AdvPED1282"/>
          <w:color w:val="000000"/>
          <w:lang w:val="en-US"/>
        </w:rPr>
        <w:t>t</w:t>
      </w:r>
      <w:r w:rsidR="005A469D">
        <w:rPr>
          <w:rFonts w:cs="AdvPED1282"/>
          <w:color w:val="000000"/>
          <w:lang w:val="en-US"/>
        </w:rPr>
        <w:t xml:space="preserve"> when it</w:t>
      </w:r>
      <w:r>
        <w:rPr>
          <w:rFonts w:cs="AdvPED1282"/>
          <w:color w:val="000000"/>
          <w:lang w:val="en-US"/>
        </w:rPr>
        <w:t xml:space="preserve"> is ordered from the lowest BMI v</w:t>
      </w:r>
      <w:r w:rsidRPr="009F3306">
        <w:rPr>
          <w:rFonts w:cs="AdvPED1282"/>
          <w:color w:val="000000"/>
          <w:lang w:val="en-US"/>
        </w:rPr>
        <w:t>alue</w:t>
      </w:r>
      <w:r>
        <w:rPr>
          <w:rFonts w:cs="AdvPED1282"/>
          <w:color w:val="000000"/>
          <w:lang w:val="en-US"/>
        </w:rPr>
        <w:t xml:space="preserve"> to the highest BMI valu</w:t>
      </w:r>
      <w:r w:rsidR="00D66074" w:rsidRPr="004D1DB1">
        <w:rPr>
          <w:rFonts w:cs="AdvPED1282"/>
          <w:color w:val="000000"/>
          <w:lang w:val="en-US"/>
        </w:rPr>
        <w:t>e.</w:t>
      </w:r>
    </w:p>
    <w:p w14:paraId="406D56F4" w14:textId="77777777" w:rsidR="000803C8" w:rsidRDefault="002A4AAE" w:rsidP="000803C8">
      <w:pPr>
        <w:pStyle w:val="ListParagraph"/>
        <w:numPr>
          <w:ilvl w:val="0"/>
          <w:numId w:val="28"/>
        </w:numPr>
        <w:spacing w:line="360" w:lineRule="auto"/>
        <w:jc w:val="both"/>
        <w:rPr>
          <w:rFonts w:ascii="Cambria Math" w:hAnsi="Cambria Math" w:cs="AdvPED1282"/>
          <w:color w:val="000000"/>
          <w:lang w:val="en-US"/>
        </w:rPr>
      </w:pPr>
      <m:oMath>
        <m:r>
          <w:rPr>
            <w:rFonts w:ascii="Cambria Math" w:hAnsi="Cambria Math" w:cs="AdvPED1282"/>
            <w:color w:val="000000"/>
            <w:lang w:val="en-US"/>
          </w:rPr>
          <m:t xml:space="preserve">AG₂-AG₁= </m:t>
        </m:r>
        <m:f>
          <m:fPr>
            <m:ctrlPr>
              <w:rPr>
                <w:rFonts w:ascii="Cambria Math" w:hAnsi="Cambria Math" w:cs="AdvPED1282"/>
                <w:i/>
                <w:color w:val="000000"/>
                <w:lang w:val="en-US"/>
              </w:rPr>
            </m:ctrlPr>
          </m:fPr>
          <m:num>
            <m:r>
              <w:rPr>
                <w:rFonts w:ascii="Cambria Math" w:hAnsi="Cambria Math" w:cs="AdvPED1282"/>
                <w:color w:val="000000"/>
                <w:lang w:val="en-US"/>
              </w:rPr>
              <m:t>2</m:t>
            </m:r>
          </m:num>
          <m:den>
            <m:r>
              <w:rPr>
                <w:rFonts w:ascii="Cambria Math" w:hAnsi="Cambria Math" w:cs="AdvPED1282"/>
                <w:color w:val="000000"/>
                <w:lang w:val="en-US"/>
              </w:rPr>
              <m:t>n</m:t>
            </m:r>
          </m:den>
        </m:f>
        <m:r>
          <w:rPr>
            <w:rFonts w:ascii="Cambria Math" w:hAnsi="Cambria Math" w:cs="AdvPED1282"/>
            <w:color w:val="000000"/>
            <w:lang w:val="en-US"/>
          </w:rPr>
          <m:t xml:space="preserve"> </m:t>
        </m:r>
        <m:nary>
          <m:naryPr>
            <m:chr m:val="∑"/>
            <m:limLoc m:val="undOvr"/>
            <m:ctrlPr>
              <w:rPr>
                <w:rFonts w:ascii="Cambria Math" w:hAnsi="Cambria Math" w:cs="AdvPED1282"/>
                <w:i/>
                <w:color w:val="000000"/>
                <w:lang w:val="en-US"/>
              </w:rPr>
            </m:ctrlPr>
          </m:naryPr>
          <m:sub>
            <m:r>
              <w:rPr>
                <w:rFonts w:ascii="Cambria Math" w:hAnsi="Cambria Math" w:cs="AdvPED1282"/>
                <w:color w:val="000000"/>
                <w:lang w:val="en-US"/>
              </w:rPr>
              <m:t>i=1</m:t>
            </m:r>
          </m:sub>
          <m:sup>
            <m:r>
              <w:rPr>
                <w:rFonts w:ascii="Cambria Math" w:hAnsi="Cambria Math" w:cs="AdvPED1282"/>
                <w:color w:val="000000"/>
                <w:lang w:val="en-US"/>
              </w:rPr>
              <m:t>n</m:t>
            </m:r>
          </m:sup>
          <m:e>
            <m:r>
              <w:rPr>
                <w:rFonts w:ascii="Cambria Math" w:hAnsi="Cambria Math" w:cs="AdvPED1282"/>
                <w:color w:val="000000"/>
                <w:lang w:val="en-US"/>
              </w:rPr>
              <m:t xml:space="preserve">bmiᵢ₂ζᵢ₂- </m:t>
            </m:r>
            <m:f>
              <m:fPr>
                <m:ctrlPr>
                  <w:rPr>
                    <w:rFonts w:ascii="Cambria Math" w:hAnsi="Cambria Math" w:cs="AdvPED1282"/>
                    <w:i/>
                    <w:color w:val="000000"/>
                    <w:lang w:val="en-US"/>
                  </w:rPr>
                </m:ctrlPr>
              </m:fPr>
              <m:num>
                <m:r>
                  <w:rPr>
                    <w:rFonts w:ascii="Cambria Math" w:hAnsi="Cambria Math" w:cs="AdvPED1282"/>
                    <w:color w:val="000000"/>
                    <w:lang w:val="en-US"/>
                  </w:rPr>
                  <m:t>2</m:t>
                </m:r>
              </m:num>
              <m:den>
                <m:r>
                  <w:rPr>
                    <w:rFonts w:ascii="Cambria Math" w:hAnsi="Cambria Math" w:cs="AdvPED1282"/>
                    <w:color w:val="000000"/>
                    <w:lang w:val="en-US"/>
                  </w:rPr>
                  <m:t>n</m:t>
                </m:r>
              </m:den>
            </m:f>
          </m:e>
        </m:nary>
        <m:r>
          <w:rPr>
            <w:rFonts w:ascii="Cambria Math" w:hAnsi="Cambria Math" w:cs="AdvPED1282"/>
            <w:color w:val="000000"/>
            <w:lang w:val="en-US"/>
          </w:rPr>
          <m:t xml:space="preserve"> </m:t>
        </m:r>
        <m:nary>
          <m:naryPr>
            <m:chr m:val="∑"/>
            <m:limLoc m:val="undOvr"/>
            <m:ctrlPr>
              <w:rPr>
                <w:rFonts w:ascii="Cambria Math" w:hAnsi="Cambria Math" w:cs="AdvPED1282"/>
                <w:i/>
                <w:color w:val="000000"/>
                <w:lang w:val="en-US"/>
              </w:rPr>
            </m:ctrlPr>
          </m:naryPr>
          <m:sub>
            <m:r>
              <w:rPr>
                <w:rFonts w:ascii="Cambria Math" w:hAnsi="Cambria Math" w:cs="AdvPED1282"/>
                <w:color w:val="000000"/>
                <w:lang w:val="en-US"/>
              </w:rPr>
              <m:t>i=1</m:t>
            </m:r>
          </m:sub>
          <m:sup>
            <m:r>
              <w:rPr>
                <w:rFonts w:ascii="Cambria Math" w:hAnsi="Cambria Math" w:cs="AdvPED1282"/>
                <w:color w:val="000000"/>
                <w:lang w:val="en-US"/>
              </w:rPr>
              <m:t>n</m:t>
            </m:r>
          </m:sup>
          <m:e>
            <m:r>
              <w:rPr>
                <w:rFonts w:ascii="Cambria Math" w:hAnsi="Cambria Math" w:cs="AdvPED1282"/>
                <w:color w:val="000000"/>
                <w:lang w:val="en-US"/>
              </w:rPr>
              <m:t>bmiᵢ₁ζᵢ₁</m:t>
            </m:r>
          </m:e>
        </m:nary>
      </m:oMath>
      <w:r w:rsidR="000803C8">
        <w:rPr>
          <w:rFonts w:ascii="Cambria Math" w:hAnsi="Cambria Math" w:cs="AdvPED1282"/>
          <w:color w:val="000000"/>
          <w:lang w:val="en-US"/>
        </w:rPr>
        <w:t xml:space="preserve"> </w:t>
      </w:r>
    </w:p>
    <w:p w14:paraId="3DADB07F" w14:textId="77777777" w:rsidR="000803C8" w:rsidRPr="000803C8" w:rsidRDefault="000803C8" w:rsidP="000803C8">
      <w:pPr>
        <w:pStyle w:val="ListParagraph"/>
        <w:spacing w:line="360" w:lineRule="auto"/>
        <w:ind w:left="2136"/>
        <w:jc w:val="both"/>
        <w:rPr>
          <w:rFonts w:ascii="Cambria Math" w:hAnsi="Cambria Math" w:cs="AdvPED1282"/>
          <w:color w:val="000000"/>
          <w:lang w:val="en-US"/>
        </w:rPr>
      </w:pPr>
    </w:p>
    <w:p w14:paraId="4B58DA84" w14:textId="77777777" w:rsidR="00EA7E89" w:rsidRDefault="002A4AAE" w:rsidP="00EA7E89">
      <w:pPr>
        <w:pStyle w:val="ListParagraph"/>
        <w:numPr>
          <w:ilvl w:val="0"/>
          <w:numId w:val="28"/>
        </w:numPr>
        <w:spacing w:line="360" w:lineRule="auto"/>
        <w:jc w:val="both"/>
        <w:rPr>
          <w:rFonts w:ascii="Cambria Math" w:hAnsi="Cambria Math" w:cs="AdvPED1282"/>
          <w:color w:val="000000"/>
          <w:lang w:val="en-US"/>
        </w:rPr>
      </w:pPr>
      <m:oMath>
        <m:r>
          <w:rPr>
            <w:rFonts w:ascii="Cambria Math" w:hAnsi="Cambria Math" w:cs="AdvPED1282"/>
            <w:color w:val="000000"/>
            <w:lang w:val="en-US"/>
          </w:rPr>
          <m:t xml:space="preserve">ζᵢt= </m:t>
        </m:r>
        <m:f>
          <m:fPr>
            <m:ctrlPr>
              <w:rPr>
                <w:rFonts w:ascii="Cambria Math" w:hAnsi="Cambria Math" w:cs="AdvPED1282"/>
                <w:i/>
                <w:color w:val="000000"/>
                <w:lang w:val="en-US"/>
              </w:rPr>
            </m:ctrlPr>
          </m:fPr>
          <m:num>
            <m:r>
              <w:rPr>
                <w:rFonts w:ascii="Cambria Math" w:hAnsi="Cambria Math" w:cs="AdvPED1282"/>
                <w:color w:val="000000"/>
                <w:lang w:val="en-US"/>
              </w:rPr>
              <m:t>rankᵢt</m:t>
            </m:r>
          </m:num>
          <m:den>
            <m:r>
              <w:rPr>
                <w:rFonts w:ascii="Cambria Math" w:hAnsi="Cambria Math" w:cs="AdvPED1282"/>
                <w:color w:val="000000"/>
                <w:lang w:val="en-US"/>
              </w:rPr>
              <m:t>n</m:t>
            </m:r>
          </m:den>
        </m:f>
        <m:r>
          <w:rPr>
            <w:rFonts w:ascii="Cambria Math" w:hAnsi="Cambria Math" w:cs="AdvPED1282"/>
            <w:color w:val="000000"/>
            <w:lang w:val="en-US"/>
          </w:rPr>
          <m:t xml:space="preserve">- </m:t>
        </m:r>
        <m:f>
          <m:fPr>
            <m:ctrlPr>
              <w:rPr>
                <w:rFonts w:ascii="Cambria Math" w:hAnsi="Cambria Math" w:cs="AdvPED1282"/>
                <w:i/>
                <w:color w:val="000000"/>
                <w:lang w:val="en-US"/>
              </w:rPr>
            </m:ctrlPr>
          </m:fPr>
          <m:num>
            <m:r>
              <w:rPr>
                <w:rFonts w:ascii="Cambria Math" w:hAnsi="Cambria Math" w:cs="AdvPED1282"/>
                <w:color w:val="000000"/>
                <w:lang w:val="en-US"/>
              </w:rPr>
              <m:t>n+1</m:t>
            </m:r>
          </m:num>
          <m:den>
            <m:r>
              <w:rPr>
                <w:rFonts w:ascii="Cambria Math" w:hAnsi="Cambria Math" w:cs="AdvPED1282"/>
                <w:color w:val="000000"/>
                <w:lang w:val="en-US"/>
              </w:rPr>
              <m:t>2n</m:t>
            </m:r>
          </m:den>
        </m:f>
      </m:oMath>
    </w:p>
    <w:p w14:paraId="2AC3E6C0" w14:textId="77777777" w:rsidR="00EA7E89" w:rsidRPr="00EA7E89" w:rsidRDefault="00EA7E89" w:rsidP="00EA7E89">
      <w:pPr>
        <w:spacing w:line="360" w:lineRule="auto"/>
        <w:jc w:val="both"/>
        <w:rPr>
          <w:rFonts w:ascii="Cambria Math" w:hAnsi="Cambria Math" w:cs="AdvPED1282"/>
          <w:color w:val="000000"/>
          <w:lang w:val="en-US"/>
        </w:rPr>
      </w:pPr>
    </w:p>
    <w:p w14:paraId="387823B3" w14:textId="77777777" w:rsidR="00EA7E89" w:rsidRDefault="00EA7E89" w:rsidP="00EA7E89">
      <w:pPr>
        <w:pStyle w:val="Heading2"/>
        <w:numPr>
          <w:ilvl w:val="1"/>
          <w:numId w:val="24"/>
        </w:numPr>
        <w:rPr>
          <w:rFonts w:cs="Calibri"/>
          <w:sz w:val="24"/>
          <w:szCs w:val="24"/>
          <w:lang w:val="en-US" w:eastAsia="ja-JP"/>
        </w:rPr>
      </w:pPr>
      <w:bookmarkStart w:id="8" w:name="_Toc432114500"/>
      <w:r>
        <w:rPr>
          <w:rFonts w:cs="Calibri"/>
          <w:sz w:val="24"/>
          <w:szCs w:val="24"/>
          <w:lang w:val="en-US" w:eastAsia="ja-JP"/>
        </w:rPr>
        <w:t>OB decomposition</w:t>
      </w:r>
      <w:r w:rsidRPr="003233C8">
        <w:rPr>
          <w:rFonts w:cs="Calibri"/>
          <w:sz w:val="24"/>
          <w:szCs w:val="24"/>
          <w:lang w:val="en-US" w:eastAsia="ja-JP"/>
        </w:rPr>
        <w:t xml:space="preserve"> </w:t>
      </w:r>
      <w:r>
        <w:rPr>
          <w:rFonts w:cs="Calibri"/>
          <w:sz w:val="24"/>
          <w:szCs w:val="24"/>
          <w:lang w:val="en-US" w:eastAsia="ja-JP"/>
        </w:rPr>
        <w:t xml:space="preserve">of the </w:t>
      </w:r>
      <w:r w:rsidR="00BB5EEF">
        <w:rPr>
          <w:rFonts w:cs="Calibri"/>
          <w:sz w:val="24"/>
          <w:szCs w:val="24"/>
          <w:lang w:val="en-US" w:eastAsia="ja-JP"/>
        </w:rPr>
        <w:t>AG</w:t>
      </w:r>
      <w:bookmarkEnd w:id="8"/>
    </w:p>
    <w:p w14:paraId="73FE5C98" w14:textId="77777777" w:rsidR="00EA7E89" w:rsidRDefault="00EA7E89" w:rsidP="007E490C">
      <w:pPr>
        <w:spacing w:line="360" w:lineRule="auto"/>
        <w:jc w:val="both"/>
        <w:rPr>
          <w:rFonts w:cs="AdvPED1282"/>
          <w:color w:val="000000"/>
          <w:lang w:val="en-US"/>
        </w:rPr>
      </w:pPr>
    </w:p>
    <w:p w14:paraId="003339DE" w14:textId="13B5E77F" w:rsidR="00B95A2A" w:rsidRDefault="007207FC" w:rsidP="004D1DB1">
      <w:pPr>
        <w:spacing w:line="360" w:lineRule="auto"/>
        <w:ind w:firstLine="360"/>
        <w:jc w:val="both"/>
        <w:rPr>
          <w:rFonts w:cs="AdvPED1282"/>
          <w:color w:val="000000"/>
          <w:lang w:val="en-US"/>
        </w:rPr>
      </w:pPr>
      <w:r w:rsidRPr="00FB7572">
        <w:rPr>
          <w:rFonts w:cs="AdvPED1282"/>
          <w:color w:val="000000"/>
          <w:lang w:val="en-US"/>
        </w:rPr>
        <w:t>The AG’s rank-dependent nature allows a change in</w:t>
      </w:r>
      <w:r>
        <w:rPr>
          <w:rFonts w:cs="AdvPED1282"/>
          <w:color w:val="000000"/>
          <w:lang w:val="en-US"/>
        </w:rPr>
        <w:t xml:space="preserve"> inequality to be decomposed </w:t>
      </w:r>
      <w:r w:rsidR="006D6B15">
        <w:rPr>
          <w:rFonts w:cs="AdvPED1282"/>
          <w:color w:val="000000"/>
          <w:lang w:val="en-US"/>
        </w:rPr>
        <w:t>into the earlier mentioned</w:t>
      </w:r>
      <w:r w:rsidR="009E5A58" w:rsidRPr="000C440D">
        <w:rPr>
          <w:rFonts w:cs="AdvPED1282"/>
          <w:color w:val="000000"/>
          <w:lang w:val="en-US"/>
        </w:rPr>
        <w:t xml:space="preserve"> i</w:t>
      </w:r>
      <w:r w:rsidR="006D6B15">
        <w:rPr>
          <w:rFonts w:cs="AdvPED1282"/>
          <w:color w:val="000000"/>
          <w:lang w:val="en-US"/>
        </w:rPr>
        <w:t>nitial cha</w:t>
      </w:r>
      <w:r w:rsidR="00FF392D">
        <w:rPr>
          <w:rFonts w:cs="AdvPED1282"/>
          <w:color w:val="000000"/>
          <w:lang w:val="en-US"/>
        </w:rPr>
        <w:t>nge of</w:t>
      </w:r>
      <w:r w:rsidR="006D6B15">
        <w:rPr>
          <w:rFonts w:cs="AdvPED1282"/>
          <w:color w:val="000000"/>
          <w:lang w:val="en-US"/>
        </w:rPr>
        <w:t xml:space="preserve"> BMI</w:t>
      </w:r>
      <w:r w:rsidR="009E5A58" w:rsidRPr="000C440D">
        <w:rPr>
          <w:rFonts w:cs="AdvPED1282"/>
          <w:color w:val="000000"/>
          <w:lang w:val="en-US"/>
        </w:rPr>
        <w:t xml:space="preserve"> and the</w:t>
      </w:r>
      <w:r w:rsidR="006D6B15">
        <w:rPr>
          <w:rFonts w:cs="AdvPED1282"/>
          <w:color w:val="000000"/>
          <w:lang w:val="en-US"/>
        </w:rPr>
        <w:t xml:space="preserve"> change in an individual’s rank, the re-ranking change</w:t>
      </w:r>
      <w:r w:rsidR="009E5A58" w:rsidRPr="000C440D">
        <w:rPr>
          <w:rFonts w:cs="AdvPED1282"/>
          <w:color w:val="000000"/>
          <w:lang w:val="en-US"/>
        </w:rPr>
        <w:t xml:space="preserve"> </w:t>
      </w:r>
      <w:r w:rsidR="009E5A58" w:rsidRPr="000C440D">
        <w:rPr>
          <w:rFonts w:cs="AdvPED1282"/>
          <w:noProof/>
          <w:color w:val="000000"/>
          <w:lang w:val="en-US"/>
        </w:rPr>
        <w:t>(Wagstaff &amp; Van Doorslaer, 2000)</w:t>
      </w:r>
      <w:r w:rsidR="002D5DB8">
        <w:rPr>
          <w:rFonts w:cs="AdvPED1282"/>
          <w:noProof/>
          <w:color w:val="000000"/>
          <w:lang w:val="en-US"/>
        </w:rPr>
        <w:t xml:space="preserve">, </w:t>
      </w:r>
      <w:r w:rsidR="002D5DB8" w:rsidRPr="000C440D">
        <w:rPr>
          <w:rFonts w:cs="AdvPED1282"/>
          <w:noProof/>
          <w:color w:val="000000"/>
          <w:lang w:val="en-US"/>
        </w:rPr>
        <w:t>(Jenkins &amp; Van Kerm, 2006</w:t>
      </w:r>
      <w:r w:rsidR="002D5DB8">
        <w:rPr>
          <w:rFonts w:cs="AdvPED1282"/>
          <w:noProof/>
          <w:color w:val="000000"/>
          <w:lang w:val="en-US"/>
        </w:rPr>
        <w:t>)</w:t>
      </w:r>
      <w:r w:rsidR="006D6B15">
        <w:rPr>
          <w:rFonts w:cs="AdvPED1282"/>
          <w:noProof/>
          <w:color w:val="000000"/>
          <w:lang w:val="en-US"/>
        </w:rPr>
        <w:t>.</w:t>
      </w:r>
      <w:r w:rsidR="00FF392D">
        <w:rPr>
          <w:rFonts w:cs="AdvPED1282"/>
          <w:noProof/>
          <w:color w:val="000000"/>
          <w:lang w:val="en-US"/>
        </w:rPr>
        <w:t xml:space="preserve"> </w:t>
      </w:r>
      <w:r w:rsidR="00FF392D">
        <w:rPr>
          <w:rFonts w:ascii="Cambria Math" w:hAnsi="Cambria Math" w:cs="AdvPED1282"/>
          <w:color w:val="000000"/>
          <w:lang w:val="en-US"/>
        </w:rPr>
        <w:lastRenderedPageBreak/>
        <w:t xml:space="preserve">This follows </w:t>
      </w:r>
      <w:r w:rsidR="00B95A2A" w:rsidRPr="000C440D">
        <w:rPr>
          <w:rFonts w:cs="AdvPED1282"/>
          <w:color w:val="000000"/>
          <w:lang w:val="en-US"/>
        </w:rPr>
        <w:t>from the fact that BMI changes and rank changes are not perfectly correlated. For exa</w:t>
      </w:r>
      <w:r w:rsidR="00FF392D">
        <w:rPr>
          <w:rFonts w:cs="AdvPED1282"/>
          <w:color w:val="000000"/>
          <w:lang w:val="en-US"/>
        </w:rPr>
        <w:t xml:space="preserve">mple, an </w:t>
      </w:r>
      <w:r w:rsidR="0087240B">
        <w:rPr>
          <w:rFonts w:cs="AdvPED1282"/>
          <w:color w:val="000000"/>
          <w:lang w:val="en-US"/>
        </w:rPr>
        <w:t xml:space="preserve">observed </w:t>
      </w:r>
      <w:r w:rsidR="00FF392D">
        <w:rPr>
          <w:rFonts w:cs="AdvPED1282"/>
          <w:color w:val="000000"/>
          <w:lang w:val="en-US"/>
        </w:rPr>
        <w:t>increase in BMI for the fattest person</w:t>
      </w:r>
      <w:r w:rsidR="00B95A2A" w:rsidRPr="000C440D">
        <w:rPr>
          <w:rFonts w:cs="AdvPED1282"/>
          <w:color w:val="000000"/>
          <w:lang w:val="en-US"/>
        </w:rPr>
        <w:t xml:space="preserve"> in the populat</w:t>
      </w:r>
      <w:r w:rsidR="0087240B">
        <w:rPr>
          <w:rFonts w:cs="AdvPED1282"/>
          <w:color w:val="000000"/>
          <w:lang w:val="en-US"/>
        </w:rPr>
        <w:t xml:space="preserve">ion </w:t>
      </w:r>
      <w:r w:rsidR="00FF392D">
        <w:rPr>
          <w:rFonts w:cs="AdvPED1282"/>
          <w:color w:val="000000"/>
          <w:lang w:val="en-US"/>
        </w:rPr>
        <w:t xml:space="preserve">will not change the </w:t>
      </w:r>
      <w:r w:rsidR="00482B8E">
        <w:rPr>
          <w:rFonts w:cs="AdvPED1282"/>
          <w:color w:val="000000"/>
          <w:lang w:val="en-US"/>
        </w:rPr>
        <w:t>rank of this person</w:t>
      </w:r>
      <w:r w:rsidR="00FF392D">
        <w:rPr>
          <w:rFonts w:cs="AdvPED1282"/>
          <w:color w:val="000000"/>
          <w:lang w:val="en-US"/>
        </w:rPr>
        <w:t xml:space="preserve">. He will still be at the end of the pecking order and </w:t>
      </w:r>
      <w:r w:rsidR="004D48E4">
        <w:rPr>
          <w:rFonts w:cs="AdvPED1282"/>
          <w:color w:val="000000"/>
          <w:lang w:val="en-US"/>
        </w:rPr>
        <w:t xml:space="preserve">his </w:t>
      </w:r>
      <m:oMath>
        <m:r>
          <w:rPr>
            <w:rFonts w:ascii="Cambria Math" w:hAnsi="Cambria Math" w:cs="AdvPED1282"/>
            <w:color w:val="000000"/>
            <w:lang w:val="en-US"/>
          </w:rPr>
          <m:t>ζ</m:t>
        </m:r>
      </m:oMath>
      <w:r w:rsidR="007E490C">
        <w:rPr>
          <w:rFonts w:cs="AdvPED1282"/>
          <w:color w:val="000000"/>
          <w:lang w:val="en-US"/>
        </w:rPr>
        <w:t>, and that of all others,</w:t>
      </w:r>
      <w:r w:rsidR="00FF392D">
        <w:rPr>
          <w:rFonts w:cs="AdvPED1282"/>
          <w:color w:val="000000"/>
          <w:lang w:val="en-US"/>
        </w:rPr>
        <w:t xml:space="preserve"> will remain the same.</w:t>
      </w:r>
      <w:r w:rsidR="00B95A2A" w:rsidRPr="0031293D">
        <w:rPr>
          <w:rFonts w:cs="AdvPED1282"/>
          <w:color w:val="000000"/>
          <w:lang w:val="en-US"/>
        </w:rPr>
        <w:t xml:space="preserve"> </w:t>
      </w:r>
      <w:r w:rsidR="007E490C">
        <w:rPr>
          <w:rFonts w:cs="AdvPED1282"/>
          <w:color w:val="000000"/>
          <w:lang w:val="en-US"/>
        </w:rPr>
        <w:t xml:space="preserve">However his individual BMI has changed, altering his contribution to the AG. This feature of the AG coefficient </w:t>
      </w:r>
      <w:r w:rsidR="00B95A2A" w:rsidRPr="0031293D">
        <w:rPr>
          <w:rFonts w:cs="AdvPED1282"/>
          <w:color w:val="000000"/>
          <w:lang w:val="en-US"/>
        </w:rPr>
        <w:t>allows it to compare the individu</w:t>
      </w:r>
      <w:r w:rsidR="007E490C">
        <w:rPr>
          <w:rFonts w:cs="AdvPED1282"/>
          <w:color w:val="000000"/>
          <w:lang w:val="en-US"/>
        </w:rPr>
        <w:t>al ranks from period one and two,</w:t>
      </w:r>
      <w:r w:rsidR="00B95A2A" w:rsidRPr="0031293D">
        <w:rPr>
          <w:rFonts w:cs="AdvPED1282"/>
          <w:color w:val="000000"/>
          <w:lang w:val="en-US"/>
        </w:rPr>
        <w:t xml:space="preserve"> while </w:t>
      </w:r>
      <w:r w:rsidR="007E490C">
        <w:rPr>
          <w:rFonts w:cs="AdvPED1282"/>
          <w:color w:val="000000"/>
          <w:lang w:val="en-US"/>
        </w:rPr>
        <w:t xml:space="preserve">maintaining </w:t>
      </w:r>
      <w:r w:rsidR="00B95A2A" w:rsidRPr="0031293D">
        <w:rPr>
          <w:rFonts w:cs="AdvPED1282"/>
          <w:color w:val="000000"/>
          <w:lang w:val="en-US"/>
        </w:rPr>
        <w:t>the</w:t>
      </w:r>
      <w:r w:rsidR="007E490C">
        <w:rPr>
          <w:rFonts w:cs="AdvPED1282"/>
          <w:color w:val="000000"/>
          <w:lang w:val="en-US"/>
        </w:rPr>
        <w:t xml:space="preserve"> BMI</w:t>
      </w:r>
      <w:r w:rsidR="00B95A2A" w:rsidRPr="0031293D">
        <w:rPr>
          <w:rFonts w:cs="AdvPED1282"/>
          <w:color w:val="000000"/>
          <w:lang w:val="en-US"/>
        </w:rPr>
        <w:t xml:space="preserve"> level</w:t>
      </w:r>
      <w:r w:rsidR="007E490C">
        <w:rPr>
          <w:rFonts w:cs="AdvPED1282"/>
          <w:color w:val="000000"/>
          <w:lang w:val="en-US"/>
        </w:rPr>
        <w:t>s</w:t>
      </w:r>
      <w:r w:rsidR="00B95A2A" w:rsidRPr="0031293D">
        <w:rPr>
          <w:rFonts w:cs="AdvPED1282"/>
          <w:color w:val="000000"/>
          <w:lang w:val="en-US"/>
        </w:rPr>
        <w:t xml:space="preserve"> </w:t>
      </w:r>
      <w:r w:rsidR="007E490C">
        <w:rPr>
          <w:rFonts w:cs="AdvPED1282"/>
          <w:color w:val="000000"/>
          <w:lang w:val="en-US"/>
        </w:rPr>
        <w:t>of period two for both periods</w:t>
      </w:r>
      <w:r w:rsidR="00B95A2A" w:rsidRPr="0031293D">
        <w:rPr>
          <w:rFonts w:cs="AdvPED1282"/>
          <w:color w:val="000000"/>
          <w:lang w:val="en-US"/>
        </w:rPr>
        <w:t xml:space="preserve">. Vice versa BMI outcome levels </w:t>
      </w:r>
      <w:r w:rsidR="007E490C">
        <w:rPr>
          <w:rFonts w:cs="AdvPED1282"/>
          <w:color w:val="000000"/>
          <w:lang w:val="en-US"/>
        </w:rPr>
        <w:t>from period one and two</w:t>
      </w:r>
      <w:r w:rsidR="00B95A2A" w:rsidRPr="0031293D">
        <w:rPr>
          <w:rFonts w:cs="AdvPED1282"/>
          <w:color w:val="000000"/>
          <w:lang w:val="en-US"/>
        </w:rPr>
        <w:t xml:space="preserve"> </w:t>
      </w:r>
      <w:r w:rsidR="007E490C">
        <w:rPr>
          <w:rFonts w:cs="AdvPED1282"/>
          <w:color w:val="000000"/>
          <w:lang w:val="en-US"/>
        </w:rPr>
        <w:t>can be compared, while using</w:t>
      </w:r>
      <w:r w:rsidR="00B95A2A" w:rsidRPr="0031293D">
        <w:rPr>
          <w:rFonts w:cs="AdvPED1282"/>
          <w:color w:val="000000"/>
          <w:lang w:val="en-US"/>
        </w:rPr>
        <w:t xml:space="preserve"> </w:t>
      </w:r>
      <w:r w:rsidR="00B95A2A" w:rsidRPr="000C440D">
        <w:rPr>
          <w:rFonts w:cs="AdvPED1282"/>
          <w:color w:val="000000"/>
          <w:lang w:val="en-US"/>
        </w:rPr>
        <w:t xml:space="preserve">the </w:t>
      </w:r>
      <w:r w:rsidR="007E490C">
        <w:rPr>
          <w:rFonts w:cs="AdvPED1282"/>
          <w:color w:val="000000"/>
          <w:lang w:val="en-US"/>
        </w:rPr>
        <w:t>ranks of period one for both periods</w:t>
      </w:r>
      <w:r w:rsidR="00E003D0">
        <w:rPr>
          <w:rFonts w:cs="AdvPED1282"/>
          <w:color w:val="000000"/>
          <w:lang w:val="en-US"/>
        </w:rPr>
        <w:t xml:space="preserve"> </w:t>
      </w:r>
      <w:r w:rsidR="00E003D0" w:rsidRPr="00E003D0">
        <w:rPr>
          <w:rFonts w:cs="AdvPED1282"/>
          <w:color w:val="000000"/>
          <w:lang w:val="en-US"/>
        </w:rPr>
        <w:t xml:space="preserve">(Jenkins and Van Kerm 2006, </w:t>
      </w:r>
      <w:r w:rsidR="007E490C" w:rsidRPr="00E003D0">
        <w:rPr>
          <w:rFonts w:cs="AdvPED1282"/>
          <w:color w:val="000000"/>
          <w:lang w:val="en-US"/>
        </w:rPr>
        <w:t>Van Ourti et al. 200</w:t>
      </w:r>
      <w:r w:rsidR="00E003D0" w:rsidRPr="00E003D0">
        <w:rPr>
          <w:rFonts w:cs="AdvPED1282"/>
          <w:color w:val="000000"/>
          <w:lang w:val="en-US"/>
        </w:rPr>
        <w:t>9, Allanson et al. 2010, Baeten</w:t>
      </w:r>
      <w:r w:rsidR="00B67919">
        <w:rPr>
          <w:rFonts w:cs="AdvPED1282"/>
          <w:color w:val="000000"/>
          <w:lang w:val="en-US"/>
        </w:rPr>
        <w:t xml:space="preserve"> </w:t>
      </w:r>
      <w:r w:rsidR="007E490C" w:rsidRPr="00E003D0">
        <w:rPr>
          <w:rFonts w:cs="AdvPED1282"/>
          <w:color w:val="000000"/>
          <w:lang w:val="en-US"/>
        </w:rPr>
        <w:t>et al. 2013).</w:t>
      </w:r>
      <w:r w:rsidR="00E003D0">
        <w:rPr>
          <w:rFonts w:cs="AdvPED1282"/>
          <w:color w:val="000000"/>
          <w:lang w:val="en-US"/>
        </w:rPr>
        <w:t xml:space="preserve"> The change in AG can </w:t>
      </w:r>
      <w:r w:rsidR="00BA535A">
        <w:rPr>
          <w:rFonts w:cs="AdvPED1282"/>
          <w:color w:val="000000"/>
          <w:lang w:val="en-US"/>
        </w:rPr>
        <w:t>then be written as in formula (10</w:t>
      </w:r>
      <w:r w:rsidR="00E003D0">
        <w:rPr>
          <w:rFonts w:cs="AdvPED1282"/>
          <w:color w:val="000000"/>
          <w:lang w:val="en-US"/>
        </w:rPr>
        <w:t>).</w:t>
      </w:r>
    </w:p>
    <w:p w14:paraId="483FBCDC" w14:textId="77777777" w:rsidR="00FE44B5" w:rsidRPr="00FE44B5" w:rsidRDefault="00BA535A" w:rsidP="00FE44B5">
      <w:pPr>
        <w:pStyle w:val="ListParagraph"/>
        <w:numPr>
          <w:ilvl w:val="0"/>
          <w:numId w:val="28"/>
        </w:numPr>
        <w:spacing w:line="360" w:lineRule="auto"/>
        <w:jc w:val="both"/>
        <w:rPr>
          <w:rFonts w:cs="AdvPED1282"/>
          <w:color w:val="000000"/>
          <w:lang w:val="en-US"/>
        </w:rPr>
      </w:pPr>
      <w:r>
        <w:rPr>
          <w:rFonts w:cs="AdvPED1282"/>
          <w:color w:val="000000"/>
          <w:lang w:val="en-US"/>
        </w:rPr>
        <w:t xml:space="preserve">  </w:t>
      </w:r>
      <m:oMath>
        <m:r>
          <w:rPr>
            <w:rFonts w:ascii="Cambria Math" w:hAnsi="Cambria Math" w:cs="AdvPED1282"/>
            <w:color w:val="000000"/>
            <w:lang w:val="en-US"/>
          </w:rPr>
          <m:t xml:space="preserve">AG₂-AG₁= </m:t>
        </m:r>
        <m:f>
          <m:fPr>
            <m:ctrlPr>
              <w:rPr>
                <w:rFonts w:ascii="Cambria Math" w:hAnsi="Cambria Math" w:cs="AdvPED1282"/>
                <w:i/>
                <w:color w:val="000000"/>
                <w:lang w:val="en-US"/>
              </w:rPr>
            </m:ctrlPr>
          </m:fPr>
          <m:num>
            <m:r>
              <w:rPr>
                <w:rFonts w:ascii="Cambria Math" w:hAnsi="Cambria Math" w:cs="AdvPED1282"/>
                <w:color w:val="000000"/>
                <w:lang w:val="en-US"/>
              </w:rPr>
              <m:t>2</m:t>
            </m:r>
          </m:num>
          <m:den>
            <m:r>
              <w:rPr>
                <w:rFonts w:ascii="Cambria Math" w:hAnsi="Cambria Math" w:cs="AdvPED1282"/>
                <w:color w:val="000000"/>
                <w:lang w:val="en-US"/>
              </w:rPr>
              <m:t>n</m:t>
            </m:r>
          </m:den>
        </m:f>
        <m:r>
          <w:rPr>
            <w:rFonts w:ascii="Cambria Math" w:hAnsi="Cambria Math" w:cs="AdvPED1282"/>
            <w:color w:val="000000"/>
            <w:lang w:val="en-US"/>
          </w:rPr>
          <m:t xml:space="preserve"> </m:t>
        </m:r>
        <m:nary>
          <m:naryPr>
            <m:chr m:val="∑"/>
            <m:limLoc m:val="undOvr"/>
            <m:ctrlPr>
              <w:rPr>
                <w:rFonts w:ascii="Cambria Math" w:hAnsi="Cambria Math" w:cs="AdvPED1282"/>
                <w:i/>
                <w:color w:val="000000"/>
                <w:lang w:val="en-US"/>
              </w:rPr>
            </m:ctrlPr>
          </m:naryPr>
          <m:sub>
            <m:r>
              <w:rPr>
                <w:rFonts w:ascii="Cambria Math" w:hAnsi="Cambria Math" w:cs="AdvPED1282"/>
                <w:color w:val="000000"/>
                <w:lang w:val="en-US"/>
              </w:rPr>
              <m:t>i=1</m:t>
            </m:r>
          </m:sub>
          <m:sup>
            <m:r>
              <w:rPr>
                <w:rFonts w:ascii="Cambria Math" w:hAnsi="Cambria Math" w:cs="AdvPED1282"/>
                <w:color w:val="000000"/>
                <w:lang w:val="en-US"/>
              </w:rPr>
              <m:t>n</m:t>
            </m:r>
          </m:sup>
          <m:e>
            <m:r>
              <w:rPr>
                <w:rFonts w:ascii="Cambria Math" w:hAnsi="Cambria Math" w:cs="AdvPED1282"/>
                <w:color w:val="000000"/>
                <w:lang w:val="en-US"/>
              </w:rPr>
              <m:t>[bmiᵢ</m:t>
            </m:r>
            <m:r>
              <w:rPr>
                <w:rFonts w:ascii="Cambria Math" w:hAnsi="Cambria Math" w:cs="Calibri"/>
                <w:color w:val="000000"/>
                <w:lang w:val="en-US"/>
              </w:rPr>
              <m:t>₂</m:t>
            </m:r>
            <m:r>
              <w:rPr>
                <w:rFonts w:ascii="Cambria Math" w:hAnsi="Cambria Math" w:cs="AdvPED1282"/>
                <w:color w:val="000000"/>
                <w:lang w:val="en-US"/>
              </w:rPr>
              <m:t>(ζᵢ</m:t>
            </m:r>
            <m:r>
              <w:rPr>
                <w:rFonts w:ascii="Cambria Math" w:hAnsi="Cambria Math" w:cs="Calibri"/>
                <w:color w:val="000000"/>
                <w:lang w:val="en-US"/>
              </w:rPr>
              <m:t>₂</m:t>
            </m:r>
            <m:r>
              <w:rPr>
                <w:rFonts w:ascii="Cambria Math" w:hAnsi="Cambria Math" w:cs="AdvPED1282"/>
                <w:color w:val="000000"/>
                <w:lang w:val="en-US"/>
              </w:rPr>
              <m:t xml:space="preserve">- ζᵢ₁) + </m:t>
            </m:r>
          </m:e>
        </m:nary>
        <m:r>
          <w:rPr>
            <w:rFonts w:ascii="Cambria Math" w:hAnsi="Cambria Math" w:cs="AdvPED1282"/>
            <w:color w:val="000000"/>
            <w:lang w:val="en-US"/>
          </w:rPr>
          <m:t>(bmiᵢ</m:t>
        </m:r>
        <m:r>
          <w:rPr>
            <w:rFonts w:ascii="Cambria Math" w:hAnsi="Cambria Math" w:cs="Calibri"/>
            <w:color w:val="000000"/>
            <w:lang w:val="en-US"/>
          </w:rPr>
          <m:t>₂</m:t>
        </m:r>
        <m:r>
          <w:rPr>
            <w:rFonts w:ascii="Cambria Math" w:hAnsi="Cambria Math" w:cs="AdvPED1282"/>
            <w:color w:val="000000"/>
            <w:lang w:val="en-US"/>
          </w:rPr>
          <m:t>-bmiᵢ₁)ζᵢ₁]</m:t>
        </m:r>
      </m:oMath>
    </w:p>
    <w:p w14:paraId="503D1B24" w14:textId="2B527746" w:rsidR="00B95A2A" w:rsidRPr="00AD590F" w:rsidRDefault="0087240B" w:rsidP="004D1DB1">
      <w:pPr>
        <w:spacing w:line="360" w:lineRule="auto"/>
        <w:ind w:firstLine="360"/>
        <w:jc w:val="both"/>
        <w:rPr>
          <w:rFonts w:cs="AdvPED1282"/>
          <w:color w:val="000000"/>
          <w:lang w:val="en-US"/>
        </w:rPr>
      </w:pPr>
      <w:r>
        <w:rPr>
          <w:rFonts w:cs="AdvPED1282"/>
          <w:color w:val="000000"/>
          <w:lang w:val="en-US"/>
        </w:rPr>
        <w:lastRenderedPageBreak/>
        <w:t>The rank changes multiplied with</w:t>
      </w:r>
      <w:r w:rsidR="001971D6">
        <w:rPr>
          <w:rFonts w:cs="AdvPED1282"/>
          <w:color w:val="000000"/>
          <w:lang w:val="en-US"/>
        </w:rPr>
        <w:t xml:space="preserve"> the BMI level of period two measures the re-ranking effect, the BMI changes </w:t>
      </w:r>
      <w:r>
        <w:rPr>
          <w:rFonts w:cs="AdvPED1282"/>
          <w:color w:val="000000"/>
          <w:lang w:val="en-US"/>
        </w:rPr>
        <w:t>multiplied with</w:t>
      </w:r>
      <w:r w:rsidR="001971D6">
        <w:rPr>
          <w:rFonts w:cs="AdvPED1282"/>
          <w:color w:val="000000"/>
          <w:lang w:val="en-US"/>
        </w:rPr>
        <w:t xml:space="preserve"> the rank of period one measures the initial change. In other words, the initial change measures how</w:t>
      </w:r>
      <w:r w:rsidR="00482B8E">
        <w:rPr>
          <w:rFonts w:cs="AdvPED1282"/>
          <w:color w:val="000000"/>
          <w:lang w:val="en-US"/>
        </w:rPr>
        <w:t xml:space="preserve"> the change in</w:t>
      </w:r>
      <w:r w:rsidR="001971D6">
        <w:rPr>
          <w:rFonts w:cs="AdvPED1282"/>
          <w:color w:val="000000"/>
          <w:lang w:val="en-US"/>
        </w:rPr>
        <w:t xml:space="preserve"> BMI </w:t>
      </w:r>
      <w:r w:rsidR="00482B8E">
        <w:rPr>
          <w:rFonts w:cs="AdvPED1282"/>
          <w:color w:val="000000"/>
          <w:lang w:val="en-US"/>
        </w:rPr>
        <w:t xml:space="preserve">between period one and two </w:t>
      </w:r>
      <w:r w:rsidR="001971D6">
        <w:rPr>
          <w:rFonts w:cs="AdvPED1282"/>
          <w:color w:val="000000"/>
          <w:lang w:val="en-US"/>
        </w:rPr>
        <w:t xml:space="preserve">is distributed </w:t>
      </w:r>
      <w:r w:rsidR="00482B8E">
        <w:rPr>
          <w:rFonts w:cs="AdvPED1282"/>
          <w:color w:val="000000"/>
          <w:lang w:val="en-US"/>
        </w:rPr>
        <w:t>across BMI levels in the first</w:t>
      </w:r>
      <w:r>
        <w:rPr>
          <w:rFonts w:cs="AdvPED1282"/>
          <w:color w:val="000000"/>
          <w:lang w:val="en-US"/>
        </w:rPr>
        <w:t xml:space="preserve"> period </w:t>
      </w:r>
      <w:r w:rsidR="001971D6">
        <w:rPr>
          <w:rFonts w:cs="AdvPED1282"/>
          <w:color w:val="000000"/>
          <w:lang w:val="en-US"/>
        </w:rPr>
        <w:t xml:space="preserve">and the re-ranking measures </w:t>
      </w:r>
      <w:r w:rsidR="00482B8E">
        <w:rPr>
          <w:rFonts w:cs="AdvPED1282"/>
          <w:color w:val="000000"/>
          <w:lang w:val="en-US"/>
        </w:rPr>
        <w:t>whether the same individuals have stayed at the bottom/middle/top of the BMI distribution, or whether the composition has changed over time</w:t>
      </w:r>
      <w:r w:rsidR="001971D6">
        <w:rPr>
          <w:rFonts w:cs="AdvPED1282"/>
          <w:color w:val="000000"/>
          <w:lang w:val="en-US"/>
        </w:rPr>
        <w:t>.</w:t>
      </w:r>
      <w:r>
        <w:rPr>
          <w:rFonts w:cs="AdvPED1282"/>
          <w:color w:val="000000"/>
          <w:lang w:val="en-US"/>
        </w:rPr>
        <w:t xml:space="preserve"> Have fat people </w:t>
      </w:r>
      <w:r w:rsidR="00C97682">
        <w:rPr>
          <w:rFonts w:cs="AdvPED1282"/>
          <w:color w:val="000000"/>
          <w:lang w:val="en-US"/>
        </w:rPr>
        <w:t>gone down in the pecking order because they became relatively slimmer,</w:t>
      </w:r>
      <w:r>
        <w:rPr>
          <w:rFonts w:cs="AdvPED1282"/>
          <w:color w:val="000000"/>
          <w:lang w:val="en-US"/>
        </w:rPr>
        <w:t xml:space="preserve"> did the slim people </w:t>
      </w:r>
      <w:r w:rsidR="00C97682">
        <w:rPr>
          <w:rFonts w:cs="AdvPED1282"/>
          <w:color w:val="000000"/>
          <w:lang w:val="en-US"/>
        </w:rPr>
        <w:t>moved up in the pecking order because they became relatively fatter</w:t>
      </w:r>
      <w:r>
        <w:rPr>
          <w:rFonts w:cs="AdvPED1282"/>
          <w:color w:val="000000"/>
          <w:lang w:val="en-US"/>
        </w:rPr>
        <w:t xml:space="preserve"> or has everyone remained around the same place in the pecking order. Thus l</w:t>
      </w:r>
      <w:r w:rsidR="00B67919">
        <w:rPr>
          <w:rFonts w:cs="AdvPED1282"/>
          <w:color w:val="000000"/>
          <w:lang w:val="en-US"/>
        </w:rPr>
        <w:t>ooking at the relative importance of the initial change</w:t>
      </w:r>
      <w:r w:rsidR="001971D6">
        <w:rPr>
          <w:rFonts w:cs="AdvPED1282"/>
          <w:color w:val="000000"/>
          <w:lang w:val="en-US"/>
        </w:rPr>
        <w:t xml:space="preserve"> </w:t>
      </w:r>
      <w:r w:rsidR="00B67919">
        <w:rPr>
          <w:rFonts w:cs="AdvPED1282"/>
          <w:color w:val="000000"/>
          <w:lang w:val="en-US"/>
        </w:rPr>
        <w:t xml:space="preserve">and the re-ranking can tell something about BMI mobility in the population. </w:t>
      </w:r>
      <w:r w:rsidR="001971D6">
        <w:rPr>
          <w:rFonts w:cs="AdvPED1282"/>
          <w:color w:val="000000"/>
          <w:lang w:val="en-US"/>
        </w:rPr>
        <w:t>Regarding these effects this study</w:t>
      </w:r>
      <w:r w:rsidR="00B95A2A" w:rsidRPr="0031293D">
        <w:rPr>
          <w:rFonts w:cs="AdvPED1282"/>
          <w:color w:val="000000"/>
          <w:lang w:val="en-US"/>
        </w:rPr>
        <w:t xml:space="preserve"> will try to </w:t>
      </w:r>
      <w:r w:rsidR="00B67919">
        <w:rPr>
          <w:rFonts w:cs="AdvPED1282"/>
          <w:color w:val="000000"/>
          <w:lang w:val="en-US"/>
        </w:rPr>
        <w:t xml:space="preserve">elaborate changes on </w:t>
      </w:r>
      <w:r w:rsidR="00B95A2A" w:rsidRPr="0031293D">
        <w:rPr>
          <w:rFonts w:cs="AdvPED1282"/>
          <w:color w:val="000000"/>
          <w:lang w:val="en-US"/>
        </w:rPr>
        <w:t xml:space="preserve">an individual level as well </w:t>
      </w:r>
      <w:r w:rsidR="001971D6">
        <w:rPr>
          <w:rFonts w:cs="AdvPED1282"/>
          <w:color w:val="000000"/>
          <w:lang w:val="en-US"/>
        </w:rPr>
        <w:t xml:space="preserve">as </w:t>
      </w:r>
      <w:r w:rsidR="00B95A2A" w:rsidRPr="0031293D">
        <w:rPr>
          <w:rFonts w:cs="AdvPED1282"/>
          <w:color w:val="000000"/>
          <w:lang w:val="en-US"/>
        </w:rPr>
        <w:t>for sub-sam</w:t>
      </w:r>
      <w:r w:rsidR="00B95A2A" w:rsidRPr="0031293D">
        <w:rPr>
          <w:rFonts w:cs="AdvPED1282"/>
          <w:color w:val="000000"/>
          <w:lang w:val="en-US"/>
        </w:rPr>
        <w:lastRenderedPageBreak/>
        <w:t>ples</w:t>
      </w:r>
      <w:r w:rsidR="001971D6">
        <w:rPr>
          <w:rFonts w:cs="AdvPED1282"/>
          <w:color w:val="000000"/>
          <w:lang w:val="en-US"/>
        </w:rPr>
        <w:t xml:space="preserve"> categorized by BMI</w:t>
      </w:r>
      <w:r w:rsidR="00B67919">
        <w:rPr>
          <w:rFonts w:cs="AdvPED1282"/>
          <w:color w:val="000000"/>
          <w:lang w:val="en-US"/>
        </w:rPr>
        <w:t xml:space="preserve">, </w:t>
      </w:r>
      <w:r w:rsidR="00B95A2A" w:rsidRPr="0031293D">
        <w:rPr>
          <w:rFonts w:cs="AdvPED1282"/>
          <w:color w:val="000000"/>
          <w:lang w:val="en-US"/>
        </w:rPr>
        <w:t>such as BMI</w:t>
      </w:r>
      <w:r w:rsidR="00345994">
        <w:rPr>
          <w:rFonts w:cs="AdvPED1282"/>
          <w:color w:val="000000"/>
          <w:lang w:val="en-US"/>
        </w:rPr>
        <w:t xml:space="preserve"> deciles. By looking at the partial contribution of the re-ranking and initial change </w:t>
      </w:r>
      <w:r>
        <w:rPr>
          <w:rFonts w:cs="AdvPED1282"/>
          <w:color w:val="000000"/>
          <w:lang w:val="en-US"/>
        </w:rPr>
        <w:t xml:space="preserve">relative </w:t>
      </w:r>
      <w:r w:rsidR="00345994">
        <w:rPr>
          <w:rFonts w:cs="AdvPED1282"/>
          <w:color w:val="000000"/>
          <w:lang w:val="en-US"/>
        </w:rPr>
        <w:t xml:space="preserve">to the total change in inequality, it may be illuminated if there are many small changes in BMI and rank or </w:t>
      </w:r>
      <w:r w:rsidR="0004574A">
        <w:rPr>
          <w:rFonts w:cs="AdvPED1282"/>
          <w:color w:val="000000"/>
          <w:lang w:val="en-US"/>
        </w:rPr>
        <w:t>large shifts</w:t>
      </w:r>
      <w:r w:rsidR="00B95A2A" w:rsidRPr="0031293D">
        <w:rPr>
          <w:rFonts w:cs="AdvPED1282"/>
          <w:color w:val="000000"/>
          <w:lang w:val="en-US"/>
        </w:rPr>
        <w:t xml:space="preserve"> in the BMI distri</w:t>
      </w:r>
      <w:r w:rsidR="00345994">
        <w:rPr>
          <w:rFonts w:cs="AdvPED1282"/>
          <w:color w:val="000000"/>
          <w:lang w:val="en-US"/>
        </w:rPr>
        <w:t>bution</w:t>
      </w:r>
      <w:r w:rsidR="0004574A">
        <w:rPr>
          <w:rFonts w:cs="AdvPED1282"/>
          <w:color w:val="000000"/>
          <w:lang w:val="en-US"/>
        </w:rPr>
        <w:t xml:space="preserve"> and</w:t>
      </w:r>
      <w:r w:rsidR="00345994">
        <w:rPr>
          <w:rFonts w:cs="AdvPED1282"/>
          <w:color w:val="000000"/>
          <w:lang w:val="en-US"/>
        </w:rPr>
        <w:t xml:space="preserve"> ranks.</w:t>
      </w:r>
      <w:r w:rsidR="00B95A2A" w:rsidRPr="0031293D">
        <w:rPr>
          <w:rFonts w:cs="AdvPED1282"/>
          <w:color w:val="000000"/>
          <w:lang w:val="en-US"/>
        </w:rPr>
        <w:t xml:space="preserve"> </w:t>
      </w:r>
      <w:r w:rsidR="00345994">
        <w:rPr>
          <w:rFonts w:cs="AdvPED1282"/>
          <w:color w:val="000000"/>
          <w:lang w:val="en-US"/>
        </w:rPr>
        <w:t xml:space="preserve">If there are many small BMI changes and re-rankings </w:t>
      </w:r>
      <w:r w:rsidR="000F3D4F">
        <w:rPr>
          <w:rFonts w:cs="AdvPED1282"/>
          <w:color w:val="000000"/>
          <w:lang w:val="en-US"/>
        </w:rPr>
        <w:t xml:space="preserve">one </w:t>
      </w:r>
      <w:r w:rsidR="00345994">
        <w:rPr>
          <w:rFonts w:cs="AdvPED1282"/>
          <w:color w:val="000000"/>
          <w:lang w:val="en-US"/>
        </w:rPr>
        <w:t>would expect that the relative contribution of re-ranking diminishes</w:t>
      </w:r>
      <w:r w:rsidR="004762D0">
        <w:rPr>
          <w:rFonts w:cs="AdvPED1282"/>
          <w:color w:val="000000"/>
          <w:lang w:val="en-US"/>
        </w:rPr>
        <w:t xml:space="preserve"> at more aggregated BMI categories.</w:t>
      </w:r>
      <w:r w:rsidR="00B95A2A" w:rsidRPr="0031293D">
        <w:rPr>
          <w:rFonts w:cs="AdvPED1282"/>
          <w:color w:val="000000"/>
          <w:lang w:val="en-US"/>
        </w:rPr>
        <w:t xml:space="preserve"> </w:t>
      </w:r>
    </w:p>
    <w:p w14:paraId="5347066C" w14:textId="77777777" w:rsidR="00B95A2A" w:rsidRPr="0043561A" w:rsidRDefault="00B95A2A" w:rsidP="004D1DB1">
      <w:pPr>
        <w:spacing w:line="360" w:lineRule="auto"/>
        <w:ind w:firstLine="360"/>
        <w:jc w:val="both"/>
        <w:rPr>
          <w:rFonts w:cs="AdvPED1282"/>
          <w:color w:val="000000"/>
          <w:lang w:val="en-US"/>
        </w:rPr>
      </w:pPr>
      <w:r w:rsidRPr="0031293D">
        <w:rPr>
          <w:rFonts w:cs="AdvPED1282"/>
          <w:color w:val="000000"/>
          <w:lang w:val="en-US"/>
        </w:rPr>
        <w:t xml:space="preserve">First the mean of </w:t>
      </w:r>
      <w:r w:rsidR="0087240B">
        <w:rPr>
          <w:rFonts w:cs="AdvPED1282"/>
          <w:color w:val="000000"/>
          <w:lang w:val="en-US"/>
        </w:rPr>
        <w:t xml:space="preserve">BMI </w:t>
      </w:r>
      <w:r w:rsidRPr="0031293D">
        <w:rPr>
          <w:rFonts w:cs="AdvPED1282"/>
          <w:color w:val="000000"/>
          <w:lang w:val="en-US"/>
        </w:rPr>
        <w:t>will be evaluated,</w:t>
      </w:r>
      <w:r w:rsidR="0087240B">
        <w:rPr>
          <w:rFonts w:cs="AdvPED1282"/>
          <w:color w:val="000000"/>
          <w:lang w:val="en-US"/>
        </w:rPr>
        <w:t xml:space="preserve"> after </w:t>
      </w:r>
      <w:r w:rsidR="00690383">
        <w:rPr>
          <w:rFonts w:cs="AdvPED1282"/>
          <w:color w:val="000000"/>
          <w:lang w:val="en-US"/>
        </w:rPr>
        <w:t>which</w:t>
      </w:r>
      <w:r w:rsidR="0087240B">
        <w:rPr>
          <w:rFonts w:cs="AdvPED1282"/>
          <w:color w:val="000000"/>
          <w:lang w:val="en-US"/>
        </w:rPr>
        <w:t xml:space="preserve"> a</w:t>
      </w:r>
      <w:r w:rsidR="00690383">
        <w:rPr>
          <w:rFonts w:cs="AdvPED1282"/>
          <w:color w:val="000000"/>
          <w:lang w:val="en-US"/>
        </w:rPr>
        <w:t>n</w:t>
      </w:r>
      <w:r w:rsidR="0087240B">
        <w:rPr>
          <w:rFonts w:cs="AdvPED1282"/>
          <w:color w:val="000000"/>
          <w:lang w:val="en-US"/>
        </w:rPr>
        <w:t xml:space="preserve"> OLS model will be proposed that allows to</w:t>
      </w:r>
      <w:r w:rsidRPr="0031293D">
        <w:rPr>
          <w:rFonts w:cs="AdvPED1282"/>
          <w:color w:val="000000"/>
          <w:lang w:val="en-US"/>
        </w:rPr>
        <w:t xml:space="preserve"> </w:t>
      </w:r>
      <w:r w:rsidR="0087240B">
        <w:rPr>
          <w:rFonts w:cs="AdvPED1282"/>
          <w:color w:val="000000"/>
          <w:lang w:val="en-US"/>
        </w:rPr>
        <w:t>link the mean change of BMI to</w:t>
      </w:r>
      <w:r w:rsidRPr="0031293D">
        <w:rPr>
          <w:rFonts w:cs="AdvPED1282"/>
          <w:color w:val="000000"/>
          <w:lang w:val="en-US"/>
        </w:rPr>
        <w:t xml:space="preserve"> its associated variables</w:t>
      </w:r>
      <w:r w:rsidR="0087240B">
        <w:rPr>
          <w:rFonts w:cs="AdvPED1282"/>
          <w:color w:val="000000"/>
          <w:lang w:val="en-US"/>
        </w:rPr>
        <w:t xml:space="preserve"> and to decompose their effects into the endowment and </w:t>
      </w:r>
      <w:r w:rsidR="002851C7">
        <w:rPr>
          <w:rFonts w:cs="AdvPED1282"/>
          <w:color w:val="000000"/>
          <w:lang w:val="en-US"/>
        </w:rPr>
        <w:t>association change</w:t>
      </w:r>
      <w:r w:rsidR="00690383">
        <w:rPr>
          <w:rFonts w:cs="AdvPED1282"/>
          <w:color w:val="000000"/>
          <w:lang w:val="en-US"/>
        </w:rPr>
        <w:t>s. The AG index</w:t>
      </w:r>
      <w:r w:rsidRPr="0031293D">
        <w:rPr>
          <w:rFonts w:cs="AdvPED1282"/>
          <w:color w:val="000000"/>
          <w:lang w:val="en-US"/>
        </w:rPr>
        <w:t xml:space="preserve"> will also be decomposed following the earlier discussed OB intuition</w:t>
      </w:r>
      <w:r w:rsidR="00690383">
        <w:rPr>
          <w:rFonts w:cs="AdvPED1282"/>
          <w:color w:val="000000"/>
          <w:lang w:val="en-US"/>
        </w:rPr>
        <w:t>, by keeping one parameter fixed at a specific time period and allowing the other one to change trough time</w:t>
      </w:r>
      <w:r w:rsidRPr="0031293D">
        <w:rPr>
          <w:rFonts w:cs="AdvPED1282"/>
          <w:color w:val="000000"/>
          <w:lang w:val="en-US"/>
        </w:rPr>
        <w:t xml:space="preserve">. It is important to bear in mind that the decomposition of the </w:t>
      </w:r>
      <w:r w:rsidR="00690383">
        <w:rPr>
          <w:rFonts w:cs="AdvPED1282"/>
          <w:color w:val="000000"/>
          <w:lang w:val="en-US"/>
        </w:rPr>
        <w:t xml:space="preserve">OLS model for BMI represents </w:t>
      </w:r>
      <w:r w:rsidRPr="0031293D">
        <w:rPr>
          <w:rFonts w:cs="AdvPED1282"/>
          <w:color w:val="000000"/>
          <w:lang w:val="en-US"/>
        </w:rPr>
        <w:t>chan</w:t>
      </w:r>
      <w:r w:rsidR="00690383">
        <w:rPr>
          <w:rFonts w:cs="AdvPED1282"/>
          <w:color w:val="000000"/>
          <w:lang w:val="en-US"/>
        </w:rPr>
        <w:t>ges in</w:t>
      </w:r>
      <w:r w:rsidRPr="0031293D">
        <w:rPr>
          <w:rFonts w:cs="AdvPED1282"/>
          <w:color w:val="000000"/>
          <w:lang w:val="en-US"/>
        </w:rPr>
        <w:t xml:space="preserve"> </w:t>
      </w:r>
      <w:r w:rsidR="002851C7">
        <w:rPr>
          <w:rFonts w:cs="AdvPED1282"/>
          <w:color w:val="000000"/>
          <w:lang w:val="en-US"/>
        </w:rPr>
        <w:t xml:space="preserve">input and </w:t>
      </w:r>
      <w:r w:rsidR="00690383">
        <w:rPr>
          <w:rFonts w:cs="AdvPED1282"/>
          <w:color w:val="000000"/>
          <w:lang w:val="en-US"/>
        </w:rPr>
        <w:t>associations</w:t>
      </w:r>
      <w:r w:rsidRPr="0031293D">
        <w:rPr>
          <w:rFonts w:cs="AdvPED1282"/>
          <w:color w:val="000000"/>
          <w:lang w:val="en-US"/>
        </w:rPr>
        <w:t xml:space="preserve"> over time, but for the absolute Gini this needs </w:t>
      </w:r>
      <w:r w:rsidRPr="0031293D">
        <w:rPr>
          <w:rFonts w:cs="AdvPED1282"/>
          <w:color w:val="000000"/>
          <w:lang w:val="en-US"/>
        </w:rPr>
        <w:lastRenderedPageBreak/>
        <w:t>to</w:t>
      </w:r>
      <w:r w:rsidR="00690383">
        <w:rPr>
          <w:rFonts w:cs="AdvPED1282"/>
          <w:color w:val="000000"/>
          <w:lang w:val="en-US"/>
        </w:rPr>
        <w:t xml:space="preserve"> be related to a change in BMI and ranking. The results will be followed by a discussion where </w:t>
      </w:r>
      <w:r w:rsidRPr="0031293D">
        <w:rPr>
          <w:rFonts w:cs="AdvPED1282"/>
          <w:color w:val="000000"/>
          <w:lang w:val="en-US"/>
        </w:rPr>
        <w:t>the found relationship between BMI and its proposed explanatory variables</w:t>
      </w:r>
      <w:r w:rsidR="00690383">
        <w:rPr>
          <w:rFonts w:cs="AdvPED1282"/>
          <w:color w:val="000000"/>
          <w:lang w:val="en-US"/>
        </w:rPr>
        <w:t xml:space="preserve"> and the AG will be reflected upon</w:t>
      </w:r>
      <w:r w:rsidRPr="0031293D">
        <w:rPr>
          <w:rFonts w:cs="AdvPED1282"/>
          <w:color w:val="000000"/>
          <w:lang w:val="en-US"/>
        </w:rPr>
        <w:t>.</w:t>
      </w:r>
    </w:p>
    <w:p w14:paraId="66CE4EF9" w14:textId="77777777" w:rsidR="00AC2953" w:rsidRDefault="00E00CC3" w:rsidP="00994430">
      <w:pPr>
        <w:pStyle w:val="Heading1"/>
        <w:rPr>
          <w:lang w:val="en-US"/>
        </w:rPr>
      </w:pPr>
      <w:bookmarkStart w:id="9" w:name="_Toc432114501"/>
      <w:r>
        <w:rPr>
          <w:lang w:val="en-US"/>
        </w:rPr>
        <w:t>Empirics</w:t>
      </w:r>
      <w:bookmarkEnd w:id="9"/>
    </w:p>
    <w:p w14:paraId="13B89C52" w14:textId="77777777" w:rsidR="000D0BBA" w:rsidRPr="00C16761" w:rsidRDefault="000D0BBA" w:rsidP="00C16761">
      <w:pPr>
        <w:rPr>
          <w:lang w:val="en-US"/>
        </w:rPr>
      </w:pPr>
    </w:p>
    <w:p w14:paraId="2C51C4EA" w14:textId="77777777" w:rsidR="00E00CC3" w:rsidRDefault="00E00CC3" w:rsidP="00122D55">
      <w:pPr>
        <w:pStyle w:val="Heading2"/>
        <w:ind w:firstLine="360"/>
        <w:rPr>
          <w:rFonts w:cs="Calibri"/>
          <w:sz w:val="24"/>
          <w:szCs w:val="24"/>
          <w:lang w:val="en-US" w:eastAsia="ja-JP"/>
        </w:rPr>
      </w:pPr>
      <w:bookmarkStart w:id="10" w:name="_Toc432114502"/>
      <w:r w:rsidRPr="004D1DB1">
        <w:rPr>
          <w:rFonts w:cs="Calibri"/>
          <w:sz w:val="24"/>
          <w:szCs w:val="24"/>
          <w:lang w:val="en-US" w:eastAsia="ja-JP"/>
        </w:rPr>
        <w:t xml:space="preserve">3.1 </w:t>
      </w:r>
      <w:r w:rsidR="00821BA3">
        <w:rPr>
          <w:rFonts w:cs="Calibri"/>
          <w:sz w:val="24"/>
          <w:szCs w:val="24"/>
          <w:lang w:val="en-US" w:eastAsia="ja-JP"/>
        </w:rPr>
        <w:t>The d</w:t>
      </w:r>
      <w:r w:rsidRPr="004D1DB1">
        <w:rPr>
          <w:rFonts w:cs="Calibri"/>
          <w:sz w:val="24"/>
          <w:szCs w:val="24"/>
          <w:lang w:val="en-US" w:eastAsia="ja-JP"/>
        </w:rPr>
        <w:t>ata</w:t>
      </w:r>
      <w:bookmarkEnd w:id="10"/>
    </w:p>
    <w:p w14:paraId="57FC17A7" w14:textId="77777777" w:rsidR="007918B3" w:rsidRPr="004D1DB1" w:rsidRDefault="007918B3" w:rsidP="007918B3">
      <w:pPr>
        <w:rPr>
          <w:lang w:val="en-US" w:eastAsia="ja-JP"/>
        </w:rPr>
      </w:pPr>
    </w:p>
    <w:p w14:paraId="7D2448EA" w14:textId="15B68FA6" w:rsidR="00B454BA" w:rsidRDefault="0074172F" w:rsidP="003D2B73">
      <w:pPr>
        <w:spacing w:line="360" w:lineRule="auto"/>
        <w:ind w:firstLine="360"/>
        <w:jc w:val="both"/>
        <w:rPr>
          <w:rFonts w:cs="AdvPED1282"/>
          <w:color w:val="000000"/>
          <w:lang w:val="en-US"/>
        </w:rPr>
      </w:pPr>
      <w:r w:rsidRPr="0031293D">
        <w:rPr>
          <w:rFonts w:cs="AdvPED1282"/>
          <w:color w:val="000000"/>
          <w:lang w:val="en-US"/>
        </w:rPr>
        <w:t>For the research the Survey of Health, Ageing and Retirement in Europe (SHARE) will be used. SHARE is a panel database of micro data on health, socioeconomic status and social networks covering most of the European Union and Israel for individuals aged 50 and over and their partners. To date, SHARE has collected three panel waves (2004, 2006, 2010) of current living circumstances</w:t>
      </w:r>
      <w:r w:rsidR="00F55607" w:rsidRPr="0031293D">
        <w:rPr>
          <w:rFonts w:cs="AdvPED1282"/>
          <w:color w:val="000000"/>
          <w:lang w:val="en-US"/>
        </w:rPr>
        <w:t>.</w:t>
      </w:r>
      <w:r w:rsidR="00F14515" w:rsidRPr="0031293D">
        <w:rPr>
          <w:rFonts w:cs="AdvPED1282"/>
          <w:color w:val="000000"/>
          <w:lang w:val="en-US"/>
        </w:rPr>
        <w:t xml:space="preserve"> There is also an additional wave</w:t>
      </w:r>
      <w:r w:rsidR="00596D94">
        <w:rPr>
          <w:rFonts w:cs="AdvPED1282"/>
          <w:color w:val="000000"/>
          <w:lang w:val="en-US"/>
        </w:rPr>
        <w:t xml:space="preserve"> collected</w:t>
      </w:r>
      <w:r w:rsidR="00F14515" w:rsidRPr="0031293D">
        <w:rPr>
          <w:rFonts w:cs="AdvPED1282"/>
          <w:color w:val="000000"/>
          <w:lang w:val="en-US"/>
        </w:rPr>
        <w:t xml:space="preserve"> called </w:t>
      </w:r>
      <w:r w:rsidR="00596D94">
        <w:rPr>
          <w:rFonts w:cs="AdvPED1282"/>
          <w:color w:val="000000"/>
          <w:lang w:val="en-US"/>
        </w:rPr>
        <w:t xml:space="preserve">SHARELIFE, </w:t>
      </w:r>
      <w:r w:rsidR="00F14515" w:rsidRPr="0031293D">
        <w:rPr>
          <w:rFonts w:cs="AdvPED1282"/>
          <w:color w:val="000000"/>
          <w:lang w:val="en-US"/>
        </w:rPr>
        <w:t xml:space="preserve">which focuses </w:t>
      </w:r>
      <w:r w:rsidR="00F14515" w:rsidRPr="0031293D">
        <w:rPr>
          <w:rFonts w:cs="AdvPED1282"/>
          <w:color w:val="000000"/>
          <w:lang w:val="en-US"/>
        </w:rPr>
        <w:lastRenderedPageBreak/>
        <w:t>on people's life histories</w:t>
      </w:r>
      <w:r w:rsidR="00194B65">
        <w:rPr>
          <w:rFonts w:cs="AdvPED1282"/>
          <w:color w:val="000000"/>
          <w:lang w:val="en-US"/>
        </w:rPr>
        <w:t>.</w:t>
      </w:r>
      <w:r w:rsidR="00F14515" w:rsidRPr="0031293D">
        <w:rPr>
          <w:rFonts w:cs="AdvPED1282"/>
          <w:color w:val="000000"/>
          <w:lang w:val="en-US"/>
        </w:rPr>
        <w:t xml:space="preserve"> </w:t>
      </w:r>
      <w:r w:rsidR="00194B65">
        <w:rPr>
          <w:rFonts w:cs="AdvPED1282"/>
          <w:color w:val="000000"/>
          <w:lang w:val="en-US"/>
        </w:rPr>
        <w:t>This</w:t>
      </w:r>
      <w:r w:rsidR="00F14515" w:rsidRPr="0031293D">
        <w:rPr>
          <w:rFonts w:cs="AdvPED1282"/>
          <w:color w:val="000000"/>
          <w:lang w:val="en-US"/>
        </w:rPr>
        <w:t xml:space="preserve"> provides the possibility to link individual micro data</w:t>
      </w:r>
      <w:r w:rsidR="00281D95" w:rsidRPr="0031293D">
        <w:rPr>
          <w:rFonts w:cs="AdvPED1282"/>
          <w:color w:val="000000"/>
          <w:lang w:val="en-US"/>
        </w:rPr>
        <w:t xml:space="preserve"> of current and past living circumstances and institutional environments on</w:t>
      </w:r>
      <w:r w:rsidR="00F14515" w:rsidRPr="0031293D">
        <w:rPr>
          <w:rFonts w:cs="AdvPED1282"/>
          <w:color w:val="000000"/>
          <w:lang w:val="en-US"/>
        </w:rPr>
        <w:t xml:space="preserve"> </w:t>
      </w:r>
      <w:r w:rsidR="00281D95" w:rsidRPr="0031293D">
        <w:rPr>
          <w:rFonts w:cs="AdvPED1282"/>
          <w:color w:val="000000"/>
          <w:lang w:val="en-US"/>
        </w:rPr>
        <w:t>a</w:t>
      </w:r>
      <w:r w:rsidR="00BA01DE" w:rsidRPr="0031293D">
        <w:rPr>
          <w:rFonts w:cs="AdvPED1282"/>
          <w:color w:val="000000"/>
          <w:lang w:val="en-US"/>
        </w:rPr>
        <w:t xml:space="preserve"> </w:t>
      </w:r>
      <w:r w:rsidR="00281D95" w:rsidRPr="0031293D">
        <w:rPr>
          <w:rFonts w:cs="AdvPED1282"/>
          <w:color w:val="000000"/>
          <w:lang w:val="en-US"/>
        </w:rPr>
        <w:t>person’s entire life history.</w:t>
      </w:r>
      <w:r w:rsidR="0021493E">
        <w:rPr>
          <w:rFonts w:cs="AdvPED1282"/>
          <w:color w:val="000000"/>
          <w:lang w:val="en-US"/>
        </w:rPr>
        <w:t xml:space="preserve"> </w:t>
      </w:r>
      <w:r w:rsidR="00194B65">
        <w:rPr>
          <w:rFonts w:cs="AdvPED1282"/>
          <w:color w:val="000000"/>
          <w:lang w:val="en-US"/>
        </w:rPr>
        <w:t xml:space="preserve">With this dataset BMI can be decomposed for different populations, defined by country of residence. </w:t>
      </w:r>
      <w:r w:rsidR="00B454BA" w:rsidRPr="0043561A">
        <w:rPr>
          <w:rFonts w:cs="AdvPED1282"/>
          <w:color w:val="000000"/>
          <w:lang w:val="en-US"/>
        </w:rPr>
        <w:t>For the cross section analysis it is desirable to select countries that were included</w:t>
      </w:r>
      <w:r w:rsidR="00B454BA" w:rsidRPr="00AD590F">
        <w:rPr>
          <w:lang w:val="en-US"/>
        </w:rPr>
        <w:t xml:space="preserve"> in both the 2004 and 2010 wave.</w:t>
      </w:r>
      <w:r w:rsidR="00B454BA">
        <w:rPr>
          <w:lang w:val="en-US"/>
        </w:rPr>
        <w:t xml:space="preserve"> This is because the six year period gives the largest time span between two points in time with observed BMI. Six years is proven to be a sufficient period to potentially observe significant changes in BMI </w:t>
      </w:r>
      <w:r w:rsidR="00B454BA" w:rsidRPr="009D5AD2">
        <w:rPr>
          <w:noProof/>
          <w:lang w:val="en-US"/>
        </w:rPr>
        <w:t>(</w:t>
      </w:r>
      <w:r w:rsidR="00002AEB">
        <w:rPr>
          <w:noProof/>
          <w:lang w:val="en-US"/>
        </w:rPr>
        <w:t>WHO</w:t>
      </w:r>
      <w:r w:rsidR="00B454BA" w:rsidRPr="009D5AD2">
        <w:rPr>
          <w:noProof/>
          <w:lang w:val="en-US"/>
        </w:rPr>
        <w:t>, 2015)</w:t>
      </w:r>
      <w:r w:rsidR="00B454BA">
        <w:rPr>
          <w:noProof/>
          <w:lang w:val="en-US"/>
        </w:rPr>
        <w:t xml:space="preserve">. </w:t>
      </w:r>
      <w:r w:rsidR="00B454BA" w:rsidRPr="00AD590F">
        <w:rPr>
          <w:lang w:val="en-US"/>
        </w:rPr>
        <w:t xml:space="preserve">Nine countries </w:t>
      </w:r>
      <w:r w:rsidR="00B454BA">
        <w:rPr>
          <w:lang w:val="en-US"/>
        </w:rPr>
        <w:t>that participated in both</w:t>
      </w:r>
      <w:r w:rsidR="00B454BA" w:rsidRPr="00AD590F">
        <w:rPr>
          <w:lang w:val="en-US"/>
        </w:rPr>
        <w:t xml:space="preserve"> the 2004 and 2010 </w:t>
      </w:r>
      <w:r w:rsidR="00B454BA">
        <w:rPr>
          <w:lang w:val="en-US"/>
        </w:rPr>
        <w:t xml:space="preserve">and had a similar start and duration of collecting the </w:t>
      </w:r>
      <w:r w:rsidR="00B454BA" w:rsidRPr="00AD590F">
        <w:rPr>
          <w:lang w:val="en-US"/>
        </w:rPr>
        <w:t>wave</w:t>
      </w:r>
      <w:r w:rsidR="00B454BA">
        <w:rPr>
          <w:lang w:val="en-US"/>
        </w:rPr>
        <w:t>s are selected</w:t>
      </w:r>
      <w:r w:rsidR="00B454BA" w:rsidRPr="00AD590F">
        <w:rPr>
          <w:lang w:val="en-US"/>
        </w:rPr>
        <w:t xml:space="preserve">: Spain, France, Germany, Denmark, </w:t>
      </w:r>
      <w:r w:rsidR="00B454BA" w:rsidRPr="00B454BA">
        <w:rPr>
          <w:lang w:val="en-US"/>
        </w:rPr>
        <w:t>Austria, Switzerland, Netherlands, Italy and Sweden.</w:t>
      </w:r>
      <w:r w:rsidR="00B454BA" w:rsidRPr="00B454BA">
        <w:rPr>
          <w:rStyle w:val="FootnoteReference"/>
          <w:lang w:val="en-US"/>
        </w:rPr>
        <w:footnoteReference w:id="4"/>
      </w:r>
      <w:r w:rsidR="00B454BA" w:rsidRPr="00B454BA">
        <w:rPr>
          <w:lang w:val="en-US"/>
        </w:rPr>
        <w:t xml:space="preserve"> </w:t>
      </w:r>
      <w:r w:rsidR="00B454BA" w:rsidRPr="00B454BA">
        <w:rPr>
          <w:rFonts w:cs="AdvPED1282"/>
          <w:color w:val="000000"/>
          <w:lang w:val="en-US"/>
        </w:rPr>
        <w:t xml:space="preserve">In table </w:t>
      </w:r>
      <w:r w:rsidR="002E3723">
        <w:rPr>
          <w:rFonts w:cs="AdvPED1282"/>
          <w:color w:val="000000"/>
          <w:lang w:val="en-US"/>
        </w:rPr>
        <w:t>1</w:t>
      </w:r>
      <w:r w:rsidR="00B454BA" w:rsidRPr="00B454BA">
        <w:rPr>
          <w:rFonts w:cs="AdvPED1282"/>
          <w:color w:val="000000"/>
          <w:lang w:val="en-US"/>
        </w:rPr>
        <w:t xml:space="preserve"> of the ap</w:t>
      </w:r>
      <w:r w:rsidR="00B454BA" w:rsidRPr="00B454BA">
        <w:rPr>
          <w:rFonts w:cs="AdvPED1282"/>
          <w:color w:val="000000"/>
          <w:lang w:val="en-US"/>
        </w:rPr>
        <w:lastRenderedPageBreak/>
        <w:t>pendix you can see that for most countries there are more observations of BMI in the fourth wave of the dataset compared to the first wave. Since this study is trying to identify the BMI patterns not only at the individual level with OLS, but also as at the population level with the AG, only individuals who have an observed level of BMI in both time periods will be included in the target population and therefor</w:t>
      </w:r>
      <w:r w:rsidR="00676B67">
        <w:rPr>
          <w:rFonts w:cs="AdvPED1282"/>
          <w:color w:val="000000"/>
          <w:lang w:val="en-US"/>
        </w:rPr>
        <w:t>e</w:t>
      </w:r>
      <w:r w:rsidR="00B454BA" w:rsidRPr="00B454BA">
        <w:rPr>
          <w:rFonts w:cs="AdvPED1282"/>
          <w:color w:val="000000"/>
          <w:lang w:val="en-US"/>
        </w:rPr>
        <w:t xml:space="preserve"> also in the </w:t>
      </w:r>
      <w:r w:rsidR="002F3BB6">
        <w:rPr>
          <w:rFonts w:cs="AdvPED1282"/>
          <w:color w:val="000000"/>
          <w:lang w:val="en-US"/>
        </w:rPr>
        <w:t>models</w:t>
      </w:r>
      <w:r w:rsidR="00B454BA" w:rsidRPr="00B454BA">
        <w:rPr>
          <w:rFonts w:cs="AdvPED1282"/>
          <w:color w:val="000000"/>
          <w:lang w:val="en-US"/>
        </w:rPr>
        <w:t xml:space="preserve"> for both time periods.</w:t>
      </w:r>
    </w:p>
    <w:p w14:paraId="740E44BF" w14:textId="77777777" w:rsidR="007918B3" w:rsidRDefault="00E00CC3" w:rsidP="004D1DB1">
      <w:pPr>
        <w:pStyle w:val="Heading2"/>
        <w:numPr>
          <w:ilvl w:val="1"/>
          <w:numId w:val="24"/>
        </w:numPr>
        <w:rPr>
          <w:rFonts w:cs="Calibri"/>
          <w:sz w:val="24"/>
          <w:szCs w:val="24"/>
          <w:lang w:val="en-US" w:eastAsia="ja-JP"/>
        </w:rPr>
      </w:pPr>
      <w:bookmarkStart w:id="11" w:name="_Toc432114503"/>
      <w:r w:rsidRPr="004D1DB1">
        <w:rPr>
          <w:rFonts w:cs="Calibri"/>
          <w:sz w:val="24"/>
          <w:szCs w:val="24"/>
          <w:lang w:val="en-US" w:eastAsia="ja-JP"/>
        </w:rPr>
        <w:t>BMI mean</w:t>
      </w:r>
      <w:r w:rsidR="007918B3">
        <w:rPr>
          <w:rFonts w:cs="Calibri"/>
          <w:sz w:val="24"/>
          <w:szCs w:val="24"/>
          <w:lang w:val="en-US" w:eastAsia="ja-JP"/>
        </w:rPr>
        <w:t xml:space="preserve"> and drop-out selection</w:t>
      </w:r>
      <w:bookmarkEnd w:id="11"/>
    </w:p>
    <w:p w14:paraId="62704A72" w14:textId="77777777" w:rsidR="007918B3" w:rsidRPr="004D1DB1" w:rsidRDefault="007918B3" w:rsidP="004D1DB1">
      <w:pPr>
        <w:rPr>
          <w:lang w:val="en-US" w:eastAsia="ja-JP"/>
        </w:rPr>
      </w:pPr>
    </w:p>
    <w:p w14:paraId="08E4E962" w14:textId="50E87436" w:rsidR="00BA6A50" w:rsidRDefault="00BE0EB6" w:rsidP="00C16761">
      <w:pPr>
        <w:spacing w:line="360" w:lineRule="auto"/>
        <w:ind w:firstLine="360"/>
        <w:jc w:val="both"/>
        <w:rPr>
          <w:rFonts w:cs="AdvPED1282"/>
          <w:color w:val="000000"/>
          <w:lang w:val="en-US"/>
        </w:rPr>
      </w:pPr>
      <w:r>
        <w:rPr>
          <w:rFonts w:cs="AdvPED1282"/>
          <w:color w:val="000000"/>
          <w:lang w:val="en-US"/>
        </w:rPr>
        <w:t>T</w:t>
      </w:r>
      <w:r w:rsidR="00DA6B3F" w:rsidRPr="0031293D">
        <w:rPr>
          <w:rFonts w:cs="AdvPED1282"/>
          <w:color w:val="000000"/>
          <w:lang w:val="en-US"/>
        </w:rPr>
        <w:t xml:space="preserve">he number of respondents with observed BMI that have participated in </w:t>
      </w:r>
      <w:r w:rsidR="00DA6B3F" w:rsidRPr="000C440D">
        <w:rPr>
          <w:rFonts w:cs="AdvPED1282"/>
          <w:color w:val="000000"/>
          <w:lang w:val="en-US"/>
        </w:rPr>
        <w:t>both waves is approxim</w:t>
      </w:r>
      <w:r w:rsidR="007F7CAF" w:rsidRPr="000C440D">
        <w:rPr>
          <w:rFonts w:cs="AdvPED1282"/>
          <w:color w:val="000000"/>
          <w:lang w:val="en-US"/>
        </w:rPr>
        <w:t>ately between 4</w:t>
      </w:r>
      <w:r w:rsidR="006D2DB3" w:rsidRPr="000C440D">
        <w:rPr>
          <w:rFonts w:cs="AdvPED1282"/>
          <w:color w:val="000000"/>
          <w:lang w:val="en-US"/>
        </w:rPr>
        <w:t>5%</w:t>
      </w:r>
      <w:r w:rsidR="001A6916">
        <w:rPr>
          <w:rFonts w:cs="AdvPED1282"/>
          <w:color w:val="000000"/>
          <w:lang w:val="en-US"/>
        </w:rPr>
        <w:t xml:space="preserve"> and </w:t>
      </w:r>
      <w:r w:rsidR="007F7CAF" w:rsidRPr="000C440D">
        <w:rPr>
          <w:rFonts w:cs="AdvPED1282"/>
          <w:color w:val="000000"/>
          <w:lang w:val="en-US"/>
        </w:rPr>
        <w:t>55%, with a negative</w:t>
      </w:r>
      <w:r w:rsidR="00DA6B3F" w:rsidRPr="000C440D">
        <w:rPr>
          <w:rFonts w:cs="AdvPED1282"/>
          <w:color w:val="000000"/>
          <w:lang w:val="en-US"/>
        </w:rPr>
        <w:t xml:space="preserve"> exception for Germany and Austria</w:t>
      </w:r>
      <w:r w:rsidR="00292F72" w:rsidRPr="000C440D">
        <w:rPr>
          <w:rFonts w:cs="AdvPED1282"/>
          <w:color w:val="000000"/>
          <w:lang w:val="en-US"/>
        </w:rPr>
        <w:t>.</w:t>
      </w:r>
      <w:r w:rsidRPr="000C440D">
        <w:rPr>
          <w:rFonts w:cs="AdvPED1282"/>
          <w:color w:val="000000"/>
          <w:lang w:val="en-US"/>
        </w:rPr>
        <w:t xml:space="preserve"> Table </w:t>
      </w:r>
      <w:r w:rsidR="002E3723">
        <w:rPr>
          <w:rFonts w:cs="AdvPED1282"/>
          <w:color w:val="000000"/>
          <w:lang w:val="en-US"/>
        </w:rPr>
        <w:t>2</w:t>
      </w:r>
      <w:r w:rsidRPr="000C440D">
        <w:rPr>
          <w:rFonts w:cs="AdvPED1282"/>
          <w:color w:val="000000"/>
          <w:lang w:val="en-US"/>
        </w:rPr>
        <w:t xml:space="preserve"> </w:t>
      </w:r>
      <w:r w:rsidR="0031293D" w:rsidRPr="000C440D">
        <w:rPr>
          <w:rFonts w:cs="AdvPED1282"/>
          <w:color w:val="000000"/>
          <w:lang w:val="en-US"/>
        </w:rPr>
        <w:t xml:space="preserve">of </w:t>
      </w:r>
      <w:r w:rsidR="0031293D" w:rsidRPr="0043561A">
        <w:rPr>
          <w:rFonts w:cs="AdvPED1282"/>
          <w:color w:val="000000"/>
          <w:lang w:val="en-US"/>
        </w:rPr>
        <w:t>the appendix</w:t>
      </w:r>
      <w:r w:rsidR="004871F5" w:rsidRPr="006D2DB3">
        <w:rPr>
          <w:rFonts w:cs="AdvPED1282"/>
          <w:color w:val="000000"/>
          <w:lang w:val="en-US"/>
        </w:rPr>
        <w:t xml:space="preserve"> shows that mean</w:t>
      </w:r>
      <w:r w:rsidR="00FD5FBA" w:rsidRPr="006D2DB3">
        <w:rPr>
          <w:rFonts w:cs="AdvPED1282"/>
          <w:color w:val="000000"/>
          <w:lang w:val="en-US"/>
        </w:rPr>
        <w:t xml:space="preserve"> BMI</w:t>
      </w:r>
      <w:r w:rsidR="004871F5" w:rsidRPr="006D2DB3">
        <w:rPr>
          <w:rFonts w:cs="AdvPED1282"/>
          <w:color w:val="000000"/>
          <w:lang w:val="en-US"/>
        </w:rPr>
        <w:t xml:space="preserve"> of the sample that participated in bot</w:t>
      </w:r>
      <w:r w:rsidR="004E6EF2" w:rsidRPr="006D2DB3">
        <w:rPr>
          <w:rFonts w:cs="AdvPED1282"/>
          <w:color w:val="000000"/>
          <w:lang w:val="en-US"/>
        </w:rPr>
        <w:t>h</w:t>
      </w:r>
      <w:r w:rsidR="004871F5" w:rsidRPr="006D2DB3">
        <w:rPr>
          <w:rFonts w:cs="AdvPED1282"/>
          <w:color w:val="000000"/>
          <w:lang w:val="en-US"/>
        </w:rPr>
        <w:t xml:space="preserve"> waves has risen fo</w:t>
      </w:r>
      <w:r w:rsidR="0044262D" w:rsidRPr="006D2DB3">
        <w:rPr>
          <w:rFonts w:cs="AdvPED1282"/>
          <w:color w:val="000000"/>
          <w:lang w:val="en-US"/>
        </w:rPr>
        <w:t xml:space="preserve">r all countries except Austria. </w:t>
      </w:r>
      <w:r w:rsidR="004871F5" w:rsidRPr="006D2DB3">
        <w:rPr>
          <w:rFonts w:cs="AdvPED1282"/>
          <w:color w:val="000000"/>
          <w:lang w:val="en-US"/>
        </w:rPr>
        <w:t xml:space="preserve">None of these </w:t>
      </w:r>
      <w:r w:rsidR="00B0119E" w:rsidRPr="006D2DB3">
        <w:rPr>
          <w:rFonts w:cs="AdvPED1282"/>
          <w:color w:val="000000"/>
          <w:lang w:val="en-US"/>
        </w:rPr>
        <w:t xml:space="preserve">rises of BMI within countries are significantly different between 2004 and 2010 at a 10% significance level when </w:t>
      </w:r>
      <w:r w:rsidR="006461EE" w:rsidRPr="006D2DB3">
        <w:rPr>
          <w:rFonts w:cs="AdvPED1282"/>
          <w:color w:val="000000"/>
          <w:lang w:val="en-US"/>
        </w:rPr>
        <w:t xml:space="preserve">comparing these </w:t>
      </w:r>
      <w:r w:rsidR="00B0119E" w:rsidRPr="006D2DB3">
        <w:rPr>
          <w:rFonts w:cs="AdvPED1282"/>
          <w:color w:val="000000"/>
          <w:lang w:val="en-US"/>
        </w:rPr>
        <w:lastRenderedPageBreak/>
        <w:t xml:space="preserve">means with a 2-sample t-statistic using separate variances for the samples. </w:t>
      </w:r>
      <w:r w:rsidR="006461EE" w:rsidRPr="006D2DB3">
        <w:rPr>
          <w:rFonts w:cs="AdvPED1282"/>
          <w:color w:val="000000"/>
          <w:lang w:val="en-US"/>
        </w:rPr>
        <w:t>However</w:t>
      </w:r>
      <w:r w:rsidR="00FB1C05" w:rsidRPr="006D2DB3">
        <w:rPr>
          <w:rFonts w:cs="AdvPED1282"/>
          <w:color w:val="000000"/>
          <w:lang w:val="en-US"/>
        </w:rPr>
        <w:t xml:space="preserve"> this method ignores the fact</w:t>
      </w:r>
      <w:r w:rsidR="007918B3">
        <w:rPr>
          <w:rFonts w:cs="AdvPED1282"/>
          <w:color w:val="000000"/>
          <w:lang w:val="en-US"/>
        </w:rPr>
        <w:t xml:space="preserve"> that the</w:t>
      </w:r>
      <w:r w:rsidR="00E00CC3">
        <w:rPr>
          <w:rFonts w:cs="AdvPED1282"/>
          <w:color w:val="000000"/>
          <w:lang w:val="en-US"/>
        </w:rPr>
        <w:t xml:space="preserve"> population</w:t>
      </w:r>
      <w:r w:rsidR="007918B3">
        <w:rPr>
          <w:rFonts w:cs="AdvPED1282"/>
          <w:color w:val="000000"/>
          <w:lang w:val="en-US"/>
        </w:rPr>
        <w:t xml:space="preserve"> under study</w:t>
      </w:r>
      <w:r w:rsidR="00E00CC3">
        <w:rPr>
          <w:rFonts w:cs="AdvPED1282"/>
          <w:color w:val="000000"/>
          <w:lang w:val="en-US"/>
        </w:rPr>
        <w:t xml:space="preserve"> </w:t>
      </w:r>
      <w:r w:rsidR="007918B3">
        <w:rPr>
          <w:rFonts w:cs="AdvPED1282"/>
          <w:color w:val="000000"/>
          <w:lang w:val="en-US"/>
        </w:rPr>
        <w:t>consists out of the same people</w:t>
      </w:r>
      <w:r w:rsidR="00E00CC3">
        <w:rPr>
          <w:rFonts w:cs="AdvPED1282"/>
          <w:color w:val="000000"/>
          <w:lang w:val="en-US"/>
        </w:rPr>
        <w:t xml:space="preserve"> </w:t>
      </w:r>
      <w:r w:rsidR="00676B67">
        <w:rPr>
          <w:rFonts w:cs="AdvPED1282"/>
          <w:color w:val="000000"/>
          <w:lang w:val="en-US"/>
        </w:rPr>
        <w:t xml:space="preserve">in </w:t>
      </w:r>
      <w:r w:rsidR="00E00CC3">
        <w:rPr>
          <w:rFonts w:cs="AdvPED1282"/>
          <w:color w:val="000000"/>
          <w:lang w:val="en-US"/>
        </w:rPr>
        <w:t>both time periods</w:t>
      </w:r>
      <w:r w:rsidR="00FB1C05" w:rsidRPr="006D2DB3">
        <w:rPr>
          <w:rFonts w:cs="AdvPED1282"/>
          <w:color w:val="000000"/>
          <w:lang w:val="en-US"/>
        </w:rPr>
        <w:t xml:space="preserve">. Therefore </w:t>
      </w:r>
      <w:r w:rsidR="009F31A7">
        <w:rPr>
          <w:rFonts w:cs="AdvPED1282"/>
          <w:color w:val="000000"/>
          <w:lang w:val="en-US"/>
        </w:rPr>
        <w:t>a t-test on paired means can be used</w:t>
      </w:r>
      <w:r w:rsidR="001A6916">
        <w:rPr>
          <w:rFonts w:cs="AdvPED1282"/>
          <w:color w:val="000000"/>
          <w:lang w:val="en-US"/>
        </w:rPr>
        <w:t xml:space="preserve">. </w:t>
      </w:r>
      <w:r w:rsidR="00FB1C05" w:rsidRPr="006D2DB3">
        <w:rPr>
          <w:rFonts w:cs="AdvPED1282"/>
          <w:color w:val="000000"/>
          <w:lang w:val="en-US"/>
        </w:rPr>
        <w:t>W</w:t>
      </w:r>
      <w:r w:rsidR="00ED37A9" w:rsidRPr="006D2DB3">
        <w:rPr>
          <w:rFonts w:cs="AdvPED1282"/>
          <w:color w:val="000000"/>
          <w:lang w:val="en-US"/>
        </w:rPr>
        <w:t xml:space="preserve">hen </w:t>
      </w:r>
      <w:r w:rsidR="001412D9" w:rsidRPr="006D2DB3">
        <w:rPr>
          <w:rFonts w:cs="AdvPED1282"/>
          <w:color w:val="000000"/>
          <w:lang w:val="en-US"/>
        </w:rPr>
        <w:t xml:space="preserve">comparing the country means with </w:t>
      </w:r>
      <w:r w:rsidR="009F31A7">
        <w:rPr>
          <w:rFonts w:cs="AdvPED1282"/>
          <w:color w:val="000000"/>
          <w:lang w:val="en-US"/>
        </w:rPr>
        <w:t>a paired t-test</w:t>
      </w:r>
      <w:r w:rsidR="001A6916">
        <w:rPr>
          <w:rFonts w:cs="AdvPED1282"/>
          <w:color w:val="000000"/>
          <w:lang w:val="en-US"/>
        </w:rPr>
        <w:t>,</w:t>
      </w:r>
      <w:r w:rsidR="001412D9" w:rsidRPr="006D2DB3">
        <w:rPr>
          <w:rFonts w:cs="AdvPED1282"/>
          <w:color w:val="000000"/>
          <w:lang w:val="en-US"/>
        </w:rPr>
        <w:t xml:space="preserve"> the rise of BMI turns out to be</w:t>
      </w:r>
      <w:r w:rsidR="00ED37A9" w:rsidRPr="006D2DB3">
        <w:rPr>
          <w:rFonts w:cs="AdvPED1282"/>
          <w:color w:val="000000"/>
          <w:lang w:val="en-US"/>
        </w:rPr>
        <w:t xml:space="preserve"> significant for </w:t>
      </w:r>
      <w:r w:rsidR="00FD5FBA" w:rsidRPr="006D2DB3">
        <w:rPr>
          <w:rFonts w:cs="AdvPED1282"/>
          <w:color w:val="000000"/>
          <w:lang w:val="en-US"/>
        </w:rPr>
        <w:t>Sweden, France and Switzerland</w:t>
      </w:r>
      <w:r w:rsidR="00ED37A9" w:rsidRPr="006D2DB3">
        <w:rPr>
          <w:rFonts w:cs="AdvPED1282"/>
          <w:color w:val="000000"/>
          <w:lang w:val="en-US"/>
        </w:rPr>
        <w:t xml:space="preserve"> at a 10% significance </w:t>
      </w:r>
      <w:r w:rsidR="00A72977" w:rsidRPr="006D2DB3">
        <w:rPr>
          <w:rFonts w:cs="AdvPED1282"/>
          <w:color w:val="000000"/>
          <w:lang w:val="en-US"/>
        </w:rPr>
        <w:t xml:space="preserve">level. </w:t>
      </w:r>
    </w:p>
    <w:p w14:paraId="590A06B4" w14:textId="3CE383F8" w:rsidR="00BA6A50" w:rsidRDefault="007F7CAF" w:rsidP="00C16761">
      <w:pPr>
        <w:spacing w:line="360" w:lineRule="auto"/>
        <w:ind w:firstLine="360"/>
        <w:jc w:val="both"/>
        <w:rPr>
          <w:lang w:val="en-GB"/>
        </w:rPr>
      </w:pPr>
      <w:r w:rsidRPr="006D2DB3">
        <w:rPr>
          <w:rFonts w:cs="AdvPED1282"/>
          <w:color w:val="000000"/>
          <w:lang w:val="en-US"/>
        </w:rPr>
        <w:t>T</w:t>
      </w:r>
      <w:r w:rsidR="00983432" w:rsidRPr="006D2DB3">
        <w:rPr>
          <w:rFonts w:cs="AdvPED1282"/>
          <w:color w:val="000000"/>
          <w:lang w:val="en-US"/>
        </w:rPr>
        <w:t>his difference in BMI</w:t>
      </w:r>
      <w:r w:rsidR="000A2AFC" w:rsidRPr="006D2DB3">
        <w:rPr>
          <w:rFonts w:cs="AdvPED1282"/>
          <w:color w:val="000000"/>
          <w:lang w:val="en-US"/>
        </w:rPr>
        <w:t xml:space="preserve"> is </w:t>
      </w:r>
      <w:r w:rsidR="008448AD" w:rsidRPr="006D2DB3">
        <w:rPr>
          <w:rFonts w:cs="AdvPED1282"/>
          <w:color w:val="000000"/>
          <w:lang w:val="en-US"/>
        </w:rPr>
        <w:t xml:space="preserve">as mentioned before only observed for people participating in both waves.  This implies that the mean BMI is </w:t>
      </w:r>
      <w:r w:rsidR="000A2AFC" w:rsidRPr="006D2DB3">
        <w:rPr>
          <w:rFonts w:cs="AdvPED1282"/>
          <w:color w:val="000000"/>
          <w:lang w:val="en-US"/>
        </w:rPr>
        <w:t>not controlled for the people dropping out between the wave</w:t>
      </w:r>
      <w:r w:rsidR="008448AD" w:rsidRPr="006D2DB3">
        <w:rPr>
          <w:rFonts w:cs="AdvPED1282"/>
          <w:color w:val="000000"/>
          <w:lang w:val="en-US"/>
        </w:rPr>
        <w:t>s</w:t>
      </w:r>
      <w:r w:rsidR="000A2AFC" w:rsidRPr="006D2DB3">
        <w:rPr>
          <w:rFonts w:cs="AdvPED1282"/>
          <w:color w:val="000000"/>
          <w:lang w:val="en-US"/>
        </w:rPr>
        <w:t>. The people dropping out might differ from those surviving in terms of the outcome in the first wave</w:t>
      </w:r>
      <w:r w:rsidR="00B769AA" w:rsidRPr="006D2DB3">
        <w:rPr>
          <w:rFonts w:cs="AdvPED1282"/>
          <w:color w:val="000000"/>
          <w:lang w:val="en-US"/>
        </w:rPr>
        <w:t xml:space="preserve"> of</w:t>
      </w:r>
      <w:r w:rsidR="004E2DE4" w:rsidRPr="006D2DB3">
        <w:rPr>
          <w:rFonts w:cs="AdvPED1282"/>
          <w:color w:val="000000"/>
          <w:lang w:val="en-US"/>
        </w:rPr>
        <w:t xml:space="preserve"> </w:t>
      </w:r>
      <w:r w:rsidR="00B769AA" w:rsidRPr="006D2DB3">
        <w:rPr>
          <w:rFonts w:cs="AdvPED1282"/>
          <w:color w:val="000000"/>
          <w:lang w:val="en-US"/>
        </w:rPr>
        <w:t xml:space="preserve">BMI, but also in potentially associated </w:t>
      </w:r>
      <w:r w:rsidR="004E2DE4" w:rsidRPr="006D2DB3">
        <w:rPr>
          <w:rFonts w:cs="AdvPED1282"/>
          <w:color w:val="000000"/>
          <w:lang w:val="en-US"/>
        </w:rPr>
        <w:t>biologic, demographic and socio-economic factors</w:t>
      </w:r>
      <w:r w:rsidR="000A2AFC" w:rsidRPr="006D2DB3">
        <w:rPr>
          <w:rFonts w:cs="AdvPED1282"/>
          <w:color w:val="000000"/>
          <w:lang w:val="en-US"/>
        </w:rPr>
        <w:t xml:space="preserve">. </w:t>
      </w:r>
      <w:r w:rsidR="00454F2F" w:rsidRPr="006D2DB3">
        <w:rPr>
          <w:rFonts w:cs="AdvPED1282"/>
          <w:color w:val="000000"/>
          <w:lang w:val="en-US"/>
        </w:rPr>
        <w:t xml:space="preserve">Especially when considering the earlier mentioned </w:t>
      </w:r>
      <w:r w:rsidR="008448AD" w:rsidRPr="006D2DB3">
        <w:rPr>
          <w:rFonts w:cs="AdvPED1282"/>
          <w:color w:val="000000"/>
          <w:lang w:val="en-US"/>
        </w:rPr>
        <w:t>strong evidence that BMI is correlated with mortality, th</w:t>
      </w:r>
      <w:r w:rsidR="00A513A9">
        <w:rPr>
          <w:rFonts w:cs="AdvPED1282"/>
          <w:color w:val="000000"/>
          <w:lang w:val="en-US"/>
        </w:rPr>
        <w:t>ese</w:t>
      </w:r>
      <w:r w:rsidR="008448AD" w:rsidRPr="006D2DB3">
        <w:rPr>
          <w:rFonts w:cs="AdvPED1282"/>
          <w:color w:val="000000"/>
          <w:lang w:val="en-US"/>
        </w:rPr>
        <w:t xml:space="preserve"> sample</w:t>
      </w:r>
      <w:r w:rsidR="00A513A9">
        <w:rPr>
          <w:rFonts w:cs="AdvPED1282"/>
          <w:color w:val="000000"/>
          <w:lang w:val="en-US"/>
        </w:rPr>
        <w:t>s</w:t>
      </w:r>
      <w:r w:rsidR="008448AD" w:rsidRPr="006D2DB3">
        <w:rPr>
          <w:rFonts w:cs="AdvPED1282"/>
          <w:color w:val="000000"/>
          <w:lang w:val="en-US"/>
        </w:rPr>
        <w:t xml:space="preserve"> with only survivors in terms of BMI might be self-selected. </w:t>
      </w:r>
      <w:r w:rsidR="00A513A9">
        <w:rPr>
          <w:rFonts w:cs="AdvPED1282"/>
          <w:color w:val="000000"/>
          <w:lang w:val="en-US"/>
        </w:rPr>
        <w:t>T</w:t>
      </w:r>
      <w:r w:rsidR="000A2AFC" w:rsidRPr="006D2DB3">
        <w:rPr>
          <w:rFonts w:cs="AdvPED1282"/>
          <w:color w:val="000000"/>
          <w:lang w:val="en-US"/>
        </w:rPr>
        <w:t xml:space="preserve">his study is descriptive in </w:t>
      </w:r>
      <w:r w:rsidR="000A2AFC" w:rsidRPr="006D2DB3">
        <w:rPr>
          <w:rFonts w:cs="AdvPED1282"/>
          <w:color w:val="000000"/>
          <w:lang w:val="en-US"/>
        </w:rPr>
        <w:lastRenderedPageBreak/>
        <w:t>nature and is not trying to prove causational relationships between BMI and variables correlated with it</w:t>
      </w:r>
      <w:r w:rsidR="00A513A9">
        <w:rPr>
          <w:rFonts w:cs="AdvPED1282"/>
          <w:color w:val="000000"/>
          <w:lang w:val="en-US"/>
        </w:rPr>
        <w:t>.</w:t>
      </w:r>
      <w:r w:rsidR="00B769AA" w:rsidRPr="006D2DB3">
        <w:rPr>
          <w:rFonts w:cs="AdvPED1282"/>
          <w:color w:val="000000"/>
          <w:lang w:val="en-US"/>
        </w:rPr>
        <w:t xml:space="preserve"> </w:t>
      </w:r>
      <w:r w:rsidR="008A2294">
        <w:rPr>
          <w:rFonts w:cs="AdvPED1282"/>
          <w:color w:val="000000"/>
          <w:lang w:val="en-US"/>
        </w:rPr>
        <w:t xml:space="preserve">Therefore it will only be described how the dropped out individuals differ in terms of BMI compared to the survivors, </w:t>
      </w:r>
      <w:r w:rsidR="000A2AFC" w:rsidRPr="006D2DB3">
        <w:rPr>
          <w:rFonts w:cs="AdvPED1282"/>
          <w:color w:val="000000"/>
          <w:lang w:val="en-US"/>
        </w:rPr>
        <w:t>but a model for counterfactual outcomes will not be constructed.</w:t>
      </w:r>
      <w:r w:rsidR="0021493E">
        <w:rPr>
          <w:rFonts w:cs="AdvPED1282"/>
          <w:color w:val="000000"/>
          <w:lang w:val="en-US"/>
        </w:rPr>
        <w:t xml:space="preserve"> </w:t>
      </w:r>
      <w:r w:rsidR="00EB111B" w:rsidRPr="000C440D">
        <w:rPr>
          <w:rFonts w:cs="AdvPED1282"/>
          <w:color w:val="000000"/>
          <w:lang w:val="en-US"/>
        </w:rPr>
        <w:t xml:space="preserve">In table </w:t>
      </w:r>
      <w:r w:rsidR="002E3723">
        <w:rPr>
          <w:rFonts w:cs="AdvPED1282"/>
          <w:color w:val="000000"/>
          <w:lang w:val="en-US"/>
        </w:rPr>
        <w:t>3</w:t>
      </w:r>
      <w:r w:rsidR="00C87653" w:rsidRPr="000C440D">
        <w:rPr>
          <w:rFonts w:cs="AdvPED1282"/>
          <w:color w:val="000000"/>
          <w:lang w:val="en-US"/>
        </w:rPr>
        <w:t xml:space="preserve"> of the appendix</w:t>
      </w:r>
      <w:r w:rsidR="001E50C0" w:rsidRPr="000C440D">
        <w:rPr>
          <w:rFonts w:cs="AdvPED1282"/>
          <w:color w:val="000000"/>
          <w:lang w:val="en-US"/>
        </w:rPr>
        <w:t xml:space="preserve"> mean BMI of the people dropping out between 2004 and 2010 is compared with the people that </w:t>
      </w:r>
      <w:r w:rsidR="001E50C0" w:rsidRPr="006D2DB3">
        <w:rPr>
          <w:rFonts w:cs="AdvPED1282"/>
          <w:lang w:val="en-US"/>
        </w:rPr>
        <w:t>have an observed BMI in both periods. Interestingly the mean BMI of the people dropping out is significantly lower for most countries compared to the people present in both waves. One could expect</w:t>
      </w:r>
      <w:r w:rsidR="005A7F08" w:rsidRPr="006D2DB3">
        <w:rPr>
          <w:rFonts w:cs="AdvPED1282"/>
          <w:lang w:val="en-US"/>
        </w:rPr>
        <w:t xml:space="preserve"> that the people dropping out would have a higher BMI</w:t>
      </w:r>
      <w:r w:rsidR="001E50C0" w:rsidRPr="006D2DB3">
        <w:rPr>
          <w:rFonts w:cs="AdvPED1282"/>
          <w:lang w:val="en-US"/>
        </w:rPr>
        <w:t xml:space="preserve"> </w:t>
      </w:r>
      <w:r w:rsidR="005A7F08" w:rsidRPr="006D2DB3">
        <w:rPr>
          <w:rFonts w:cs="AdvPED1282"/>
          <w:lang w:val="en-US"/>
        </w:rPr>
        <w:t xml:space="preserve">because </w:t>
      </w:r>
      <w:r w:rsidR="001E50C0" w:rsidRPr="006D2DB3">
        <w:rPr>
          <w:rFonts w:cs="AdvPED1282"/>
          <w:lang w:val="en-US"/>
        </w:rPr>
        <w:t xml:space="preserve">a higher BMI is associated with </w:t>
      </w:r>
      <w:r w:rsidR="005A7F08" w:rsidRPr="006D2DB3">
        <w:rPr>
          <w:rFonts w:cs="AdvPED1282"/>
          <w:lang w:val="en-US"/>
        </w:rPr>
        <w:t>increased</w:t>
      </w:r>
      <w:r w:rsidR="001E50C0" w:rsidRPr="006D2DB3">
        <w:rPr>
          <w:rFonts w:cs="AdvPED1282"/>
          <w:lang w:val="en-US"/>
        </w:rPr>
        <w:t xml:space="preserve"> comorbidities and mortality rate</w:t>
      </w:r>
      <w:r w:rsidR="005A7F08" w:rsidRPr="006D2DB3">
        <w:rPr>
          <w:rFonts w:cs="AdvPED1282"/>
          <w:lang w:val="en-US"/>
        </w:rPr>
        <w:t xml:space="preserve"> and therefore</w:t>
      </w:r>
      <w:r w:rsidR="001E50C0" w:rsidRPr="006D2DB3">
        <w:rPr>
          <w:rFonts w:cs="AdvPED1282"/>
          <w:lang w:val="en-US"/>
        </w:rPr>
        <w:t xml:space="preserve"> are more likely to drop out because of dying. However the opposite appears to be the case. </w:t>
      </w:r>
      <w:r w:rsidR="00F24C91" w:rsidRPr="006D2DB3">
        <w:rPr>
          <w:rFonts w:cs="AdvPED1282"/>
          <w:lang w:val="en-US"/>
        </w:rPr>
        <w:t>For five of the nine countries this difference is significant</w:t>
      </w:r>
      <w:r w:rsidR="0021493E">
        <w:rPr>
          <w:rFonts w:cs="AdvPED1282"/>
          <w:lang w:val="en-US"/>
        </w:rPr>
        <w:t xml:space="preserve"> </w:t>
      </w:r>
      <w:r w:rsidR="00F24C91" w:rsidRPr="006D2DB3">
        <w:rPr>
          <w:rFonts w:cs="AdvPED1282"/>
          <w:lang w:val="en-US"/>
        </w:rPr>
        <w:t xml:space="preserve">at a 10% significance level leading to the conclusion that for these countries the sample </w:t>
      </w:r>
      <w:r w:rsidR="00F24C91" w:rsidRPr="006D2DB3">
        <w:rPr>
          <w:rFonts w:cs="AdvPED1282"/>
          <w:lang w:val="en-US"/>
        </w:rPr>
        <w:lastRenderedPageBreak/>
        <w:t>appears to be biased.</w:t>
      </w:r>
      <w:r w:rsidR="00F24C91">
        <w:rPr>
          <w:rStyle w:val="FootnoteReference"/>
          <w:rFonts w:cs="AdvPED1282"/>
          <w:lang w:val="en-US"/>
        </w:rPr>
        <w:footnoteReference w:id="5"/>
      </w:r>
      <w:r w:rsidR="00F24C91" w:rsidRPr="006D2DB3">
        <w:rPr>
          <w:rFonts w:cs="AdvPED1282"/>
          <w:lang w:val="en-US"/>
        </w:rPr>
        <w:t xml:space="preserve"> Given this result there </w:t>
      </w:r>
      <w:r w:rsidR="005C5649">
        <w:rPr>
          <w:rFonts w:cs="AdvPED1282"/>
          <w:lang w:val="en-US"/>
        </w:rPr>
        <w:t xml:space="preserve">might </w:t>
      </w:r>
      <w:r w:rsidR="00F24C91" w:rsidRPr="006D2DB3">
        <w:rPr>
          <w:rFonts w:cs="AdvPED1282"/>
          <w:lang w:val="en-US"/>
        </w:rPr>
        <w:t>be other factors</w:t>
      </w:r>
      <w:r w:rsidR="00073CD1" w:rsidRPr="006D2DB3">
        <w:rPr>
          <w:rFonts w:cs="AdvPED1282"/>
          <w:lang w:val="en-US"/>
        </w:rPr>
        <w:t xml:space="preserve"> at stake</w:t>
      </w:r>
      <w:r w:rsidR="00F24C91" w:rsidRPr="006D2DB3">
        <w:rPr>
          <w:rFonts w:cs="AdvPED1282"/>
          <w:lang w:val="en-US"/>
        </w:rPr>
        <w:t xml:space="preserve"> (or at least one) having both an influence on BMI</w:t>
      </w:r>
      <w:r w:rsidR="00073CD1" w:rsidRPr="006D2DB3">
        <w:rPr>
          <w:rFonts w:cs="AdvPED1282"/>
          <w:lang w:val="en-US"/>
        </w:rPr>
        <w:t xml:space="preserve"> and mortality, which presence seems to be of such dominance that it can overshadow the proven impact of BMI on mortality.</w:t>
      </w:r>
    </w:p>
    <w:p w14:paraId="70AFFB28" w14:textId="77777777" w:rsidR="007918B3" w:rsidRDefault="007918B3" w:rsidP="003D2B73">
      <w:pPr>
        <w:pStyle w:val="Heading2"/>
        <w:numPr>
          <w:ilvl w:val="1"/>
          <w:numId w:val="24"/>
        </w:numPr>
        <w:rPr>
          <w:rFonts w:cs="Calibri"/>
          <w:sz w:val="24"/>
          <w:szCs w:val="24"/>
          <w:lang w:val="en-US" w:eastAsia="ja-JP"/>
        </w:rPr>
      </w:pPr>
      <w:bookmarkStart w:id="12" w:name="_Toc432114504"/>
      <w:r w:rsidRPr="003D2B73">
        <w:rPr>
          <w:rFonts w:cs="Calibri"/>
          <w:sz w:val="24"/>
          <w:szCs w:val="24"/>
          <w:lang w:val="en-US" w:eastAsia="ja-JP"/>
        </w:rPr>
        <w:t>Variable selection</w:t>
      </w:r>
      <w:bookmarkEnd w:id="12"/>
    </w:p>
    <w:p w14:paraId="2A433095" w14:textId="77777777" w:rsidR="000D0BBA" w:rsidRDefault="000D0BBA" w:rsidP="003D2B73">
      <w:pPr>
        <w:spacing w:line="360" w:lineRule="auto"/>
        <w:ind w:firstLine="360"/>
        <w:jc w:val="both"/>
        <w:rPr>
          <w:lang w:eastAsia="ja-JP"/>
        </w:rPr>
      </w:pPr>
    </w:p>
    <w:p w14:paraId="4711D933" w14:textId="366FD0E5" w:rsidR="00DC599B" w:rsidRPr="003D2B73" w:rsidRDefault="00DC599B" w:rsidP="003D2B73">
      <w:pPr>
        <w:spacing w:line="360" w:lineRule="auto"/>
        <w:ind w:firstLine="360"/>
        <w:jc w:val="both"/>
        <w:rPr>
          <w:rFonts w:cs="AdvPED1282"/>
          <w:color w:val="000000"/>
          <w:lang w:val="en-US"/>
        </w:rPr>
      </w:pPr>
      <w:r>
        <w:rPr>
          <w:rFonts w:cs="AdvPED1282"/>
          <w:color w:val="000000"/>
          <w:lang w:val="en-US"/>
        </w:rPr>
        <w:t>In this section variables that are proven to be associated with BMI will be considered for inclusion in</w:t>
      </w:r>
      <w:r w:rsidR="005C5649">
        <w:rPr>
          <w:rFonts w:cs="AdvPED1282"/>
          <w:color w:val="000000"/>
          <w:lang w:val="en-US"/>
        </w:rPr>
        <w:t xml:space="preserve"> the</w:t>
      </w:r>
      <w:r>
        <w:rPr>
          <w:rFonts w:cs="AdvPED1282"/>
          <w:color w:val="000000"/>
          <w:lang w:val="en-US"/>
        </w:rPr>
        <w:t xml:space="preserve"> model.</w:t>
      </w:r>
      <w:r w:rsidR="00D51956" w:rsidRPr="00D51956">
        <w:rPr>
          <w:rFonts w:cs="AdvPED1282"/>
          <w:color w:val="000000"/>
          <w:lang w:val="en-US"/>
        </w:rPr>
        <w:t xml:space="preserve"> </w:t>
      </w:r>
      <w:r w:rsidRPr="003D2B73">
        <w:rPr>
          <w:rFonts w:cs="AdvPED1282"/>
          <w:color w:val="000000"/>
          <w:lang w:val="en-US"/>
        </w:rPr>
        <w:t>A difficulty when searching for BMI patterning across different variables is the endogenous nature of BMI. The evolution of an individual’s height is for over 80% genetically determined, which leaves it rather senseless to explain through different demographic and socio-economic variables (Silventoinen, 2003). Sensitivity for weight variation is estimated to be for 50%</w:t>
      </w:r>
      <w:r w:rsidR="005C5649">
        <w:rPr>
          <w:rFonts w:cs="AdvPED1282"/>
          <w:color w:val="000000"/>
          <w:lang w:val="en-US"/>
        </w:rPr>
        <w:t xml:space="preserve"> </w:t>
      </w:r>
      <w:r w:rsidR="005C5649" w:rsidRPr="003D2B73">
        <w:rPr>
          <w:rFonts w:cs="AdvPED1282"/>
          <w:color w:val="000000"/>
          <w:lang w:val="en-US"/>
        </w:rPr>
        <w:t>genetically determined</w:t>
      </w:r>
      <w:r w:rsidR="005C5649">
        <w:rPr>
          <w:rFonts w:cs="AdvPED1282"/>
          <w:color w:val="000000"/>
          <w:lang w:val="en-US"/>
        </w:rPr>
        <w:t>,</w:t>
      </w:r>
      <w:r w:rsidRPr="003D2B73">
        <w:rPr>
          <w:rFonts w:cs="AdvPED1282"/>
          <w:color w:val="000000"/>
          <w:lang w:val="en-US"/>
        </w:rPr>
        <w:t xml:space="preserve"> with an upper bound </w:t>
      </w:r>
      <w:r w:rsidRPr="003D2B73">
        <w:rPr>
          <w:rFonts w:cs="AdvPED1282"/>
          <w:color w:val="000000"/>
          <w:lang w:val="en-US"/>
        </w:rPr>
        <w:lastRenderedPageBreak/>
        <w:t>up to 90%</w:t>
      </w:r>
      <w:r w:rsidR="005C5649">
        <w:rPr>
          <w:rFonts w:cs="AdvPED1282"/>
          <w:color w:val="000000"/>
          <w:lang w:val="en-US"/>
        </w:rPr>
        <w:t xml:space="preserve"> </w:t>
      </w:r>
      <w:r w:rsidRPr="003D2B73">
        <w:rPr>
          <w:rFonts w:cs="AdvPED1282"/>
          <w:color w:val="000000"/>
          <w:lang w:val="en-US"/>
        </w:rPr>
        <w:t xml:space="preserve">(Maes et al, 1997). This means that external variables playing a role in one’s BMI will be variables that are for the most part associated with caloric intake and exercise, or in other words the capability of living a healthy lifestyle. These factors are the ones not pre-determined at birth that can influence bodyweight. However, having a high BMI most definitely influences eating behavior, the will and capability to exercise, and even social and working environment. Researchers have addressed this form of reverse causality when studying the association of income and socio-economic status and one study by Conley &amp; Glauber </w:t>
      </w:r>
      <w:r w:rsidR="00125189">
        <w:rPr>
          <w:rFonts w:cs="AdvPED1282"/>
          <w:color w:val="000000"/>
          <w:lang w:val="en-US"/>
        </w:rPr>
        <w:t>(</w:t>
      </w:r>
      <w:r w:rsidRPr="003D2B73">
        <w:rPr>
          <w:rFonts w:cs="AdvPED1282"/>
          <w:color w:val="000000"/>
          <w:lang w:val="en-US"/>
        </w:rPr>
        <w:t xml:space="preserve">2006) indeed finds evidence that it is not income that affects bodyweight but overweight causing lower socio-economic mobility. As it is almost impossible to evade reverse causality or omitted variable bias, this study will be descriptive in nature and will try to unravel the various relationships between BMI with other variables and their relative importance in the rise of BMI trough time. </w:t>
      </w:r>
    </w:p>
    <w:p w14:paraId="6ABA21DD" w14:textId="2EFC29F5" w:rsidR="00DC599B" w:rsidRPr="00C16761" w:rsidRDefault="00D51956" w:rsidP="00C16761">
      <w:pPr>
        <w:spacing w:line="360" w:lineRule="auto"/>
        <w:jc w:val="both"/>
        <w:rPr>
          <w:rFonts w:cs="AdvPED1282"/>
          <w:color w:val="000000"/>
          <w:lang w:val="en-US"/>
        </w:rPr>
      </w:pPr>
      <w:r w:rsidRPr="00D51956">
        <w:rPr>
          <w:rFonts w:cs="AdvPED1282"/>
          <w:color w:val="000000"/>
          <w:lang w:val="en-US"/>
        </w:rPr>
        <w:lastRenderedPageBreak/>
        <w:t xml:space="preserve">Gender is considered a key factor associated with </w:t>
      </w:r>
      <w:r w:rsidR="007B01C8">
        <w:rPr>
          <w:rFonts w:cs="AdvPED1282"/>
          <w:color w:val="000000"/>
          <w:lang w:val="en-US"/>
        </w:rPr>
        <w:t>BMI patterning</w:t>
      </w:r>
      <w:r w:rsidRPr="00D51956">
        <w:rPr>
          <w:rFonts w:cs="AdvPED1282"/>
          <w:color w:val="000000"/>
          <w:lang w:val="en-US"/>
        </w:rPr>
        <w:t>.</w:t>
      </w:r>
      <w:r>
        <w:rPr>
          <w:rFonts w:cs="AdvPED1282"/>
          <w:color w:val="000000"/>
          <w:lang w:val="en-US"/>
        </w:rPr>
        <w:t xml:space="preserve"> First of all </w:t>
      </w:r>
      <w:r w:rsidR="002E323F">
        <w:rPr>
          <w:rFonts w:cs="AdvPED1282"/>
          <w:color w:val="000000"/>
          <w:lang w:val="en-US"/>
        </w:rPr>
        <w:t>the biology of men and women invokes a direct effect on BMI in a number of ways, which ultimately influence the ratio between weight and length differently by gender. Secondly</w:t>
      </w:r>
      <w:r w:rsidR="008F3C05">
        <w:rPr>
          <w:rFonts w:cs="AdvPED1282"/>
          <w:color w:val="000000"/>
          <w:lang w:val="en-US"/>
        </w:rPr>
        <w:t>,</w:t>
      </w:r>
      <w:r w:rsidR="002E323F">
        <w:rPr>
          <w:rFonts w:cs="AdvPED1282"/>
          <w:color w:val="000000"/>
          <w:lang w:val="en-US"/>
        </w:rPr>
        <w:t xml:space="preserve"> there</w:t>
      </w:r>
      <w:r w:rsidR="008F3C05">
        <w:rPr>
          <w:rFonts w:cs="AdvPED1282"/>
          <w:color w:val="000000"/>
          <w:lang w:val="en-US"/>
        </w:rPr>
        <w:t xml:space="preserve"> can be</w:t>
      </w:r>
      <w:r w:rsidR="002E323F">
        <w:rPr>
          <w:rFonts w:cs="AdvPED1282"/>
          <w:color w:val="000000"/>
          <w:lang w:val="en-US"/>
        </w:rPr>
        <w:t xml:space="preserve"> numerous </w:t>
      </w:r>
      <w:r w:rsidR="008F3C05">
        <w:rPr>
          <w:rFonts w:cs="AdvPED1282"/>
          <w:color w:val="000000"/>
          <w:lang w:val="en-US"/>
        </w:rPr>
        <w:t>factors observed in life on</w:t>
      </w:r>
      <w:r w:rsidR="008347D1">
        <w:rPr>
          <w:rFonts w:cs="AdvPED1282"/>
          <w:color w:val="000000"/>
          <w:lang w:val="en-US"/>
        </w:rPr>
        <w:t xml:space="preserve"> social and economic</w:t>
      </w:r>
      <w:r w:rsidR="008F3C05">
        <w:rPr>
          <w:rFonts w:cs="AdvPED1282"/>
          <w:color w:val="000000"/>
          <w:lang w:val="en-US"/>
        </w:rPr>
        <w:t xml:space="preserve"> circumstances </w:t>
      </w:r>
      <w:r w:rsidR="008347D1">
        <w:rPr>
          <w:rFonts w:cs="AdvPED1282"/>
          <w:color w:val="000000"/>
          <w:lang w:val="en-US"/>
        </w:rPr>
        <w:t>that show discrepancies</w:t>
      </w:r>
      <w:r w:rsidR="008F3C05">
        <w:rPr>
          <w:rFonts w:cs="AdvPED1282"/>
          <w:color w:val="000000"/>
          <w:lang w:val="en-US"/>
        </w:rPr>
        <w:t xml:space="preserve"> between people,</w:t>
      </w:r>
      <w:r w:rsidR="008347D1">
        <w:rPr>
          <w:rFonts w:cs="AdvPED1282"/>
          <w:color w:val="000000"/>
          <w:lang w:val="en-US"/>
        </w:rPr>
        <w:t xml:space="preserve"> </w:t>
      </w:r>
      <w:r w:rsidR="008F3C05">
        <w:rPr>
          <w:rFonts w:cs="AdvPED1282"/>
          <w:color w:val="000000"/>
          <w:lang w:val="en-US"/>
        </w:rPr>
        <w:t>which can only</w:t>
      </w:r>
      <w:r w:rsidR="008347D1">
        <w:rPr>
          <w:rFonts w:cs="AdvPED1282"/>
          <w:color w:val="000000"/>
          <w:lang w:val="en-US"/>
        </w:rPr>
        <w:t xml:space="preserve"> be </w:t>
      </w:r>
      <w:r w:rsidR="008F3C05">
        <w:rPr>
          <w:rFonts w:cs="AdvPED1282"/>
          <w:color w:val="000000"/>
          <w:lang w:val="en-US"/>
        </w:rPr>
        <w:t>explained through</w:t>
      </w:r>
      <w:r w:rsidR="008347D1">
        <w:rPr>
          <w:rFonts w:cs="AdvPED1282"/>
          <w:color w:val="000000"/>
          <w:lang w:val="en-US"/>
        </w:rPr>
        <w:t xml:space="preserve"> the fact that someone is of certain gender. BMI, especially the weight gaining component, may be associated with various socioeconomic </w:t>
      </w:r>
      <w:r w:rsidR="00936BE4">
        <w:rPr>
          <w:rFonts w:cs="AdvPED1282"/>
          <w:color w:val="000000"/>
          <w:lang w:val="en-US"/>
        </w:rPr>
        <w:t>factors</w:t>
      </w:r>
      <w:r w:rsidR="008347D1">
        <w:rPr>
          <w:rFonts w:cs="AdvPED1282"/>
          <w:color w:val="000000"/>
          <w:lang w:val="en-US"/>
        </w:rPr>
        <w:t xml:space="preserve">. When these </w:t>
      </w:r>
      <w:r w:rsidR="00936BE4">
        <w:rPr>
          <w:rFonts w:cs="AdvPED1282"/>
          <w:color w:val="000000"/>
          <w:lang w:val="en-US"/>
        </w:rPr>
        <w:t xml:space="preserve">factors </w:t>
      </w:r>
      <w:r w:rsidR="008347D1">
        <w:rPr>
          <w:rFonts w:cs="AdvPED1282"/>
          <w:color w:val="000000"/>
          <w:lang w:val="en-US"/>
        </w:rPr>
        <w:t xml:space="preserve">associated with BMI </w:t>
      </w:r>
      <w:r w:rsidR="00936BE4">
        <w:rPr>
          <w:rFonts w:cs="AdvPED1282"/>
          <w:color w:val="000000"/>
          <w:lang w:val="en-US"/>
        </w:rPr>
        <w:t>draw</w:t>
      </w:r>
      <w:r w:rsidR="008347D1">
        <w:rPr>
          <w:rFonts w:cs="AdvPED1282"/>
          <w:color w:val="000000"/>
          <w:lang w:val="en-US"/>
        </w:rPr>
        <w:t xml:space="preserve"> different outcomes for men and women, gender can also influence BMI in an indirect way. This leaves the conclusion that g</w:t>
      </w:r>
      <w:r w:rsidRPr="00D51956">
        <w:rPr>
          <w:rFonts w:cs="AdvPED1282"/>
          <w:color w:val="000000"/>
          <w:lang w:val="en-US"/>
        </w:rPr>
        <w:t xml:space="preserve">ender differences in exposure to these </w:t>
      </w:r>
      <w:r w:rsidR="00936BE4">
        <w:rPr>
          <w:rFonts w:cs="AdvPED1282"/>
          <w:color w:val="000000"/>
          <w:lang w:val="en-US"/>
        </w:rPr>
        <w:t>factors</w:t>
      </w:r>
      <w:r w:rsidR="00936BE4" w:rsidRPr="00D51956">
        <w:rPr>
          <w:rFonts w:cs="AdvPED1282"/>
          <w:color w:val="000000"/>
          <w:lang w:val="en-US"/>
        </w:rPr>
        <w:t xml:space="preserve"> </w:t>
      </w:r>
      <w:r w:rsidRPr="00D51956">
        <w:rPr>
          <w:rFonts w:cs="AdvPED1282"/>
          <w:color w:val="000000"/>
          <w:lang w:val="en-US"/>
        </w:rPr>
        <w:t>contribute to inequalities in BMI between men and women</w:t>
      </w:r>
      <w:r w:rsidR="00D4020B">
        <w:rPr>
          <w:rFonts w:cs="AdvPED1282"/>
          <w:color w:val="000000"/>
          <w:lang w:val="en-US"/>
        </w:rPr>
        <w:t xml:space="preserve"> </w:t>
      </w:r>
      <w:r w:rsidR="00D4020B" w:rsidRPr="00D4020B">
        <w:rPr>
          <w:rFonts w:cs="AdvPED1282"/>
          <w:color w:val="000000"/>
          <w:lang w:val="en-US"/>
        </w:rPr>
        <w:t>(Wang &amp; Beydoun, 2007)</w:t>
      </w:r>
      <w:r w:rsidR="00D4020B">
        <w:rPr>
          <w:rFonts w:cs="AdvPED1282"/>
          <w:color w:val="000000"/>
          <w:lang w:val="en-US"/>
        </w:rPr>
        <w:t>.</w:t>
      </w:r>
      <w:r w:rsidR="00DC599B">
        <w:rPr>
          <w:rFonts w:cs="AdvPED1282"/>
          <w:color w:val="000000"/>
          <w:lang w:val="en-US"/>
        </w:rPr>
        <w:t xml:space="preserve"> </w:t>
      </w:r>
      <w:r w:rsidRPr="00D51956">
        <w:rPr>
          <w:rFonts w:cs="AdvPED1282"/>
          <w:color w:val="000000"/>
          <w:lang w:val="en-US"/>
        </w:rPr>
        <w:t>Besides being a</w:t>
      </w:r>
      <w:r w:rsidR="00DC599B">
        <w:rPr>
          <w:rFonts w:cs="AdvPED1282"/>
          <w:color w:val="000000"/>
          <w:lang w:val="en-US"/>
        </w:rPr>
        <w:t>lso</w:t>
      </w:r>
      <w:r w:rsidR="003D28E6">
        <w:rPr>
          <w:rFonts w:cs="AdvPED1282"/>
          <w:color w:val="000000"/>
          <w:lang w:val="en-US"/>
        </w:rPr>
        <w:t xml:space="preserve"> a</w:t>
      </w:r>
      <w:r w:rsidRPr="00D51956">
        <w:rPr>
          <w:rFonts w:cs="AdvPED1282"/>
          <w:color w:val="000000"/>
          <w:lang w:val="en-US"/>
        </w:rPr>
        <w:t xml:space="preserve"> control variable, individual age is closely related to metabolism which, in turn, determines the rate at which caloric intake and expenditure tran</w:t>
      </w:r>
      <w:r w:rsidR="00D4020B">
        <w:rPr>
          <w:rFonts w:cs="AdvPED1282"/>
          <w:color w:val="000000"/>
          <w:lang w:val="en-US"/>
        </w:rPr>
        <w:t xml:space="preserve">slate into weight </w:t>
      </w:r>
      <w:r w:rsidR="00D4020B">
        <w:rPr>
          <w:rFonts w:cs="AdvPED1282"/>
          <w:color w:val="000000"/>
          <w:lang w:val="en-US"/>
        </w:rPr>
        <w:lastRenderedPageBreak/>
        <w:t>gain and loss</w:t>
      </w:r>
      <w:r w:rsidR="00D4020B" w:rsidRPr="00C16761">
        <w:rPr>
          <w:rFonts w:cs="AdvPED1282"/>
          <w:color w:val="000000"/>
          <w:lang w:val="en-US"/>
        </w:rPr>
        <w:t xml:space="preserve"> (Rosin, 2008).</w:t>
      </w:r>
      <w:r w:rsidR="007A5AA7" w:rsidRPr="00C16761">
        <w:rPr>
          <w:rFonts w:cs="AdvPED1282"/>
          <w:color w:val="000000"/>
          <w:lang w:val="en-US"/>
        </w:rPr>
        <w:t xml:space="preserve"> Ed</w:t>
      </w:r>
      <w:r w:rsidR="008347D1" w:rsidRPr="00C16761">
        <w:rPr>
          <w:rFonts w:cs="AdvPED1282"/>
          <w:color w:val="000000"/>
          <w:lang w:val="en-US"/>
        </w:rPr>
        <w:t>ucation is the socioeconomic indicator that has been used most frequently in studies of the socioeconomic</w:t>
      </w:r>
      <w:r w:rsidR="007B01C8">
        <w:rPr>
          <w:rFonts w:cs="AdvPED1282"/>
          <w:color w:val="000000"/>
          <w:lang w:val="en-US"/>
        </w:rPr>
        <w:t xml:space="preserve"> patterning of BMI</w:t>
      </w:r>
      <w:r w:rsidR="008347D1" w:rsidRPr="008347D1">
        <w:rPr>
          <w:rFonts w:cs="AdvPED1282"/>
          <w:color w:val="000000"/>
          <w:lang w:val="en-US"/>
        </w:rPr>
        <w:t>, and which shows the most consistent inverse relationship wit</w:t>
      </w:r>
      <w:r w:rsidR="007B01C8">
        <w:rPr>
          <w:rFonts w:cs="AdvPED1282"/>
          <w:color w:val="000000"/>
          <w:lang w:val="en-US"/>
        </w:rPr>
        <w:t>h BMI</w:t>
      </w:r>
      <w:r w:rsidR="00D4020B">
        <w:rPr>
          <w:rFonts w:cs="AdvPED1282"/>
          <w:color w:val="000000"/>
          <w:lang w:val="en-US"/>
        </w:rPr>
        <w:t xml:space="preserve"> in both men and women </w:t>
      </w:r>
      <w:r w:rsidR="00D4020B" w:rsidRPr="00D4020B">
        <w:rPr>
          <w:rFonts w:cs="AdvPED1282"/>
          <w:color w:val="000000"/>
          <w:lang w:val="en-US"/>
        </w:rPr>
        <w:t>(McLaren, 2007)</w:t>
      </w:r>
      <w:r w:rsidR="00D4020B">
        <w:rPr>
          <w:rFonts w:cs="AdvPED1282"/>
          <w:color w:val="000000"/>
          <w:lang w:val="en-US"/>
        </w:rPr>
        <w:t>.</w:t>
      </w:r>
      <w:r w:rsidR="008347D1" w:rsidRPr="008347D1">
        <w:rPr>
          <w:rFonts w:cs="AdvPED1282"/>
          <w:color w:val="000000"/>
          <w:lang w:val="en-US"/>
        </w:rPr>
        <w:t xml:space="preserve"> An explanation may be that educational attainment may have implications for the ability to act on messages regarding health, diet and physical activity. It may also be that education levels imply expectations of one’s personal </w:t>
      </w:r>
      <w:r w:rsidR="008347D1" w:rsidRPr="00C16761">
        <w:rPr>
          <w:rFonts w:cs="AdvPED1282"/>
          <w:color w:val="000000"/>
          <w:lang w:val="en-US"/>
        </w:rPr>
        <w:t>achievement and appearance, both general as specific to health and weight</w:t>
      </w:r>
      <w:r w:rsidR="00BD6ECB" w:rsidRPr="00C16761">
        <w:rPr>
          <w:rFonts w:cs="AdvPED1282"/>
          <w:color w:val="000000"/>
          <w:lang w:val="en-US"/>
        </w:rPr>
        <w:t xml:space="preserve"> (Cawley, 2011).</w:t>
      </w:r>
      <w:r w:rsidR="00DC599B" w:rsidRPr="00C16761">
        <w:rPr>
          <w:rFonts w:cs="AdvPED1282"/>
          <w:color w:val="000000"/>
          <w:lang w:val="en-US"/>
        </w:rPr>
        <w:t xml:space="preserve"> </w:t>
      </w:r>
    </w:p>
    <w:p w14:paraId="01B20863" w14:textId="79D8D348" w:rsidR="00DC599B" w:rsidRPr="003D2B73" w:rsidRDefault="00DC599B" w:rsidP="00DC599B">
      <w:pPr>
        <w:spacing w:line="360" w:lineRule="auto"/>
        <w:ind w:firstLine="360"/>
        <w:jc w:val="both"/>
        <w:rPr>
          <w:rFonts w:cs="AdvPED1282"/>
          <w:color w:val="000000"/>
          <w:lang w:val="en-US"/>
        </w:rPr>
      </w:pPr>
      <w:r w:rsidRPr="003D2B73">
        <w:rPr>
          <w:rFonts w:cs="AdvPED1282"/>
          <w:color w:val="000000"/>
          <w:lang w:val="en-US"/>
        </w:rPr>
        <w:t xml:space="preserve">The </w:t>
      </w:r>
      <w:r w:rsidRPr="006D2DB3">
        <w:rPr>
          <w:rFonts w:cs="AdvPED1282"/>
          <w:color w:val="000000"/>
          <w:lang w:val="en-US"/>
        </w:rPr>
        <w:t>ability o</w:t>
      </w:r>
      <w:r w:rsidR="00D63989">
        <w:rPr>
          <w:rFonts w:cs="AdvPED1282"/>
          <w:color w:val="000000"/>
          <w:lang w:val="en-US"/>
        </w:rPr>
        <w:t>f maintaining a healthy diet</w:t>
      </w:r>
      <w:r w:rsidRPr="006D2DB3">
        <w:rPr>
          <w:rFonts w:cs="AdvPED1282"/>
          <w:color w:val="000000"/>
          <w:lang w:val="en-US"/>
        </w:rPr>
        <w:t xml:space="preserve"> </w:t>
      </w:r>
      <w:r w:rsidR="004900FB">
        <w:rPr>
          <w:rFonts w:cs="AdvPED1282"/>
          <w:color w:val="000000"/>
          <w:lang w:val="en-US"/>
        </w:rPr>
        <w:t>is also depending on</w:t>
      </w:r>
      <w:r w:rsidRPr="006D2DB3">
        <w:rPr>
          <w:rFonts w:cs="AdvPED1282"/>
          <w:color w:val="000000"/>
          <w:lang w:val="en-US"/>
        </w:rPr>
        <w:t xml:space="preserve"> purchasing power and income. </w:t>
      </w:r>
      <w:r w:rsidRPr="00D51956">
        <w:rPr>
          <w:rFonts w:cs="AdvPED1282"/>
          <w:color w:val="000000"/>
          <w:lang w:val="en-US"/>
        </w:rPr>
        <w:t>There are several channels of causality running from income to weight. The standard effect would be</w:t>
      </w:r>
      <w:r w:rsidR="004900FB">
        <w:rPr>
          <w:rFonts w:cs="AdvPED1282"/>
          <w:color w:val="000000"/>
          <w:lang w:val="en-US"/>
        </w:rPr>
        <w:t xml:space="preserve">, </w:t>
      </w:r>
      <w:r w:rsidRPr="00D51956">
        <w:rPr>
          <w:rFonts w:cs="AdvPED1282"/>
          <w:color w:val="000000"/>
          <w:lang w:val="en-US"/>
        </w:rPr>
        <w:t>that if food is a normal good</w:t>
      </w:r>
      <w:r w:rsidR="004900FB">
        <w:rPr>
          <w:rFonts w:cs="AdvPED1282"/>
          <w:color w:val="000000"/>
          <w:lang w:val="en-US"/>
        </w:rPr>
        <w:t>,</w:t>
      </w:r>
      <w:r w:rsidRPr="00D51956">
        <w:rPr>
          <w:rFonts w:cs="AdvPED1282"/>
          <w:color w:val="000000"/>
          <w:lang w:val="en-US"/>
        </w:rPr>
        <w:t xml:space="preserve"> richer people have more to spend on food, and all other goods, and are therefore always fatter than poor people. However the actual variation in body weight across income groups does s</w:t>
      </w:r>
      <w:r>
        <w:rPr>
          <w:rFonts w:cs="AdvPED1282"/>
          <w:color w:val="000000"/>
          <w:lang w:val="en-US"/>
        </w:rPr>
        <w:t>how</w:t>
      </w:r>
      <w:r w:rsidRPr="00D51956">
        <w:rPr>
          <w:rFonts w:cs="AdvPED1282"/>
          <w:color w:val="000000"/>
          <w:lang w:val="en-US"/>
        </w:rPr>
        <w:t xml:space="preserve"> a varying pattern. The kind of food that </w:t>
      </w:r>
      <w:r w:rsidRPr="00D51956">
        <w:rPr>
          <w:rFonts w:cs="AdvPED1282"/>
          <w:color w:val="000000"/>
          <w:lang w:val="en-US"/>
        </w:rPr>
        <w:lastRenderedPageBreak/>
        <w:t xml:space="preserve">is recommended by health specialists, like fruit and vegetables, can be 100 to 1000 times more expensive per calorie delivered compared to energy-dense processed foods like fast-food. A consequence is that people on a limited budget are more likely to buy </w:t>
      </w:r>
      <w:r>
        <w:rPr>
          <w:rFonts w:cs="AdvPED1282"/>
          <w:color w:val="000000"/>
          <w:lang w:val="en-US"/>
        </w:rPr>
        <w:t xml:space="preserve">the more </w:t>
      </w:r>
      <w:r w:rsidRPr="00D51956">
        <w:rPr>
          <w:rFonts w:cs="AdvPED1282"/>
          <w:color w:val="000000"/>
          <w:lang w:val="en-US"/>
        </w:rPr>
        <w:t>affordable unhealthy food, which obviously contributes to higher levels of BMI</w:t>
      </w:r>
      <w:r>
        <w:rPr>
          <w:rFonts w:cs="AdvPED1282"/>
          <w:color w:val="000000"/>
          <w:lang w:val="en-US"/>
        </w:rPr>
        <w:t xml:space="preserve"> </w:t>
      </w:r>
      <w:r w:rsidRPr="00D4020B">
        <w:rPr>
          <w:rFonts w:cs="AdvPED1282"/>
          <w:color w:val="000000"/>
          <w:lang w:val="en-US"/>
        </w:rPr>
        <w:t>(Drewnowski &amp; Monsivais, 2007)</w:t>
      </w:r>
      <w:r>
        <w:rPr>
          <w:rFonts w:cs="AdvPED1282"/>
          <w:color w:val="000000"/>
          <w:lang w:val="en-US"/>
        </w:rPr>
        <w:t xml:space="preserve">. </w:t>
      </w:r>
      <w:r w:rsidRPr="00D51956">
        <w:rPr>
          <w:rFonts w:cs="AdvPED1282"/>
          <w:color w:val="000000"/>
          <w:lang w:val="en-US"/>
        </w:rPr>
        <w:t xml:space="preserve">An additional causal mechanism may be the demand for health and attractiveness. Even though preferences for appearance are formed differently in different parts of the world, in the western world the preference is towards a slender and athletic build. Combined </w:t>
      </w:r>
      <w:r w:rsidRPr="000C440D">
        <w:rPr>
          <w:rFonts w:cs="AdvPED1282"/>
          <w:color w:val="000000"/>
          <w:lang w:val="en-US"/>
        </w:rPr>
        <w:t xml:space="preserve">with the former described income effect there might be variable relationship between income and weight because of interactions between demand for food, health and attractiveness (Lakdawalla &amp; Philipson, 2009). However, the complexity in identification of this effect is that there can be many third factors that influence </w:t>
      </w:r>
      <w:r w:rsidRPr="00D51956">
        <w:rPr>
          <w:rFonts w:cs="AdvPED1282"/>
          <w:color w:val="000000"/>
          <w:lang w:val="en-US"/>
        </w:rPr>
        <w:t xml:space="preserve">both income and weight such as human capital, time preference and </w:t>
      </w:r>
      <w:r w:rsidRPr="00D51956">
        <w:rPr>
          <w:rFonts w:cs="AdvPED1282"/>
          <w:color w:val="000000"/>
          <w:lang w:val="en-US"/>
        </w:rPr>
        <w:lastRenderedPageBreak/>
        <w:t>baseline energy. Most studies find a nega</w:t>
      </w:r>
      <w:r>
        <w:rPr>
          <w:rFonts w:cs="AdvPED1282"/>
          <w:color w:val="000000"/>
          <w:lang w:val="en-US"/>
        </w:rPr>
        <w:t>tive association of income and weight</w:t>
      </w:r>
      <w:r w:rsidRPr="00D51956">
        <w:rPr>
          <w:rFonts w:cs="AdvPED1282"/>
          <w:color w:val="000000"/>
          <w:lang w:val="en-US"/>
        </w:rPr>
        <w:t xml:space="preserve"> </w:t>
      </w:r>
      <w:r w:rsidRPr="00BD6ECB">
        <w:rPr>
          <w:rFonts w:cs="AdvPED1282"/>
          <w:color w:val="000000"/>
          <w:lang w:val="en-US"/>
        </w:rPr>
        <w:t>(Cawley, 2011)</w:t>
      </w:r>
      <w:r w:rsidRPr="000C440D">
        <w:rPr>
          <w:rFonts w:cs="AdvPED1282"/>
          <w:color w:val="000000"/>
          <w:lang w:val="en-US"/>
        </w:rPr>
        <w:t xml:space="preserve">. </w:t>
      </w:r>
      <w:r w:rsidRPr="00D51956">
        <w:rPr>
          <w:rFonts w:cs="AdvPED1282"/>
          <w:color w:val="000000"/>
          <w:lang w:val="en-US"/>
        </w:rPr>
        <w:t xml:space="preserve">Since it is well established that there is an </w:t>
      </w:r>
      <w:r>
        <w:rPr>
          <w:rFonts w:cs="AdvPED1282"/>
          <w:color w:val="000000"/>
          <w:lang w:val="en-US"/>
        </w:rPr>
        <w:t>association</w:t>
      </w:r>
      <w:r w:rsidRPr="00D51956">
        <w:rPr>
          <w:rFonts w:cs="AdvPED1282"/>
          <w:color w:val="000000"/>
          <w:lang w:val="en-US"/>
        </w:rPr>
        <w:t xml:space="preserve"> of income on body weight, </w:t>
      </w:r>
      <w:r w:rsidRPr="003D2B73">
        <w:rPr>
          <w:rFonts w:cs="AdvPED1282"/>
          <w:color w:val="000000"/>
          <w:lang w:val="en-US"/>
        </w:rPr>
        <w:t>income will be included as an explanatory in the estimated model.</w:t>
      </w:r>
    </w:p>
    <w:p w14:paraId="3F24A057" w14:textId="2D965637" w:rsidR="00C41DE3" w:rsidRPr="0043561A" w:rsidRDefault="00DC599B" w:rsidP="003D2B73">
      <w:pPr>
        <w:spacing w:line="360" w:lineRule="auto"/>
        <w:ind w:firstLine="360"/>
        <w:jc w:val="both"/>
        <w:rPr>
          <w:lang w:val="en-US"/>
        </w:rPr>
      </w:pPr>
      <w:r>
        <w:rPr>
          <w:lang w:val="en-US"/>
        </w:rPr>
        <w:t>A closely related measure to income is the amount of money spend on household food consumption. This variable is off course influenced by a lot of factors, being one of the most important the relative prices of food groups.</w:t>
      </w:r>
      <w:r w:rsidR="00C97FD8" w:rsidRPr="00CE1B19">
        <w:rPr>
          <w:rFonts w:cs="AdvPED1282"/>
          <w:lang w:val="en-US"/>
        </w:rPr>
        <w:t xml:space="preserve"> </w:t>
      </w:r>
      <w:r w:rsidRPr="00CE1B19">
        <w:rPr>
          <w:rFonts w:cs="AdvPED1282"/>
          <w:lang w:val="en-US"/>
        </w:rPr>
        <w:t>Price</w:t>
      </w:r>
      <w:r w:rsidR="00C97FD8" w:rsidRPr="00CE1B19">
        <w:rPr>
          <w:rFonts w:cs="AdvPED1282"/>
          <w:lang w:val="en-US"/>
        </w:rPr>
        <w:t xml:space="preserve"> of food may play a</w:t>
      </w:r>
      <w:r>
        <w:rPr>
          <w:rFonts w:cs="AdvPED1282"/>
          <w:lang w:val="en-US"/>
        </w:rPr>
        <w:t xml:space="preserve"> complex</w:t>
      </w:r>
      <w:r w:rsidR="00C97FD8" w:rsidRPr="00CE1B19">
        <w:rPr>
          <w:rFonts w:cs="AdvPED1282"/>
          <w:lang w:val="en-US"/>
        </w:rPr>
        <w:t xml:space="preserve"> role in variation of BMI. There is significant growing literature on how food prices affect body weight. Literature consistently finds that increases in food prices lead to lower bodyweight</w:t>
      </w:r>
      <w:r w:rsidR="00095363" w:rsidRPr="00CE1B19">
        <w:rPr>
          <w:rFonts w:cs="AdvPED1282"/>
          <w:lang w:val="en-US"/>
        </w:rPr>
        <w:t xml:space="preserve"> </w:t>
      </w:r>
      <w:r w:rsidR="00095363" w:rsidRPr="00CE1B19">
        <w:rPr>
          <w:rFonts w:cs="AdvPED1282"/>
          <w:noProof/>
          <w:lang w:val="en-US"/>
        </w:rPr>
        <w:t>(Lakdawalla &amp; Philipson, 2002)</w:t>
      </w:r>
      <w:r w:rsidR="00EC3838" w:rsidRPr="00CE1B19">
        <w:rPr>
          <w:rFonts w:cs="AdvPED1282"/>
          <w:lang w:val="en-US"/>
        </w:rPr>
        <w:t xml:space="preserve"> </w:t>
      </w:r>
      <w:r w:rsidR="00095363" w:rsidRPr="00CE1B19">
        <w:rPr>
          <w:rFonts w:cs="AdvPED1282"/>
          <w:noProof/>
          <w:lang w:val="en-US"/>
        </w:rPr>
        <w:t>(Chou et al, 2004)</w:t>
      </w:r>
      <w:r w:rsidR="00EC3838" w:rsidRPr="00CE1B19">
        <w:rPr>
          <w:rFonts w:cs="AdvPED1282"/>
          <w:lang w:val="en-US"/>
        </w:rPr>
        <w:t xml:space="preserve"> </w:t>
      </w:r>
      <w:r w:rsidR="00095363" w:rsidRPr="00CE1B19">
        <w:rPr>
          <w:rFonts w:cs="AdvPED1282"/>
          <w:noProof/>
          <w:lang w:val="en-US"/>
        </w:rPr>
        <w:t>(Goldman et al, 2009)</w:t>
      </w:r>
      <w:r w:rsidR="00C97FD8" w:rsidRPr="00CE1B19">
        <w:rPr>
          <w:rFonts w:cs="AdvPED1282"/>
          <w:lang w:val="en-US"/>
        </w:rPr>
        <w:t xml:space="preserve">. However, part of this association cannot be attributed to the income effect on BMI. </w:t>
      </w:r>
      <w:r w:rsidR="00B1678D" w:rsidRPr="00CE1B19">
        <w:rPr>
          <w:rFonts w:cs="AdvPED1282"/>
          <w:lang w:val="en-US"/>
        </w:rPr>
        <w:t xml:space="preserve">Food </w:t>
      </w:r>
      <w:r w:rsidR="00C97FD8" w:rsidRPr="00CE1B19">
        <w:rPr>
          <w:rFonts w:cs="AdvPED1282"/>
          <w:lang w:val="en-US"/>
        </w:rPr>
        <w:t xml:space="preserve">consumption can be an indicator of </w:t>
      </w:r>
      <w:r w:rsidR="00B1678D" w:rsidRPr="00CE1B19">
        <w:rPr>
          <w:rFonts w:cs="AdvPED1282"/>
          <w:lang w:val="en-US"/>
        </w:rPr>
        <w:t xml:space="preserve">preferences regarding </w:t>
      </w:r>
      <w:r w:rsidR="00C97FD8" w:rsidRPr="00CE1B19">
        <w:rPr>
          <w:rFonts w:cs="AdvPED1282"/>
          <w:lang w:val="en-US"/>
        </w:rPr>
        <w:t>consuming more expensive health</w:t>
      </w:r>
      <w:r w:rsidR="00B1678D" w:rsidRPr="00CE1B19">
        <w:rPr>
          <w:rFonts w:cs="AdvPED1282"/>
          <w:lang w:val="en-US"/>
        </w:rPr>
        <w:t xml:space="preserve">y food or unhealthy cheap foods. Food is a necessity and </w:t>
      </w:r>
      <w:r w:rsidR="00CE1B19" w:rsidRPr="00CE1B19">
        <w:rPr>
          <w:rFonts w:cs="AdvPED1282"/>
          <w:lang w:val="en-US"/>
        </w:rPr>
        <w:t>in</w:t>
      </w:r>
      <w:r w:rsidR="00B1678D" w:rsidRPr="00CE1B19">
        <w:rPr>
          <w:rFonts w:cs="AdvPED1282"/>
          <w:lang w:val="en-US"/>
        </w:rPr>
        <w:t xml:space="preserve"> the developed world relative </w:t>
      </w:r>
      <w:r w:rsidR="00B1678D" w:rsidRPr="00CE1B19">
        <w:rPr>
          <w:rFonts w:cs="AdvPED1282"/>
          <w:lang w:val="en-US"/>
        </w:rPr>
        <w:lastRenderedPageBreak/>
        <w:t xml:space="preserve">food prices decrease consistently, while income increased </w:t>
      </w:r>
      <w:r w:rsidR="00B1678D" w:rsidRPr="00CE1B19">
        <w:rPr>
          <w:rFonts w:cs="AdvPED1282"/>
          <w:noProof/>
          <w:lang w:val="en-US"/>
        </w:rPr>
        <w:t>(Cawley, 2011)</w:t>
      </w:r>
      <w:r w:rsidR="00B1678D" w:rsidRPr="00CE1B19">
        <w:rPr>
          <w:rFonts w:cs="AdvPED1282"/>
          <w:lang w:val="en-US"/>
        </w:rPr>
        <w:t xml:space="preserve">. Consuming a certain type of food is therefore to a lesser extend bounded by income and more a choice of food preference. Exposing people’s preferences may be interesting to identify from a policy perspective. </w:t>
      </w:r>
      <w:r w:rsidR="008C4514">
        <w:rPr>
          <w:rFonts w:cs="AdvPED1282"/>
          <w:lang w:val="en-US"/>
        </w:rPr>
        <w:t>These preferences can be revealed</w:t>
      </w:r>
      <w:r w:rsidR="00CE1B19" w:rsidRPr="00CE1B19">
        <w:rPr>
          <w:rFonts w:cs="AdvPED1282"/>
          <w:lang w:val="en-US"/>
        </w:rPr>
        <w:t xml:space="preserve"> </w:t>
      </w:r>
      <w:r w:rsidR="008C4514">
        <w:rPr>
          <w:rFonts w:cs="AdvPED1282"/>
          <w:lang w:val="en-US"/>
        </w:rPr>
        <w:t xml:space="preserve">because </w:t>
      </w:r>
      <w:r w:rsidR="00CE1B19" w:rsidRPr="00CE1B19">
        <w:rPr>
          <w:rFonts w:cs="AdvPED1282"/>
          <w:lang w:val="en-US"/>
        </w:rPr>
        <w:t xml:space="preserve">healthy products like fruit and vegetables are relatively expensive compared to unhealthier calorie-dense </w:t>
      </w:r>
      <w:r w:rsidR="00CE1B19" w:rsidRPr="00AE5AB4">
        <w:rPr>
          <w:lang w:val="en-US"/>
        </w:rPr>
        <w:t xml:space="preserve">products. </w:t>
      </w:r>
      <w:r w:rsidR="002A1D26">
        <w:rPr>
          <w:lang w:val="en-US"/>
        </w:rPr>
        <w:t>If BMI differs for people with different food preferences, i</w:t>
      </w:r>
      <w:r w:rsidR="008C4514">
        <w:rPr>
          <w:lang w:val="en-US"/>
        </w:rPr>
        <w:t>ncreasing</w:t>
      </w:r>
      <w:r w:rsidR="00B1678D" w:rsidRPr="00AE5AB4">
        <w:rPr>
          <w:lang w:val="en-US"/>
        </w:rPr>
        <w:t xml:space="preserve"> prices of </w:t>
      </w:r>
      <w:r w:rsidR="008C4514">
        <w:rPr>
          <w:lang w:val="en-US"/>
        </w:rPr>
        <w:t>unhealthy</w:t>
      </w:r>
      <w:r w:rsidR="00B1678D" w:rsidRPr="00AE5AB4">
        <w:rPr>
          <w:lang w:val="en-US"/>
        </w:rPr>
        <w:t xml:space="preserve"> types of food </w:t>
      </w:r>
      <w:r w:rsidR="002A1D26">
        <w:rPr>
          <w:lang w:val="en-US"/>
        </w:rPr>
        <w:t>enough or lowering that of healthy ones may provide enough monetary incentive to change preference and</w:t>
      </w:r>
      <w:r w:rsidR="00B1678D" w:rsidRPr="00AE5AB4">
        <w:rPr>
          <w:lang w:val="en-US"/>
        </w:rPr>
        <w:t xml:space="preserve"> maintain a healthier diet. </w:t>
      </w:r>
    </w:p>
    <w:p w14:paraId="1A0D0056" w14:textId="77777777" w:rsidR="009C4A35" w:rsidRDefault="00A240FC" w:rsidP="003D2B73">
      <w:pPr>
        <w:spacing w:line="360" w:lineRule="auto"/>
        <w:ind w:firstLine="360"/>
        <w:jc w:val="both"/>
        <w:rPr>
          <w:lang w:val="en-US"/>
        </w:rPr>
      </w:pPr>
      <w:r w:rsidRPr="0043561A">
        <w:rPr>
          <w:lang w:val="en-US"/>
        </w:rPr>
        <w:t>Obviously associated with BMI and fat percentage of an individual is the amount of time that is dedicated to sports or other vigorous activities in business or private time.</w:t>
      </w:r>
      <w:r w:rsidR="00E60BA8" w:rsidRPr="0043561A">
        <w:rPr>
          <w:lang w:val="en-US"/>
        </w:rPr>
        <w:t xml:space="preserve"> Physical activity reduces obesity risk</w:t>
      </w:r>
      <w:r w:rsidR="00E60BA8" w:rsidRPr="000C440D">
        <w:rPr>
          <w:rFonts w:cs="AdvPED1282"/>
          <w:color w:val="000000"/>
          <w:lang w:val="en-US"/>
        </w:rPr>
        <w:t xml:space="preserve"> and is an effective way of decreasing body weight </w:t>
      </w:r>
      <w:r w:rsidR="0061503F" w:rsidRPr="000C440D">
        <w:rPr>
          <w:rFonts w:cs="AdvPED1282"/>
          <w:noProof/>
          <w:color w:val="000000"/>
          <w:lang w:val="en-US"/>
        </w:rPr>
        <w:lastRenderedPageBreak/>
        <w:t>(Nielsen &amp; Andersen, 2003)</w:t>
      </w:r>
      <w:r w:rsidR="0061503F" w:rsidRPr="000C440D">
        <w:rPr>
          <w:rFonts w:cs="AdvPED1282"/>
          <w:color w:val="000000"/>
          <w:lang w:val="en-US"/>
        </w:rPr>
        <w:t xml:space="preserve">. </w:t>
      </w:r>
      <w:r w:rsidR="00E60BA8" w:rsidRPr="000C440D">
        <w:rPr>
          <w:rFonts w:cs="AdvPED1282"/>
          <w:color w:val="000000"/>
          <w:lang w:val="en-US"/>
        </w:rPr>
        <w:t>A</w:t>
      </w:r>
      <w:r w:rsidR="00E60BA8" w:rsidRPr="006D2DB3">
        <w:rPr>
          <w:rFonts w:cs="AdvPED1282"/>
          <w:color w:val="000000"/>
          <w:lang w:val="en-US"/>
        </w:rPr>
        <w:t>lthough</w:t>
      </w:r>
      <w:r w:rsidRPr="006D2DB3">
        <w:rPr>
          <w:rFonts w:cs="AdvPED1282"/>
          <w:color w:val="000000"/>
          <w:lang w:val="en-US"/>
        </w:rPr>
        <w:t xml:space="preserve"> this variable is very endogenous in nature, it may be </w:t>
      </w:r>
      <w:r w:rsidR="000A4CAF" w:rsidRPr="006D2DB3">
        <w:rPr>
          <w:rFonts w:cs="AdvPED1282"/>
          <w:color w:val="000000"/>
          <w:lang w:val="en-US"/>
        </w:rPr>
        <w:t>useful</w:t>
      </w:r>
      <w:r w:rsidRPr="006D2DB3">
        <w:rPr>
          <w:rFonts w:cs="AdvPED1282"/>
          <w:color w:val="000000"/>
          <w:lang w:val="en-US"/>
        </w:rPr>
        <w:t xml:space="preserve"> to understand its relative importance in power and magnitude in statistical models that describe relationships of variables and </w:t>
      </w:r>
      <w:r w:rsidRPr="0043561A">
        <w:rPr>
          <w:lang w:val="en-US"/>
        </w:rPr>
        <w:t>BMI.</w:t>
      </w:r>
      <w:r w:rsidR="00080442">
        <w:rPr>
          <w:lang w:val="en-US"/>
        </w:rPr>
        <w:t xml:space="preserve"> </w:t>
      </w:r>
    </w:p>
    <w:p w14:paraId="47F98B05" w14:textId="7FD2906C" w:rsidR="0006471D" w:rsidRPr="0043561A" w:rsidRDefault="00080442" w:rsidP="003D2B73">
      <w:pPr>
        <w:spacing w:line="360" w:lineRule="auto"/>
        <w:ind w:firstLine="360"/>
        <w:jc w:val="both"/>
        <w:rPr>
          <w:lang w:val="en-US"/>
        </w:rPr>
      </w:pPr>
      <w:r>
        <w:rPr>
          <w:lang w:val="en-US"/>
        </w:rPr>
        <w:t xml:space="preserve">Given the reverse effects flowing of health valuation and bodyweight, </w:t>
      </w:r>
      <w:r w:rsidR="0073464F" w:rsidRPr="006D2DB3">
        <w:rPr>
          <w:rFonts w:cs="AdvPED1282"/>
          <w:color w:val="000000"/>
          <w:lang w:val="en-US"/>
        </w:rPr>
        <w:t>BMI</w:t>
      </w:r>
      <w:r>
        <w:rPr>
          <w:rFonts w:cs="AdvPED1282"/>
          <w:color w:val="000000"/>
          <w:lang w:val="en-US"/>
        </w:rPr>
        <w:t xml:space="preserve"> </w:t>
      </w:r>
      <w:r w:rsidR="0073464F" w:rsidRPr="006D2DB3">
        <w:rPr>
          <w:rFonts w:cs="AdvPED1282"/>
          <w:color w:val="000000"/>
          <w:lang w:val="en-US"/>
        </w:rPr>
        <w:t>and its associated comorbidities</w:t>
      </w:r>
      <w:r w:rsidR="00DE597B" w:rsidRPr="006D2DB3">
        <w:rPr>
          <w:rFonts w:cs="AdvPED1282"/>
          <w:color w:val="000000"/>
          <w:lang w:val="en-US"/>
        </w:rPr>
        <w:t xml:space="preserve"> may</w:t>
      </w:r>
      <w:r w:rsidR="0073464F" w:rsidRPr="006D2DB3">
        <w:rPr>
          <w:rFonts w:cs="AdvPED1282"/>
          <w:color w:val="000000"/>
          <w:lang w:val="en-US"/>
        </w:rPr>
        <w:t xml:space="preserve"> play </w:t>
      </w:r>
      <w:r w:rsidR="00A240FC" w:rsidRPr="006D2DB3">
        <w:rPr>
          <w:rFonts w:cs="AdvPED1282"/>
          <w:color w:val="000000"/>
          <w:lang w:val="en-US"/>
        </w:rPr>
        <w:t>a role in th</w:t>
      </w:r>
      <w:r w:rsidR="0015304F">
        <w:rPr>
          <w:rFonts w:cs="AdvPED1282"/>
          <w:color w:val="000000"/>
          <w:lang w:val="en-US"/>
        </w:rPr>
        <w:t>e valuation of a health status</w:t>
      </w:r>
      <w:r>
        <w:rPr>
          <w:rFonts w:cs="AdvPED1282"/>
          <w:color w:val="000000"/>
          <w:lang w:val="en-US"/>
        </w:rPr>
        <w:t>. C</w:t>
      </w:r>
      <w:r w:rsidR="0015304F">
        <w:rPr>
          <w:rFonts w:cs="AdvPED1282"/>
          <w:color w:val="000000"/>
          <w:lang w:val="en-US"/>
        </w:rPr>
        <w:t>hildhood BMI is a strong predictor of BMI later in life</w:t>
      </w:r>
      <w:r w:rsidR="0015304F">
        <w:rPr>
          <w:rFonts w:cs="AdvPED1282"/>
          <w:noProof/>
          <w:color w:val="000000"/>
          <w:lang w:val="en-US"/>
        </w:rPr>
        <w:t xml:space="preserve"> (Huang et al</w:t>
      </w:r>
      <w:r w:rsidR="0015304F" w:rsidRPr="0015304F">
        <w:rPr>
          <w:rFonts w:cs="AdvPED1282"/>
          <w:noProof/>
          <w:color w:val="000000"/>
          <w:lang w:val="en-US"/>
        </w:rPr>
        <w:t>, 2000)</w:t>
      </w:r>
      <w:r w:rsidR="0015304F">
        <w:rPr>
          <w:rFonts w:cs="AdvPED1282"/>
          <w:color w:val="000000"/>
          <w:lang w:val="en-US"/>
        </w:rPr>
        <w:t xml:space="preserve">. </w:t>
      </w:r>
      <w:r w:rsidR="0073464F" w:rsidRPr="006D2DB3">
        <w:rPr>
          <w:rFonts w:cs="AdvPED1282"/>
          <w:color w:val="000000"/>
          <w:lang w:val="en-US"/>
        </w:rPr>
        <w:t>Furthermore i</w:t>
      </w:r>
      <w:r w:rsidR="00A0105E" w:rsidRPr="006D2DB3">
        <w:rPr>
          <w:rFonts w:cs="AdvPED1282"/>
          <w:color w:val="000000"/>
          <w:lang w:val="en-US"/>
        </w:rPr>
        <w:t xml:space="preserve">llnesses and their treatments can also disturb natural metabolism </w:t>
      </w:r>
      <w:r w:rsidR="00A0105E" w:rsidRPr="0043561A">
        <w:rPr>
          <w:lang w:val="en-US"/>
        </w:rPr>
        <w:t xml:space="preserve">and could even limit the capability of caloric intake or the </w:t>
      </w:r>
      <w:r w:rsidR="00A649F0" w:rsidRPr="0043561A">
        <w:rPr>
          <w:lang w:val="en-US"/>
        </w:rPr>
        <w:t>burning of</w:t>
      </w:r>
      <w:r w:rsidR="0073464F" w:rsidRPr="0043561A">
        <w:rPr>
          <w:lang w:val="en-US"/>
        </w:rPr>
        <w:t xml:space="preserve"> energy</w:t>
      </w:r>
      <w:r w:rsidR="0015304F" w:rsidRPr="0043561A">
        <w:rPr>
          <w:lang w:val="en-US"/>
        </w:rPr>
        <w:t xml:space="preserve"> </w:t>
      </w:r>
      <w:r w:rsidR="009D5AD2" w:rsidRPr="0043561A">
        <w:rPr>
          <w:lang w:val="en-US"/>
        </w:rPr>
        <w:t>(National Collaborating Centre for Acute Care, 2006)</w:t>
      </w:r>
    </w:p>
    <w:p w14:paraId="4B570E77" w14:textId="1FAD5BE8" w:rsidR="00821BA3" w:rsidRDefault="001F67D0" w:rsidP="003D2B73">
      <w:pPr>
        <w:spacing w:line="360" w:lineRule="auto"/>
        <w:ind w:firstLine="360"/>
        <w:jc w:val="both"/>
        <w:rPr>
          <w:lang w:val="en-US"/>
        </w:rPr>
      </w:pPr>
      <w:r w:rsidRPr="0043561A">
        <w:rPr>
          <w:lang w:val="en-US"/>
        </w:rPr>
        <w:t xml:space="preserve">There are also variables </w:t>
      </w:r>
      <w:r w:rsidR="009C4A35">
        <w:rPr>
          <w:lang w:val="en-US"/>
        </w:rPr>
        <w:t xml:space="preserve">that </w:t>
      </w:r>
      <w:r w:rsidRPr="0043561A">
        <w:rPr>
          <w:lang w:val="en-US"/>
        </w:rPr>
        <w:t>would be interesting to include in the model given the research on determinants</w:t>
      </w:r>
      <w:r>
        <w:rPr>
          <w:rFonts w:cs="AdvPED1282"/>
          <w:color w:val="000000"/>
          <w:lang w:val="en-US"/>
        </w:rPr>
        <w:t xml:space="preserve"> of BMI, but</w:t>
      </w:r>
      <w:r w:rsidR="009C4A35">
        <w:rPr>
          <w:rFonts w:cs="AdvPED1282"/>
          <w:color w:val="000000"/>
          <w:lang w:val="en-US"/>
        </w:rPr>
        <w:t xml:space="preserve"> which</w:t>
      </w:r>
      <w:r>
        <w:rPr>
          <w:rFonts w:cs="AdvPED1282"/>
          <w:color w:val="000000"/>
          <w:lang w:val="en-US"/>
        </w:rPr>
        <w:t xml:space="preserve"> </w:t>
      </w:r>
      <w:r w:rsidRPr="00E54679">
        <w:rPr>
          <w:rFonts w:cs="AdvPED1282"/>
          <w:lang w:val="en-US"/>
        </w:rPr>
        <w:t>are not observed in the dataset. For the same reason as gen</w:t>
      </w:r>
      <w:r w:rsidR="003E73BE" w:rsidRPr="00E54679">
        <w:rPr>
          <w:rFonts w:cs="AdvPED1282"/>
          <w:lang w:val="en-US"/>
        </w:rPr>
        <w:t>d</w:t>
      </w:r>
      <w:r w:rsidRPr="00E54679">
        <w:rPr>
          <w:rFonts w:cs="AdvPED1282"/>
          <w:lang w:val="en-US"/>
        </w:rPr>
        <w:t>er,</w:t>
      </w:r>
      <w:r w:rsidR="003E73BE" w:rsidRPr="00E54679">
        <w:rPr>
          <w:rFonts w:cs="AdvPED1282"/>
          <w:lang w:val="en-US"/>
        </w:rPr>
        <w:t xml:space="preserve"> people of different</w:t>
      </w:r>
      <w:r w:rsidRPr="00E54679">
        <w:rPr>
          <w:rFonts w:cs="AdvPED1282"/>
          <w:lang w:val="en-US"/>
        </w:rPr>
        <w:t xml:space="preserve"> race </w:t>
      </w:r>
      <w:r w:rsidR="003E73BE" w:rsidRPr="00E54679">
        <w:rPr>
          <w:rFonts w:cs="AdvPED1282"/>
          <w:lang w:val="en-US"/>
        </w:rPr>
        <w:t xml:space="preserve">also show different patterns with BMI </w:t>
      </w:r>
      <w:r w:rsidR="003E73BE" w:rsidRPr="00E54679">
        <w:rPr>
          <w:rFonts w:cs="AdvPED1282"/>
          <w:lang w:val="en-US"/>
        </w:rPr>
        <w:lastRenderedPageBreak/>
        <w:t>which cannot be explained by differences in income and socio-economic status</w:t>
      </w:r>
      <w:r w:rsidR="00D4020B" w:rsidRPr="00E54679">
        <w:rPr>
          <w:rFonts w:cs="AdvPED1282"/>
          <w:lang w:val="en-US"/>
        </w:rPr>
        <w:t xml:space="preserve"> alone </w:t>
      </w:r>
      <w:r w:rsidR="00D4020B" w:rsidRPr="00E54679">
        <w:rPr>
          <w:rFonts w:cs="AdvPED1282"/>
          <w:noProof/>
          <w:lang w:val="en-US"/>
        </w:rPr>
        <w:t>(Wang &amp; Beydoun, 2007)</w:t>
      </w:r>
      <w:r w:rsidR="00D4020B" w:rsidRPr="00E54679">
        <w:rPr>
          <w:rFonts w:cs="AdvPED1282"/>
          <w:lang w:val="en-US"/>
        </w:rPr>
        <w:t>.</w:t>
      </w:r>
      <w:r w:rsidR="00E60BA8" w:rsidRPr="00E54679">
        <w:rPr>
          <w:rFonts w:cs="AdvPED1282"/>
          <w:lang w:val="en-US"/>
        </w:rPr>
        <w:t xml:space="preserve"> </w:t>
      </w:r>
      <w:r w:rsidR="00D34A31">
        <w:rPr>
          <w:rFonts w:cs="AdvPED1282"/>
          <w:lang w:val="en-US"/>
        </w:rPr>
        <w:t>L</w:t>
      </w:r>
      <w:r w:rsidR="00BB6479" w:rsidRPr="00E54679">
        <w:rPr>
          <w:rFonts w:cs="AdvPED1282"/>
          <w:lang w:val="en-US"/>
        </w:rPr>
        <w:t xml:space="preserve">ocation of residence would </w:t>
      </w:r>
      <w:r w:rsidR="00D34A31">
        <w:rPr>
          <w:rFonts w:cs="AdvPED1282"/>
          <w:lang w:val="en-US"/>
        </w:rPr>
        <w:t xml:space="preserve">also </w:t>
      </w:r>
      <w:r w:rsidR="00BB6479" w:rsidRPr="00E54679">
        <w:rPr>
          <w:rFonts w:cs="AdvPED1282"/>
          <w:lang w:val="en-US"/>
        </w:rPr>
        <w:t xml:space="preserve">be a variable to include in de model. </w:t>
      </w:r>
      <w:r w:rsidR="00555C93" w:rsidRPr="00E54679">
        <w:rPr>
          <w:rFonts w:cs="AdvPED1282"/>
          <w:lang w:val="en-US"/>
        </w:rPr>
        <w:t>The food environment in socio-economical disadvantaged</w:t>
      </w:r>
      <w:r w:rsidR="00D34A31">
        <w:rPr>
          <w:rFonts w:cs="AdvPED1282"/>
          <w:lang w:val="en-US"/>
        </w:rPr>
        <w:t xml:space="preserve"> </w:t>
      </w:r>
      <w:r w:rsidR="00532616">
        <w:rPr>
          <w:rFonts w:cs="AdvPED1282"/>
          <w:lang w:val="en-US"/>
        </w:rPr>
        <w:t>neighborhoods</w:t>
      </w:r>
      <w:r w:rsidR="00555C93" w:rsidRPr="00E54679">
        <w:rPr>
          <w:rFonts w:cs="AdvPED1282"/>
          <w:lang w:val="en-US"/>
        </w:rPr>
        <w:t xml:space="preserve"> appears to be of lower qualit</w:t>
      </w:r>
      <w:r w:rsidR="00D34A31">
        <w:rPr>
          <w:rFonts w:cs="AdvPED1282"/>
          <w:lang w:val="en-US"/>
        </w:rPr>
        <w:t>y. There is</w:t>
      </w:r>
      <w:r w:rsidR="0089506F">
        <w:rPr>
          <w:rFonts w:cs="AdvPED1282"/>
          <w:lang w:val="en-US"/>
        </w:rPr>
        <w:t xml:space="preserve"> not only</w:t>
      </w:r>
      <w:r w:rsidR="00D34A31">
        <w:rPr>
          <w:rFonts w:cs="AdvPED1282"/>
          <w:lang w:val="en-US"/>
        </w:rPr>
        <w:t xml:space="preserve"> a much more</w:t>
      </w:r>
      <w:r w:rsidR="00555C93" w:rsidRPr="00E54679">
        <w:rPr>
          <w:rFonts w:cs="AdvPED1282"/>
          <w:lang w:val="en-US"/>
        </w:rPr>
        <w:t xml:space="preserve"> limited availability of fresh food and vegetables</w:t>
      </w:r>
      <w:r w:rsidR="00D34A31">
        <w:rPr>
          <w:rFonts w:cs="AdvPED1282"/>
          <w:lang w:val="en-US"/>
        </w:rPr>
        <w:t xml:space="preserve"> compared to more prosperous neighborhoods,</w:t>
      </w:r>
      <w:r w:rsidR="00555C93" w:rsidRPr="00E54679">
        <w:rPr>
          <w:rFonts w:cs="AdvPED1282"/>
          <w:lang w:val="en-US"/>
        </w:rPr>
        <w:t xml:space="preserve"> but also a higher concentration of fast food venues due to the increased demand from low income groups</w:t>
      </w:r>
      <w:r w:rsidR="00095363" w:rsidRPr="00E54679">
        <w:rPr>
          <w:rFonts w:cs="AdvPED1282"/>
          <w:lang w:val="en-US"/>
        </w:rPr>
        <w:t xml:space="preserve"> </w:t>
      </w:r>
      <w:r w:rsidR="00095363" w:rsidRPr="00E54679">
        <w:rPr>
          <w:rFonts w:cs="AdvPED1282"/>
          <w:noProof/>
          <w:lang w:val="en-US"/>
        </w:rPr>
        <w:t>(Dzewaltowski &amp; Ford, 2008)</w:t>
      </w:r>
      <w:r w:rsidR="00555C93" w:rsidRPr="00E54679">
        <w:rPr>
          <w:rFonts w:cs="AdvPED1282"/>
          <w:lang w:val="en-US"/>
        </w:rPr>
        <w:t>. Opportunities to physical activity are also less available i</w:t>
      </w:r>
      <w:r w:rsidR="00095363" w:rsidRPr="00E54679">
        <w:rPr>
          <w:rFonts w:cs="AdvPED1282"/>
          <w:lang w:val="en-US"/>
        </w:rPr>
        <w:t xml:space="preserve">n areas of low economic status </w:t>
      </w:r>
      <w:r w:rsidR="00095363" w:rsidRPr="00E54679">
        <w:rPr>
          <w:rFonts w:cs="AdvPED1282"/>
          <w:noProof/>
          <w:lang w:val="en-US"/>
        </w:rPr>
        <w:t>(Powell et al, 2006).</w:t>
      </w:r>
      <w:r w:rsidR="00095363" w:rsidRPr="00E54679">
        <w:rPr>
          <w:rFonts w:cs="AdvPED1282"/>
          <w:lang w:val="en-US"/>
        </w:rPr>
        <w:t xml:space="preserve"> </w:t>
      </w:r>
      <w:r w:rsidR="00C55209" w:rsidRPr="00E54679">
        <w:rPr>
          <w:rFonts w:cs="AdvPED1282"/>
          <w:lang w:val="en-US"/>
        </w:rPr>
        <w:t xml:space="preserve">Especially </w:t>
      </w:r>
      <w:r w:rsidR="00555C93" w:rsidRPr="00E54679">
        <w:rPr>
          <w:rFonts w:cs="AdvPED1282"/>
          <w:lang w:val="en-US"/>
        </w:rPr>
        <w:t>seniors</w:t>
      </w:r>
      <w:r w:rsidR="00C55209" w:rsidRPr="00E54679">
        <w:rPr>
          <w:rFonts w:cs="AdvPED1282"/>
          <w:lang w:val="en-US"/>
        </w:rPr>
        <w:t xml:space="preserve"> are more likely to walk</w:t>
      </w:r>
      <w:r w:rsidR="00555C93" w:rsidRPr="00E54679">
        <w:rPr>
          <w:rFonts w:cs="AdvPED1282"/>
          <w:lang w:val="en-US"/>
        </w:rPr>
        <w:t xml:space="preserve"> living in a neighborhood that </w:t>
      </w:r>
      <w:r w:rsidR="0089506F">
        <w:rPr>
          <w:rFonts w:cs="AdvPED1282"/>
          <w:lang w:val="en-US"/>
        </w:rPr>
        <w:t xml:space="preserve">is safe and </w:t>
      </w:r>
      <w:r w:rsidR="00555C93" w:rsidRPr="00E54679">
        <w:rPr>
          <w:rFonts w:cs="AdvPED1282"/>
          <w:lang w:val="en-US"/>
        </w:rPr>
        <w:t>supports active transport</w:t>
      </w:r>
      <w:r w:rsidR="00E54679" w:rsidRPr="00E54679">
        <w:rPr>
          <w:rFonts w:cs="AdvPED1282"/>
          <w:lang w:val="en-US"/>
        </w:rPr>
        <w:t xml:space="preserve"> </w:t>
      </w:r>
      <w:r w:rsidR="00E54679" w:rsidRPr="00E54679">
        <w:rPr>
          <w:rFonts w:cs="AdvPED1282"/>
          <w:noProof/>
          <w:lang w:val="en-US"/>
        </w:rPr>
        <w:t>(Michael et al, 2006)</w:t>
      </w:r>
      <w:r w:rsidR="00C55209" w:rsidRPr="00E54679">
        <w:rPr>
          <w:rFonts w:cs="AdvPED1282"/>
          <w:lang w:val="en-US"/>
        </w:rPr>
        <w:t xml:space="preserve">, which increases physical activity. A variable </w:t>
      </w:r>
      <w:r w:rsidR="00DA1479">
        <w:rPr>
          <w:rFonts w:cs="AdvPED1282"/>
          <w:lang w:val="en-US"/>
        </w:rPr>
        <w:t xml:space="preserve">indicating whether a person has </w:t>
      </w:r>
      <w:r w:rsidR="00C55209" w:rsidRPr="00E54679">
        <w:rPr>
          <w:rFonts w:cs="AdvPED1282"/>
          <w:lang w:val="en-US"/>
        </w:rPr>
        <w:t>shift work is also not present. Irregular sleep contribute</w:t>
      </w:r>
      <w:r w:rsidR="007B01C8">
        <w:rPr>
          <w:rFonts w:cs="AdvPED1282"/>
          <w:lang w:val="en-US"/>
        </w:rPr>
        <w:t>s</w:t>
      </w:r>
      <w:r w:rsidR="00C55209" w:rsidRPr="00E54679">
        <w:rPr>
          <w:rFonts w:cs="AdvPED1282"/>
          <w:lang w:val="en-US"/>
        </w:rPr>
        <w:t xml:space="preserve"> to overweight and obesity because it disturbs natural </w:t>
      </w:r>
      <w:r w:rsidR="00BD6ECB" w:rsidRPr="00E54679">
        <w:rPr>
          <w:rFonts w:cs="AdvPED1282"/>
          <w:lang w:val="en-US"/>
        </w:rPr>
        <w:t xml:space="preserve">rhythms </w:t>
      </w:r>
      <w:r w:rsidR="00BD6ECB" w:rsidRPr="00E54679">
        <w:rPr>
          <w:rFonts w:cs="AdvPED1282"/>
          <w:noProof/>
          <w:lang w:val="en-US"/>
        </w:rPr>
        <w:t>(Cawley, 2011)</w:t>
      </w:r>
      <w:r w:rsidR="00BD6ECB" w:rsidRPr="00E54679">
        <w:rPr>
          <w:rFonts w:cs="AdvPED1282"/>
          <w:lang w:val="en-US"/>
        </w:rPr>
        <w:t xml:space="preserve">. </w:t>
      </w:r>
      <w:r w:rsidR="003A2C20" w:rsidRPr="00E54679">
        <w:rPr>
          <w:rFonts w:cs="AdvPED1282"/>
          <w:lang w:val="en-US"/>
        </w:rPr>
        <w:t xml:space="preserve">Relevant data on parent and childhood </w:t>
      </w:r>
      <w:r w:rsidR="003A2C20" w:rsidRPr="00E54679">
        <w:rPr>
          <w:rFonts w:cs="AdvPED1282"/>
          <w:lang w:val="en-US"/>
        </w:rPr>
        <w:lastRenderedPageBreak/>
        <w:t>characteristics are also not found in the dataset, but could be very strong predictors of later life obesity. Parent physical inactivity is a strong determinant of a child’s inactivity</w:t>
      </w:r>
      <w:r w:rsidR="00E54679" w:rsidRPr="00E54679">
        <w:rPr>
          <w:rFonts w:cs="AdvPED1282"/>
          <w:lang w:val="en-US"/>
        </w:rPr>
        <w:t xml:space="preserve"> </w:t>
      </w:r>
      <w:r w:rsidR="00E54679" w:rsidRPr="00E54679">
        <w:rPr>
          <w:rFonts w:cs="AdvPED1282"/>
          <w:noProof/>
          <w:lang w:val="en-US"/>
        </w:rPr>
        <w:t>(Fogelholm &amp; Nuutinen, 1999)</w:t>
      </w:r>
      <w:r w:rsidR="003A2C20" w:rsidRPr="00E54679">
        <w:rPr>
          <w:rFonts w:cs="AdvPED1282"/>
          <w:lang w:val="en-US"/>
        </w:rPr>
        <w:t>.</w:t>
      </w:r>
      <w:r w:rsidR="0018665D" w:rsidRPr="00E54679">
        <w:rPr>
          <w:rFonts w:cs="AdvPED1282"/>
          <w:lang w:val="en-US"/>
        </w:rPr>
        <w:t xml:space="preserve"> Also</w:t>
      </w:r>
      <w:r w:rsidR="003A2C20" w:rsidRPr="00E54679">
        <w:rPr>
          <w:rFonts w:cs="AdvPED1282"/>
          <w:lang w:val="en-US"/>
        </w:rPr>
        <w:t xml:space="preserve"> </w:t>
      </w:r>
      <w:r w:rsidR="0018665D" w:rsidRPr="00E54679">
        <w:rPr>
          <w:rFonts w:cs="AdvPED1282"/>
          <w:lang w:val="en-US"/>
        </w:rPr>
        <w:t xml:space="preserve">BMI maxima during childhood and adolescence show strong independent effects on overweight and body fatness later in life </w:t>
      </w:r>
      <w:r w:rsidR="00E54679" w:rsidRPr="00E54679">
        <w:rPr>
          <w:rFonts w:cs="AdvPED1282"/>
          <w:noProof/>
          <w:lang w:val="en-US"/>
        </w:rPr>
        <w:t xml:space="preserve">(Huang et al, 2000). </w:t>
      </w:r>
      <w:r w:rsidR="003A2C20" w:rsidRPr="00E54679">
        <w:rPr>
          <w:rFonts w:cs="AdvPED1282"/>
          <w:lang w:val="en-US"/>
        </w:rPr>
        <w:t>Other variables like</w:t>
      </w:r>
      <w:r w:rsidR="00DA1479">
        <w:rPr>
          <w:rFonts w:cs="AdvPED1282"/>
          <w:lang w:val="en-US"/>
        </w:rPr>
        <w:t xml:space="preserve"> </w:t>
      </w:r>
      <w:r w:rsidR="00DA1479">
        <w:rPr>
          <w:lang w:val="en-US"/>
        </w:rPr>
        <w:t>the earlier mentioned</w:t>
      </w:r>
      <w:r w:rsidR="00DA1479" w:rsidRPr="00DA1479">
        <w:rPr>
          <w:lang w:val="en-US"/>
        </w:rPr>
        <w:t xml:space="preserve"> </w:t>
      </w:r>
      <w:r w:rsidR="00DA1479" w:rsidRPr="0043561A">
        <w:rPr>
          <w:lang w:val="en-US"/>
        </w:rPr>
        <w:t>myopia or food preferences</w:t>
      </w:r>
      <w:r w:rsidR="00DA1479">
        <w:rPr>
          <w:lang w:val="en-US"/>
        </w:rPr>
        <w:t xml:space="preserve"> will be</w:t>
      </w:r>
      <w:r w:rsidR="003A2C20" w:rsidRPr="00E54679">
        <w:rPr>
          <w:rFonts w:cs="AdvPED1282"/>
          <w:lang w:val="en-US"/>
        </w:rPr>
        <w:t xml:space="preserve"> associated </w:t>
      </w:r>
      <w:r w:rsidR="003A2C20" w:rsidRPr="000C440D">
        <w:rPr>
          <w:rFonts w:cs="AdvPED1282"/>
          <w:color w:val="000000"/>
          <w:lang w:val="en-US"/>
        </w:rPr>
        <w:t>with BMI</w:t>
      </w:r>
      <w:r w:rsidR="00DA1479">
        <w:rPr>
          <w:rFonts w:cs="AdvPED1282"/>
          <w:color w:val="000000"/>
          <w:lang w:val="en-US"/>
        </w:rPr>
        <w:t xml:space="preserve">, </w:t>
      </w:r>
      <w:r w:rsidR="003A2C20" w:rsidRPr="000C440D">
        <w:rPr>
          <w:rFonts w:cs="AdvPED1282"/>
          <w:color w:val="000000"/>
          <w:lang w:val="en-US"/>
        </w:rPr>
        <w:t xml:space="preserve">but are </w:t>
      </w:r>
      <w:r w:rsidR="00DA1479">
        <w:rPr>
          <w:rFonts w:cs="AdvPED1282"/>
          <w:color w:val="000000"/>
          <w:lang w:val="en-US"/>
        </w:rPr>
        <w:t>personal characteristics that are unfortunately</w:t>
      </w:r>
      <w:r w:rsidR="00DA1479" w:rsidRPr="000C440D">
        <w:rPr>
          <w:rFonts w:cs="AdvPED1282"/>
          <w:color w:val="000000"/>
          <w:lang w:val="en-US"/>
        </w:rPr>
        <w:t xml:space="preserve"> </w:t>
      </w:r>
      <w:r w:rsidR="003A2C20" w:rsidRPr="000C440D">
        <w:rPr>
          <w:rFonts w:cs="AdvPED1282"/>
          <w:color w:val="000000"/>
          <w:lang w:val="en-US"/>
        </w:rPr>
        <w:t xml:space="preserve">almost </w:t>
      </w:r>
      <w:r w:rsidR="003A2C20" w:rsidRPr="0043561A">
        <w:rPr>
          <w:lang w:val="en-US"/>
        </w:rPr>
        <w:t>impossible to captur</w:t>
      </w:r>
      <w:r w:rsidR="00DA1479">
        <w:rPr>
          <w:lang w:val="en-US"/>
        </w:rPr>
        <w:t>e.</w:t>
      </w:r>
    </w:p>
    <w:p w14:paraId="65D2C84A" w14:textId="77777777" w:rsidR="00BA6A50" w:rsidRDefault="0053010D" w:rsidP="009B2D1C">
      <w:pPr>
        <w:pStyle w:val="Heading2"/>
        <w:numPr>
          <w:ilvl w:val="1"/>
          <w:numId w:val="24"/>
        </w:numPr>
        <w:rPr>
          <w:rFonts w:cs="Calibri"/>
          <w:sz w:val="24"/>
          <w:szCs w:val="24"/>
          <w:lang w:val="en-US" w:eastAsia="ja-JP"/>
        </w:rPr>
      </w:pPr>
      <w:bookmarkStart w:id="13" w:name="_Toc432114505"/>
      <w:r w:rsidRPr="009B2D1C">
        <w:rPr>
          <w:rFonts w:cs="Calibri"/>
          <w:sz w:val="24"/>
          <w:szCs w:val="24"/>
          <w:lang w:val="en-US" w:eastAsia="ja-JP"/>
        </w:rPr>
        <w:t>Descriptives of the predictors</w:t>
      </w:r>
      <w:bookmarkEnd w:id="13"/>
    </w:p>
    <w:p w14:paraId="625AAFA6" w14:textId="77777777" w:rsidR="00BA6A50" w:rsidRDefault="00BA6A50" w:rsidP="009B2D1C">
      <w:pPr>
        <w:rPr>
          <w:lang w:val="en-US" w:eastAsia="ja-JP"/>
        </w:rPr>
      </w:pPr>
    </w:p>
    <w:p w14:paraId="4C115B4E" w14:textId="481B499D" w:rsidR="00821BA3" w:rsidRDefault="00821BA3" w:rsidP="009B2D1C">
      <w:pPr>
        <w:spacing w:line="360" w:lineRule="auto"/>
        <w:ind w:firstLine="360"/>
        <w:jc w:val="both"/>
        <w:rPr>
          <w:lang w:val="en-US"/>
        </w:rPr>
      </w:pPr>
      <w:r w:rsidRPr="002257F3">
        <w:rPr>
          <w:lang w:val="en-US"/>
        </w:rPr>
        <w:t>The descriptive</w:t>
      </w:r>
      <w:r>
        <w:rPr>
          <w:lang w:val="en-US"/>
        </w:rPr>
        <w:t>s</w:t>
      </w:r>
      <w:r w:rsidRPr="002257F3">
        <w:rPr>
          <w:lang w:val="en-US"/>
        </w:rPr>
        <w:t xml:space="preserve"> of the selected explanatory variables are de</w:t>
      </w:r>
      <w:r>
        <w:rPr>
          <w:lang w:val="en-US"/>
        </w:rPr>
        <w:t xml:space="preserve">picted in table </w:t>
      </w:r>
      <w:r w:rsidR="002E3723">
        <w:rPr>
          <w:lang w:val="en-US"/>
        </w:rPr>
        <w:t>4, 5 and 6</w:t>
      </w:r>
      <w:r w:rsidRPr="002257F3">
        <w:rPr>
          <w:lang w:val="en-US"/>
        </w:rPr>
        <w:t xml:space="preserve"> of the appendix. Age is included in the model as a categorical variable since the association of age and BMI is proven to be non-linear </w:t>
      </w:r>
      <w:r w:rsidRPr="003A37DF">
        <w:rPr>
          <w:lang w:val="en-US"/>
        </w:rPr>
        <w:t>(Gallagher, 1996)</w:t>
      </w:r>
      <w:r>
        <w:rPr>
          <w:lang w:val="en-US"/>
        </w:rPr>
        <w:t xml:space="preserve"> </w:t>
      </w:r>
      <w:r w:rsidRPr="002257F3">
        <w:rPr>
          <w:lang w:val="en-US"/>
        </w:rPr>
        <w:t xml:space="preserve">and this seems also to </w:t>
      </w:r>
      <w:r w:rsidRPr="002257F3">
        <w:rPr>
          <w:lang w:val="en-US"/>
        </w:rPr>
        <w:lastRenderedPageBreak/>
        <w:t>be the case in the sample used for this study.</w:t>
      </w:r>
      <w:r w:rsidRPr="009B2D1C">
        <w:rPr>
          <w:rStyle w:val="FootnoteReference"/>
          <w:sz w:val="24"/>
          <w:szCs w:val="24"/>
        </w:rPr>
        <w:footnoteReference w:id="6"/>
      </w:r>
      <w:r w:rsidRPr="002257F3">
        <w:rPr>
          <w:lang w:val="en-US"/>
        </w:rPr>
        <w:t xml:space="preserve"> The </w:t>
      </w:r>
      <w:r w:rsidR="005018A5">
        <w:rPr>
          <w:lang w:val="en-US"/>
        </w:rPr>
        <w:t xml:space="preserve">variable </w:t>
      </w:r>
      <w:r w:rsidR="005C5649">
        <w:rPr>
          <w:lang w:val="en-US"/>
        </w:rPr>
        <w:t xml:space="preserve">is constructed with </w:t>
      </w:r>
      <w:r w:rsidRPr="002257F3">
        <w:rPr>
          <w:lang w:val="en-US"/>
        </w:rPr>
        <w:t xml:space="preserve">three </w:t>
      </w:r>
      <w:r w:rsidR="005018A5">
        <w:rPr>
          <w:lang w:val="en-US"/>
        </w:rPr>
        <w:t>categories with peopl</w:t>
      </w:r>
      <w:r w:rsidR="00F712A3">
        <w:rPr>
          <w:lang w:val="en-US"/>
        </w:rPr>
        <w:t>e 50 to 64 years old, 65 to 74 years old and people aged 74 and over in 2004.</w:t>
      </w:r>
      <w:r w:rsidRPr="002257F3">
        <w:rPr>
          <w:lang w:val="en-US"/>
        </w:rPr>
        <w:t xml:space="preserve"> </w:t>
      </w:r>
      <w:r w:rsidR="005018A5">
        <w:rPr>
          <w:lang w:val="en-US"/>
        </w:rPr>
        <w:t>These age groups</w:t>
      </w:r>
      <w:r w:rsidRPr="002257F3">
        <w:rPr>
          <w:lang w:val="en-US"/>
        </w:rPr>
        <w:t xml:space="preserve"> are kept fixed per country for all individuals</w:t>
      </w:r>
      <w:r w:rsidR="005018A5">
        <w:rPr>
          <w:lang w:val="en-US"/>
        </w:rPr>
        <w:t xml:space="preserve"> between time periods</w:t>
      </w:r>
      <w:r w:rsidRPr="002257F3">
        <w:rPr>
          <w:lang w:val="en-US"/>
        </w:rPr>
        <w:t>. This is done because a bias may occur when people grow older</w:t>
      </w:r>
      <w:r w:rsidR="005018A5">
        <w:rPr>
          <w:lang w:val="en-US"/>
        </w:rPr>
        <w:t xml:space="preserve"> and</w:t>
      </w:r>
      <w:r w:rsidRPr="002257F3">
        <w:rPr>
          <w:lang w:val="en-US"/>
        </w:rPr>
        <w:t xml:space="preserve"> leave their age category from period one, </w:t>
      </w:r>
      <w:r w:rsidR="005018A5">
        <w:rPr>
          <w:lang w:val="en-US"/>
        </w:rPr>
        <w:t>altering</w:t>
      </w:r>
      <w:r w:rsidRPr="002257F3">
        <w:rPr>
          <w:lang w:val="en-US"/>
        </w:rPr>
        <w:t xml:space="preserve"> the mean BMI of that age category. This same occurrence holds for the people entering the age category in period two.</w:t>
      </w:r>
      <w:r w:rsidR="005018A5">
        <w:rPr>
          <w:lang w:val="en-US"/>
        </w:rPr>
        <w:t xml:space="preserve"> </w:t>
      </w:r>
      <w:r w:rsidRPr="002257F3">
        <w:rPr>
          <w:lang w:val="en-US"/>
        </w:rPr>
        <w:t>When this happens</w:t>
      </w:r>
      <w:r w:rsidR="005018A5">
        <w:rPr>
          <w:lang w:val="en-US"/>
        </w:rPr>
        <w:t xml:space="preserve"> the mean BMI is not only influenced by BMI variability but also changes in group membership. This would mean</w:t>
      </w:r>
      <w:r w:rsidRPr="002257F3">
        <w:rPr>
          <w:lang w:val="en-US"/>
        </w:rPr>
        <w:t xml:space="preserve"> the coefficients do not tell something about the association of ageing and BMI</w:t>
      </w:r>
      <w:r w:rsidR="009C4A35">
        <w:rPr>
          <w:lang w:val="en-US"/>
        </w:rPr>
        <w:t xml:space="preserve"> per s</w:t>
      </w:r>
      <w:r w:rsidR="005018A5">
        <w:rPr>
          <w:lang w:val="en-US"/>
        </w:rPr>
        <w:t>e</w:t>
      </w:r>
      <w:r w:rsidRPr="002257F3">
        <w:rPr>
          <w:lang w:val="en-US"/>
        </w:rPr>
        <w:t xml:space="preserve">, but more about the composition of a group and their BMI characteristics in a certain time period. </w:t>
      </w:r>
    </w:p>
    <w:p w14:paraId="50E89DAC" w14:textId="59E3E1FA" w:rsidR="00821BA3" w:rsidRDefault="00821BA3" w:rsidP="009B2D1C">
      <w:pPr>
        <w:spacing w:line="360" w:lineRule="auto"/>
        <w:ind w:firstLine="360"/>
        <w:jc w:val="both"/>
        <w:rPr>
          <w:lang w:val="en-US"/>
        </w:rPr>
      </w:pPr>
      <w:r w:rsidRPr="002257F3">
        <w:rPr>
          <w:lang w:val="en-US"/>
        </w:rPr>
        <w:lastRenderedPageBreak/>
        <w:t xml:space="preserve">Education is </w:t>
      </w:r>
      <w:r w:rsidR="00125189">
        <w:rPr>
          <w:lang w:val="en-US"/>
        </w:rPr>
        <w:t>constructed</w:t>
      </w:r>
      <w:r w:rsidR="00F712A3">
        <w:rPr>
          <w:lang w:val="en-US"/>
        </w:rPr>
        <w:t xml:space="preserve"> out of</w:t>
      </w:r>
      <w:r w:rsidRPr="002257F3">
        <w:rPr>
          <w:lang w:val="en-US"/>
        </w:rPr>
        <w:t xml:space="preserve"> International Standard Classification of Education (ISCED</w:t>
      </w:r>
      <w:r w:rsidRPr="009B2D1C">
        <w:rPr>
          <w:lang w:val="en-US"/>
        </w:rPr>
        <w:t xml:space="preserve">) scores </w:t>
      </w:r>
      <w:r w:rsidR="009C4A35">
        <w:rPr>
          <w:lang w:val="en-US"/>
        </w:rPr>
        <w:t xml:space="preserve">and </w:t>
      </w:r>
      <w:r w:rsidRPr="009B2D1C">
        <w:rPr>
          <w:lang w:val="en-US"/>
        </w:rPr>
        <w:t>defined as low, medium and high educated. ISCED scores are designed to serve as an instrument suitable for presenting statistics of education both within individual countries and internationally (UNESCO, 2006).</w:t>
      </w:r>
      <w:r w:rsidR="005D405B" w:rsidRPr="009B2D1C">
        <w:rPr>
          <w:lang w:val="en-US"/>
        </w:rPr>
        <w:t xml:space="preserve"> </w:t>
      </w:r>
      <w:r w:rsidR="00F712A3" w:rsidRPr="009B2D1C">
        <w:rPr>
          <w:lang w:val="en-US"/>
        </w:rPr>
        <w:t xml:space="preserve">At most primary education is defined as low educated, at most secondary education as medium educated and tertiary education as high educated. </w:t>
      </w:r>
      <w:r w:rsidRPr="009B2D1C">
        <w:rPr>
          <w:lang w:val="en-US"/>
        </w:rPr>
        <w:t xml:space="preserve">This way of </w:t>
      </w:r>
      <w:r w:rsidR="00F712A3" w:rsidRPr="009B2D1C">
        <w:rPr>
          <w:lang w:val="en-US"/>
        </w:rPr>
        <w:t>constructing</w:t>
      </w:r>
      <w:r w:rsidRPr="009B2D1C">
        <w:rPr>
          <w:lang w:val="en-US"/>
        </w:rPr>
        <w:t xml:space="preserve"> education is chosen to control for the fact that mandatory educational attainment </w:t>
      </w:r>
      <w:r w:rsidRPr="002257F3">
        <w:rPr>
          <w:lang w:val="en-US"/>
        </w:rPr>
        <w:t xml:space="preserve">but also educational systems may vary between countries and time periods, which would reduce country and time comparability if educational attainment </w:t>
      </w:r>
      <w:r w:rsidR="005D405B">
        <w:rPr>
          <w:lang w:val="en-US"/>
        </w:rPr>
        <w:t>would be included in years</w:t>
      </w:r>
      <w:r w:rsidR="00F712A3">
        <w:rPr>
          <w:lang w:val="en-US"/>
        </w:rPr>
        <w:t xml:space="preserve"> of education attained</w:t>
      </w:r>
      <w:r w:rsidR="005D405B">
        <w:rPr>
          <w:lang w:val="en-US"/>
        </w:rPr>
        <w:t>.</w:t>
      </w:r>
    </w:p>
    <w:p w14:paraId="179EDBA6" w14:textId="1B09259D" w:rsidR="00BA6A50" w:rsidRDefault="00821BA3">
      <w:pPr>
        <w:spacing w:line="360" w:lineRule="auto"/>
        <w:ind w:firstLine="360"/>
        <w:jc w:val="both"/>
        <w:rPr>
          <w:lang w:val="en-US"/>
        </w:rPr>
      </w:pPr>
      <w:r w:rsidRPr="002257F3">
        <w:rPr>
          <w:lang w:val="en-US"/>
        </w:rPr>
        <w:t xml:space="preserve">Activity is included in the model as a dummy variable with a threshold of participating in vigorous activity or sports on a weekly basis. As discussed earlier there are different mechanisms working </w:t>
      </w:r>
      <w:r w:rsidRPr="009B2D1C">
        <w:rPr>
          <w:lang w:val="en-US"/>
        </w:rPr>
        <w:lastRenderedPageBreak/>
        <w:t>in the relation between income and body weight and food consumption and body weight. Given these different associations found in literature and the reasonable confidence that the relation between these variables and weight is not linear (Chou</w:t>
      </w:r>
      <w:r w:rsidR="004C6049">
        <w:rPr>
          <w:lang w:val="en-US"/>
        </w:rPr>
        <w:t xml:space="preserve"> et al</w:t>
      </w:r>
      <w:r w:rsidRPr="009B2D1C">
        <w:rPr>
          <w:lang w:val="en-US"/>
        </w:rPr>
        <w:t xml:space="preserve"> 2004</w:t>
      </w:r>
      <w:r w:rsidR="00216F5E">
        <w:rPr>
          <w:lang w:val="en-US"/>
        </w:rPr>
        <w:t>, Jolliffe 2007, Lakdawalla &amp; Philipson</w:t>
      </w:r>
      <w:r w:rsidRPr="009B2D1C">
        <w:rPr>
          <w:lang w:val="en-US"/>
        </w:rPr>
        <w:t xml:space="preserve"> 2009) income and food consumption will be included categorically. Food can be considered a necessity and </w:t>
      </w:r>
      <w:r>
        <w:rPr>
          <w:lang w:val="en-US"/>
        </w:rPr>
        <w:t>relatively affordable. Individuals will probably spend their first income on food before considering other goods. Therefor</w:t>
      </w:r>
      <w:r w:rsidR="00BE7856">
        <w:rPr>
          <w:lang w:val="en-US"/>
        </w:rPr>
        <w:t>e</w:t>
      </w:r>
      <w:r>
        <w:rPr>
          <w:lang w:val="en-US"/>
        </w:rPr>
        <w:t xml:space="preserve"> it is assumed that if there is a significant association of food and BMI</w:t>
      </w:r>
      <w:r w:rsidR="00BE7856">
        <w:rPr>
          <w:lang w:val="en-US"/>
        </w:rPr>
        <w:t>,</w:t>
      </w:r>
      <w:r>
        <w:rPr>
          <w:lang w:val="en-US"/>
        </w:rPr>
        <w:t xml:space="preserve"> it might be particular strong in the lower regions of the income distribution and the strength of this association decreases with increased income. To pick up these associations between income and BMI</w:t>
      </w:r>
      <w:r w:rsidR="00BE7856">
        <w:rPr>
          <w:lang w:val="en-US"/>
        </w:rPr>
        <w:t>,</w:t>
      </w:r>
      <w:r>
        <w:rPr>
          <w:lang w:val="en-US"/>
        </w:rPr>
        <w:t xml:space="preserve"> income will be included as a dummy variable where the two lowest deciles of income will be compared with the higher deciles. Food expenditure is constructed of household food expend</w:t>
      </w:r>
      <w:r>
        <w:rPr>
          <w:lang w:val="en-US"/>
        </w:rPr>
        <w:lastRenderedPageBreak/>
        <w:t>itures divided by the number of people in the household</w:t>
      </w:r>
      <w:r w:rsidR="00BE7856">
        <w:rPr>
          <w:lang w:val="en-US"/>
        </w:rPr>
        <w:t xml:space="preserve">. All observations are in </w:t>
      </w:r>
      <w:r w:rsidR="009B6C52">
        <w:rPr>
          <w:lang w:val="en-US"/>
        </w:rPr>
        <w:t>euros</w:t>
      </w:r>
      <w:r w:rsidR="00BE7856">
        <w:rPr>
          <w:lang w:val="en-US"/>
        </w:rPr>
        <w:t xml:space="preserve"> and </w:t>
      </w:r>
      <w:r w:rsidR="00BC1737">
        <w:rPr>
          <w:lang w:val="en-US"/>
        </w:rPr>
        <w:t>purchasing power parity adjusted.</w:t>
      </w:r>
      <w:r w:rsidR="00BE7856">
        <w:rPr>
          <w:lang w:val="en-US"/>
        </w:rPr>
        <w:t xml:space="preserve"> </w:t>
      </w:r>
      <w:r w:rsidR="00BC1737">
        <w:rPr>
          <w:lang w:val="en-US"/>
        </w:rPr>
        <w:t>Food expenditure</w:t>
      </w:r>
      <w:r>
        <w:rPr>
          <w:lang w:val="en-US"/>
        </w:rPr>
        <w:t xml:space="preserve"> will be included in three categories, where the lowest and highest two deciles will refer to the middle 60% of the distribution of food expenditures. Child health </w:t>
      </w:r>
      <w:r w:rsidR="00BC1737">
        <w:rPr>
          <w:lang w:val="en-US"/>
        </w:rPr>
        <w:t xml:space="preserve">is a variable from the SHARELIFE module and </w:t>
      </w:r>
      <w:r>
        <w:rPr>
          <w:lang w:val="en-US"/>
        </w:rPr>
        <w:t>is in</w:t>
      </w:r>
      <w:r w:rsidR="00BC1737">
        <w:rPr>
          <w:lang w:val="en-US"/>
        </w:rPr>
        <w:t>cluded in the</w:t>
      </w:r>
      <w:r>
        <w:rPr>
          <w:lang w:val="en-US"/>
        </w:rPr>
        <w:t xml:space="preserve"> model as a dummy variable</w:t>
      </w:r>
      <w:r w:rsidR="00BC1737">
        <w:rPr>
          <w:lang w:val="en-US"/>
        </w:rPr>
        <w:t>,</w:t>
      </w:r>
      <w:r>
        <w:rPr>
          <w:lang w:val="en-US"/>
        </w:rPr>
        <w:t xml:space="preserve"> indicating if someone rated his childhood health as poor or very poor </w:t>
      </w:r>
      <w:r w:rsidR="00BC1737">
        <w:rPr>
          <w:lang w:val="en-US"/>
        </w:rPr>
        <w:t>compared to fair, good and very good health valuations</w:t>
      </w:r>
      <w:r>
        <w:rPr>
          <w:lang w:val="en-US"/>
        </w:rPr>
        <w:t>.</w:t>
      </w:r>
    </w:p>
    <w:p w14:paraId="583C96E8" w14:textId="5F6F0E02" w:rsidR="00FD52A0" w:rsidRDefault="00FD52A0" w:rsidP="006168E6">
      <w:pPr>
        <w:pStyle w:val="Heading2"/>
        <w:numPr>
          <w:ilvl w:val="1"/>
          <w:numId w:val="24"/>
        </w:numPr>
        <w:rPr>
          <w:rFonts w:cs="Calibri"/>
          <w:sz w:val="24"/>
          <w:szCs w:val="24"/>
          <w:lang w:val="en-US" w:eastAsia="ja-JP"/>
        </w:rPr>
      </w:pPr>
      <w:bookmarkStart w:id="14" w:name="_Toc432114506"/>
      <w:r>
        <w:rPr>
          <w:rFonts w:cs="Calibri"/>
          <w:sz w:val="24"/>
          <w:szCs w:val="24"/>
          <w:lang w:val="en-US" w:eastAsia="ja-JP"/>
        </w:rPr>
        <w:t>Final sample</w:t>
      </w:r>
      <w:bookmarkEnd w:id="14"/>
    </w:p>
    <w:p w14:paraId="42794E19" w14:textId="77777777" w:rsidR="006168E6" w:rsidRPr="006168E6" w:rsidRDefault="006168E6" w:rsidP="006168E6">
      <w:pPr>
        <w:rPr>
          <w:lang w:val="en-US" w:eastAsia="ja-JP"/>
        </w:rPr>
      </w:pPr>
    </w:p>
    <w:p w14:paraId="2776287C" w14:textId="5FC9F42A" w:rsidR="003567C7" w:rsidRDefault="003147CE" w:rsidP="009B2D1C">
      <w:pPr>
        <w:spacing w:line="360" w:lineRule="auto"/>
        <w:ind w:firstLine="360"/>
        <w:jc w:val="both"/>
        <w:rPr>
          <w:lang w:val="en-US"/>
        </w:rPr>
      </w:pPr>
      <w:r>
        <w:rPr>
          <w:lang w:val="en-US"/>
        </w:rPr>
        <w:t>The specifications of the final sample and BMI are depicted in table</w:t>
      </w:r>
      <w:r w:rsidR="009933B6">
        <w:rPr>
          <w:lang w:val="en-US"/>
        </w:rPr>
        <w:t xml:space="preserve"> </w:t>
      </w:r>
      <w:r w:rsidR="006D10A1">
        <w:rPr>
          <w:lang w:val="en-US"/>
        </w:rPr>
        <w:t>1</w:t>
      </w:r>
      <w:r w:rsidR="003567C7">
        <w:rPr>
          <w:lang w:val="en-US"/>
        </w:rPr>
        <w:t xml:space="preserve"> on the next page</w:t>
      </w:r>
      <w:r>
        <w:rPr>
          <w:lang w:val="en-US"/>
        </w:rPr>
        <w:t xml:space="preserve">. </w:t>
      </w:r>
      <w:r w:rsidR="00C303D3" w:rsidRPr="006D2DB3">
        <w:rPr>
          <w:lang w:val="en-US"/>
        </w:rPr>
        <w:t>After selection of the previously mentioned explanatory variables</w:t>
      </w:r>
      <w:r w:rsidR="00630687">
        <w:rPr>
          <w:lang w:val="en-US"/>
        </w:rPr>
        <w:t xml:space="preserve"> </w:t>
      </w:r>
      <w:r w:rsidR="00C303D3" w:rsidRPr="006D2DB3">
        <w:rPr>
          <w:lang w:val="en-US"/>
        </w:rPr>
        <w:t xml:space="preserve">30% to 50% of the respondents </w:t>
      </w:r>
      <w:r w:rsidR="00630687">
        <w:rPr>
          <w:lang w:val="en-US"/>
        </w:rPr>
        <w:t xml:space="preserve">per country remain candidate to be included </w:t>
      </w:r>
      <w:r w:rsidR="00C303D3" w:rsidRPr="006D2DB3">
        <w:rPr>
          <w:lang w:val="en-US"/>
        </w:rPr>
        <w:t>in the final</w:t>
      </w:r>
      <w:r w:rsidR="009B6C52">
        <w:rPr>
          <w:lang w:val="en-US"/>
        </w:rPr>
        <w:t xml:space="preserve"> sample</w:t>
      </w:r>
      <w:r w:rsidR="00C303D3" w:rsidRPr="006D2DB3">
        <w:rPr>
          <w:lang w:val="en-US"/>
        </w:rPr>
        <w:t>. Sample sizes are varying f</w:t>
      </w:r>
      <w:r w:rsidR="009B6C52">
        <w:rPr>
          <w:lang w:val="en-US"/>
        </w:rPr>
        <w:t>r</w:t>
      </w:r>
      <w:r w:rsidR="00C303D3" w:rsidRPr="006D2DB3">
        <w:rPr>
          <w:lang w:val="en-US"/>
        </w:rPr>
        <w:t>om 478</w:t>
      </w:r>
      <w:r w:rsidR="009B6C52">
        <w:rPr>
          <w:lang w:val="en-US"/>
        </w:rPr>
        <w:t xml:space="preserve"> individuals</w:t>
      </w:r>
      <w:r w:rsidR="00C303D3" w:rsidRPr="006D2DB3">
        <w:rPr>
          <w:lang w:val="en-US"/>
        </w:rPr>
        <w:t xml:space="preserve"> for Switzerland to 1257 </w:t>
      </w:r>
      <w:r w:rsidR="009B6C52">
        <w:rPr>
          <w:lang w:val="en-US"/>
        </w:rPr>
        <w:t xml:space="preserve">individuals </w:t>
      </w:r>
      <w:r w:rsidR="00C303D3" w:rsidRPr="006D2DB3">
        <w:rPr>
          <w:lang w:val="en-US"/>
        </w:rPr>
        <w:t xml:space="preserve">for France. </w:t>
      </w:r>
      <w:r w:rsidR="00630687">
        <w:rPr>
          <w:lang w:val="en-US"/>
        </w:rPr>
        <w:t>Increases in BMI between 2004 and 2</w:t>
      </w:r>
      <w:r w:rsidR="009B6C52">
        <w:rPr>
          <w:lang w:val="en-US"/>
        </w:rPr>
        <w:t>0</w:t>
      </w:r>
      <w:r w:rsidR="00630687">
        <w:rPr>
          <w:lang w:val="en-US"/>
        </w:rPr>
        <w:t xml:space="preserve">10 </w:t>
      </w:r>
      <w:r w:rsidR="00630687">
        <w:rPr>
          <w:lang w:val="en-US"/>
        </w:rPr>
        <w:lastRenderedPageBreak/>
        <w:t>are</w:t>
      </w:r>
      <w:r>
        <w:rPr>
          <w:lang w:val="en-US"/>
        </w:rPr>
        <w:t xml:space="preserve"> significant </w:t>
      </w:r>
      <w:r w:rsidR="00630687">
        <w:rPr>
          <w:lang w:val="en-US"/>
        </w:rPr>
        <w:t xml:space="preserve">at </w:t>
      </w:r>
      <w:r>
        <w:rPr>
          <w:lang w:val="en-US"/>
        </w:rPr>
        <w:t xml:space="preserve">a 10% significance </w:t>
      </w:r>
      <w:r w:rsidR="00A65015" w:rsidRPr="006D2DB3">
        <w:rPr>
          <w:lang w:val="en-US"/>
        </w:rPr>
        <w:t xml:space="preserve">level for Germany, Sweden, France and Switzerland. </w:t>
      </w:r>
      <w:r w:rsidR="00C303D3" w:rsidRPr="006D2DB3">
        <w:rPr>
          <w:lang w:val="en-US"/>
        </w:rPr>
        <w:t>Ideally a se</w:t>
      </w:r>
      <w:r w:rsidR="0006471D">
        <w:rPr>
          <w:lang w:val="en-US"/>
        </w:rPr>
        <w:t>parate model for men and women sh</w:t>
      </w:r>
      <w:r w:rsidR="00C303D3" w:rsidRPr="006D2DB3">
        <w:rPr>
          <w:lang w:val="en-US"/>
        </w:rPr>
        <w:t xml:space="preserve">ould be constructed to control for the biological </w:t>
      </w:r>
      <w:r w:rsidR="00442102">
        <w:rPr>
          <w:lang w:val="en-US"/>
        </w:rPr>
        <w:t xml:space="preserve">and social </w:t>
      </w:r>
      <w:r w:rsidR="00792B99" w:rsidRPr="006D2DB3">
        <w:rPr>
          <w:lang w:val="en-US"/>
        </w:rPr>
        <w:t>differences that</w:t>
      </w:r>
      <w:r w:rsidR="00442102">
        <w:rPr>
          <w:lang w:val="en-US"/>
        </w:rPr>
        <w:t xml:space="preserve">, when interacting with other variables, may generate discrepancies in the </w:t>
      </w:r>
      <w:r w:rsidR="00B32BFA">
        <w:rPr>
          <w:lang w:val="en-US"/>
        </w:rPr>
        <w:t>associations</w:t>
      </w:r>
      <w:r w:rsidR="00D4020B">
        <w:rPr>
          <w:lang w:val="en-US"/>
        </w:rPr>
        <w:t xml:space="preserve"> </w:t>
      </w:r>
      <w:r w:rsidR="003A37DF" w:rsidRPr="003A37DF">
        <w:rPr>
          <w:lang w:val="en-US"/>
        </w:rPr>
        <w:t>(Jackson, 2002)</w:t>
      </w:r>
      <w:r w:rsidR="00D4020B">
        <w:rPr>
          <w:lang w:val="en-US"/>
        </w:rPr>
        <w:t>.</w:t>
      </w:r>
      <w:r w:rsidR="003A37DF">
        <w:rPr>
          <w:lang w:val="en-US"/>
        </w:rPr>
        <w:t xml:space="preserve"> </w:t>
      </w:r>
      <w:r w:rsidR="00E072E6" w:rsidRPr="006D2DB3">
        <w:rPr>
          <w:lang w:val="en-US"/>
        </w:rPr>
        <w:t xml:space="preserve">However, </w:t>
      </w:r>
      <w:r w:rsidR="00A65015" w:rsidRPr="006D2DB3">
        <w:rPr>
          <w:lang w:val="en-US"/>
        </w:rPr>
        <w:t xml:space="preserve">dividing </w:t>
      </w:r>
      <w:r w:rsidR="00B32BFA">
        <w:rPr>
          <w:lang w:val="en-US"/>
        </w:rPr>
        <w:t xml:space="preserve">the </w:t>
      </w:r>
      <w:r w:rsidR="00A65015" w:rsidRPr="006D2DB3">
        <w:rPr>
          <w:lang w:val="en-US"/>
        </w:rPr>
        <w:t>final</w:t>
      </w:r>
      <w:r w:rsidR="00B32BFA">
        <w:rPr>
          <w:lang w:val="en-US"/>
        </w:rPr>
        <w:t xml:space="preserve"> country</w:t>
      </w:r>
      <w:r w:rsidR="00A65015" w:rsidRPr="006D2DB3">
        <w:rPr>
          <w:lang w:val="en-US"/>
        </w:rPr>
        <w:t xml:space="preserve"> sample</w:t>
      </w:r>
      <w:r w:rsidR="00B32BFA">
        <w:rPr>
          <w:lang w:val="en-US"/>
        </w:rPr>
        <w:t>s</w:t>
      </w:r>
      <w:r w:rsidR="00A65015" w:rsidRPr="006D2DB3">
        <w:rPr>
          <w:lang w:val="en-US"/>
        </w:rPr>
        <w:t xml:space="preserve"> into two groups would </w:t>
      </w:r>
      <w:r w:rsidR="00C303D3" w:rsidRPr="006D2DB3">
        <w:rPr>
          <w:lang w:val="en-US"/>
        </w:rPr>
        <w:t>res</w:t>
      </w:r>
      <w:r w:rsidR="00E072E6" w:rsidRPr="006D2DB3">
        <w:rPr>
          <w:lang w:val="en-US"/>
        </w:rPr>
        <w:t>ult in even lower sample sizes</w:t>
      </w:r>
      <w:r w:rsidR="00792B99" w:rsidRPr="006D2DB3">
        <w:rPr>
          <w:lang w:val="en-US"/>
        </w:rPr>
        <w:t>,</w:t>
      </w:r>
      <w:r w:rsidR="00E072E6" w:rsidRPr="006D2DB3">
        <w:rPr>
          <w:lang w:val="en-US"/>
        </w:rPr>
        <w:t xml:space="preserve"> which makes it very difficult in a regression to pick </w:t>
      </w:r>
      <w:r w:rsidR="00792B99" w:rsidRPr="006D2DB3">
        <w:rPr>
          <w:lang w:val="en-US"/>
        </w:rPr>
        <w:t>up patterns</w:t>
      </w:r>
      <w:r w:rsidR="00E072E6" w:rsidRPr="006D2DB3">
        <w:rPr>
          <w:lang w:val="en-US"/>
        </w:rPr>
        <w:t xml:space="preserve"> between BMI and the explanatory variables that are significant and meaningful.</w:t>
      </w:r>
      <w:r w:rsidR="00A65015" w:rsidRPr="006D2DB3">
        <w:rPr>
          <w:lang w:val="en-US"/>
        </w:rPr>
        <w:t xml:space="preserve"> </w:t>
      </w:r>
      <w:r w:rsidR="00792B99" w:rsidRPr="006D2DB3">
        <w:rPr>
          <w:lang w:val="en-US"/>
        </w:rPr>
        <w:t>Therefore the</w:t>
      </w:r>
      <w:r w:rsidR="00E072E6" w:rsidRPr="006D2DB3">
        <w:rPr>
          <w:lang w:val="en-US"/>
        </w:rPr>
        <w:t xml:space="preserve"> </w:t>
      </w:r>
      <w:r w:rsidR="00B32BFA">
        <w:rPr>
          <w:lang w:val="en-US"/>
        </w:rPr>
        <w:t>models</w:t>
      </w:r>
      <w:r w:rsidR="00E072E6" w:rsidRPr="006D2DB3">
        <w:rPr>
          <w:lang w:val="en-US"/>
        </w:rPr>
        <w:t xml:space="preserve"> in this paper will be </w:t>
      </w:r>
      <w:r w:rsidR="00B32BFA">
        <w:rPr>
          <w:lang w:val="en-US"/>
        </w:rPr>
        <w:t>estimated for</w:t>
      </w:r>
      <w:r w:rsidR="00E072E6" w:rsidRPr="006D2DB3">
        <w:rPr>
          <w:lang w:val="en-US"/>
        </w:rPr>
        <w:t xml:space="preserve"> both genders included.</w:t>
      </w:r>
    </w:p>
    <w:p w14:paraId="2330B1D0" w14:textId="4BFB6D61" w:rsidR="004573A4" w:rsidRDefault="007E68CF" w:rsidP="00072A51">
      <w:pPr>
        <w:spacing w:line="360" w:lineRule="auto"/>
        <w:jc w:val="both"/>
        <w:rPr>
          <w:lang w:val="en-US"/>
        </w:rPr>
      </w:pPr>
      <w:r w:rsidRPr="006D2DB3">
        <w:rPr>
          <w:lang w:val="en-US"/>
        </w:rPr>
        <w:t>A basic and an extended model will be constructed for each country in each time period. The basic model will only contain gender, age and education as independent variables. These variables can be seen as more embedded characteristics of the sample. Gender and a</w:t>
      </w:r>
      <w:r>
        <w:rPr>
          <w:lang w:val="en-US"/>
        </w:rPr>
        <w:t>ge are</w:t>
      </w:r>
      <w:r w:rsidRPr="006D2DB3">
        <w:rPr>
          <w:lang w:val="en-US"/>
        </w:rPr>
        <w:t xml:space="preserve"> defined at birth and birth date and cannot be influenced by BMI. The level of one’s education is usually determined early in life </w:t>
      </w:r>
      <w:r w:rsidRPr="006D2DB3">
        <w:rPr>
          <w:lang w:val="en-US"/>
        </w:rPr>
        <w:lastRenderedPageBreak/>
        <w:t xml:space="preserve">and will not experience a shift in input between waves for our sample, </w:t>
      </w:r>
      <w:r w:rsidR="0085109A">
        <w:rPr>
          <w:lang w:val="en-US"/>
        </w:rPr>
        <w:t>which</w:t>
      </w:r>
      <w:r w:rsidRPr="006D2DB3">
        <w:rPr>
          <w:lang w:val="en-US"/>
        </w:rPr>
        <w:t xml:space="preserve"> is on average 66 years old. Although omitted variable bias cannot be completely eliminated because of myopia that may play a role in both education and BMI, this model will be least</w:t>
      </w:r>
      <w:r>
        <w:rPr>
          <w:lang w:val="en-US"/>
        </w:rPr>
        <w:t xml:space="preserve"> likely to suffer from endogene</w:t>
      </w:r>
      <w:r w:rsidRPr="006D2DB3">
        <w:rPr>
          <w:lang w:val="en-US"/>
        </w:rPr>
        <w:t xml:space="preserve">ity problems. The second model will contain all the earlier described </w:t>
      </w:r>
      <w:r w:rsidR="003D28E6">
        <w:rPr>
          <w:lang w:val="en-US"/>
        </w:rPr>
        <w:t>in</w:t>
      </w:r>
      <w:r w:rsidRPr="006D2DB3">
        <w:rPr>
          <w:lang w:val="en-US"/>
        </w:rPr>
        <w:t xml:space="preserve">dependent variables and can only considered as a model for measuring associations. </w:t>
      </w:r>
    </w:p>
    <w:p w14:paraId="59E5C2B6" w14:textId="7DBFBFB9" w:rsidR="00FD52A0" w:rsidRPr="000C4FE8" w:rsidRDefault="003147CE" w:rsidP="006D2DB3">
      <w:pPr>
        <w:spacing w:line="360" w:lineRule="auto"/>
        <w:jc w:val="both"/>
        <w:rPr>
          <w:b/>
          <w:bCs/>
          <w:lang w:val="en-US"/>
        </w:rPr>
      </w:pPr>
      <w:r w:rsidRPr="003147CE">
        <w:rPr>
          <w:b/>
          <w:lang w:val="en-US"/>
        </w:rPr>
        <w:t xml:space="preserve"> </w:t>
      </w:r>
      <w:r w:rsidR="009933B6">
        <w:rPr>
          <w:b/>
          <w:lang w:val="en-US"/>
        </w:rPr>
        <w:t xml:space="preserve">Table </w:t>
      </w:r>
      <w:r w:rsidR="006D10A1">
        <w:rPr>
          <w:b/>
          <w:lang w:val="en-US"/>
        </w:rPr>
        <w:t>1</w:t>
      </w:r>
      <w:r>
        <w:rPr>
          <w:b/>
          <w:lang w:val="en-US"/>
        </w:rPr>
        <w:t>: Specifications of the final sample</w:t>
      </w:r>
      <w:r w:rsidR="003035B4">
        <w:rPr>
          <w:b/>
          <w:lang w:val="en-US"/>
        </w:rPr>
        <w:t>, * significant at a 10% significance level</w:t>
      </w:r>
    </w:p>
    <w:tbl>
      <w:tblPr>
        <w:tblW w:w="5000" w:type="pct"/>
        <w:tblCellMar>
          <w:left w:w="70" w:type="dxa"/>
          <w:right w:w="70" w:type="dxa"/>
        </w:tblCellMar>
        <w:tblLook w:val="04A0" w:firstRow="1" w:lastRow="0" w:firstColumn="1" w:lastColumn="0" w:noHBand="0" w:noVBand="1"/>
      </w:tblPr>
      <w:tblGrid>
        <w:gridCol w:w="1568"/>
        <w:gridCol w:w="775"/>
        <w:gridCol w:w="776"/>
        <w:gridCol w:w="991"/>
        <w:gridCol w:w="988"/>
        <w:gridCol w:w="781"/>
        <w:gridCol w:w="859"/>
        <w:gridCol w:w="776"/>
        <w:gridCol w:w="776"/>
        <w:gridCol w:w="772"/>
      </w:tblGrid>
      <w:tr w:rsidR="00CF050B" w:rsidRPr="001A6916" w14:paraId="7C361CCC" w14:textId="77777777" w:rsidTr="00735B55">
        <w:trPr>
          <w:trHeight w:val="300"/>
        </w:trPr>
        <w:tc>
          <w:tcPr>
            <w:tcW w:w="865" w:type="pct"/>
            <w:tcBorders>
              <w:top w:val="single" w:sz="4" w:space="0" w:color="auto"/>
              <w:left w:val="single" w:sz="4" w:space="0" w:color="auto"/>
              <w:bottom w:val="single" w:sz="4" w:space="0" w:color="auto"/>
              <w:right w:val="single" w:sz="4" w:space="0" w:color="auto"/>
            </w:tcBorders>
            <w:shd w:val="clear" w:color="000000" w:fill="D0CECE"/>
            <w:noWrap/>
            <w:vAlign w:val="center"/>
            <w:hideMark/>
          </w:tcPr>
          <w:p w14:paraId="5E6BB827" w14:textId="77777777" w:rsidR="001A6916" w:rsidRPr="001A6916" w:rsidRDefault="001A6916" w:rsidP="001A6916">
            <w:pPr>
              <w:spacing w:after="0" w:line="240" w:lineRule="auto"/>
              <w:rPr>
                <w:rFonts w:eastAsia="Times New Roman"/>
                <w:b/>
                <w:bCs/>
                <w:color w:val="000000"/>
                <w:lang w:eastAsia="nl-NL"/>
              </w:rPr>
            </w:pPr>
            <w:r w:rsidRPr="001A6916">
              <w:rPr>
                <w:rFonts w:eastAsia="Times New Roman"/>
                <w:b/>
                <w:bCs/>
                <w:color w:val="000000"/>
                <w:lang w:val="en-US" w:eastAsia="nl-NL"/>
              </w:rPr>
              <w:t>Final Model</w:t>
            </w:r>
          </w:p>
        </w:tc>
        <w:tc>
          <w:tcPr>
            <w:tcW w:w="428" w:type="pct"/>
            <w:tcBorders>
              <w:top w:val="single" w:sz="4" w:space="0" w:color="auto"/>
              <w:left w:val="nil"/>
              <w:bottom w:val="single" w:sz="4" w:space="0" w:color="auto"/>
              <w:right w:val="single" w:sz="4" w:space="0" w:color="auto"/>
            </w:tcBorders>
            <w:shd w:val="clear" w:color="000000" w:fill="D0CECE"/>
            <w:noWrap/>
            <w:vAlign w:val="center"/>
            <w:hideMark/>
          </w:tcPr>
          <w:p w14:paraId="6584898E" w14:textId="77777777" w:rsidR="001A6916" w:rsidRPr="001A6916" w:rsidRDefault="001A6916" w:rsidP="001A6916">
            <w:pPr>
              <w:spacing w:after="0" w:line="240" w:lineRule="auto"/>
              <w:rPr>
                <w:rFonts w:eastAsia="Times New Roman"/>
                <w:b/>
                <w:bCs/>
                <w:color w:val="000000"/>
                <w:lang w:eastAsia="nl-NL"/>
              </w:rPr>
            </w:pPr>
            <w:r w:rsidRPr="001A6916">
              <w:rPr>
                <w:rFonts w:eastAsia="Times New Roman"/>
                <w:b/>
                <w:bCs/>
                <w:color w:val="000000"/>
                <w:lang w:val="en-US" w:eastAsia="nl-NL"/>
              </w:rPr>
              <w:t>AT</w:t>
            </w:r>
          </w:p>
        </w:tc>
        <w:tc>
          <w:tcPr>
            <w:tcW w:w="428" w:type="pct"/>
            <w:tcBorders>
              <w:top w:val="single" w:sz="4" w:space="0" w:color="auto"/>
              <w:left w:val="nil"/>
              <w:bottom w:val="single" w:sz="4" w:space="0" w:color="auto"/>
              <w:right w:val="single" w:sz="4" w:space="0" w:color="auto"/>
            </w:tcBorders>
            <w:shd w:val="clear" w:color="000000" w:fill="D0CECE"/>
            <w:noWrap/>
            <w:vAlign w:val="center"/>
            <w:hideMark/>
          </w:tcPr>
          <w:p w14:paraId="289E012D" w14:textId="77777777" w:rsidR="001A6916" w:rsidRPr="001A6916" w:rsidRDefault="001A6916" w:rsidP="001A6916">
            <w:pPr>
              <w:spacing w:after="0" w:line="240" w:lineRule="auto"/>
              <w:rPr>
                <w:rFonts w:eastAsia="Times New Roman"/>
                <w:b/>
                <w:bCs/>
                <w:color w:val="000000"/>
                <w:lang w:eastAsia="nl-NL"/>
              </w:rPr>
            </w:pPr>
            <w:r w:rsidRPr="001A6916">
              <w:rPr>
                <w:rFonts w:eastAsia="Times New Roman"/>
                <w:b/>
                <w:bCs/>
                <w:color w:val="000000"/>
                <w:lang w:val="en-US" w:eastAsia="nl-NL"/>
              </w:rPr>
              <w:t>DE</w:t>
            </w:r>
          </w:p>
        </w:tc>
        <w:tc>
          <w:tcPr>
            <w:tcW w:w="547" w:type="pct"/>
            <w:tcBorders>
              <w:top w:val="single" w:sz="4" w:space="0" w:color="auto"/>
              <w:left w:val="nil"/>
              <w:bottom w:val="single" w:sz="4" w:space="0" w:color="auto"/>
              <w:right w:val="single" w:sz="4" w:space="0" w:color="auto"/>
            </w:tcBorders>
            <w:shd w:val="clear" w:color="000000" w:fill="D0CECE"/>
            <w:noWrap/>
            <w:vAlign w:val="center"/>
            <w:hideMark/>
          </w:tcPr>
          <w:p w14:paraId="509FE719" w14:textId="77777777" w:rsidR="001A6916" w:rsidRPr="001A6916" w:rsidRDefault="001A6916" w:rsidP="001A6916">
            <w:pPr>
              <w:spacing w:after="0" w:line="240" w:lineRule="auto"/>
              <w:rPr>
                <w:rFonts w:eastAsia="Times New Roman"/>
                <w:b/>
                <w:bCs/>
                <w:color w:val="000000"/>
                <w:lang w:eastAsia="nl-NL"/>
              </w:rPr>
            </w:pPr>
            <w:r w:rsidRPr="001A6916">
              <w:rPr>
                <w:rFonts w:eastAsia="Times New Roman"/>
                <w:b/>
                <w:bCs/>
                <w:color w:val="000000"/>
                <w:lang w:val="en-US" w:eastAsia="nl-NL"/>
              </w:rPr>
              <w:t>SE</w:t>
            </w:r>
          </w:p>
        </w:tc>
        <w:tc>
          <w:tcPr>
            <w:tcW w:w="545" w:type="pct"/>
            <w:tcBorders>
              <w:top w:val="single" w:sz="4" w:space="0" w:color="auto"/>
              <w:left w:val="nil"/>
              <w:bottom w:val="single" w:sz="4" w:space="0" w:color="auto"/>
              <w:right w:val="single" w:sz="4" w:space="0" w:color="auto"/>
            </w:tcBorders>
            <w:shd w:val="clear" w:color="000000" w:fill="D0CECE"/>
            <w:noWrap/>
            <w:vAlign w:val="center"/>
            <w:hideMark/>
          </w:tcPr>
          <w:p w14:paraId="21719C6D" w14:textId="77777777" w:rsidR="001A6916" w:rsidRPr="001A6916" w:rsidRDefault="001A6916" w:rsidP="001A6916">
            <w:pPr>
              <w:spacing w:after="0" w:line="240" w:lineRule="auto"/>
              <w:rPr>
                <w:rFonts w:eastAsia="Times New Roman"/>
                <w:b/>
                <w:bCs/>
                <w:color w:val="000000"/>
                <w:lang w:eastAsia="nl-NL"/>
              </w:rPr>
            </w:pPr>
            <w:r w:rsidRPr="001A6916">
              <w:rPr>
                <w:rFonts w:eastAsia="Times New Roman"/>
                <w:b/>
                <w:bCs/>
                <w:color w:val="000000"/>
                <w:lang w:val="en-US" w:eastAsia="nl-NL"/>
              </w:rPr>
              <w:t>NL</w:t>
            </w:r>
          </w:p>
        </w:tc>
        <w:tc>
          <w:tcPr>
            <w:tcW w:w="431" w:type="pct"/>
            <w:tcBorders>
              <w:top w:val="single" w:sz="4" w:space="0" w:color="auto"/>
              <w:left w:val="nil"/>
              <w:bottom w:val="single" w:sz="4" w:space="0" w:color="auto"/>
              <w:right w:val="single" w:sz="4" w:space="0" w:color="auto"/>
            </w:tcBorders>
            <w:shd w:val="clear" w:color="000000" w:fill="D0CECE"/>
            <w:noWrap/>
            <w:vAlign w:val="center"/>
            <w:hideMark/>
          </w:tcPr>
          <w:p w14:paraId="1E8ABC1E" w14:textId="77777777" w:rsidR="001A6916" w:rsidRPr="001A6916" w:rsidRDefault="001A6916" w:rsidP="001A6916">
            <w:pPr>
              <w:spacing w:after="0" w:line="240" w:lineRule="auto"/>
              <w:rPr>
                <w:rFonts w:eastAsia="Times New Roman"/>
                <w:b/>
                <w:bCs/>
                <w:color w:val="000000"/>
                <w:lang w:eastAsia="nl-NL"/>
              </w:rPr>
            </w:pPr>
            <w:r w:rsidRPr="001A6916">
              <w:rPr>
                <w:rFonts w:eastAsia="Times New Roman"/>
                <w:b/>
                <w:bCs/>
                <w:color w:val="000000"/>
                <w:lang w:val="en-US" w:eastAsia="nl-NL"/>
              </w:rPr>
              <w:t>ES</w:t>
            </w:r>
          </w:p>
        </w:tc>
        <w:tc>
          <w:tcPr>
            <w:tcW w:w="474" w:type="pct"/>
            <w:tcBorders>
              <w:top w:val="single" w:sz="4" w:space="0" w:color="auto"/>
              <w:left w:val="nil"/>
              <w:bottom w:val="single" w:sz="4" w:space="0" w:color="auto"/>
              <w:right w:val="single" w:sz="4" w:space="0" w:color="auto"/>
            </w:tcBorders>
            <w:shd w:val="clear" w:color="000000" w:fill="D0CECE"/>
            <w:noWrap/>
            <w:vAlign w:val="center"/>
            <w:hideMark/>
          </w:tcPr>
          <w:p w14:paraId="4B5F9F6B" w14:textId="77777777" w:rsidR="001A6916" w:rsidRPr="001A6916" w:rsidRDefault="001A6916" w:rsidP="001A6916">
            <w:pPr>
              <w:spacing w:after="0" w:line="240" w:lineRule="auto"/>
              <w:rPr>
                <w:rFonts w:eastAsia="Times New Roman"/>
                <w:b/>
                <w:bCs/>
                <w:color w:val="000000"/>
                <w:lang w:eastAsia="nl-NL"/>
              </w:rPr>
            </w:pPr>
            <w:r w:rsidRPr="001A6916">
              <w:rPr>
                <w:rFonts w:eastAsia="Times New Roman"/>
                <w:b/>
                <w:bCs/>
                <w:color w:val="000000"/>
                <w:lang w:val="en-US" w:eastAsia="nl-NL"/>
              </w:rPr>
              <w:t>IT</w:t>
            </w:r>
          </w:p>
        </w:tc>
        <w:tc>
          <w:tcPr>
            <w:tcW w:w="428" w:type="pct"/>
            <w:tcBorders>
              <w:top w:val="single" w:sz="4" w:space="0" w:color="auto"/>
              <w:left w:val="nil"/>
              <w:bottom w:val="single" w:sz="4" w:space="0" w:color="auto"/>
              <w:right w:val="single" w:sz="4" w:space="0" w:color="auto"/>
            </w:tcBorders>
            <w:shd w:val="clear" w:color="000000" w:fill="D0CECE"/>
            <w:noWrap/>
            <w:vAlign w:val="center"/>
            <w:hideMark/>
          </w:tcPr>
          <w:p w14:paraId="2E73A184" w14:textId="77777777" w:rsidR="001A6916" w:rsidRPr="001A6916" w:rsidRDefault="001A6916" w:rsidP="001A6916">
            <w:pPr>
              <w:spacing w:after="0" w:line="240" w:lineRule="auto"/>
              <w:rPr>
                <w:rFonts w:eastAsia="Times New Roman"/>
                <w:b/>
                <w:bCs/>
                <w:color w:val="000000"/>
                <w:lang w:eastAsia="nl-NL"/>
              </w:rPr>
            </w:pPr>
            <w:r w:rsidRPr="001A6916">
              <w:rPr>
                <w:rFonts w:eastAsia="Times New Roman"/>
                <w:b/>
                <w:bCs/>
                <w:color w:val="000000"/>
                <w:lang w:val="en-US" w:eastAsia="nl-NL"/>
              </w:rPr>
              <w:t>FR</w:t>
            </w:r>
          </w:p>
        </w:tc>
        <w:tc>
          <w:tcPr>
            <w:tcW w:w="428" w:type="pct"/>
            <w:tcBorders>
              <w:top w:val="single" w:sz="4" w:space="0" w:color="auto"/>
              <w:left w:val="nil"/>
              <w:bottom w:val="single" w:sz="4" w:space="0" w:color="auto"/>
              <w:right w:val="single" w:sz="4" w:space="0" w:color="auto"/>
            </w:tcBorders>
            <w:shd w:val="clear" w:color="000000" w:fill="D0CECE"/>
            <w:noWrap/>
            <w:vAlign w:val="center"/>
            <w:hideMark/>
          </w:tcPr>
          <w:p w14:paraId="25081009" w14:textId="77777777" w:rsidR="001A6916" w:rsidRPr="001A6916" w:rsidRDefault="001A6916" w:rsidP="001A6916">
            <w:pPr>
              <w:spacing w:after="0" w:line="240" w:lineRule="auto"/>
              <w:rPr>
                <w:rFonts w:eastAsia="Times New Roman"/>
                <w:b/>
                <w:bCs/>
                <w:color w:val="000000"/>
                <w:lang w:eastAsia="nl-NL"/>
              </w:rPr>
            </w:pPr>
            <w:r w:rsidRPr="001A6916">
              <w:rPr>
                <w:rFonts w:eastAsia="Times New Roman"/>
                <w:b/>
                <w:bCs/>
                <w:color w:val="000000"/>
                <w:lang w:val="en-US" w:eastAsia="nl-NL"/>
              </w:rPr>
              <w:t>DK</w:t>
            </w:r>
          </w:p>
        </w:tc>
        <w:tc>
          <w:tcPr>
            <w:tcW w:w="426" w:type="pct"/>
            <w:tcBorders>
              <w:top w:val="single" w:sz="4" w:space="0" w:color="auto"/>
              <w:left w:val="nil"/>
              <w:bottom w:val="single" w:sz="4" w:space="0" w:color="auto"/>
              <w:right w:val="single" w:sz="4" w:space="0" w:color="auto"/>
            </w:tcBorders>
            <w:shd w:val="clear" w:color="000000" w:fill="D0CECE"/>
            <w:noWrap/>
            <w:vAlign w:val="center"/>
            <w:hideMark/>
          </w:tcPr>
          <w:p w14:paraId="415BDCE5" w14:textId="77777777" w:rsidR="001A6916" w:rsidRPr="001A6916" w:rsidRDefault="001A6916" w:rsidP="001A6916">
            <w:pPr>
              <w:spacing w:after="0" w:line="240" w:lineRule="auto"/>
              <w:rPr>
                <w:rFonts w:eastAsia="Times New Roman"/>
                <w:b/>
                <w:bCs/>
                <w:color w:val="000000"/>
                <w:lang w:eastAsia="nl-NL"/>
              </w:rPr>
            </w:pPr>
            <w:r w:rsidRPr="001A6916">
              <w:rPr>
                <w:rFonts w:eastAsia="Times New Roman"/>
                <w:b/>
                <w:bCs/>
                <w:color w:val="000000"/>
                <w:lang w:val="en-US" w:eastAsia="nl-NL"/>
              </w:rPr>
              <w:t>CH</w:t>
            </w:r>
          </w:p>
        </w:tc>
      </w:tr>
      <w:tr w:rsidR="001A6916" w:rsidRPr="001A6916" w14:paraId="5BA1C169" w14:textId="77777777" w:rsidTr="00735B55">
        <w:trPr>
          <w:trHeight w:val="300"/>
        </w:trPr>
        <w:tc>
          <w:tcPr>
            <w:tcW w:w="865" w:type="pct"/>
            <w:tcBorders>
              <w:top w:val="nil"/>
              <w:left w:val="single" w:sz="4" w:space="0" w:color="auto"/>
              <w:bottom w:val="single" w:sz="4" w:space="0" w:color="auto"/>
              <w:right w:val="single" w:sz="4" w:space="0" w:color="auto"/>
            </w:tcBorders>
            <w:shd w:val="clear" w:color="000000" w:fill="DDEBF7"/>
            <w:noWrap/>
            <w:vAlign w:val="center"/>
            <w:hideMark/>
          </w:tcPr>
          <w:p w14:paraId="42FBB59F" w14:textId="77777777" w:rsidR="001A6916" w:rsidRPr="001A6916" w:rsidRDefault="001A6916" w:rsidP="001A6916">
            <w:pPr>
              <w:spacing w:after="0" w:line="240" w:lineRule="auto"/>
              <w:rPr>
                <w:rFonts w:eastAsia="Times New Roman"/>
                <w:color w:val="000000"/>
                <w:lang w:eastAsia="nl-NL"/>
              </w:rPr>
            </w:pPr>
            <w:r w:rsidRPr="001A6916">
              <w:rPr>
                <w:rFonts w:eastAsia="Times New Roman"/>
                <w:color w:val="000000"/>
                <w:lang w:val="en-US" w:eastAsia="nl-NL"/>
              </w:rPr>
              <w:t>Mean BMI 2004</w:t>
            </w:r>
          </w:p>
        </w:tc>
        <w:tc>
          <w:tcPr>
            <w:tcW w:w="428" w:type="pct"/>
            <w:tcBorders>
              <w:top w:val="nil"/>
              <w:left w:val="nil"/>
              <w:bottom w:val="single" w:sz="4" w:space="0" w:color="auto"/>
              <w:right w:val="single" w:sz="4" w:space="0" w:color="auto"/>
            </w:tcBorders>
            <w:shd w:val="clear" w:color="auto" w:fill="auto"/>
            <w:noWrap/>
            <w:vAlign w:val="bottom"/>
            <w:hideMark/>
          </w:tcPr>
          <w:p w14:paraId="4D7363D0"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27,2</w:t>
            </w:r>
            <w:r w:rsidR="00CF050B">
              <w:rPr>
                <w:rFonts w:eastAsia="Times New Roman"/>
                <w:color w:val="000000"/>
                <w:lang w:eastAsia="nl-NL"/>
              </w:rPr>
              <w:t>0</w:t>
            </w:r>
          </w:p>
        </w:tc>
        <w:tc>
          <w:tcPr>
            <w:tcW w:w="428" w:type="pct"/>
            <w:tcBorders>
              <w:top w:val="nil"/>
              <w:left w:val="nil"/>
              <w:bottom w:val="single" w:sz="4" w:space="0" w:color="auto"/>
              <w:right w:val="single" w:sz="4" w:space="0" w:color="auto"/>
            </w:tcBorders>
            <w:shd w:val="clear" w:color="auto" w:fill="auto"/>
            <w:noWrap/>
            <w:vAlign w:val="bottom"/>
            <w:hideMark/>
          </w:tcPr>
          <w:p w14:paraId="5EC8EE3D"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26,55</w:t>
            </w:r>
          </w:p>
        </w:tc>
        <w:tc>
          <w:tcPr>
            <w:tcW w:w="547" w:type="pct"/>
            <w:tcBorders>
              <w:top w:val="nil"/>
              <w:left w:val="nil"/>
              <w:bottom w:val="single" w:sz="4" w:space="0" w:color="auto"/>
              <w:right w:val="single" w:sz="4" w:space="0" w:color="auto"/>
            </w:tcBorders>
            <w:shd w:val="clear" w:color="auto" w:fill="auto"/>
            <w:noWrap/>
            <w:vAlign w:val="bottom"/>
            <w:hideMark/>
          </w:tcPr>
          <w:p w14:paraId="5D688588"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25,98</w:t>
            </w:r>
          </w:p>
        </w:tc>
        <w:tc>
          <w:tcPr>
            <w:tcW w:w="545" w:type="pct"/>
            <w:tcBorders>
              <w:top w:val="nil"/>
              <w:left w:val="nil"/>
              <w:bottom w:val="single" w:sz="4" w:space="0" w:color="auto"/>
              <w:right w:val="single" w:sz="4" w:space="0" w:color="auto"/>
            </w:tcBorders>
            <w:shd w:val="clear" w:color="auto" w:fill="auto"/>
            <w:noWrap/>
            <w:vAlign w:val="bottom"/>
            <w:hideMark/>
          </w:tcPr>
          <w:p w14:paraId="0DD7976A"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26,23</w:t>
            </w:r>
          </w:p>
        </w:tc>
        <w:tc>
          <w:tcPr>
            <w:tcW w:w="431" w:type="pct"/>
            <w:tcBorders>
              <w:top w:val="nil"/>
              <w:left w:val="nil"/>
              <w:bottom w:val="single" w:sz="4" w:space="0" w:color="auto"/>
              <w:right w:val="single" w:sz="4" w:space="0" w:color="auto"/>
            </w:tcBorders>
            <w:shd w:val="clear" w:color="auto" w:fill="auto"/>
            <w:noWrap/>
            <w:vAlign w:val="bottom"/>
            <w:hideMark/>
          </w:tcPr>
          <w:p w14:paraId="22D86B4B"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27,84</w:t>
            </w:r>
          </w:p>
        </w:tc>
        <w:tc>
          <w:tcPr>
            <w:tcW w:w="474" w:type="pct"/>
            <w:tcBorders>
              <w:top w:val="nil"/>
              <w:left w:val="nil"/>
              <w:bottom w:val="single" w:sz="4" w:space="0" w:color="auto"/>
              <w:right w:val="single" w:sz="4" w:space="0" w:color="auto"/>
            </w:tcBorders>
            <w:shd w:val="clear" w:color="auto" w:fill="auto"/>
            <w:noWrap/>
            <w:vAlign w:val="bottom"/>
            <w:hideMark/>
          </w:tcPr>
          <w:p w14:paraId="6398CF0C"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26,69</w:t>
            </w:r>
          </w:p>
        </w:tc>
        <w:tc>
          <w:tcPr>
            <w:tcW w:w="428" w:type="pct"/>
            <w:tcBorders>
              <w:top w:val="nil"/>
              <w:left w:val="nil"/>
              <w:bottom w:val="single" w:sz="4" w:space="0" w:color="auto"/>
              <w:right w:val="single" w:sz="4" w:space="0" w:color="auto"/>
            </w:tcBorders>
            <w:shd w:val="clear" w:color="auto" w:fill="auto"/>
            <w:noWrap/>
            <w:vAlign w:val="bottom"/>
            <w:hideMark/>
          </w:tcPr>
          <w:p w14:paraId="784BDF0A"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25,86</w:t>
            </w:r>
          </w:p>
        </w:tc>
        <w:tc>
          <w:tcPr>
            <w:tcW w:w="428" w:type="pct"/>
            <w:tcBorders>
              <w:top w:val="nil"/>
              <w:left w:val="nil"/>
              <w:bottom w:val="single" w:sz="4" w:space="0" w:color="auto"/>
              <w:right w:val="single" w:sz="4" w:space="0" w:color="auto"/>
            </w:tcBorders>
            <w:shd w:val="clear" w:color="auto" w:fill="auto"/>
            <w:noWrap/>
            <w:vAlign w:val="bottom"/>
            <w:hideMark/>
          </w:tcPr>
          <w:p w14:paraId="11B8811D"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25,79</w:t>
            </w:r>
          </w:p>
        </w:tc>
        <w:tc>
          <w:tcPr>
            <w:tcW w:w="426" w:type="pct"/>
            <w:tcBorders>
              <w:top w:val="nil"/>
              <w:left w:val="nil"/>
              <w:bottom w:val="single" w:sz="4" w:space="0" w:color="auto"/>
              <w:right w:val="single" w:sz="4" w:space="0" w:color="auto"/>
            </w:tcBorders>
            <w:shd w:val="clear" w:color="auto" w:fill="auto"/>
            <w:noWrap/>
            <w:vAlign w:val="bottom"/>
            <w:hideMark/>
          </w:tcPr>
          <w:p w14:paraId="6E3E0063"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25,31</w:t>
            </w:r>
          </w:p>
        </w:tc>
      </w:tr>
      <w:tr w:rsidR="001A6916" w:rsidRPr="001A6916" w14:paraId="01F29D92" w14:textId="77777777" w:rsidTr="00735B55">
        <w:trPr>
          <w:trHeight w:val="300"/>
        </w:trPr>
        <w:tc>
          <w:tcPr>
            <w:tcW w:w="865" w:type="pct"/>
            <w:tcBorders>
              <w:top w:val="nil"/>
              <w:left w:val="single" w:sz="4" w:space="0" w:color="auto"/>
              <w:bottom w:val="single" w:sz="4" w:space="0" w:color="auto"/>
              <w:right w:val="single" w:sz="4" w:space="0" w:color="auto"/>
            </w:tcBorders>
            <w:shd w:val="clear" w:color="000000" w:fill="DDEBF7"/>
            <w:noWrap/>
            <w:vAlign w:val="center"/>
            <w:hideMark/>
          </w:tcPr>
          <w:p w14:paraId="6785C544" w14:textId="77777777" w:rsidR="001A6916" w:rsidRPr="001A6916" w:rsidRDefault="001A6916" w:rsidP="001A6916">
            <w:pPr>
              <w:spacing w:after="0" w:line="240" w:lineRule="auto"/>
              <w:rPr>
                <w:rFonts w:eastAsia="Times New Roman"/>
                <w:color w:val="000000"/>
                <w:lang w:eastAsia="nl-NL"/>
              </w:rPr>
            </w:pPr>
            <w:r w:rsidRPr="001A6916">
              <w:rPr>
                <w:rFonts w:eastAsia="Times New Roman"/>
                <w:color w:val="000000"/>
                <w:lang w:eastAsia="nl-NL"/>
              </w:rPr>
              <w:t>Mean BMI 2010</w:t>
            </w:r>
          </w:p>
        </w:tc>
        <w:tc>
          <w:tcPr>
            <w:tcW w:w="428" w:type="pct"/>
            <w:tcBorders>
              <w:top w:val="nil"/>
              <w:left w:val="nil"/>
              <w:bottom w:val="single" w:sz="4" w:space="0" w:color="auto"/>
              <w:right w:val="single" w:sz="4" w:space="0" w:color="auto"/>
            </w:tcBorders>
            <w:shd w:val="clear" w:color="auto" w:fill="auto"/>
            <w:noWrap/>
            <w:vAlign w:val="bottom"/>
            <w:hideMark/>
          </w:tcPr>
          <w:p w14:paraId="11ED9FAB"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27,14</w:t>
            </w:r>
          </w:p>
        </w:tc>
        <w:tc>
          <w:tcPr>
            <w:tcW w:w="428" w:type="pct"/>
            <w:tcBorders>
              <w:top w:val="nil"/>
              <w:left w:val="nil"/>
              <w:bottom w:val="single" w:sz="4" w:space="0" w:color="auto"/>
              <w:right w:val="single" w:sz="4" w:space="0" w:color="auto"/>
            </w:tcBorders>
            <w:shd w:val="clear" w:color="auto" w:fill="auto"/>
            <w:noWrap/>
            <w:vAlign w:val="bottom"/>
            <w:hideMark/>
          </w:tcPr>
          <w:p w14:paraId="64130E0E"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26,73</w:t>
            </w:r>
          </w:p>
        </w:tc>
        <w:tc>
          <w:tcPr>
            <w:tcW w:w="547" w:type="pct"/>
            <w:tcBorders>
              <w:top w:val="nil"/>
              <w:left w:val="nil"/>
              <w:bottom w:val="single" w:sz="4" w:space="0" w:color="auto"/>
              <w:right w:val="single" w:sz="4" w:space="0" w:color="auto"/>
            </w:tcBorders>
            <w:shd w:val="clear" w:color="auto" w:fill="auto"/>
            <w:noWrap/>
            <w:vAlign w:val="bottom"/>
            <w:hideMark/>
          </w:tcPr>
          <w:p w14:paraId="4A0F0BFF"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26,17</w:t>
            </w:r>
          </w:p>
        </w:tc>
        <w:tc>
          <w:tcPr>
            <w:tcW w:w="545" w:type="pct"/>
            <w:tcBorders>
              <w:top w:val="nil"/>
              <w:left w:val="nil"/>
              <w:bottom w:val="single" w:sz="4" w:space="0" w:color="auto"/>
              <w:right w:val="single" w:sz="4" w:space="0" w:color="auto"/>
            </w:tcBorders>
            <w:shd w:val="clear" w:color="auto" w:fill="auto"/>
            <w:noWrap/>
            <w:vAlign w:val="bottom"/>
            <w:hideMark/>
          </w:tcPr>
          <w:p w14:paraId="3E4C1878"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26,28</w:t>
            </w:r>
          </w:p>
        </w:tc>
        <w:tc>
          <w:tcPr>
            <w:tcW w:w="431" w:type="pct"/>
            <w:tcBorders>
              <w:top w:val="nil"/>
              <w:left w:val="nil"/>
              <w:bottom w:val="single" w:sz="4" w:space="0" w:color="auto"/>
              <w:right w:val="single" w:sz="4" w:space="0" w:color="auto"/>
            </w:tcBorders>
            <w:shd w:val="clear" w:color="auto" w:fill="auto"/>
            <w:noWrap/>
            <w:vAlign w:val="bottom"/>
            <w:hideMark/>
          </w:tcPr>
          <w:p w14:paraId="08537D7A"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27,9</w:t>
            </w:r>
          </w:p>
        </w:tc>
        <w:tc>
          <w:tcPr>
            <w:tcW w:w="474" w:type="pct"/>
            <w:tcBorders>
              <w:top w:val="nil"/>
              <w:left w:val="nil"/>
              <w:bottom w:val="single" w:sz="4" w:space="0" w:color="auto"/>
              <w:right w:val="single" w:sz="4" w:space="0" w:color="auto"/>
            </w:tcBorders>
            <w:shd w:val="clear" w:color="auto" w:fill="auto"/>
            <w:noWrap/>
            <w:vAlign w:val="bottom"/>
            <w:hideMark/>
          </w:tcPr>
          <w:p w14:paraId="0601688C"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26,72</w:t>
            </w:r>
          </w:p>
        </w:tc>
        <w:tc>
          <w:tcPr>
            <w:tcW w:w="428" w:type="pct"/>
            <w:tcBorders>
              <w:top w:val="nil"/>
              <w:left w:val="nil"/>
              <w:bottom w:val="single" w:sz="4" w:space="0" w:color="auto"/>
              <w:right w:val="single" w:sz="4" w:space="0" w:color="auto"/>
            </w:tcBorders>
            <w:shd w:val="clear" w:color="auto" w:fill="auto"/>
            <w:noWrap/>
            <w:vAlign w:val="bottom"/>
            <w:hideMark/>
          </w:tcPr>
          <w:p w14:paraId="7F147150"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26,07</w:t>
            </w:r>
          </w:p>
        </w:tc>
        <w:tc>
          <w:tcPr>
            <w:tcW w:w="428" w:type="pct"/>
            <w:tcBorders>
              <w:top w:val="nil"/>
              <w:left w:val="nil"/>
              <w:bottom w:val="single" w:sz="4" w:space="0" w:color="auto"/>
              <w:right w:val="single" w:sz="4" w:space="0" w:color="auto"/>
            </w:tcBorders>
            <w:shd w:val="clear" w:color="auto" w:fill="auto"/>
            <w:noWrap/>
            <w:vAlign w:val="bottom"/>
            <w:hideMark/>
          </w:tcPr>
          <w:p w14:paraId="4E4BFB94"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25,88</w:t>
            </w:r>
          </w:p>
        </w:tc>
        <w:tc>
          <w:tcPr>
            <w:tcW w:w="426" w:type="pct"/>
            <w:tcBorders>
              <w:top w:val="nil"/>
              <w:left w:val="nil"/>
              <w:bottom w:val="single" w:sz="4" w:space="0" w:color="auto"/>
              <w:right w:val="single" w:sz="4" w:space="0" w:color="auto"/>
            </w:tcBorders>
            <w:shd w:val="clear" w:color="auto" w:fill="auto"/>
            <w:noWrap/>
            <w:vAlign w:val="bottom"/>
            <w:hideMark/>
          </w:tcPr>
          <w:p w14:paraId="53FF3DCC"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eastAsia="nl-NL"/>
              </w:rPr>
              <w:t>25,51</w:t>
            </w:r>
          </w:p>
        </w:tc>
      </w:tr>
      <w:tr w:rsidR="00CF050B" w:rsidRPr="001A6916" w14:paraId="5F7578C8" w14:textId="77777777" w:rsidTr="00735B55">
        <w:trPr>
          <w:trHeight w:val="300"/>
        </w:trPr>
        <w:tc>
          <w:tcPr>
            <w:tcW w:w="865" w:type="pct"/>
            <w:tcBorders>
              <w:top w:val="nil"/>
              <w:left w:val="single" w:sz="4" w:space="0" w:color="auto"/>
              <w:bottom w:val="single" w:sz="4" w:space="0" w:color="auto"/>
              <w:right w:val="single" w:sz="4" w:space="0" w:color="auto"/>
            </w:tcBorders>
            <w:shd w:val="clear" w:color="000000" w:fill="DDEBF7"/>
            <w:noWrap/>
            <w:vAlign w:val="center"/>
            <w:hideMark/>
          </w:tcPr>
          <w:p w14:paraId="53939113" w14:textId="77777777" w:rsidR="001A6916" w:rsidRPr="001A6916" w:rsidRDefault="001A6916" w:rsidP="001A6916">
            <w:pPr>
              <w:spacing w:after="0" w:line="240" w:lineRule="auto"/>
              <w:rPr>
                <w:rFonts w:eastAsia="Times New Roman"/>
                <w:color w:val="000000"/>
                <w:lang w:eastAsia="nl-NL"/>
              </w:rPr>
            </w:pPr>
            <w:r w:rsidRPr="001A6916">
              <w:rPr>
                <w:rFonts w:eastAsia="Times New Roman"/>
                <w:color w:val="000000"/>
                <w:lang w:val="en-US" w:eastAsia="nl-NL"/>
              </w:rPr>
              <w:t>BMI Change</w:t>
            </w:r>
          </w:p>
        </w:tc>
        <w:tc>
          <w:tcPr>
            <w:tcW w:w="428" w:type="pct"/>
            <w:tcBorders>
              <w:top w:val="nil"/>
              <w:left w:val="nil"/>
              <w:bottom w:val="single" w:sz="4" w:space="0" w:color="auto"/>
              <w:right w:val="single" w:sz="4" w:space="0" w:color="auto"/>
            </w:tcBorders>
            <w:shd w:val="clear" w:color="000000" w:fill="FCD5B4"/>
            <w:noWrap/>
            <w:vAlign w:val="center"/>
            <w:hideMark/>
          </w:tcPr>
          <w:p w14:paraId="5F317818"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val="en-US" w:eastAsia="nl-NL"/>
              </w:rPr>
              <w:t>-0.06</w:t>
            </w:r>
          </w:p>
        </w:tc>
        <w:tc>
          <w:tcPr>
            <w:tcW w:w="428" w:type="pct"/>
            <w:tcBorders>
              <w:top w:val="nil"/>
              <w:left w:val="nil"/>
              <w:bottom w:val="single" w:sz="4" w:space="0" w:color="auto"/>
              <w:right w:val="single" w:sz="4" w:space="0" w:color="auto"/>
            </w:tcBorders>
            <w:shd w:val="clear" w:color="000000" w:fill="C2E1B5"/>
            <w:noWrap/>
            <w:vAlign w:val="center"/>
            <w:hideMark/>
          </w:tcPr>
          <w:p w14:paraId="07D91AAC"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val="en-US" w:eastAsia="nl-NL"/>
              </w:rPr>
              <w:t>0.18*</w:t>
            </w:r>
          </w:p>
        </w:tc>
        <w:tc>
          <w:tcPr>
            <w:tcW w:w="547" w:type="pct"/>
            <w:tcBorders>
              <w:top w:val="nil"/>
              <w:left w:val="nil"/>
              <w:bottom w:val="single" w:sz="4" w:space="0" w:color="auto"/>
              <w:right w:val="single" w:sz="4" w:space="0" w:color="auto"/>
            </w:tcBorders>
            <w:shd w:val="clear" w:color="000000" w:fill="C2E1B5"/>
            <w:noWrap/>
            <w:vAlign w:val="center"/>
            <w:hideMark/>
          </w:tcPr>
          <w:p w14:paraId="2EE0E5D1"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val="en-US" w:eastAsia="nl-NL"/>
              </w:rPr>
              <w:t>0.19*</w:t>
            </w:r>
          </w:p>
        </w:tc>
        <w:tc>
          <w:tcPr>
            <w:tcW w:w="545" w:type="pct"/>
            <w:tcBorders>
              <w:top w:val="nil"/>
              <w:left w:val="nil"/>
              <w:bottom w:val="single" w:sz="4" w:space="0" w:color="auto"/>
              <w:right w:val="single" w:sz="4" w:space="0" w:color="auto"/>
            </w:tcBorders>
            <w:shd w:val="clear" w:color="000000" w:fill="C2E1B5"/>
            <w:noWrap/>
            <w:vAlign w:val="center"/>
            <w:hideMark/>
          </w:tcPr>
          <w:p w14:paraId="04DD58A6"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val="en-US" w:eastAsia="nl-NL"/>
              </w:rPr>
              <w:t>0.05</w:t>
            </w:r>
          </w:p>
        </w:tc>
        <w:tc>
          <w:tcPr>
            <w:tcW w:w="431" w:type="pct"/>
            <w:tcBorders>
              <w:top w:val="nil"/>
              <w:left w:val="nil"/>
              <w:bottom w:val="single" w:sz="4" w:space="0" w:color="auto"/>
              <w:right w:val="single" w:sz="4" w:space="0" w:color="auto"/>
            </w:tcBorders>
            <w:shd w:val="clear" w:color="000000" w:fill="C2E1B5"/>
            <w:noWrap/>
            <w:vAlign w:val="center"/>
            <w:hideMark/>
          </w:tcPr>
          <w:p w14:paraId="3A9E83FD"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val="en-US" w:eastAsia="nl-NL"/>
              </w:rPr>
              <w:t>0.06</w:t>
            </w:r>
          </w:p>
        </w:tc>
        <w:tc>
          <w:tcPr>
            <w:tcW w:w="474" w:type="pct"/>
            <w:tcBorders>
              <w:top w:val="nil"/>
              <w:left w:val="nil"/>
              <w:bottom w:val="single" w:sz="4" w:space="0" w:color="auto"/>
              <w:right w:val="single" w:sz="4" w:space="0" w:color="auto"/>
            </w:tcBorders>
            <w:shd w:val="clear" w:color="000000" w:fill="C2E1B5"/>
            <w:noWrap/>
            <w:vAlign w:val="center"/>
            <w:hideMark/>
          </w:tcPr>
          <w:p w14:paraId="6E3A56C7"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val="en-US" w:eastAsia="nl-NL"/>
              </w:rPr>
              <w:t>0.03</w:t>
            </w:r>
          </w:p>
        </w:tc>
        <w:tc>
          <w:tcPr>
            <w:tcW w:w="428" w:type="pct"/>
            <w:tcBorders>
              <w:top w:val="nil"/>
              <w:left w:val="nil"/>
              <w:bottom w:val="single" w:sz="4" w:space="0" w:color="auto"/>
              <w:right w:val="single" w:sz="4" w:space="0" w:color="auto"/>
            </w:tcBorders>
            <w:shd w:val="clear" w:color="000000" w:fill="C2E1B5"/>
            <w:noWrap/>
            <w:vAlign w:val="center"/>
            <w:hideMark/>
          </w:tcPr>
          <w:p w14:paraId="4F1FF047"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val="en-US" w:eastAsia="nl-NL"/>
              </w:rPr>
              <w:t>0.21*</w:t>
            </w:r>
          </w:p>
        </w:tc>
        <w:tc>
          <w:tcPr>
            <w:tcW w:w="428" w:type="pct"/>
            <w:tcBorders>
              <w:top w:val="nil"/>
              <w:left w:val="nil"/>
              <w:bottom w:val="single" w:sz="4" w:space="0" w:color="auto"/>
              <w:right w:val="single" w:sz="4" w:space="0" w:color="auto"/>
            </w:tcBorders>
            <w:shd w:val="clear" w:color="000000" w:fill="C2E1B5"/>
            <w:noWrap/>
            <w:vAlign w:val="center"/>
            <w:hideMark/>
          </w:tcPr>
          <w:p w14:paraId="1751A17F"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val="en-US" w:eastAsia="nl-NL"/>
              </w:rPr>
              <w:t>0.09</w:t>
            </w:r>
          </w:p>
        </w:tc>
        <w:tc>
          <w:tcPr>
            <w:tcW w:w="426" w:type="pct"/>
            <w:tcBorders>
              <w:top w:val="nil"/>
              <w:left w:val="nil"/>
              <w:bottom w:val="single" w:sz="4" w:space="0" w:color="auto"/>
              <w:right w:val="single" w:sz="4" w:space="0" w:color="auto"/>
            </w:tcBorders>
            <w:shd w:val="clear" w:color="000000" w:fill="C2E1B5"/>
            <w:noWrap/>
            <w:vAlign w:val="center"/>
            <w:hideMark/>
          </w:tcPr>
          <w:p w14:paraId="31AD467A" w14:textId="77777777" w:rsidR="001A6916" w:rsidRPr="001A6916" w:rsidRDefault="001A6916" w:rsidP="001A6916">
            <w:pPr>
              <w:spacing w:after="0" w:line="240" w:lineRule="auto"/>
              <w:jc w:val="right"/>
              <w:rPr>
                <w:rFonts w:eastAsia="Times New Roman"/>
                <w:color w:val="000000"/>
                <w:lang w:eastAsia="nl-NL"/>
              </w:rPr>
            </w:pPr>
            <w:r w:rsidRPr="001A6916">
              <w:rPr>
                <w:rFonts w:eastAsia="Times New Roman"/>
                <w:color w:val="000000"/>
                <w:lang w:val="en-US" w:eastAsia="nl-NL"/>
              </w:rPr>
              <w:t>0.20*</w:t>
            </w:r>
          </w:p>
        </w:tc>
      </w:tr>
      <w:tr w:rsidR="001A6916" w:rsidRPr="001A6916" w14:paraId="10A2094B" w14:textId="77777777" w:rsidTr="00735B55">
        <w:trPr>
          <w:trHeight w:val="300"/>
        </w:trPr>
        <w:tc>
          <w:tcPr>
            <w:tcW w:w="865" w:type="pct"/>
            <w:tcBorders>
              <w:top w:val="nil"/>
              <w:left w:val="single" w:sz="4" w:space="0" w:color="auto"/>
              <w:bottom w:val="single" w:sz="4" w:space="0" w:color="auto"/>
              <w:right w:val="single" w:sz="4" w:space="0" w:color="auto"/>
            </w:tcBorders>
            <w:shd w:val="clear" w:color="000000" w:fill="DDEBF7"/>
            <w:vAlign w:val="center"/>
            <w:hideMark/>
          </w:tcPr>
          <w:p w14:paraId="38A76EEB" w14:textId="77777777" w:rsidR="001A6916" w:rsidRPr="001A6916" w:rsidRDefault="001A6916" w:rsidP="001A6916">
            <w:pPr>
              <w:spacing w:after="0" w:line="240" w:lineRule="auto"/>
              <w:rPr>
                <w:rFonts w:eastAsia="Times New Roman"/>
                <w:i/>
                <w:iCs/>
                <w:color w:val="000000"/>
                <w:lang w:eastAsia="nl-NL"/>
              </w:rPr>
            </w:pPr>
            <w:r w:rsidRPr="001A6916">
              <w:rPr>
                <w:rFonts w:eastAsia="Times New Roman"/>
                <w:i/>
                <w:iCs/>
                <w:color w:val="000000"/>
                <w:lang w:val="en-US" w:eastAsia="nl-NL"/>
              </w:rPr>
              <w:t>Sample size</w:t>
            </w:r>
          </w:p>
        </w:tc>
        <w:tc>
          <w:tcPr>
            <w:tcW w:w="428" w:type="pct"/>
            <w:tcBorders>
              <w:top w:val="nil"/>
              <w:left w:val="nil"/>
              <w:bottom w:val="single" w:sz="4" w:space="0" w:color="auto"/>
              <w:right w:val="single" w:sz="4" w:space="0" w:color="auto"/>
            </w:tcBorders>
            <w:shd w:val="clear" w:color="auto" w:fill="auto"/>
            <w:noWrap/>
            <w:vAlign w:val="center"/>
            <w:hideMark/>
          </w:tcPr>
          <w:p w14:paraId="0A56F42F" w14:textId="77777777" w:rsidR="001A6916" w:rsidRPr="001A6916" w:rsidRDefault="001A6916" w:rsidP="001A6916">
            <w:pPr>
              <w:spacing w:after="0" w:line="240" w:lineRule="auto"/>
              <w:jc w:val="right"/>
              <w:rPr>
                <w:rFonts w:eastAsia="Times New Roman"/>
                <w:i/>
                <w:iCs/>
                <w:color w:val="000000"/>
                <w:lang w:eastAsia="nl-NL"/>
              </w:rPr>
            </w:pPr>
            <w:r w:rsidRPr="001A6916">
              <w:rPr>
                <w:rFonts w:eastAsia="Times New Roman"/>
                <w:i/>
                <w:iCs/>
                <w:color w:val="000000"/>
                <w:lang w:val="en-US" w:eastAsia="nl-NL"/>
              </w:rPr>
              <w:t>483</w:t>
            </w:r>
          </w:p>
        </w:tc>
        <w:tc>
          <w:tcPr>
            <w:tcW w:w="428" w:type="pct"/>
            <w:tcBorders>
              <w:top w:val="nil"/>
              <w:left w:val="nil"/>
              <w:bottom w:val="single" w:sz="4" w:space="0" w:color="auto"/>
              <w:right w:val="single" w:sz="4" w:space="0" w:color="auto"/>
            </w:tcBorders>
            <w:shd w:val="clear" w:color="auto" w:fill="auto"/>
            <w:noWrap/>
            <w:vAlign w:val="center"/>
            <w:hideMark/>
          </w:tcPr>
          <w:p w14:paraId="44E25523" w14:textId="77777777" w:rsidR="001A6916" w:rsidRPr="001A6916" w:rsidRDefault="001A6916" w:rsidP="001A6916">
            <w:pPr>
              <w:spacing w:after="0" w:line="240" w:lineRule="auto"/>
              <w:jc w:val="right"/>
              <w:rPr>
                <w:rFonts w:eastAsia="Times New Roman"/>
                <w:i/>
                <w:iCs/>
                <w:color w:val="000000"/>
                <w:lang w:eastAsia="nl-NL"/>
              </w:rPr>
            </w:pPr>
            <w:r w:rsidRPr="001A6916">
              <w:rPr>
                <w:rFonts w:eastAsia="Times New Roman"/>
                <w:i/>
                <w:iCs/>
                <w:color w:val="000000"/>
                <w:lang w:val="en-US" w:eastAsia="nl-NL"/>
              </w:rPr>
              <w:t>909</w:t>
            </w:r>
          </w:p>
        </w:tc>
        <w:tc>
          <w:tcPr>
            <w:tcW w:w="547" w:type="pct"/>
            <w:tcBorders>
              <w:top w:val="nil"/>
              <w:left w:val="nil"/>
              <w:bottom w:val="single" w:sz="4" w:space="0" w:color="auto"/>
              <w:right w:val="single" w:sz="4" w:space="0" w:color="auto"/>
            </w:tcBorders>
            <w:shd w:val="clear" w:color="auto" w:fill="auto"/>
            <w:noWrap/>
            <w:vAlign w:val="center"/>
            <w:hideMark/>
          </w:tcPr>
          <w:p w14:paraId="39E9040B" w14:textId="77777777" w:rsidR="001A6916" w:rsidRPr="001A6916" w:rsidRDefault="001A6916" w:rsidP="001A6916">
            <w:pPr>
              <w:spacing w:after="0" w:line="240" w:lineRule="auto"/>
              <w:jc w:val="right"/>
              <w:rPr>
                <w:rFonts w:eastAsia="Times New Roman"/>
                <w:i/>
                <w:iCs/>
                <w:color w:val="000000"/>
                <w:lang w:eastAsia="nl-NL"/>
              </w:rPr>
            </w:pPr>
            <w:r w:rsidRPr="001A6916">
              <w:rPr>
                <w:rFonts w:eastAsia="Times New Roman"/>
                <w:i/>
                <w:iCs/>
                <w:color w:val="000000"/>
                <w:lang w:val="en-US" w:eastAsia="nl-NL"/>
              </w:rPr>
              <w:t>1095</w:t>
            </w:r>
          </w:p>
        </w:tc>
        <w:tc>
          <w:tcPr>
            <w:tcW w:w="545" w:type="pct"/>
            <w:tcBorders>
              <w:top w:val="nil"/>
              <w:left w:val="nil"/>
              <w:bottom w:val="single" w:sz="4" w:space="0" w:color="auto"/>
              <w:right w:val="single" w:sz="4" w:space="0" w:color="auto"/>
            </w:tcBorders>
            <w:shd w:val="clear" w:color="auto" w:fill="auto"/>
            <w:noWrap/>
            <w:vAlign w:val="center"/>
            <w:hideMark/>
          </w:tcPr>
          <w:p w14:paraId="3B4CFC27" w14:textId="77777777" w:rsidR="001A6916" w:rsidRPr="001A6916" w:rsidRDefault="001A6916" w:rsidP="001A6916">
            <w:pPr>
              <w:spacing w:after="0" w:line="240" w:lineRule="auto"/>
              <w:jc w:val="right"/>
              <w:rPr>
                <w:rFonts w:eastAsia="Times New Roman"/>
                <w:i/>
                <w:iCs/>
                <w:color w:val="000000"/>
                <w:lang w:eastAsia="nl-NL"/>
              </w:rPr>
            </w:pPr>
            <w:r w:rsidRPr="001A6916">
              <w:rPr>
                <w:rFonts w:eastAsia="Times New Roman"/>
                <w:i/>
                <w:iCs/>
                <w:color w:val="000000"/>
                <w:lang w:val="en-US" w:eastAsia="nl-NL"/>
              </w:rPr>
              <w:t>1147</w:t>
            </w:r>
          </w:p>
        </w:tc>
        <w:tc>
          <w:tcPr>
            <w:tcW w:w="431" w:type="pct"/>
            <w:tcBorders>
              <w:top w:val="nil"/>
              <w:left w:val="nil"/>
              <w:bottom w:val="single" w:sz="4" w:space="0" w:color="auto"/>
              <w:right w:val="single" w:sz="4" w:space="0" w:color="auto"/>
            </w:tcBorders>
            <w:shd w:val="clear" w:color="auto" w:fill="auto"/>
            <w:noWrap/>
            <w:vAlign w:val="center"/>
            <w:hideMark/>
          </w:tcPr>
          <w:p w14:paraId="13723C10" w14:textId="77777777" w:rsidR="001A6916" w:rsidRPr="001A6916" w:rsidRDefault="001A6916" w:rsidP="001A6916">
            <w:pPr>
              <w:spacing w:after="0" w:line="240" w:lineRule="auto"/>
              <w:jc w:val="right"/>
              <w:rPr>
                <w:rFonts w:eastAsia="Times New Roman"/>
                <w:i/>
                <w:iCs/>
                <w:color w:val="000000"/>
                <w:lang w:eastAsia="nl-NL"/>
              </w:rPr>
            </w:pPr>
            <w:r w:rsidRPr="001A6916">
              <w:rPr>
                <w:rFonts w:eastAsia="Times New Roman"/>
                <w:i/>
                <w:iCs/>
                <w:color w:val="000000"/>
                <w:lang w:val="en-US" w:eastAsia="nl-NL"/>
              </w:rPr>
              <w:t>859</w:t>
            </w:r>
          </w:p>
        </w:tc>
        <w:tc>
          <w:tcPr>
            <w:tcW w:w="474" w:type="pct"/>
            <w:tcBorders>
              <w:top w:val="nil"/>
              <w:left w:val="nil"/>
              <w:bottom w:val="single" w:sz="4" w:space="0" w:color="auto"/>
              <w:right w:val="single" w:sz="4" w:space="0" w:color="auto"/>
            </w:tcBorders>
            <w:shd w:val="clear" w:color="auto" w:fill="auto"/>
            <w:noWrap/>
            <w:vAlign w:val="center"/>
            <w:hideMark/>
          </w:tcPr>
          <w:p w14:paraId="2076E7C3" w14:textId="77777777" w:rsidR="001A6916" w:rsidRPr="001A6916" w:rsidRDefault="001A6916" w:rsidP="001A6916">
            <w:pPr>
              <w:spacing w:after="0" w:line="240" w:lineRule="auto"/>
              <w:jc w:val="right"/>
              <w:rPr>
                <w:rFonts w:eastAsia="Times New Roman"/>
                <w:i/>
                <w:iCs/>
                <w:color w:val="000000"/>
                <w:lang w:eastAsia="nl-NL"/>
              </w:rPr>
            </w:pPr>
            <w:r w:rsidRPr="001A6916">
              <w:rPr>
                <w:rFonts w:eastAsia="Times New Roman"/>
                <w:i/>
                <w:iCs/>
                <w:color w:val="000000"/>
                <w:lang w:val="en-US" w:eastAsia="nl-NL"/>
              </w:rPr>
              <w:t>1250</w:t>
            </w:r>
          </w:p>
        </w:tc>
        <w:tc>
          <w:tcPr>
            <w:tcW w:w="428" w:type="pct"/>
            <w:tcBorders>
              <w:top w:val="nil"/>
              <w:left w:val="nil"/>
              <w:bottom w:val="single" w:sz="4" w:space="0" w:color="auto"/>
              <w:right w:val="single" w:sz="4" w:space="0" w:color="auto"/>
            </w:tcBorders>
            <w:shd w:val="clear" w:color="auto" w:fill="auto"/>
            <w:noWrap/>
            <w:vAlign w:val="center"/>
            <w:hideMark/>
          </w:tcPr>
          <w:p w14:paraId="0CA5F54A" w14:textId="77777777" w:rsidR="001A6916" w:rsidRPr="001A6916" w:rsidRDefault="001A6916" w:rsidP="001A6916">
            <w:pPr>
              <w:spacing w:after="0" w:line="240" w:lineRule="auto"/>
              <w:jc w:val="right"/>
              <w:rPr>
                <w:rFonts w:eastAsia="Times New Roman"/>
                <w:i/>
                <w:iCs/>
                <w:color w:val="000000"/>
                <w:lang w:eastAsia="nl-NL"/>
              </w:rPr>
            </w:pPr>
            <w:r w:rsidRPr="001A6916">
              <w:rPr>
                <w:rFonts w:eastAsia="Times New Roman"/>
                <w:i/>
                <w:iCs/>
                <w:color w:val="000000"/>
                <w:lang w:val="en-US" w:eastAsia="nl-NL"/>
              </w:rPr>
              <w:t>1257</w:t>
            </w:r>
          </w:p>
        </w:tc>
        <w:tc>
          <w:tcPr>
            <w:tcW w:w="428" w:type="pct"/>
            <w:tcBorders>
              <w:top w:val="nil"/>
              <w:left w:val="nil"/>
              <w:bottom w:val="single" w:sz="4" w:space="0" w:color="auto"/>
              <w:right w:val="single" w:sz="4" w:space="0" w:color="auto"/>
            </w:tcBorders>
            <w:shd w:val="clear" w:color="auto" w:fill="auto"/>
            <w:noWrap/>
            <w:vAlign w:val="center"/>
            <w:hideMark/>
          </w:tcPr>
          <w:p w14:paraId="55BFDC5E" w14:textId="77777777" w:rsidR="001A6916" w:rsidRPr="001A6916" w:rsidRDefault="001A6916" w:rsidP="001A6916">
            <w:pPr>
              <w:spacing w:after="0" w:line="240" w:lineRule="auto"/>
              <w:jc w:val="right"/>
              <w:rPr>
                <w:rFonts w:eastAsia="Times New Roman"/>
                <w:i/>
                <w:iCs/>
                <w:color w:val="000000"/>
                <w:lang w:eastAsia="nl-NL"/>
              </w:rPr>
            </w:pPr>
            <w:r w:rsidRPr="001A6916">
              <w:rPr>
                <w:rFonts w:eastAsia="Times New Roman"/>
                <w:i/>
                <w:iCs/>
                <w:color w:val="000000"/>
                <w:lang w:val="en-US" w:eastAsia="nl-NL"/>
              </w:rPr>
              <w:t>816</w:t>
            </w:r>
          </w:p>
        </w:tc>
        <w:tc>
          <w:tcPr>
            <w:tcW w:w="426" w:type="pct"/>
            <w:tcBorders>
              <w:top w:val="nil"/>
              <w:left w:val="nil"/>
              <w:bottom w:val="single" w:sz="4" w:space="0" w:color="auto"/>
              <w:right w:val="single" w:sz="4" w:space="0" w:color="auto"/>
            </w:tcBorders>
            <w:shd w:val="clear" w:color="auto" w:fill="auto"/>
            <w:noWrap/>
            <w:vAlign w:val="center"/>
            <w:hideMark/>
          </w:tcPr>
          <w:p w14:paraId="3C75DCBD" w14:textId="77777777" w:rsidR="001A6916" w:rsidRPr="001A6916" w:rsidRDefault="001A6916" w:rsidP="001A6916">
            <w:pPr>
              <w:spacing w:after="0" w:line="240" w:lineRule="auto"/>
              <w:jc w:val="right"/>
              <w:rPr>
                <w:rFonts w:eastAsia="Times New Roman"/>
                <w:i/>
                <w:iCs/>
                <w:color w:val="000000"/>
                <w:lang w:eastAsia="nl-NL"/>
              </w:rPr>
            </w:pPr>
            <w:r w:rsidRPr="001A6916">
              <w:rPr>
                <w:rFonts w:eastAsia="Times New Roman"/>
                <w:i/>
                <w:iCs/>
                <w:color w:val="000000"/>
                <w:lang w:val="en-US" w:eastAsia="nl-NL"/>
              </w:rPr>
              <w:t>478</w:t>
            </w:r>
          </w:p>
        </w:tc>
      </w:tr>
    </w:tbl>
    <w:p w14:paraId="334B326D" w14:textId="77777777" w:rsidR="00FD52A0" w:rsidRDefault="00FD52A0" w:rsidP="006D2DB3">
      <w:pPr>
        <w:spacing w:line="360" w:lineRule="auto"/>
        <w:jc w:val="both"/>
        <w:rPr>
          <w:b/>
          <w:lang w:val="en-US"/>
        </w:rPr>
      </w:pPr>
    </w:p>
    <w:p w14:paraId="66DA5191" w14:textId="77777777" w:rsidR="00FD52A0" w:rsidRDefault="00FD52A0" w:rsidP="00FD52A0">
      <w:pPr>
        <w:pStyle w:val="Heading1"/>
        <w:rPr>
          <w:lang w:val="en-US"/>
        </w:rPr>
      </w:pPr>
      <w:bookmarkStart w:id="15" w:name="_Toc432114507"/>
      <w:r>
        <w:rPr>
          <w:lang w:val="en-US"/>
        </w:rPr>
        <w:t>OLS results</w:t>
      </w:r>
      <w:bookmarkEnd w:id="15"/>
    </w:p>
    <w:p w14:paraId="60781CF0" w14:textId="77777777" w:rsidR="00FD52A0" w:rsidRPr="00FD52A0" w:rsidRDefault="00FD52A0" w:rsidP="00FD52A0">
      <w:pPr>
        <w:rPr>
          <w:lang w:val="en-US" w:eastAsia="ja-JP"/>
        </w:rPr>
      </w:pPr>
    </w:p>
    <w:p w14:paraId="7AFB074A" w14:textId="77777777" w:rsidR="009933B6" w:rsidRDefault="009933B6" w:rsidP="006D2DB3">
      <w:pPr>
        <w:spacing w:line="360" w:lineRule="auto"/>
        <w:jc w:val="both"/>
        <w:rPr>
          <w:b/>
          <w:lang w:val="en-US"/>
        </w:rPr>
      </w:pPr>
      <w:r w:rsidRPr="009933B6">
        <w:rPr>
          <w:b/>
          <w:lang w:val="en-US"/>
        </w:rPr>
        <w:lastRenderedPageBreak/>
        <w:t xml:space="preserve">Table </w:t>
      </w:r>
      <w:r w:rsidR="006D10A1">
        <w:rPr>
          <w:b/>
          <w:lang w:val="en-US"/>
        </w:rPr>
        <w:t>2</w:t>
      </w:r>
      <w:r w:rsidRPr="009933B6">
        <w:rPr>
          <w:b/>
          <w:lang w:val="en-US"/>
        </w:rPr>
        <w:t>: Regression results simple model</w:t>
      </w:r>
    </w:p>
    <w:tbl>
      <w:tblPr>
        <w:tblW w:w="9140" w:type="dxa"/>
        <w:tblInd w:w="-5" w:type="dxa"/>
        <w:tblLook w:val="04A0" w:firstRow="1" w:lastRow="0" w:firstColumn="1" w:lastColumn="0" w:noHBand="0" w:noVBand="1"/>
      </w:tblPr>
      <w:tblGrid>
        <w:gridCol w:w="1240"/>
        <w:gridCol w:w="1420"/>
        <w:gridCol w:w="720"/>
        <w:gridCol w:w="720"/>
        <w:gridCol w:w="720"/>
        <w:gridCol w:w="720"/>
        <w:gridCol w:w="720"/>
        <w:gridCol w:w="720"/>
        <w:gridCol w:w="720"/>
        <w:gridCol w:w="720"/>
        <w:gridCol w:w="720"/>
      </w:tblGrid>
      <w:tr w:rsidR="009933B6" w:rsidRPr="000C440D" w14:paraId="159F2B29" w14:textId="77777777" w:rsidTr="009933B6">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hideMark/>
          </w:tcPr>
          <w:p w14:paraId="0B539580" w14:textId="77777777" w:rsidR="009933B6" w:rsidRPr="00735B55" w:rsidRDefault="009933B6" w:rsidP="009933B6">
            <w:pPr>
              <w:spacing w:after="0" w:line="240" w:lineRule="auto"/>
              <w:jc w:val="center"/>
              <w:rPr>
                <w:rFonts w:eastAsia="Times New Roman"/>
                <w:b/>
                <w:color w:val="000000"/>
                <w:lang w:val="en-US"/>
              </w:rPr>
            </w:pPr>
            <w:r w:rsidRPr="00735B55">
              <w:rPr>
                <w:rFonts w:eastAsia="Times New Roman"/>
                <w:b/>
                <w:color w:val="000000"/>
                <w:lang w:val="en-US"/>
              </w:rPr>
              <w:t>BMI 2004</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209B0D78"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77607062"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AT</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49C45DDB"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DE</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0D5176F3"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SE</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094CFA55"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NL</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692C4F3D"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ES</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63E8D87C"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IT</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76C5FA84"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FR</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24288241"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DK</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4119CB75"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CH</w:t>
            </w:r>
          </w:p>
        </w:tc>
      </w:tr>
      <w:tr w:rsidR="009933B6" w:rsidRPr="000C440D" w14:paraId="7A25002C" w14:textId="77777777" w:rsidTr="009933B6">
        <w:trPr>
          <w:trHeight w:val="300"/>
        </w:trPr>
        <w:tc>
          <w:tcPr>
            <w:tcW w:w="1240" w:type="dxa"/>
            <w:tcBorders>
              <w:top w:val="nil"/>
              <w:left w:val="single" w:sz="4" w:space="0" w:color="auto"/>
              <w:bottom w:val="single" w:sz="4" w:space="0" w:color="auto"/>
              <w:right w:val="single" w:sz="4" w:space="0" w:color="auto"/>
            </w:tcBorders>
            <w:shd w:val="clear" w:color="auto" w:fill="auto"/>
            <w:noWrap/>
            <w:hideMark/>
          </w:tcPr>
          <w:p w14:paraId="16478DB4"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1420" w:type="dxa"/>
            <w:tcBorders>
              <w:top w:val="nil"/>
              <w:left w:val="nil"/>
              <w:bottom w:val="single" w:sz="4" w:space="0" w:color="auto"/>
              <w:right w:val="single" w:sz="4" w:space="0" w:color="auto"/>
            </w:tcBorders>
            <w:shd w:val="clear" w:color="auto" w:fill="auto"/>
            <w:noWrap/>
            <w:vAlign w:val="bottom"/>
            <w:hideMark/>
          </w:tcPr>
          <w:p w14:paraId="5213E2A5"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Constant</w:t>
            </w:r>
          </w:p>
        </w:tc>
        <w:tc>
          <w:tcPr>
            <w:tcW w:w="720" w:type="dxa"/>
            <w:tcBorders>
              <w:top w:val="nil"/>
              <w:left w:val="nil"/>
              <w:bottom w:val="single" w:sz="4" w:space="0" w:color="auto"/>
              <w:right w:val="single" w:sz="4" w:space="0" w:color="auto"/>
            </w:tcBorders>
            <w:shd w:val="clear" w:color="000000" w:fill="D8E4BC"/>
            <w:noWrap/>
            <w:vAlign w:val="bottom"/>
            <w:hideMark/>
          </w:tcPr>
          <w:p w14:paraId="5FEAACE1"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28.76</w:t>
            </w:r>
          </w:p>
        </w:tc>
        <w:tc>
          <w:tcPr>
            <w:tcW w:w="720" w:type="dxa"/>
            <w:tcBorders>
              <w:top w:val="nil"/>
              <w:left w:val="nil"/>
              <w:bottom w:val="single" w:sz="4" w:space="0" w:color="auto"/>
              <w:right w:val="single" w:sz="4" w:space="0" w:color="auto"/>
            </w:tcBorders>
            <w:shd w:val="clear" w:color="000000" w:fill="D8E4BC"/>
            <w:noWrap/>
            <w:vAlign w:val="bottom"/>
            <w:hideMark/>
          </w:tcPr>
          <w:p w14:paraId="48F724E1"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27.80</w:t>
            </w:r>
          </w:p>
        </w:tc>
        <w:tc>
          <w:tcPr>
            <w:tcW w:w="720" w:type="dxa"/>
            <w:tcBorders>
              <w:top w:val="nil"/>
              <w:left w:val="nil"/>
              <w:bottom w:val="single" w:sz="4" w:space="0" w:color="auto"/>
              <w:right w:val="single" w:sz="4" w:space="0" w:color="auto"/>
            </w:tcBorders>
            <w:shd w:val="clear" w:color="000000" w:fill="D8E4BC"/>
            <w:noWrap/>
            <w:vAlign w:val="bottom"/>
            <w:hideMark/>
          </w:tcPr>
          <w:p w14:paraId="4C4EB037"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27.11</w:t>
            </w:r>
          </w:p>
        </w:tc>
        <w:tc>
          <w:tcPr>
            <w:tcW w:w="720" w:type="dxa"/>
            <w:tcBorders>
              <w:top w:val="nil"/>
              <w:left w:val="nil"/>
              <w:bottom w:val="single" w:sz="4" w:space="0" w:color="auto"/>
              <w:right w:val="single" w:sz="4" w:space="0" w:color="auto"/>
            </w:tcBorders>
            <w:shd w:val="clear" w:color="000000" w:fill="D8E4BC"/>
            <w:noWrap/>
            <w:vAlign w:val="bottom"/>
            <w:hideMark/>
          </w:tcPr>
          <w:p w14:paraId="01CB1E14"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26.94</w:t>
            </w:r>
          </w:p>
        </w:tc>
        <w:tc>
          <w:tcPr>
            <w:tcW w:w="720" w:type="dxa"/>
            <w:tcBorders>
              <w:top w:val="nil"/>
              <w:left w:val="nil"/>
              <w:bottom w:val="single" w:sz="4" w:space="0" w:color="auto"/>
              <w:right w:val="single" w:sz="4" w:space="0" w:color="auto"/>
            </w:tcBorders>
            <w:shd w:val="clear" w:color="000000" w:fill="D8E4BC"/>
            <w:noWrap/>
            <w:vAlign w:val="bottom"/>
            <w:hideMark/>
          </w:tcPr>
          <w:p w14:paraId="684D8E8D"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27.45</w:t>
            </w:r>
          </w:p>
        </w:tc>
        <w:tc>
          <w:tcPr>
            <w:tcW w:w="720" w:type="dxa"/>
            <w:tcBorders>
              <w:top w:val="nil"/>
              <w:left w:val="nil"/>
              <w:bottom w:val="single" w:sz="4" w:space="0" w:color="auto"/>
              <w:right w:val="single" w:sz="4" w:space="0" w:color="auto"/>
            </w:tcBorders>
            <w:shd w:val="clear" w:color="000000" w:fill="D8E4BC"/>
            <w:noWrap/>
            <w:vAlign w:val="bottom"/>
            <w:hideMark/>
          </w:tcPr>
          <w:p w14:paraId="0262944A"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27.37</w:t>
            </w:r>
          </w:p>
        </w:tc>
        <w:tc>
          <w:tcPr>
            <w:tcW w:w="720" w:type="dxa"/>
            <w:tcBorders>
              <w:top w:val="nil"/>
              <w:left w:val="nil"/>
              <w:bottom w:val="single" w:sz="4" w:space="0" w:color="auto"/>
              <w:right w:val="single" w:sz="4" w:space="0" w:color="auto"/>
            </w:tcBorders>
            <w:shd w:val="clear" w:color="000000" w:fill="D8E4BC"/>
            <w:noWrap/>
            <w:vAlign w:val="bottom"/>
            <w:hideMark/>
          </w:tcPr>
          <w:p w14:paraId="1ADF95EE"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26.53</w:t>
            </w:r>
          </w:p>
        </w:tc>
        <w:tc>
          <w:tcPr>
            <w:tcW w:w="720" w:type="dxa"/>
            <w:tcBorders>
              <w:top w:val="nil"/>
              <w:left w:val="nil"/>
              <w:bottom w:val="single" w:sz="4" w:space="0" w:color="auto"/>
              <w:right w:val="single" w:sz="4" w:space="0" w:color="auto"/>
            </w:tcBorders>
            <w:shd w:val="clear" w:color="000000" w:fill="D8E4BC"/>
            <w:noWrap/>
            <w:vAlign w:val="bottom"/>
            <w:hideMark/>
          </w:tcPr>
          <w:p w14:paraId="0E87840A"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27.43</w:t>
            </w:r>
          </w:p>
        </w:tc>
        <w:tc>
          <w:tcPr>
            <w:tcW w:w="720" w:type="dxa"/>
            <w:tcBorders>
              <w:top w:val="nil"/>
              <w:left w:val="nil"/>
              <w:bottom w:val="single" w:sz="4" w:space="0" w:color="auto"/>
              <w:right w:val="single" w:sz="4" w:space="0" w:color="auto"/>
            </w:tcBorders>
            <w:shd w:val="clear" w:color="000000" w:fill="D8E4BC"/>
            <w:noWrap/>
            <w:vAlign w:val="bottom"/>
            <w:hideMark/>
          </w:tcPr>
          <w:p w14:paraId="7FE11D11"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26.29</w:t>
            </w:r>
          </w:p>
        </w:tc>
      </w:tr>
      <w:tr w:rsidR="009933B6" w:rsidRPr="000C440D" w14:paraId="135D2784" w14:textId="77777777" w:rsidTr="009933B6">
        <w:trPr>
          <w:trHeight w:val="300"/>
        </w:trPr>
        <w:tc>
          <w:tcPr>
            <w:tcW w:w="1240" w:type="dxa"/>
            <w:tcBorders>
              <w:top w:val="nil"/>
              <w:left w:val="single" w:sz="4" w:space="0" w:color="auto"/>
              <w:bottom w:val="single" w:sz="4" w:space="0" w:color="auto"/>
              <w:right w:val="single" w:sz="4" w:space="0" w:color="auto"/>
            </w:tcBorders>
            <w:shd w:val="clear" w:color="auto" w:fill="auto"/>
            <w:noWrap/>
            <w:hideMark/>
          </w:tcPr>
          <w:p w14:paraId="78848082"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Gender</w:t>
            </w:r>
          </w:p>
        </w:tc>
        <w:tc>
          <w:tcPr>
            <w:tcW w:w="1420" w:type="dxa"/>
            <w:tcBorders>
              <w:top w:val="nil"/>
              <w:left w:val="nil"/>
              <w:bottom w:val="single" w:sz="4" w:space="0" w:color="auto"/>
              <w:right w:val="single" w:sz="4" w:space="0" w:color="auto"/>
            </w:tcBorders>
            <w:shd w:val="clear" w:color="auto" w:fill="auto"/>
            <w:noWrap/>
            <w:vAlign w:val="bottom"/>
            <w:hideMark/>
          </w:tcPr>
          <w:p w14:paraId="0E42E40E"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Female</w:t>
            </w:r>
          </w:p>
        </w:tc>
        <w:tc>
          <w:tcPr>
            <w:tcW w:w="720" w:type="dxa"/>
            <w:tcBorders>
              <w:top w:val="nil"/>
              <w:left w:val="nil"/>
              <w:bottom w:val="nil"/>
              <w:right w:val="nil"/>
            </w:tcBorders>
            <w:shd w:val="clear" w:color="000000" w:fill="FFFFFF"/>
            <w:noWrap/>
            <w:vAlign w:val="bottom"/>
            <w:hideMark/>
          </w:tcPr>
          <w:p w14:paraId="3733A50F"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-0.60</w:t>
            </w:r>
          </w:p>
        </w:tc>
        <w:tc>
          <w:tcPr>
            <w:tcW w:w="720" w:type="dxa"/>
            <w:tcBorders>
              <w:top w:val="nil"/>
              <w:left w:val="single" w:sz="4" w:space="0" w:color="auto"/>
              <w:bottom w:val="single" w:sz="4" w:space="0" w:color="auto"/>
              <w:right w:val="single" w:sz="4" w:space="0" w:color="auto"/>
            </w:tcBorders>
            <w:shd w:val="clear" w:color="000000" w:fill="D8E4BC"/>
            <w:noWrap/>
            <w:vAlign w:val="bottom"/>
            <w:hideMark/>
          </w:tcPr>
          <w:p w14:paraId="534FFE39"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-0.87</w:t>
            </w:r>
          </w:p>
        </w:tc>
        <w:tc>
          <w:tcPr>
            <w:tcW w:w="720" w:type="dxa"/>
            <w:tcBorders>
              <w:top w:val="nil"/>
              <w:left w:val="nil"/>
              <w:bottom w:val="single" w:sz="4" w:space="0" w:color="auto"/>
              <w:right w:val="single" w:sz="4" w:space="0" w:color="auto"/>
            </w:tcBorders>
            <w:shd w:val="clear" w:color="000000" w:fill="D8E4BC"/>
            <w:noWrap/>
            <w:vAlign w:val="bottom"/>
            <w:hideMark/>
          </w:tcPr>
          <w:p w14:paraId="3ED8BF60"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-0.73</w:t>
            </w:r>
          </w:p>
        </w:tc>
        <w:tc>
          <w:tcPr>
            <w:tcW w:w="720" w:type="dxa"/>
            <w:tcBorders>
              <w:top w:val="nil"/>
              <w:left w:val="nil"/>
              <w:bottom w:val="single" w:sz="4" w:space="0" w:color="auto"/>
              <w:right w:val="single" w:sz="4" w:space="0" w:color="auto"/>
            </w:tcBorders>
            <w:shd w:val="clear" w:color="000000" w:fill="95B3D7"/>
            <w:noWrap/>
            <w:vAlign w:val="bottom"/>
            <w:hideMark/>
          </w:tcPr>
          <w:p w14:paraId="1C32AA95"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-0.45</w:t>
            </w:r>
          </w:p>
        </w:tc>
        <w:tc>
          <w:tcPr>
            <w:tcW w:w="720" w:type="dxa"/>
            <w:tcBorders>
              <w:top w:val="nil"/>
              <w:left w:val="nil"/>
              <w:bottom w:val="single" w:sz="4" w:space="0" w:color="auto"/>
              <w:right w:val="single" w:sz="4" w:space="0" w:color="auto"/>
            </w:tcBorders>
            <w:shd w:val="clear" w:color="000000" w:fill="95B3D7"/>
            <w:noWrap/>
            <w:vAlign w:val="bottom"/>
            <w:hideMark/>
          </w:tcPr>
          <w:p w14:paraId="5EC6CE66"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0.53</w:t>
            </w:r>
          </w:p>
        </w:tc>
        <w:tc>
          <w:tcPr>
            <w:tcW w:w="720" w:type="dxa"/>
            <w:tcBorders>
              <w:top w:val="nil"/>
              <w:left w:val="nil"/>
              <w:bottom w:val="single" w:sz="4" w:space="0" w:color="auto"/>
              <w:right w:val="single" w:sz="4" w:space="0" w:color="auto"/>
            </w:tcBorders>
            <w:shd w:val="clear" w:color="000000" w:fill="D8E4BC"/>
            <w:noWrap/>
            <w:vAlign w:val="bottom"/>
            <w:hideMark/>
          </w:tcPr>
          <w:p w14:paraId="0BE908B5"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-0.61</w:t>
            </w:r>
          </w:p>
        </w:tc>
        <w:tc>
          <w:tcPr>
            <w:tcW w:w="720" w:type="dxa"/>
            <w:tcBorders>
              <w:top w:val="nil"/>
              <w:left w:val="nil"/>
              <w:bottom w:val="single" w:sz="4" w:space="0" w:color="auto"/>
              <w:right w:val="single" w:sz="4" w:space="0" w:color="auto"/>
            </w:tcBorders>
            <w:shd w:val="clear" w:color="000000" w:fill="D8E4BC"/>
            <w:noWrap/>
            <w:vAlign w:val="bottom"/>
            <w:hideMark/>
          </w:tcPr>
          <w:p w14:paraId="05FFBF94"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-0.72</w:t>
            </w:r>
          </w:p>
        </w:tc>
        <w:tc>
          <w:tcPr>
            <w:tcW w:w="720" w:type="dxa"/>
            <w:tcBorders>
              <w:top w:val="nil"/>
              <w:left w:val="nil"/>
              <w:bottom w:val="single" w:sz="4" w:space="0" w:color="auto"/>
              <w:right w:val="single" w:sz="4" w:space="0" w:color="auto"/>
            </w:tcBorders>
            <w:shd w:val="clear" w:color="000000" w:fill="D8E4BC"/>
            <w:noWrap/>
            <w:vAlign w:val="bottom"/>
            <w:hideMark/>
          </w:tcPr>
          <w:p w14:paraId="3F65509B"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-1.22</w:t>
            </w:r>
          </w:p>
        </w:tc>
        <w:tc>
          <w:tcPr>
            <w:tcW w:w="720" w:type="dxa"/>
            <w:tcBorders>
              <w:top w:val="nil"/>
              <w:left w:val="nil"/>
              <w:bottom w:val="single" w:sz="4" w:space="0" w:color="auto"/>
              <w:right w:val="single" w:sz="4" w:space="0" w:color="auto"/>
            </w:tcBorders>
            <w:shd w:val="clear" w:color="000000" w:fill="D8E4BC"/>
            <w:noWrap/>
            <w:vAlign w:val="bottom"/>
            <w:hideMark/>
          </w:tcPr>
          <w:p w14:paraId="2CD21ADC"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-1.19</w:t>
            </w:r>
          </w:p>
        </w:tc>
      </w:tr>
      <w:tr w:rsidR="009933B6" w:rsidRPr="000C440D" w14:paraId="70A6DB60" w14:textId="77777777" w:rsidTr="009933B6">
        <w:trPr>
          <w:trHeight w:val="315"/>
        </w:trPr>
        <w:tc>
          <w:tcPr>
            <w:tcW w:w="1240" w:type="dxa"/>
            <w:vMerge w:val="restart"/>
            <w:tcBorders>
              <w:top w:val="nil"/>
              <w:left w:val="single" w:sz="4" w:space="0" w:color="auto"/>
              <w:bottom w:val="single" w:sz="4" w:space="0" w:color="000000"/>
              <w:right w:val="single" w:sz="4" w:space="0" w:color="auto"/>
            </w:tcBorders>
            <w:shd w:val="clear" w:color="auto" w:fill="auto"/>
            <w:hideMark/>
          </w:tcPr>
          <w:p w14:paraId="77C1B244"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xml:space="preserve">Agegroup base: 1 </w:t>
            </w:r>
          </w:p>
        </w:tc>
        <w:tc>
          <w:tcPr>
            <w:tcW w:w="1420" w:type="dxa"/>
            <w:tcBorders>
              <w:top w:val="nil"/>
              <w:left w:val="nil"/>
              <w:bottom w:val="single" w:sz="4" w:space="0" w:color="auto"/>
              <w:right w:val="single" w:sz="4" w:space="0" w:color="auto"/>
            </w:tcBorders>
            <w:shd w:val="clear" w:color="auto" w:fill="auto"/>
            <w:noWrap/>
            <w:vAlign w:val="bottom"/>
            <w:hideMark/>
          </w:tcPr>
          <w:p w14:paraId="5CE0C733"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Group 2</w:t>
            </w:r>
          </w:p>
        </w:tc>
        <w:tc>
          <w:tcPr>
            <w:tcW w:w="720" w:type="dxa"/>
            <w:tcBorders>
              <w:top w:val="single" w:sz="4" w:space="0" w:color="auto"/>
              <w:left w:val="nil"/>
              <w:bottom w:val="single" w:sz="4" w:space="0" w:color="auto"/>
              <w:right w:val="single" w:sz="4" w:space="0" w:color="auto"/>
            </w:tcBorders>
            <w:shd w:val="clear" w:color="000000" w:fill="D8E4BC"/>
            <w:noWrap/>
            <w:vAlign w:val="bottom"/>
            <w:hideMark/>
          </w:tcPr>
          <w:p w14:paraId="3646C9F7"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-1.51</w:t>
            </w:r>
          </w:p>
        </w:tc>
        <w:tc>
          <w:tcPr>
            <w:tcW w:w="720" w:type="dxa"/>
            <w:tcBorders>
              <w:top w:val="nil"/>
              <w:left w:val="nil"/>
              <w:bottom w:val="single" w:sz="4" w:space="0" w:color="auto"/>
              <w:right w:val="single" w:sz="4" w:space="0" w:color="auto"/>
            </w:tcBorders>
            <w:shd w:val="clear" w:color="000000" w:fill="FFFFFF"/>
            <w:noWrap/>
            <w:vAlign w:val="bottom"/>
            <w:hideMark/>
          </w:tcPr>
          <w:p w14:paraId="54BEEBC9"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0.16</w:t>
            </w:r>
          </w:p>
        </w:tc>
        <w:tc>
          <w:tcPr>
            <w:tcW w:w="720" w:type="dxa"/>
            <w:tcBorders>
              <w:top w:val="nil"/>
              <w:left w:val="nil"/>
              <w:bottom w:val="single" w:sz="4" w:space="0" w:color="auto"/>
              <w:right w:val="single" w:sz="4" w:space="0" w:color="auto"/>
            </w:tcBorders>
            <w:shd w:val="clear" w:color="000000" w:fill="FFFFFF"/>
            <w:noWrap/>
            <w:vAlign w:val="bottom"/>
            <w:hideMark/>
          </w:tcPr>
          <w:p w14:paraId="3B685CCE"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-0.23</w:t>
            </w:r>
          </w:p>
        </w:tc>
        <w:tc>
          <w:tcPr>
            <w:tcW w:w="720" w:type="dxa"/>
            <w:tcBorders>
              <w:top w:val="nil"/>
              <w:left w:val="nil"/>
              <w:bottom w:val="single" w:sz="4" w:space="0" w:color="auto"/>
              <w:right w:val="single" w:sz="4" w:space="0" w:color="auto"/>
            </w:tcBorders>
            <w:shd w:val="clear" w:color="000000" w:fill="FFFFFF"/>
            <w:noWrap/>
            <w:vAlign w:val="bottom"/>
            <w:hideMark/>
          </w:tcPr>
          <w:p w14:paraId="2DBD1C0F"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0.02</w:t>
            </w:r>
          </w:p>
        </w:tc>
        <w:tc>
          <w:tcPr>
            <w:tcW w:w="720" w:type="dxa"/>
            <w:tcBorders>
              <w:top w:val="nil"/>
              <w:left w:val="nil"/>
              <w:bottom w:val="single" w:sz="4" w:space="0" w:color="auto"/>
              <w:right w:val="single" w:sz="4" w:space="0" w:color="auto"/>
            </w:tcBorders>
            <w:shd w:val="clear" w:color="000000" w:fill="FFFFFF"/>
            <w:noWrap/>
            <w:vAlign w:val="bottom"/>
            <w:hideMark/>
          </w:tcPr>
          <w:p w14:paraId="4AEA4164"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0.42</w:t>
            </w:r>
          </w:p>
        </w:tc>
        <w:tc>
          <w:tcPr>
            <w:tcW w:w="720" w:type="dxa"/>
            <w:tcBorders>
              <w:top w:val="nil"/>
              <w:left w:val="nil"/>
              <w:bottom w:val="single" w:sz="4" w:space="0" w:color="auto"/>
              <w:right w:val="single" w:sz="4" w:space="0" w:color="auto"/>
            </w:tcBorders>
            <w:shd w:val="clear" w:color="auto" w:fill="auto"/>
            <w:noWrap/>
            <w:vAlign w:val="bottom"/>
            <w:hideMark/>
          </w:tcPr>
          <w:p w14:paraId="17DB8048"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-0.13</w:t>
            </w:r>
          </w:p>
        </w:tc>
        <w:tc>
          <w:tcPr>
            <w:tcW w:w="720" w:type="dxa"/>
            <w:tcBorders>
              <w:top w:val="nil"/>
              <w:left w:val="nil"/>
              <w:bottom w:val="single" w:sz="4" w:space="0" w:color="auto"/>
              <w:right w:val="single" w:sz="4" w:space="0" w:color="auto"/>
            </w:tcBorders>
            <w:shd w:val="clear" w:color="auto" w:fill="auto"/>
            <w:noWrap/>
            <w:vAlign w:val="bottom"/>
            <w:hideMark/>
          </w:tcPr>
          <w:p w14:paraId="5AD513A9"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-0.02</w:t>
            </w:r>
          </w:p>
        </w:tc>
        <w:tc>
          <w:tcPr>
            <w:tcW w:w="720" w:type="dxa"/>
            <w:tcBorders>
              <w:top w:val="nil"/>
              <w:left w:val="nil"/>
              <w:bottom w:val="single" w:sz="4" w:space="0" w:color="auto"/>
              <w:right w:val="single" w:sz="4" w:space="0" w:color="auto"/>
            </w:tcBorders>
            <w:shd w:val="clear" w:color="auto" w:fill="auto"/>
            <w:noWrap/>
            <w:vAlign w:val="bottom"/>
            <w:hideMark/>
          </w:tcPr>
          <w:p w14:paraId="3B601B81"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-0.49</w:t>
            </w:r>
          </w:p>
        </w:tc>
        <w:tc>
          <w:tcPr>
            <w:tcW w:w="720" w:type="dxa"/>
            <w:tcBorders>
              <w:top w:val="nil"/>
              <w:left w:val="nil"/>
              <w:bottom w:val="single" w:sz="4" w:space="0" w:color="auto"/>
              <w:right w:val="single" w:sz="4" w:space="0" w:color="auto"/>
            </w:tcBorders>
            <w:shd w:val="clear" w:color="000000" w:fill="FFFFFF"/>
            <w:noWrap/>
            <w:vAlign w:val="bottom"/>
            <w:hideMark/>
          </w:tcPr>
          <w:p w14:paraId="710BE6EC"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0.02</w:t>
            </w:r>
          </w:p>
        </w:tc>
      </w:tr>
      <w:tr w:rsidR="009933B6" w:rsidRPr="000C440D" w14:paraId="6AB53714" w14:textId="77777777" w:rsidTr="009933B6">
        <w:trPr>
          <w:trHeight w:val="300"/>
        </w:trPr>
        <w:tc>
          <w:tcPr>
            <w:tcW w:w="1240" w:type="dxa"/>
            <w:vMerge/>
            <w:tcBorders>
              <w:top w:val="nil"/>
              <w:left w:val="single" w:sz="4" w:space="0" w:color="auto"/>
              <w:bottom w:val="single" w:sz="4" w:space="0" w:color="000000"/>
              <w:right w:val="single" w:sz="4" w:space="0" w:color="auto"/>
            </w:tcBorders>
            <w:vAlign w:val="center"/>
            <w:hideMark/>
          </w:tcPr>
          <w:p w14:paraId="4C3AE497" w14:textId="77777777" w:rsidR="009933B6" w:rsidRPr="009933B6" w:rsidRDefault="009933B6" w:rsidP="009933B6">
            <w:pPr>
              <w:spacing w:after="0" w:line="240" w:lineRule="auto"/>
              <w:rPr>
                <w:rFonts w:eastAsia="Times New Roman"/>
                <w:color w:val="000000"/>
                <w:lang w:val="en-US"/>
              </w:rPr>
            </w:pPr>
          </w:p>
        </w:tc>
        <w:tc>
          <w:tcPr>
            <w:tcW w:w="1420" w:type="dxa"/>
            <w:tcBorders>
              <w:top w:val="nil"/>
              <w:left w:val="nil"/>
              <w:bottom w:val="single" w:sz="4" w:space="0" w:color="auto"/>
              <w:right w:val="single" w:sz="4" w:space="0" w:color="auto"/>
            </w:tcBorders>
            <w:shd w:val="clear" w:color="auto" w:fill="auto"/>
            <w:noWrap/>
            <w:vAlign w:val="bottom"/>
            <w:hideMark/>
          </w:tcPr>
          <w:p w14:paraId="0A60524B"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Group 3</w:t>
            </w:r>
          </w:p>
        </w:tc>
        <w:tc>
          <w:tcPr>
            <w:tcW w:w="720" w:type="dxa"/>
            <w:tcBorders>
              <w:top w:val="nil"/>
              <w:left w:val="nil"/>
              <w:bottom w:val="single" w:sz="4" w:space="0" w:color="auto"/>
              <w:right w:val="single" w:sz="4" w:space="0" w:color="auto"/>
            </w:tcBorders>
            <w:shd w:val="clear" w:color="000000" w:fill="D8E4BC"/>
            <w:noWrap/>
            <w:vAlign w:val="bottom"/>
            <w:hideMark/>
          </w:tcPr>
          <w:p w14:paraId="2C41CE21"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-2.83</w:t>
            </w:r>
          </w:p>
        </w:tc>
        <w:tc>
          <w:tcPr>
            <w:tcW w:w="720" w:type="dxa"/>
            <w:tcBorders>
              <w:top w:val="nil"/>
              <w:left w:val="nil"/>
              <w:bottom w:val="single" w:sz="4" w:space="0" w:color="auto"/>
              <w:right w:val="single" w:sz="4" w:space="0" w:color="auto"/>
            </w:tcBorders>
            <w:shd w:val="clear" w:color="000000" w:fill="FFFFFF"/>
            <w:noWrap/>
            <w:vAlign w:val="bottom"/>
            <w:hideMark/>
          </w:tcPr>
          <w:p w14:paraId="738D9B61"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-0.06</w:t>
            </w:r>
          </w:p>
        </w:tc>
        <w:tc>
          <w:tcPr>
            <w:tcW w:w="720" w:type="dxa"/>
            <w:tcBorders>
              <w:top w:val="nil"/>
              <w:left w:val="nil"/>
              <w:bottom w:val="single" w:sz="4" w:space="0" w:color="auto"/>
              <w:right w:val="single" w:sz="4" w:space="0" w:color="auto"/>
            </w:tcBorders>
            <w:shd w:val="clear" w:color="000000" w:fill="D8E4BC"/>
            <w:noWrap/>
            <w:vAlign w:val="bottom"/>
            <w:hideMark/>
          </w:tcPr>
          <w:p w14:paraId="1A8EDED0"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-0.99</w:t>
            </w:r>
          </w:p>
        </w:tc>
        <w:tc>
          <w:tcPr>
            <w:tcW w:w="720" w:type="dxa"/>
            <w:tcBorders>
              <w:top w:val="nil"/>
              <w:left w:val="nil"/>
              <w:bottom w:val="single" w:sz="4" w:space="0" w:color="auto"/>
              <w:right w:val="single" w:sz="4" w:space="0" w:color="auto"/>
            </w:tcBorders>
            <w:shd w:val="clear" w:color="000000" w:fill="D8E4BC"/>
            <w:noWrap/>
            <w:vAlign w:val="bottom"/>
            <w:hideMark/>
          </w:tcPr>
          <w:p w14:paraId="76068DBA"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-0.89</w:t>
            </w:r>
          </w:p>
        </w:tc>
        <w:tc>
          <w:tcPr>
            <w:tcW w:w="720" w:type="dxa"/>
            <w:tcBorders>
              <w:top w:val="nil"/>
              <w:left w:val="nil"/>
              <w:bottom w:val="single" w:sz="4" w:space="0" w:color="auto"/>
              <w:right w:val="single" w:sz="4" w:space="0" w:color="auto"/>
            </w:tcBorders>
            <w:shd w:val="clear" w:color="000000" w:fill="FFFFFF"/>
            <w:noWrap/>
            <w:vAlign w:val="bottom"/>
            <w:hideMark/>
          </w:tcPr>
          <w:p w14:paraId="7478134D"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-0.62</w:t>
            </w:r>
          </w:p>
        </w:tc>
        <w:tc>
          <w:tcPr>
            <w:tcW w:w="720" w:type="dxa"/>
            <w:tcBorders>
              <w:top w:val="nil"/>
              <w:left w:val="nil"/>
              <w:bottom w:val="single" w:sz="4" w:space="0" w:color="auto"/>
              <w:right w:val="single" w:sz="4" w:space="0" w:color="auto"/>
            </w:tcBorders>
            <w:shd w:val="clear" w:color="auto" w:fill="auto"/>
            <w:noWrap/>
            <w:vAlign w:val="bottom"/>
            <w:hideMark/>
          </w:tcPr>
          <w:p w14:paraId="3D895F31"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-0.57</w:t>
            </w:r>
          </w:p>
        </w:tc>
        <w:tc>
          <w:tcPr>
            <w:tcW w:w="720" w:type="dxa"/>
            <w:tcBorders>
              <w:top w:val="nil"/>
              <w:left w:val="nil"/>
              <w:bottom w:val="single" w:sz="4" w:space="0" w:color="auto"/>
              <w:right w:val="single" w:sz="4" w:space="0" w:color="auto"/>
            </w:tcBorders>
            <w:shd w:val="clear" w:color="000000" w:fill="D8E4BC"/>
            <w:noWrap/>
            <w:vAlign w:val="bottom"/>
            <w:hideMark/>
          </w:tcPr>
          <w:p w14:paraId="5A15BC22"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-0.70</w:t>
            </w:r>
          </w:p>
        </w:tc>
        <w:tc>
          <w:tcPr>
            <w:tcW w:w="720" w:type="dxa"/>
            <w:tcBorders>
              <w:top w:val="nil"/>
              <w:left w:val="nil"/>
              <w:bottom w:val="single" w:sz="4" w:space="0" w:color="auto"/>
              <w:right w:val="single" w:sz="4" w:space="0" w:color="auto"/>
            </w:tcBorders>
            <w:shd w:val="clear" w:color="000000" w:fill="D8E4BC"/>
            <w:noWrap/>
            <w:vAlign w:val="bottom"/>
            <w:hideMark/>
          </w:tcPr>
          <w:p w14:paraId="0EDF3C52"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-1.01</w:t>
            </w:r>
          </w:p>
        </w:tc>
        <w:tc>
          <w:tcPr>
            <w:tcW w:w="720" w:type="dxa"/>
            <w:tcBorders>
              <w:top w:val="nil"/>
              <w:left w:val="nil"/>
              <w:bottom w:val="single" w:sz="4" w:space="0" w:color="auto"/>
              <w:right w:val="single" w:sz="4" w:space="0" w:color="auto"/>
            </w:tcBorders>
            <w:shd w:val="clear" w:color="000000" w:fill="FFFFFF"/>
            <w:noWrap/>
            <w:vAlign w:val="bottom"/>
            <w:hideMark/>
          </w:tcPr>
          <w:p w14:paraId="2519D2B5"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0.06</w:t>
            </w:r>
          </w:p>
        </w:tc>
      </w:tr>
      <w:tr w:rsidR="009933B6" w:rsidRPr="000C440D" w14:paraId="7AF6C79E" w14:textId="77777777" w:rsidTr="009933B6">
        <w:trPr>
          <w:trHeight w:val="300"/>
        </w:trPr>
        <w:tc>
          <w:tcPr>
            <w:tcW w:w="1240" w:type="dxa"/>
            <w:vMerge w:val="restart"/>
            <w:tcBorders>
              <w:top w:val="nil"/>
              <w:left w:val="single" w:sz="4" w:space="0" w:color="auto"/>
              <w:bottom w:val="single" w:sz="8" w:space="0" w:color="000000"/>
              <w:right w:val="single" w:sz="4" w:space="0" w:color="auto"/>
            </w:tcBorders>
            <w:shd w:val="clear" w:color="auto" w:fill="auto"/>
            <w:hideMark/>
          </w:tcPr>
          <w:p w14:paraId="450EE57D"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ISCED base: Low</w:t>
            </w:r>
          </w:p>
        </w:tc>
        <w:tc>
          <w:tcPr>
            <w:tcW w:w="1420" w:type="dxa"/>
            <w:tcBorders>
              <w:top w:val="nil"/>
              <w:left w:val="nil"/>
              <w:bottom w:val="single" w:sz="4" w:space="0" w:color="auto"/>
              <w:right w:val="single" w:sz="4" w:space="0" w:color="auto"/>
            </w:tcBorders>
            <w:shd w:val="clear" w:color="auto" w:fill="auto"/>
            <w:noWrap/>
            <w:vAlign w:val="bottom"/>
            <w:hideMark/>
          </w:tcPr>
          <w:p w14:paraId="6786C37A"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Mid</w:t>
            </w:r>
          </w:p>
        </w:tc>
        <w:tc>
          <w:tcPr>
            <w:tcW w:w="720" w:type="dxa"/>
            <w:tcBorders>
              <w:top w:val="nil"/>
              <w:left w:val="nil"/>
              <w:bottom w:val="single" w:sz="4" w:space="0" w:color="auto"/>
              <w:right w:val="single" w:sz="4" w:space="0" w:color="auto"/>
            </w:tcBorders>
            <w:shd w:val="clear" w:color="000000" w:fill="FFFFFF"/>
            <w:noWrap/>
            <w:vAlign w:val="bottom"/>
            <w:hideMark/>
          </w:tcPr>
          <w:p w14:paraId="3805FBB5"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-0.67</w:t>
            </w:r>
          </w:p>
        </w:tc>
        <w:tc>
          <w:tcPr>
            <w:tcW w:w="720" w:type="dxa"/>
            <w:tcBorders>
              <w:top w:val="nil"/>
              <w:left w:val="nil"/>
              <w:bottom w:val="single" w:sz="4" w:space="0" w:color="auto"/>
              <w:right w:val="single" w:sz="4" w:space="0" w:color="auto"/>
            </w:tcBorders>
            <w:shd w:val="clear" w:color="000000" w:fill="FFFFFF"/>
            <w:noWrap/>
            <w:vAlign w:val="bottom"/>
            <w:hideMark/>
          </w:tcPr>
          <w:p w14:paraId="5896272B"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-0.53</w:t>
            </w:r>
          </w:p>
        </w:tc>
        <w:tc>
          <w:tcPr>
            <w:tcW w:w="720" w:type="dxa"/>
            <w:tcBorders>
              <w:top w:val="nil"/>
              <w:left w:val="nil"/>
              <w:bottom w:val="single" w:sz="4" w:space="0" w:color="auto"/>
              <w:right w:val="single" w:sz="4" w:space="0" w:color="auto"/>
            </w:tcBorders>
            <w:shd w:val="clear" w:color="000000" w:fill="FFFFFF"/>
            <w:noWrap/>
            <w:vAlign w:val="bottom"/>
            <w:hideMark/>
          </w:tcPr>
          <w:p w14:paraId="1369835A"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-0.38</w:t>
            </w:r>
          </w:p>
        </w:tc>
        <w:tc>
          <w:tcPr>
            <w:tcW w:w="720" w:type="dxa"/>
            <w:tcBorders>
              <w:top w:val="nil"/>
              <w:left w:val="nil"/>
              <w:bottom w:val="single" w:sz="4" w:space="0" w:color="auto"/>
              <w:right w:val="single" w:sz="4" w:space="0" w:color="auto"/>
            </w:tcBorders>
            <w:shd w:val="clear" w:color="000000" w:fill="FFFFFF"/>
            <w:noWrap/>
            <w:vAlign w:val="bottom"/>
            <w:hideMark/>
          </w:tcPr>
          <w:p w14:paraId="51E0C84B"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-0.33</w:t>
            </w:r>
          </w:p>
        </w:tc>
        <w:tc>
          <w:tcPr>
            <w:tcW w:w="720" w:type="dxa"/>
            <w:tcBorders>
              <w:top w:val="nil"/>
              <w:left w:val="nil"/>
              <w:bottom w:val="single" w:sz="4" w:space="0" w:color="auto"/>
              <w:right w:val="single" w:sz="4" w:space="0" w:color="auto"/>
            </w:tcBorders>
            <w:shd w:val="clear" w:color="000000" w:fill="95B3D7"/>
            <w:noWrap/>
            <w:vAlign w:val="bottom"/>
            <w:hideMark/>
          </w:tcPr>
          <w:p w14:paraId="3770D2B8"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-1.07</w:t>
            </w:r>
          </w:p>
        </w:tc>
        <w:tc>
          <w:tcPr>
            <w:tcW w:w="720" w:type="dxa"/>
            <w:tcBorders>
              <w:top w:val="nil"/>
              <w:left w:val="nil"/>
              <w:bottom w:val="single" w:sz="4" w:space="0" w:color="auto"/>
              <w:right w:val="single" w:sz="4" w:space="0" w:color="auto"/>
            </w:tcBorders>
            <w:shd w:val="clear" w:color="000000" w:fill="D8E4BC"/>
            <w:noWrap/>
            <w:vAlign w:val="bottom"/>
            <w:hideMark/>
          </w:tcPr>
          <w:p w14:paraId="7E509EC7"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-0.93</w:t>
            </w:r>
          </w:p>
        </w:tc>
        <w:tc>
          <w:tcPr>
            <w:tcW w:w="720" w:type="dxa"/>
            <w:tcBorders>
              <w:top w:val="nil"/>
              <w:left w:val="nil"/>
              <w:bottom w:val="single" w:sz="4" w:space="0" w:color="auto"/>
              <w:right w:val="single" w:sz="4" w:space="0" w:color="auto"/>
            </w:tcBorders>
            <w:shd w:val="clear" w:color="000000" w:fill="FFFFFF"/>
            <w:noWrap/>
            <w:vAlign w:val="bottom"/>
            <w:hideMark/>
          </w:tcPr>
          <w:p w14:paraId="75E83280"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-0.23</w:t>
            </w:r>
          </w:p>
        </w:tc>
        <w:tc>
          <w:tcPr>
            <w:tcW w:w="720" w:type="dxa"/>
            <w:tcBorders>
              <w:top w:val="nil"/>
              <w:left w:val="nil"/>
              <w:bottom w:val="single" w:sz="4" w:space="0" w:color="auto"/>
              <w:right w:val="single" w:sz="4" w:space="0" w:color="auto"/>
            </w:tcBorders>
            <w:shd w:val="clear" w:color="auto" w:fill="auto"/>
            <w:noWrap/>
            <w:vAlign w:val="bottom"/>
            <w:hideMark/>
          </w:tcPr>
          <w:p w14:paraId="67E63C3A"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-0.44</w:t>
            </w:r>
          </w:p>
        </w:tc>
        <w:tc>
          <w:tcPr>
            <w:tcW w:w="720" w:type="dxa"/>
            <w:tcBorders>
              <w:top w:val="nil"/>
              <w:left w:val="nil"/>
              <w:bottom w:val="single" w:sz="4" w:space="0" w:color="auto"/>
              <w:right w:val="single" w:sz="4" w:space="0" w:color="auto"/>
            </w:tcBorders>
            <w:shd w:val="clear" w:color="000000" w:fill="FFFFFF"/>
            <w:noWrap/>
            <w:vAlign w:val="bottom"/>
            <w:hideMark/>
          </w:tcPr>
          <w:p w14:paraId="06A17449"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-0.29</w:t>
            </w:r>
          </w:p>
        </w:tc>
      </w:tr>
      <w:tr w:rsidR="009933B6" w:rsidRPr="000C440D" w14:paraId="4C90AA76" w14:textId="77777777" w:rsidTr="009933B6">
        <w:trPr>
          <w:trHeight w:val="315"/>
        </w:trPr>
        <w:tc>
          <w:tcPr>
            <w:tcW w:w="1240" w:type="dxa"/>
            <w:vMerge/>
            <w:tcBorders>
              <w:top w:val="nil"/>
              <w:left w:val="single" w:sz="4" w:space="0" w:color="auto"/>
              <w:bottom w:val="single" w:sz="8" w:space="0" w:color="000000"/>
              <w:right w:val="single" w:sz="4" w:space="0" w:color="auto"/>
            </w:tcBorders>
            <w:vAlign w:val="center"/>
            <w:hideMark/>
          </w:tcPr>
          <w:p w14:paraId="6854F3F4" w14:textId="77777777" w:rsidR="009933B6" w:rsidRPr="009933B6" w:rsidRDefault="009933B6" w:rsidP="009933B6">
            <w:pPr>
              <w:spacing w:after="0" w:line="240" w:lineRule="auto"/>
              <w:rPr>
                <w:rFonts w:eastAsia="Times New Roman"/>
                <w:color w:val="000000"/>
                <w:lang w:val="en-US"/>
              </w:rPr>
            </w:pPr>
          </w:p>
        </w:tc>
        <w:tc>
          <w:tcPr>
            <w:tcW w:w="1420" w:type="dxa"/>
            <w:tcBorders>
              <w:top w:val="nil"/>
              <w:left w:val="nil"/>
              <w:bottom w:val="single" w:sz="8" w:space="0" w:color="auto"/>
              <w:right w:val="single" w:sz="4" w:space="0" w:color="auto"/>
            </w:tcBorders>
            <w:shd w:val="clear" w:color="auto" w:fill="auto"/>
            <w:noWrap/>
            <w:vAlign w:val="bottom"/>
            <w:hideMark/>
          </w:tcPr>
          <w:p w14:paraId="1E1FC5B6"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High</w:t>
            </w:r>
          </w:p>
        </w:tc>
        <w:tc>
          <w:tcPr>
            <w:tcW w:w="720" w:type="dxa"/>
            <w:tcBorders>
              <w:top w:val="nil"/>
              <w:left w:val="nil"/>
              <w:bottom w:val="single" w:sz="8" w:space="0" w:color="auto"/>
              <w:right w:val="single" w:sz="4" w:space="0" w:color="auto"/>
            </w:tcBorders>
            <w:shd w:val="clear" w:color="000000" w:fill="FFFFFF"/>
            <w:noWrap/>
            <w:vAlign w:val="bottom"/>
            <w:hideMark/>
          </w:tcPr>
          <w:p w14:paraId="43F0AA70"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-0.81</w:t>
            </w:r>
          </w:p>
        </w:tc>
        <w:tc>
          <w:tcPr>
            <w:tcW w:w="720" w:type="dxa"/>
            <w:tcBorders>
              <w:top w:val="nil"/>
              <w:left w:val="nil"/>
              <w:bottom w:val="single" w:sz="8" w:space="0" w:color="auto"/>
              <w:right w:val="single" w:sz="4" w:space="0" w:color="auto"/>
            </w:tcBorders>
            <w:shd w:val="clear" w:color="000000" w:fill="D8E4BC"/>
            <w:noWrap/>
            <w:vAlign w:val="bottom"/>
            <w:hideMark/>
          </w:tcPr>
          <w:p w14:paraId="02C763EE"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-1.61</w:t>
            </w:r>
          </w:p>
        </w:tc>
        <w:tc>
          <w:tcPr>
            <w:tcW w:w="720" w:type="dxa"/>
            <w:tcBorders>
              <w:top w:val="nil"/>
              <w:left w:val="nil"/>
              <w:bottom w:val="single" w:sz="8" w:space="0" w:color="auto"/>
              <w:right w:val="single" w:sz="4" w:space="0" w:color="auto"/>
            </w:tcBorders>
            <w:shd w:val="clear" w:color="000000" w:fill="D8E4BC"/>
            <w:noWrap/>
            <w:vAlign w:val="bottom"/>
            <w:hideMark/>
          </w:tcPr>
          <w:p w14:paraId="365161C0"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-1.53</w:t>
            </w:r>
          </w:p>
        </w:tc>
        <w:tc>
          <w:tcPr>
            <w:tcW w:w="720" w:type="dxa"/>
            <w:tcBorders>
              <w:top w:val="nil"/>
              <w:left w:val="nil"/>
              <w:bottom w:val="single" w:sz="8" w:space="0" w:color="auto"/>
              <w:right w:val="single" w:sz="4" w:space="0" w:color="auto"/>
            </w:tcBorders>
            <w:shd w:val="clear" w:color="000000" w:fill="D8E4BC"/>
            <w:noWrap/>
            <w:vAlign w:val="bottom"/>
            <w:hideMark/>
          </w:tcPr>
          <w:p w14:paraId="6B1FD6BF"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-1.16</w:t>
            </w:r>
          </w:p>
        </w:tc>
        <w:tc>
          <w:tcPr>
            <w:tcW w:w="720" w:type="dxa"/>
            <w:tcBorders>
              <w:top w:val="nil"/>
              <w:left w:val="nil"/>
              <w:bottom w:val="single" w:sz="8" w:space="0" w:color="auto"/>
              <w:right w:val="single" w:sz="4" w:space="0" w:color="auto"/>
            </w:tcBorders>
            <w:shd w:val="clear" w:color="000000" w:fill="FFFFFF"/>
            <w:noWrap/>
            <w:vAlign w:val="bottom"/>
            <w:hideMark/>
          </w:tcPr>
          <w:p w14:paraId="3F7E3F9E"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0.35</w:t>
            </w:r>
          </w:p>
        </w:tc>
        <w:tc>
          <w:tcPr>
            <w:tcW w:w="720" w:type="dxa"/>
            <w:tcBorders>
              <w:top w:val="nil"/>
              <w:left w:val="nil"/>
              <w:bottom w:val="single" w:sz="8" w:space="0" w:color="auto"/>
              <w:right w:val="single" w:sz="4" w:space="0" w:color="auto"/>
            </w:tcBorders>
            <w:shd w:val="clear" w:color="000000" w:fill="D8E4BC"/>
            <w:noWrap/>
            <w:vAlign w:val="bottom"/>
            <w:hideMark/>
          </w:tcPr>
          <w:p w14:paraId="695B6F55"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-0.87</w:t>
            </w:r>
          </w:p>
        </w:tc>
        <w:tc>
          <w:tcPr>
            <w:tcW w:w="720" w:type="dxa"/>
            <w:tcBorders>
              <w:top w:val="nil"/>
              <w:left w:val="nil"/>
              <w:bottom w:val="single" w:sz="8" w:space="0" w:color="auto"/>
              <w:right w:val="single" w:sz="4" w:space="0" w:color="auto"/>
            </w:tcBorders>
            <w:shd w:val="clear" w:color="000000" w:fill="FFFFFF"/>
            <w:noWrap/>
            <w:vAlign w:val="bottom"/>
            <w:hideMark/>
          </w:tcPr>
          <w:p w14:paraId="73CAEF09"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-0.17</w:t>
            </w:r>
          </w:p>
        </w:tc>
        <w:tc>
          <w:tcPr>
            <w:tcW w:w="720" w:type="dxa"/>
            <w:tcBorders>
              <w:top w:val="nil"/>
              <w:left w:val="nil"/>
              <w:bottom w:val="single" w:sz="8" w:space="0" w:color="auto"/>
              <w:right w:val="single" w:sz="4" w:space="0" w:color="auto"/>
            </w:tcBorders>
            <w:shd w:val="clear" w:color="000000" w:fill="D8E4BC"/>
            <w:noWrap/>
            <w:vAlign w:val="bottom"/>
            <w:hideMark/>
          </w:tcPr>
          <w:p w14:paraId="4B412055"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-1.55</w:t>
            </w:r>
          </w:p>
        </w:tc>
        <w:tc>
          <w:tcPr>
            <w:tcW w:w="720" w:type="dxa"/>
            <w:tcBorders>
              <w:top w:val="nil"/>
              <w:left w:val="nil"/>
              <w:bottom w:val="single" w:sz="8" w:space="0" w:color="auto"/>
              <w:right w:val="single" w:sz="4" w:space="0" w:color="auto"/>
            </w:tcBorders>
            <w:shd w:val="clear" w:color="000000" w:fill="D8E4BC"/>
            <w:noWrap/>
            <w:vAlign w:val="bottom"/>
            <w:hideMark/>
          </w:tcPr>
          <w:p w14:paraId="1C8244A8"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-1.52</w:t>
            </w:r>
          </w:p>
        </w:tc>
      </w:tr>
      <w:tr w:rsidR="009933B6" w:rsidRPr="000C440D" w14:paraId="1A19221A" w14:textId="77777777" w:rsidTr="009933B6">
        <w:trPr>
          <w:trHeight w:val="270"/>
        </w:trPr>
        <w:tc>
          <w:tcPr>
            <w:tcW w:w="2660" w:type="dxa"/>
            <w:gridSpan w:val="2"/>
            <w:tcBorders>
              <w:top w:val="nil"/>
              <w:left w:val="single" w:sz="4" w:space="0" w:color="auto"/>
              <w:bottom w:val="single" w:sz="4" w:space="0" w:color="auto"/>
              <w:right w:val="single" w:sz="4" w:space="0" w:color="auto"/>
            </w:tcBorders>
            <w:shd w:val="clear" w:color="000000" w:fill="FFFFFF"/>
            <w:noWrap/>
            <w:vAlign w:val="bottom"/>
            <w:hideMark/>
          </w:tcPr>
          <w:p w14:paraId="64E84B01" w14:textId="77777777" w:rsidR="009933B6" w:rsidRPr="009933B6" w:rsidRDefault="009933B6" w:rsidP="009933B6">
            <w:pPr>
              <w:spacing w:after="0" w:line="240" w:lineRule="auto"/>
              <w:jc w:val="center"/>
              <w:rPr>
                <w:rFonts w:eastAsia="Times New Roman"/>
                <w:color w:val="000000"/>
                <w:lang w:val="en-US"/>
              </w:rPr>
            </w:pPr>
            <w:r w:rsidRPr="009933B6">
              <w:rPr>
                <w:rFonts w:eastAsia="Times New Roman"/>
                <w:color w:val="000000"/>
                <w:lang w:val="en-US"/>
              </w:rPr>
              <w:t>R²</w:t>
            </w:r>
          </w:p>
        </w:tc>
        <w:tc>
          <w:tcPr>
            <w:tcW w:w="720" w:type="dxa"/>
            <w:tcBorders>
              <w:top w:val="nil"/>
              <w:left w:val="nil"/>
              <w:bottom w:val="single" w:sz="4" w:space="0" w:color="auto"/>
              <w:right w:val="single" w:sz="4" w:space="0" w:color="auto"/>
            </w:tcBorders>
            <w:shd w:val="clear" w:color="000000" w:fill="FFFFFF"/>
            <w:noWrap/>
            <w:vAlign w:val="bottom"/>
            <w:hideMark/>
          </w:tcPr>
          <w:p w14:paraId="3E9252E9"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0.05</w:t>
            </w:r>
          </w:p>
        </w:tc>
        <w:tc>
          <w:tcPr>
            <w:tcW w:w="720" w:type="dxa"/>
            <w:tcBorders>
              <w:top w:val="nil"/>
              <w:left w:val="nil"/>
              <w:bottom w:val="single" w:sz="4" w:space="0" w:color="auto"/>
              <w:right w:val="single" w:sz="4" w:space="0" w:color="auto"/>
            </w:tcBorders>
            <w:shd w:val="clear" w:color="auto" w:fill="auto"/>
            <w:noWrap/>
            <w:vAlign w:val="bottom"/>
            <w:hideMark/>
          </w:tcPr>
          <w:p w14:paraId="0E837D8E"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0.02</w:t>
            </w:r>
          </w:p>
        </w:tc>
        <w:tc>
          <w:tcPr>
            <w:tcW w:w="720" w:type="dxa"/>
            <w:tcBorders>
              <w:top w:val="nil"/>
              <w:left w:val="nil"/>
              <w:bottom w:val="single" w:sz="4" w:space="0" w:color="auto"/>
              <w:right w:val="single" w:sz="4" w:space="0" w:color="auto"/>
            </w:tcBorders>
            <w:shd w:val="clear" w:color="auto" w:fill="auto"/>
            <w:noWrap/>
            <w:vAlign w:val="bottom"/>
            <w:hideMark/>
          </w:tcPr>
          <w:p w14:paraId="657459F2"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0.04</w:t>
            </w:r>
          </w:p>
        </w:tc>
        <w:tc>
          <w:tcPr>
            <w:tcW w:w="720" w:type="dxa"/>
            <w:tcBorders>
              <w:top w:val="nil"/>
              <w:left w:val="nil"/>
              <w:bottom w:val="single" w:sz="4" w:space="0" w:color="auto"/>
              <w:right w:val="single" w:sz="4" w:space="0" w:color="auto"/>
            </w:tcBorders>
            <w:shd w:val="clear" w:color="auto" w:fill="auto"/>
            <w:noWrap/>
            <w:vAlign w:val="bottom"/>
            <w:hideMark/>
          </w:tcPr>
          <w:p w14:paraId="3BAB7CF2"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0.02</w:t>
            </w:r>
          </w:p>
        </w:tc>
        <w:tc>
          <w:tcPr>
            <w:tcW w:w="720" w:type="dxa"/>
            <w:tcBorders>
              <w:top w:val="nil"/>
              <w:left w:val="nil"/>
              <w:bottom w:val="single" w:sz="4" w:space="0" w:color="auto"/>
              <w:right w:val="single" w:sz="4" w:space="0" w:color="auto"/>
            </w:tcBorders>
            <w:shd w:val="clear" w:color="auto" w:fill="auto"/>
            <w:noWrap/>
            <w:vAlign w:val="bottom"/>
            <w:hideMark/>
          </w:tcPr>
          <w:p w14:paraId="3CE51633"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0.01</w:t>
            </w:r>
          </w:p>
        </w:tc>
        <w:tc>
          <w:tcPr>
            <w:tcW w:w="720" w:type="dxa"/>
            <w:tcBorders>
              <w:top w:val="nil"/>
              <w:left w:val="nil"/>
              <w:bottom w:val="single" w:sz="4" w:space="0" w:color="auto"/>
              <w:right w:val="single" w:sz="4" w:space="0" w:color="auto"/>
            </w:tcBorders>
            <w:shd w:val="clear" w:color="auto" w:fill="auto"/>
            <w:noWrap/>
            <w:vAlign w:val="bottom"/>
            <w:hideMark/>
          </w:tcPr>
          <w:p w14:paraId="3B91648A"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0.01</w:t>
            </w:r>
          </w:p>
        </w:tc>
        <w:tc>
          <w:tcPr>
            <w:tcW w:w="720" w:type="dxa"/>
            <w:tcBorders>
              <w:top w:val="nil"/>
              <w:left w:val="nil"/>
              <w:bottom w:val="single" w:sz="4" w:space="0" w:color="auto"/>
              <w:right w:val="single" w:sz="4" w:space="0" w:color="auto"/>
            </w:tcBorders>
            <w:shd w:val="clear" w:color="auto" w:fill="auto"/>
            <w:noWrap/>
            <w:vAlign w:val="bottom"/>
            <w:hideMark/>
          </w:tcPr>
          <w:p w14:paraId="53CADCF2"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0.01</w:t>
            </w:r>
          </w:p>
        </w:tc>
        <w:tc>
          <w:tcPr>
            <w:tcW w:w="720" w:type="dxa"/>
            <w:tcBorders>
              <w:top w:val="nil"/>
              <w:left w:val="nil"/>
              <w:bottom w:val="single" w:sz="4" w:space="0" w:color="auto"/>
              <w:right w:val="single" w:sz="4" w:space="0" w:color="auto"/>
            </w:tcBorders>
            <w:shd w:val="clear" w:color="auto" w:fill="auto"/>
            <w:noWrap/>
            <w:vAlign w:val="bottom"/>
            <w:hideMark/>
          </w:tcPr>
          <w:p w14:paraId="288B0F73"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0.05</w:t>
            </w:r>
          </w:p>
        </w:tc>
        <w:tc>
          <w:tcPr>
            <w:tcW w:w="720" w:type="dxa"/>
            <w:tcBorders>
              <w:top w:val="nil"/>
              <w:left w:val="nil"/>
              <w:bottom w:val="single" w:sz="4" w:space="0" w:color="auto"/>
              <w:right w:val="single" w:sz="4" w:space="0" w:color="auto"/>
            </w:tcBorders>
            <w:shd w:val="clear" w:color="auto" w:fill="auto"/>
            <w:noWrap/>
            <w:vAlign w:val="bottom"/>
            <w:hideMark/>
          </w:tcPr>
          <w:p w14:paraId="79DC78F4"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0.03</w:t>
            </w:r>
          </w:p>
        </w:tc>
      </w:tr>
      <w:tr w:rsidR="009933B6" w:rsidRPr="000C440D" w14:paraId="08168506" w14:textId="77777777" w:rsidTr="009933B6">
        <w:trPr>
          <w:trHeight w:val="315"/>
        </w:trPr>
        <w:tc>
          <w:tcPr>
            <w:tcW w:w="2660" w:type="dxa"/>
            <w:gridSpan w:val="2"/>
            <w:tcBorders>
              <w:top w:val="single" w:sz="4" w:space="0" w:color="auto"/>
              <w:left w:val="nil"/>
              <w:bottom w:val="nil"/>
              <w:right w:val="nil"/>
            </w:tcBorders>
            <w:shd w:val="clear" w:color="000000" w:fill="D8E4BC"/>
            <w:noWrap/>
            <w:vAlign w:val="bottom"/>
            <w:hideMark/>
          </w:tcPr>
          <w:p w14:paraId="513E03DB"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significant α=0,05</w:t>
            </w:r>
          </w:p>
        </w:tc>
        <w:tc>
          <w:tcPr>
            <w:tcW w:w="720" w:type="dxa"/>
            <w:tcBorders>
              <w:top w:val="nil"/>
              <w:left w:val="nil"/>
              <w:bottom w:val="nil"/>
              <w:right w:val="nil"/>
            </w:tcBorders>
            <w:shd w:val="clear" w:color="000000" w:fill="FFFFFF"/>
            <w:noWrap/>
            <w:vAlign w:val="bottom"/>
            <w:hideMark/>
          </w:tcPr>
          <w:p w14:paraId="5326BC2D"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100DFF77"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040E280A"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2E22B6C4"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04CA3A59"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5D2D2433"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27D29763"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55068928"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76C8955A"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r>
      <w:tr w:rsidR="009933B6" w:rsidRPr="000C440D" w14:paraId="5CC67E2C" w14:textId="77777777" w:rsidTr="009933B6">
        <w:trPr>
          <w:trHeight w:val="270"/>
        </w:trPr>
        <w:tc>
          <w:tcPr>
            <w:tcW w:w="2660" w:type="dxa"/>
            <w:gridSpan w:val="2"/>
            <w:tcBorders>
              <w:top w:val="nil"/>
              <w:left w:val="nil"/>
              <w:bottom w:val="nil"/>
              <w:right w:val="nil"/>
            </w:tcBorders>
            <w:shd w:val="clear" w:color="000000" w:fill="95B3D7"/>
            <w:noWrap/>
            <w:vAlign w:val="bottom"/>
            <w:hideMark/>
          </w:tcPr>
          <w:p w14:paraId="62F9FD3C"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significant α=0,10</w:t>
            </w:r>
          </w:p>
        </w:tc>
        <w:tc>
          <w:tcPr>
            <w:tcW w:w="720" w:type="dxa"/>
            <w:tcBorders>
              <w:top w:val="nil"/>
              <w:left w:val="nil"/>
              <w:bottom w:val="nil"/>
              <w:right w:val="nil"/>
            </w:tcBorders>
            <w:shd w:val="clear" w:color="000000" w:fill="FFFFFF"/>
            <w:noWrap/>
            <w:vAlign w:val="bottom"/>
            <w:hideMark/>
          </w:tcPr>
          <w:p w14:paraId="2B74E0A2"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3DDA67AA"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7EC7C32A"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50971D5D"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504E6368"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6A4878D3"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79503401"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14E80626"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244095FB"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r>
      <w:tr w:rsidR="009933B6" w:rsidRPr="000C440D" w14:paraId="436527F0" w14:textId="77777777" w:rsidTr="009933B6">
        <w:trPr>
          <w:trHeight w:val="300"/>
        </w:trPr>
        <w:tc>
          <w:tcPr>
            <w:tcW w:w="1240" w:type="dxa"/>
            <w:tcBorders>
              <w:top w:val="nil"/>
              <w:left w:val="nil"/>
              <w:bottom w:val="nil"/>
              <w:right w:val="nil"/>
            </w:tcBorders>
            <w:shd w:val="clear" w:color="000000" w:fill="FFFFFF"/>
            <w:noWrap/>
            <w:vAlign w:val="bottom"/>
            <w:hideMark/>
          </w:tcPr>
          <w:p w14:paraId="45E33C78"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1420" w:type="dxa"/>
            <w:tcBorders>
              <w:top w:val="nil"/>
              <w:left w:val="nil"/>
              <w:bottom w:val="nil"/>
              <w:right w:val="nil"/>
            </w:tcBorders>
            <w:shd w:val="clear" w:color="000000" w:fill="FFFFFF"/>
            <w:noWrap/>
            <w:vAlign w:val="bottom"/>
            <w:hideMark/>
          </w:tcPr>
          <w:p w14:paraId="3993A34F"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6FECCDC3"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6A9E974A"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611EEFFC"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7AE98B48"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6C914935"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1CB2606E"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022A1E47"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24D833C1"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1546422B"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r>
      <w:tr w:rsidR="009933B6" w:rsidRPr="000C440D" w14:paraId="0ACAB27A" w14:textId="77777777" w:rsidTr="009933B6">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hideMark/>
          </w:tcPr>
          <w:p w14:paraId="1ABA047F" w14:textId="77777777" w:rsidR="009933B6" w:rsidRPr="00735B55" w:rsidRDefault="009933B6" w:rsidP="009933B6">
            <w:pPr>
              <w:spacing w:after="0" w:line="240" w:lineRule="auto"/>
              <w:jc w:val="center"/>
              <w:rPr>
                <w:rFonts w:eastAsia="Times New Roman"/>
                <w:b/>
                <w:color w:val="000000"/>
                <w:lang w:val="en-US"/>
              </w:rPr>
            </w:pPr>
            <w:r w:rsidRPr="00735B55">
              <w:rPr>
                <w:rFonts w:eastAsia="Times New Roman"/>
                <w:b/>
                <w:color w:val="000000"/>
                <w:lang w:val="en-US"/>
              </w:rPr>
              <w:t>BMI 2010</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6D4B3B99"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7A3A5703"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AT</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2B2906CD"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DE</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5FF6B1EC"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SE</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1614A791"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NL</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316D30AE"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ES</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44F1563B"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IT</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7985F929"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FR</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23B49108"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DK</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612CB28D"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CH</w:t>
            </w:r>
          </w:p>
        </w:tc>
      </w:tr>
      <w:tr w:rsidR="009933B6" w:rsidRPr="000C440D" w14:paraId="10932B6B" w14:textId="77777777" w:rsidTr="009933B6">
        <w:trPr>
          <w:trHeight w:val="300"/>
        </w:trPr>
        <w:tc>
          <w:tcPr>
            <w:tcW w:w="1240" w:type="dxa"/>
            <w:tcBorders>
              <w:top w:val="nil"/>
              <w:left w:val="single" w:sz="4" w:space="0" w:color="auto"/>
              <w:bottom w:val="single" w:sz="4" w:space="0" w:color="auto"/>
              <w:right w:val="single" w:sz="4" w:space="0" w:color="auto"/>
            </w:tcBorders>
            <w:shd w:val="clear" w:color="auto" w:fill="auto"/>
            <w:noWrap/>
            <w:hideMark/>
          </w:tcPr>
          <w:p w14:paraId="1D2DB156"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1420" w:type="dxa"/>
            <w:tcBorders>
              <w:top w:val="nil"/>
              <w:left w:val="nil"/>
              <w:bottom w:val="single" w:sz="4" w:space="0" w:color="auto"/>
              <w:right w:val="single" w:sz="4" w:space="0" w:color="auto"/>
            </w:tcBorders>
            <w:shd w:val="clear" w:color="auto" w:fill="auto"/>
            <w:noWrap/>
            <w:vAlign w:val="bottom"/>
            <w:hideMark/>
          </w:tcPr>
          <w:p w14:paraId="7CF900DD"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Constant</w:t>
            </w:r>
          </w:p>
        </w:tc>
        <w:tc>
          <w:tcPr>
            <w:tcW w:w="720" w:type="dxa"/>
            <w:tcBorders>
              <w:top w:val="nil"/>
              <w:left w:val="nil"/>
              <w:bottom w:val="single" w:sz="4" w:space="0" w:color="auto"/>
              <w:right w:val="single" w:sz="4" w:space="0" w:color="auto"/>
            </w:tcBorders>
            <w:shd w:val="clear" w:color="000000" w:fill="D8E4BC"/>
            <w:noWrap/>
            <w:vAlign w:val="bottom"/>
            <w:hideMark/>
          </w:tcPr>
          <w:p w14:paraId="77A30934"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28.71</w:t>
            </w:r>
          </w:p>
        </w:tc>
        <w:tc>
          <w:tcPr>
            <w:tcW w:w="720" w:type="dxa"/>
            <w:tcBorders>
              <w:top w:val="nil"/>
              <w:left w:val="nil"/>
              <w:bottom w:val="single" w:sz="4" w:space="0" w:color="auto"/>
              <w:right w:val="single" w:sz="4" w:space="0" w:color="auto"/>
            </w:tcBorders>
            <w:shd w:val="clear" w:color="000000" w:fill="D8E4BC"/>
            <w:noWrap/>
            <w:vAlign w:val="bottom"/>
            <w:hideMark/>
          </w:tcPr>
          <w:p w14:paraId="44A517E3"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28.27</w:t>
            </w:r>
          </w:p>
        </w:tc>
        <w:tc>
          <w:tcPr>
            <w:tcW w:w="720" w:type="dxa"/>
            <w:tcBorders>
              <w:top w:val="nil"/>
              <w:left w:val="nil"/>
              <w:bottom w:val="single" w:sz="4" w:space="0" w:color="auto"/>
              <w:right w:val="single" w:sz="4" w:space="0" w:color="auto"/>
            </w:tcBorders>
            <w:shd w:val="clear" w:color="000000" w:fill="D8E4BC"/>
            <w:noWrap/>
            <w:vAlign w:val="bottom"/>
            <w:hideMark/>
          </w:tcPr>
          <w:p w14:paraId="0C922D05"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27.27</w:t>
            </w:r>
          </w:p>
        </w:tc>
        <w:tc>
          <w:tcPr>
            <w:tcW w:w="720" w:type="dxa"/>
            <w:tcBorders>
              <w:top w:val="nil"/>
              <w:left w:val="nil"/>
              <w:bottom w:val="single" w:sz="4" w:space="0" w:color="auto"/>
              <w:right w:val="single" w:sz="4" w:space="0" w:color="auto"/>
            </w:tcBorders>
            <w:shd w:val="clear" w:color="000000" w:fill="D8E4BC"/>
            <w:noWrap/>
            <w:vAlign w:val="bottom"/>
            <w:hideMark/>
          </w:tcPr>
          <w:p w14:paraId="5ED5CC37"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27.43</w:t>
            </w:r>
          </w:p>
        </w:tc>
        <w:tc>
          <w:tcPr>
            <w:tcW w:w="720" w:type="dxa"/>
            <w:tcBorders>
              <w:top w:val="nil"/>
              <w:left w:val="nil"/>
              <w:bottom w:val="single" w:sz="4" w:space="0" w:color="auto"/>
              <w:right w:val="single" w:sz="4" w:space="0" w:color="auto"/>
            </w:tcBorders>
            <w:shd w:val="clear" w:color="000000" w:fill="D8E4BC"/>
            <w:noWrap/>
            <w:vAlign w:val="bottom"/>
            <w:hideMark/>
          </w:tcPr>
          <w:p w14:paraId="4B084B0C"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27.76</w:t>
            </w:r>
          </w:p>
        </w:tc>
        <w:tc>
          <w:tcPr>
            <w:tcW w:w="720" w:type="dxa"/>
            <w:tcBorders>
              <w:top w:val="nil"/>
              <w:left w:val="nil"/>
              <w:bottom w:val="single" w:sz="4" w:space="0" w:color="auto"/>
              <w:right w:val="single" w:sz="4" w:space="0" w:color="auto"/>
            </w:tcBorders>
            <w:shd w:val="clear" w:color="000000" w:fill="D8E4BC"/>
            <w:noWrap/>
            <w:vAlign w:val="bottom"/>
            <w:hideMark/>
          </w:tcPr>
          <w:p w14:paraId="1833E8DF"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27.59</w:t>
            </w:r>
          </w:p>
        </w:tc>
        <w:tc>
          <w:tcPr>
            <w:tcW w:w="720" w:type="dxa"/>
            <w:tcBorders>
              <w:top w:val="nil"/>
              <w:left w:val="nil"/>
              <w:bottom w:val="single" w:sz="4" w:space="0" w:color="auto"/>
              <w:right w:val="single" w:sz="4" w:space="0" w:color="auto"/>
            </w:tcBorders>
            <w:shd w:val="clear" w:color="000000" w:fill="D8E4BC"/>
            <w:noWrap/>
            <w:vAlign w:val="bottom"/>
            <w:hideMark/>
          </w:tcPr>
          <w:p w14:paraId="1A7980DD"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27.00</w:t>
            </w:r>
          </w:p>
        </w:tc>
        <w:tc>
          <w:tcPr>
            <w:tcW w:w="720" w:type="dxa"/>
            <w:tcBorders>
              <w:top w:val="nil"/>
              <w:left w:val="nil"/>
              <w:bottom w:val="single" w:sz="4" w:space="0" w:color="auto"/>
              <w:right w:val="single" w:sz="4" w:space="0" w:color="auto"/>
            </w:tcBorders>
            <w:shd w:val="clear" w:color="000000" w:fill="D8E4BC"/>
            <w:noWrap/>
            <w:vAlign w:val="bottom"/>
            <w:hideMark/>
          </w:tcPr>
          <w:p w14:paraId="42516D8F"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27.92</w:t>
            </w:r>
          </w:p>
        </w:tc>
        <w:tc>
          <w:tcPr>
            <w:tcW w:w="720" w:type="dxa"/>
            <w:tcBorders>
              <w:top w:val="nil"/>
              <w:left w:val="nil"/>
              <w:bottom w:val="single" w:sz="4" w:space="0" w:color="auto"/>
              <w:right w:val="single" w:sz="4" w:space="0" w:color="auto"/>
            </w:tcBorders>
            <w:shd w:val="clear" w:color="000000" w:fill="D8E4BC"/>
            <w:noWrap/>
            <w:vAlign w:val="bottom"/>
            <w:hideMark/>
          </w:tcPr>
          <w:p w14:paraId="48E4E788"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26.77</w:t>
            </w:r>
          </w:p>
        </w:tc>
      </w:tr>
      <w:tr w:rsidR="009933B6" w:rsidRPr="000C440D" w14:paraId="7911F5F1" w14:textId="77777777" w:rsidTr="009933B6">
        <w:trPr>
          <w:trHeight w:val="300"/>
        </w:trPr>
        <w:tc>
          <w:tcPr>
            <w:tcW w:w="1240" w:type="dxa"/>
            <w:tcBorders>
              <w:top w:val="nil"/>
              <w:left w:val="single" w:sz="4" w:space="0" w:color="auto"/>
              <w:bottom w:val="single" w:sz="4" w:space="0" w:color="auto"/>
              <w:right w:val="single" w:sz="4" w:space="0" w:color="auto"/>
            </w:tcBorders>
            <w:shd w:val="clear" w:color="auto" w:fill="auto"/>
            <w:noWrap/>
            <w:hideMark/>
          </w:tcPr>
          <w:p w14:paraId="78F567A2"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Gender</w:t>
            </w:r>
          </w:p>
        </w:tc>
        <w:tc>
          <w:tcPr>
            <w:tcW w:w="1420" w:type="dxa"/>
            <w:tcBorders>
              <w:top w:val="nil"/>
              <w:left w:val="nil"/>
              <w:bottom w:val="single" w:sz="4" w:space="0" w:color="auto"/>
              <w:right w:val="single" w:sz="4" w:space="0" w:color="auto"/>
            </w:tcBorders>
            <w:shd w:val="clear" w:color="auto" w:fill="auto"/>
            <w:noWrap/>
            <w:vAlign w:val="bottom"/>
            <w:hideMark/>
          </w:tcPr>
          <w:p w14:paraId="7995A1CB"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Female</w:t>
            </w:r>
          </w:p>
        </w:tc>
        <w:tc>
          <w:tcPr>
            <w:tcW w:w="720" w:type="dxa"/>
            <w:tcBorders>
              <w:top w:val="nil"/>
              <w:left w:val="nil"/>
              <w:bottom w:val="single" w:sz="4" w:space="0" w:color="auto"/>
              <w:right w:val="single" w:sz="4" w:space="0" w:color="auto"/>
            </w:tcBorders>
            <w:shd w:val="clear" w:color="000000" w:fill="FFFFFF"/>
            <w:noWrap/>
            <w:vAlign w:val="bottom"/>
            <w:hideMark/>
          </w:tcPr>
          <w:p w14:paraId="7C6CD0F8"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-0.51</w:t>
            </w:r>
          </w:p>
        </w:tc>
        <w:tc>
          <w:tcPr>
            <w:tcW w:w="720" w:type="dxa"/>
            <w:tcBorders>
              <w:top w:val="nil"/>
              <w:left w:val="nil"/>
              <w:bottom w:val="single" w:sz="4" w:space="0" w:color="auto"/>
              <w:right w:val="single" w:sz="4" w:space="0" w:color="auto"/>
            </w:tcBorders>
            <w:shd w:val="clear" w:color="000000" w:fill="D8E4BC"/>
            <w:noWrap/>
            <w:vAlign w:val="bottom"/>
            <w:hideMark/>
          </w:tcPr>
          <w:p w14:paraId="7599AD68"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-1.10</w:t>
            </w:r>
          </w:p>
        </w:tc>
        <w:tc>
          <w:tcPr>
            <w:tcW w:w="720" w:type="dxa"/>
            <w:tcBorders>
              <w:top w:val="nil"/>
              <w:left w:val="nil"/>
              <w:bottom w:val="single" w:sz="4" w:space="0" w:color="auto"/>
              <w:right w:val="single" w:sz="4" w:space="0" w:color="auto"/>
            </w:tcBorders>
            <w:shd w:val="clear" w:color="000000" w:fill="D8E4BC"/>
            <w:noWrap/>
            <w:vAlign w:val="bottom"/>
            <w:hideMark/>
          </w:tcPr>
          <w:p w14:paraId="239E5D9A"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-0.66</w:t>
            </w:r>
          </w:p>
        </w:tc>
        <w:tc>
          <w:tcPr>
            <w:tcW w:w="720" w:type="dxa"/>
            <w:tcBorders>
              <w:top w:val="nil"/>
              <w:left w:val="nil"/>
              <w:bottom w:val="single" w:sz="4" w:space="0" w:color="auto"/>
              <w:right w:val="single" w:sz="4" w:space="0" w:color="auto"/>
            </w:tcBorders>
            <w:shd w:val="clear" w:color="000000" w:fill="D8E4BC"/>
            <w:noWrap/>
            <w:vAlign w:val="bottom"/>
            <w:hideMark/>
          </w:tcPr>
          <w:p w14:paraId="0D79A94D"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-0.53</w:t>
            </w:r>
          </w:p>
        </w:tc>
        <w:tc>
          <w:tcPr>
            <w:tcW w:w="720" w:type="dxa"/>
            <w:tcBorders>
              <w:top w:val="nil"/>
              <w:left w:val="nil"/>
              <w:bottom w:val="single" w:sz="4" w:space="0" w:color="auto"/>
              <w:right w:val="single" w:sz="4" w:space="0" w:color="auto"/>
            </w:tcBorders>
            <w:shd w:val="clear" w:color="000000" w:fill="FFFFFF"/>
            <w:noWrap/>
            <w:vAlign w:val="bottom"/>
            <w:hideMark/>
          </w:tcPr>
          <w:p w14:paraId="0F60A5F9"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0.41</w:t>
            </w:r>
          </w:p>
        </w:tc>
        <w:tc>
          <w:tcPr>
            <w:tcW w:w="720" w:type="dxa"/>
            <w:tcBorders>
              <w:top w:val="nil"/>
              <w:left w:val="nil"/>
              <w:bottom w:val="single" w:sz="4" w:space="0" w:color="auto"/>
              <w:right w:val="single" w:sz="4" w:space="0" w:color="auto"/>
            </w:tcBorders>
            <w:shd w:val="clear" w:color="000000" w:fill="D8E4BC"/>
            <w:noWrap/>
            <w:vAlign w:val="bottom"/>
            <w:hideMark/>
          </w:tcPr>
          <w:p w14:paraId="09CC0160"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-0.72</w:t>
            </w:r>
          </w:p>
        </w:tc>
        <w:tc>
          <w:tcPr>
            <w:tcW w:w="720" w:type="dxa"/>
            <w:tcBorders>
              <w:top w:val="nil"/>
              <w:left w:val="nil"/>
              <w:bottom w:val="single" w:sz="4" w:space="0" w:color="auto"/>
              <w:right w:val="single" w:sz="4" w:space="0" w:color="auto"/>
            </w:tcBorders>
            <w:shd w:val="clear" w:color="000000" w:fill="D8E4BC"/>
            <w:noWrap/>
            <w:vAlign w:val="bottom"/>
            <w:hideMark/>
          </w:tcPr>
          <w:p w14:paraId="725D7106"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-0.60</w:t>
            </w:r>
          </w:p>
        </w:tc>
        <w:tc>
          <w:tcPr>
            <w:tcW w:w="720" w:type="dxa"/>
            <w:tcBorders>
              <w:top w:val="nil"/>
              <w:left w:val="nil"/>
              <w:bottom w:val="single" w:sz="4" w:space="0" w:color="auto"/>
              <w:right w:val="single" w:sz="4" w:space="0" w:color="auto"/>
            </w:tcBorders>
            <w:shd w:val="clear" w:color="000000" w:fill="D8E4BC"/>
            <w:noWrap/>
            <w:vAlign w:val="bottom"/>
            <w:hideMark/>
          </w:tcPr>
          <w:p w14:paraId="05C5F961"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-1.10</w:t>
            </w:r>
          </w:p>
        </w:tc>
        <w:tc>
          <w:tcPr>
            <w:tcW w:w="720" w:type="dxa"/>
            <w:tcBorders>
              <w:top w:val="nil"/>
              <w:left w:val="nil"/>
              <w:bottom w:val="single" w:sz="4" w:space="0" w:color="auto"/>
              <w:right w:val="single" w:sz="4" w:space="0" w:color="auto"/>
            </w:tcBorders>
            <w:shd w:val="clear" w:color="000000" w:fill="D8E4BC"/>
            <w:noWrap/>
            <w:vAlign w:val="bottom"/>
            <w:hideMark/>
          </w:tcPr>
          <w:p w14:paraId="16FCBE01"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-0.92</w:t>
            </w:r>
          </w:p>
        </w:tc>
      </w:tr>
      <w:tr w:rsidR="009933B6" w:rsidRPr="000C440D" w14:paraId="4AE5694B" w14:textId="77777777" w:rsidTr="009933B6">
        <w:trPr>
          <w:trHeight w:val="300"/>
        </w:trPr>
        <w:tc>
          <w:tcPr>
            <w:tcW w:w="1240" w:type="dxa"/>
            <w:vMerge w:val="restart"/>
            <w:tcBorders>
              <w:top w:val="nil"/>
              <w:left w:val="single" w:sz="4" w:space="0" w:color="auto"/>
              <w:bottom w:val="single" w:sz="4" w:space="0" w:color="000000"/>
              <w:right w:val="single" w:sz="4" w:space="0" w:color="auto"/>
            </w:tcBorders>
            <w:shd w:val="clear" w:color="auto" w:fill="auto"/>
            <w:hideMark/>
          </w:tcPr>
          <w:p w14:paraId="411506A0"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xml:space="preserve">Agegroup base: 1 </w:t>
            </w:r>
          </w:p>
        </w:tc>
        <w:tc>
          <w:tcPr>
            <w:tcW w:w="1420" w:type="dxa"/>
            <w:tcBorders>
              <w:top w:val="nil"/>
              <w:left w:val="nil"/>
              <w:bottom w:val="single" w:sz="4" w:space="0" w:color="auto"/>
              <w:right w:val="single" w:sz="4" w:space="0" w:color="auto"/>
            </w:tcBorders>
            <w:shd w:val="clear" w:color="auto" w:fill="auto"/>
            <w:noWrap/>
            <w:vAlign w:val="bottom"/>
            <w:hideMark/>
          </w:tcPr>
          <w:p w14:paraId="5EAC0D80"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Group 2</w:t>
            </w:r>
          </w:p>
        </w:tc>
        <w:tc>
          <w:tcPr>
            <w:tcW w:w="720" w:type="dxa"/>
            <w:tcBorders>
              <w:top w:val="nil"/>
              <w:left w:val="nil"/>
              <w:bottom w:val="single" w:sz="4" w:space="0" w:color="auto"/>
              <w:right w:val="single" w:sz="4" w:space="0" w:color="auto"/>
            </w:tcBorders>
            <w:shd w:val="clear" w:color="000000" w:fill="D8E4BC"/>
            <w:noWrap/>
            <w:vAlign w:val="bottom"/>
            <w:hideMark/>
          </w:tcPr>
          <w:p w14:paraId="098EDE7D"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-1.62</w:t>
            </w:r>
          </w:p>
        </w:tc>
        <w:tc>
          <w:tcPr>
            <w:tcW w:w="720" w:type="dxa"/>
            <w:tcBorders>
              <w:top w:val="nil"/>
              <w:left w:val="nil"/>
              <w:bottom w:val="single" w:sz="4" w:space="0" w:color="auto"/>
              <w:right w:val="single" w:sz="4" w:space="0" w:color="auto"/>
            </w:tcBorders>
            <w:shd w:val="clear" w:color="000000" w:fill="FFFFFF"/>
            <w:noWrap/>
            <w:vAlign w:val="bottom"/>
            <w:hideMark/>
          </w:tcPr>
          <w:p w14:paraId="48FA25F8"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-0.43</w:t>
            </w:r>
          </w:p>
        </w:tc>
        <w:tc>
          <w:tcPr>
            <w:tcW w:w="720" w:type="dxa"/>
            <w:tcBorders>
              <w:top w:val="nil"/>
              <w:left w:val="nil"/>
              <w:bottom w:val="single" w:sz="4" w:space="0" w:color="auto"/>
              <w:right w:val="single" w:sz="4" w:space="0" w:color="auto"/>
            </w:tcBorders>
            <w:shd w:val="clear" w:color="000000" w:fill="FFFFFF"/>
            <w:noWrap/>
            <w:vAlign w:val="bottom"/>
            <w:hideMark/>
          </w:tcPr>
          <w:p w14:paraId="3F8F7CA7"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-0.39</w:t>
            </w:r>
          </w:p>
        </w:tc>
        <w:tc>
          <w:tcPr>
            <w:tcW w:w="720" w:type="dxa"/>
            <w:tcBorders>
              <w:top w:val="nil"/>
              <w:left w:val="nil"/>
              <w:bottom w:val="single" w:sz="4" w:space="0" w:color="auto"/>
              <w:right w:val="single" w:sz="4" w:space="0" w:color="auto"/>
            </w:tcBorders>
            <w:shd w:val="clear" w:color="000000" w:fill="95B3D7"/>
            <w:noWrap/>
            <w:vAlign w:val="bottom"/>
            <w:hideMark/>
          </w:tcPr>
          <w:p w14:paraId="7EADD92C"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-0.56</w:t>
            </w:r>
          </w:p>
        </w:tc>
        <w:tc>
          <w:tcPr>
            <w:tcW w:w="720" w:type="dxa"/>
            <w:tcBorders>
              <w:top w:val="nil"/>
              <w:left w:val="nil"/>
              <w:bottom w:val="single" w:sz="4" w:space="0" w:color="auto"/>
              <w:right w:val="single" w:sz="4" w:space="0" w:color="auto"/>
            </w:tcBorders>
            <w:shd w:val="clear" w:color="000000" w:fill="95B3D7"/>
            <w:noWrap/>
            <w:vAlign w:val="bottom"/>
            <w:hideMark/>
          </w:tcPr>
          <w:p w14:paraId="6E716A43"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0.02</w:t>
            </w:r>
          </w:p>
        </w:tc>
        <w:tc>
          <w:tcPr>
            <w:tcW w:w="720" w:type="dxa"/>
            <w:tcBorders>
              <w:top w:val="nil"/>
              <w:left w:val="nil"/>
              <w:bottom w:val="single" w:sz="4" w:space="0" w:color="auto"/>
              <w:right w:val="single" w:sz="4" w:space="0" w:color="auto"/>
            </w:tcBorders>
            <w:shd w:val="clear" w:color="000000" w:fill="95B3D7"/>
            <w:noWrap/>
            <w:vAlign w:val="bottom"/>
            <w:hideMark/>
          </w:tcPr>
          <w:p w14:paraId="10068128"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-0.47</w:t>
            </w:r>
          </w:p>
        </w:tc>
        <w:tc>
          <w:tcPr>
            <w:tcW w:w="720" w:type="dxa"/>
            <w:tcBorders>
              <w:top w:val="nil"/>
              <w:left w:val="nil"/>
              <w:bottom w:val="single" w:sz="4" w:space="0" w:color="auto"/>
              <w:right w:val="single" w:sz="4" w:space="0" w:color="auto"/>
            </w:tcBorders>
            <w:shd w:val="clear" w:color="000000" w:fill="95B3D7"/>
            <w:noWrap/>
            <w:vAlign w:val="bottom"/>
            <w:hideMark/>
          </w:tcPr>
          <w:p w14:paraId="649595E6"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-0.54</w:t>
            </w:r>
          </w:p>
        </w:tc>
        <w:tc>
          <w:tcPr>
            <w:tcW w:w="720" w:type="dxa"/>
            <w:tcBorders>
              <w:top w:val="nil"/>
              <w:left w:val="nil"/>
              <w:bottom w:val="single" w:sz="4" w:space="0" w:color="auto"/>
              <w:right w:val="single" w:sz="4" w:space="0" w:color="auto"/>
            </w:tcBorders>
            <w:shd w:val="clear" w:color="000000" w:fill="D8E4BC"/>
            <w:noWrap/>
            <w:vAlign w:val="bottom"/>
            <w:hideMark/>
          </w:tcPr>
          <w:p w14:paraId="59A48580"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-1.04</w:t>
            </w:r>
          </w:p>
        </w:tc>
        <w:tc>
          <w:tcPr>
            <w:tcW w:w="720" w:type="dxa"/>
            <w:tcBorders>
              <w:top w:val="nil"/>
              <w:left w:val="nil"/>
              <w:bottom w:val="single" w:sz="4" w:space="0" w:color="auto"/>
              <w:right w:val="single" w:sz="4" w:space="0" w:color="auto"/>
            </w:tcBorders>
            <w:shd w:val="clear" w:color="000000" w:fill="FFFFFF"/>
            <w:noWrap/>
            <w:vAlign w:val="bottom"/>
            <w:hideMark/>
          </w:tcPr>
          <w:p w14:paraId="17A25D63"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-0.57</w:t>
            </w:r>
          </w:p>
        </w:tc>
      </w:tr>
      <w:tr w:rsidR="009933B6" w:rsidRPr="000C440D" w14:paraId="42C43F6C" w14:textId="77777777" w:rsidTr="009933B6">
        <w:trPr>
          <w:trHeight w:val="300"/>
        </w:trPr>
        <w:tc>
          <w:tcPr>
            <w:tcW w:w="1240" w:type="dxa"/>
            <w:vMerge/>
            <w:tcBorders>
              <w:top w:val="nil"/>
              <w:left w:val="single" w:sz="4" w:space="0" w:color="auto"/>
              <w:bottom w:val="single" w:sz="4" w:space="0" w:color="000000"/>
              <w:right w:val="single" w:sz="4" w:space="0" w:color="auto"/>
            </w:tcBorders>
            <w:vAlign w:val="center"/>
            <w:hideMark/>
          </w:tcPr>
          <w:p w14:paraId="5E054347" w14:textId="77777777" w:rsidR="009933B6" w:rsidRPr="009933B6" w:rsidRDefault="009933B6" w:rsidP="009933B6">
            <w:pPr>
              <w:spacing w:after="0" w:line="240" w:lineRule="auto"/>
              <w:rPr>
                <w:rFonts w:eastAsia="Times New Roman"/>
                <w:color w:val="000000"/>
                <w:lang w:val="en-US"/>
              </w:rPr>
            </w:pPr>
          </w:p>
        </w:tc>
        <w:tc>
          <w:tcPr>
            <w:tcW w:w="1420" w:type="dxa"/>
            <w:tcBorders>
              <w:top w:val="nil"/>
              <w:left w:val="nil"/>
              <w:bottom w:val="single" w:sz="4" w:space="0" w:color="auto"/>
              <w:right w:val="single" w:sz="4" w:space="0" w:color="auto"/>
            </w:tcBorders>
            <w:shd w:val="clear" w:color="auto" w:fill="auto"/>
            <w:noWrap/>
            <w:vAlign w:val="bottom"/>
            <w:hideMark/>
          </w:tcPr>
          <w:p w14:paraId="0AF2DD41"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Group 3</w:t>
            </w:r>
          </w:p>
        </w:tc>
        <w:tc>
          <w:tcPr>
            <w:tcW w:w="720" w:type="dxa"/>
            <w:tcBorders>
              <w:top w:val="nil"/>
              <w:left w:val="nil"/>
              <w:bottom w:val="single" w:sz="4" w:space="0" w:color="auto"/>
              <w:right w:val="single" w:sz="4" w:space="0" w:color="auto"/>
            </w:tcBorders>
            <w:shd w:val="clear" w:color="000000" w:fill="D8E4BC"/>
            <w:noWrap/>
            <w:vAlign w:val="bottom"/>
            <w:hideMark/>
          </w:tcPr>
          <w:p w14:paraId="221EADA7"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-3.08</w:t>
            </w:r>
          </w:p>
        </w:tc>
        <w:tc>
          <w:tcPr>
            <w:tcW w:w="720" w:type="dxa"/>
            <w:tcBorders>
              <w:top w:val="nil"/>
              <w:left w:val="nil"/>
              <w:bottom w:val="single" w:sz="4" w:space="0" w:color="auto"/>
              <w:right w:val="single" w:sz="4" w:space="0" w:color="auto"/>
            </w:tcBorders>
            <w:shd w:val="clear" w:color="000000" w:fill="FFFFFF"/>
            <w:noWrap/>
            <w:vAlign w:val="bottom"/>
            <w:hideMark/>
          </w:tcPr>
          <w:p w14:paraId="0DF8AB80"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-0.81</w:t>
            </w:r>
          </w:p>
        </w:tc>
        <w:tc>
          <w:tcPr>
            <w:tcW w:w="720" w:type="dxa"/>
            <w:tcBorders>
              <w:top w:val="nil"/>
              <w:left w:val="nil"/>
              <w:bottom w:val="single" w:sz="4" w:space="0" w:color="auto"/>
              <w:right w:val="single" w:sz="4" w:space="0" w:color="auto"/>
            </w:tcBorders>
            <w:shd w:val="clear" w:color="000000" w:fill="D8E4BC"/>
            <w:noWrap/>
            <w:vAlign w:val="bottom"/>
            <w:hideMark/>
          </w:tcPr>
          <w:p w14:paraId="17D7FA16"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-1.80</w:t>
            </w:r>
          </w:p>
        </w:tc>
        <w:tc>
          <w:tcPr>
            <w:tcW w:w="720" w:type="dxa"/>
            <w:tcBorders>
              <w:top w:val="nil"/>
              <w:left w:val="nil"/>
              <w:bottom w:val="single" w:sz="4" w:space="0" w:color="auto"/>
              <w:right w:val="single" w:sz="4" w:space="0" w:color="auto"/>
            </w:tcBorders>
            <w:shd w:val="clear" w:color="000000" w:fill="D8E4BC"/>
            <w:noWrap/>
            <w:vAlign w:val="bottom"/>
            <w:hideMark/>
          </w:tcPr>
          <w:p w14:paraId="53A1D464"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-1.83</w:t>
            </w:r>
          </w:p>
        </w:tc>
        <w:tc>
          <w:tcPr>
            <w:tcW w:w="720" w:type="dxa"/>
            <w:tcBorders>
              <w:top w:val="nil"/>
              <w:left w:val="nil"/>
              <w:bottom w:val="single" w:sz="4" w:space="0" w:color="auto"/>
              <w:right w:val="single" w:sz="4" w:space="0" w:color="auto"/>
            </w:tcBorders>
            <w:shd w:val="clear" w:color="000000" w:fill="FFFFFF"/>
            <w:noWrap/>
            <w:vAlign w:val="bottom"/>
            <w:hideMark/>
          </w:tcPr>
          <w:p w14:paraId="025DD53A"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-0.65</w:t>
            </w:r>
          </w:p>
        </w:tc>
        <w:tc>
          <w:tcPr>
            <w:tcW w:w="720" w:type="dxa"/>
            <w:tcBorders>
              <w:top w:val="nil"/>
              <w:left w:val="nil"/>
              <w:bottom w:val="single" w:sz="4" w:space="0" w:color="auto"/>
              <w:right w:val="single" w:sz="4" w:space="0" w:color="auto"/>
            </w:tcBorders>
            <w:shd w:val="clear" w:color="000000" w:fill="D8E4BC"/>
            <w:noWrap/>
            <w:vAlign w:val="bottom"/>
            <w:hideMark/>
          </w:tcPr>
          <w:p w14:paraId="64C9BDD4"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-0.99</w:t>
            </w:r>
          </w:p>
        </w:tc>
        <w:tc>
          <w:tcPr>
            <w:tcW w:w="720" w:type="dxa"/>
            <w:tcBorders>
              <w:top w:val="nil"/>
              <w:left w:val="nil"/>
              <w:bottom w:val="single" w:sz="4" w:space="0" w:color="auto"/>
              <w:right w:val="single" w:sz="4" w:space="0" w:color="auto"/>
            </w:tcBorders>
            <w:shd w:val="clear" w:color="000000" w:fill="D8E4BC"/>
            <w:noWrap/>
            <w:vAlign w:val="bottom"/>
            <w:hideMark/>
          </w:tcPr>
          <w:p w14:paraId="2A844ADB"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-1.82</w:t>
            </w:r>
          </w:p>
        </w:tc>
        <w:tc>
          <w:tcPr>
            <w:tcW w:w="720" w:type="dxa"/>
            <w:tcBorders>
              <w:top w:val="nil"/>
              <w:left w:val="nil"/>
              <w:bottom w:val="single" w:sz="4" w:space="0" w:color="auto"/>
              <w:right w:val="single" w:sz="4" w:space="0" w:color="auto"/>
            </w:tcBorders>
            <w:shd w:val="clear" w:color="000000" w:fill="D8E4BC"/>
            <w:noWrap/>
            <w:vAlign w:val="bottom"/>
            <w:hideMark/>
          </w:tcPr>
          <w:p w14:paraId="30388010"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-2.40</w:t>
            </w:r>
          </w:p>
        </w:tc>
        <w:tc>
          <w:tcPr>
            <w:tcW w:w="720" w:type="dxa"/>
            <w:tcBorders>
              <w:top w:val="nil"/>
              <w:left w:val="nil"/>
              <w:bottom w:val="single" w:sz="4" w:space="0" w:color="auto"/>
              <w:right w:val="single" w:sz="4" w:space="0" w:color="auto"/>
            </w:tcBorders>
            <w:shd w:val="clear" w:color="000000" w:fill="D8E4BC"/>
            <w:noWrap/>
            <w:vAlign w:val="bottom"/>
            <w:hideMark/>
          </w:tcPr>
          <w:p w14:paraId="0295AAC0"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-1.75</w:t>
            </w:r>
          </w:p>
        </w:tc>
      </w:tr>
      <w:tr w:rsidR="009933B6" w:rsidRPr="000C440D" w14:paraId="1483D3B1" w14:textId="77777777" w:rsidTr="009933B6">
        <w:trPr>
          <w:trHeight w:val="300"/>
        </w:trPr>
        <w:tc>
          <w:tcPr>
            <w:tcW w:w="1240" w:type="dxa"/>
            <w:vMerge w:val="restart"/>
            <w:tcBorders>
              <w:top w:val="nil"/>
              <w:left w:val="single" w:sz="4" w:space="0" w:color="auto"/>
              <w:bottom w:val="single" w:sz="8" w:space="0" w:color="000000"/>
              <w:right w:val="single" w:sz="4" w:space="0" w:color="auto"/>
            </w:tcBorders>
            <w:shd w:val="clear" w:color="auto" w:fill="auto"/>
            <w:hideMark/>
          </w:tcPr>
          <w:p w14:paraId="7DC1EA80"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ISCED base: Low</w:t>
            </w:r>
          </w:p>
        </w:tc>
        <w:tc>
          <w:tcPr>
            <w:tcW w:w="1420" w:type="dxa"/>
            <w:tcBorders>
              <w:top w:val="nil"/>
              <w:left w:val="nil"/>
              <w:bottom w:val="single" w:sz="4" w:space="0" w:color="auto"/>
              <w:right w:val="single" w:sz="4" w:space="0" w:color="auto"/>
            </w:tcBorders>
            <w:shd w:val="clear" w:color="auto" w:fill="auto"/>
            <w:noWrap/>
            <w:vAlign w:val="bottom"/>
            <w:hideMark/>
          </w:tcPr>
          <w:p w14:paraId="134E204C"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Mid</w:t>
            </w:r>
          </w:p>
        </w:tc>
        <w:tc>
          <w:tcPr>
            <w:tcW w:w="720" w:type="dxa"/>
            <w:tcBorders>
              <w:top w:val="nil"/>
              <w:left w:val="nil"/>
              <w:bottom w:val="single" w:sz="4" w:space="0" w:color="auto"/>
              <w:right w:val="single" w:sz="4" w:space="0" w:color="auto"/>
            </w:tcBorders>
            <w:shd w:val="clear" w:color="000000" w:fill="FFFFFF"/>
            <w:noWrap/>
            <w:vAlign w:val="bottom"/>
            <w:hideMark/>
          </w:tcPr>
          <w:p w14:paraId="3739B763"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-0.67</w:t>
            </w:r>
          </w:p>
        </w:tc>
        <w:tc>
          <w:tcPr>
            <w:tcW w:w="720" w:type="dxa"/>
            <w:tcBorders>
              <w:top w:val="nil"/>
              <w:left w:val="nil"/>
              <w:bottom w:val="single" w:sz="4" w:space="0" w:color="auto"/>
              <w:right w:val="single" w:sz="4" w:space="0" w:color="auto"/>
            </w:tcBorders>
            <w:shd w:val="clear" w:color="000000" w:fill="FFFFFF"/>
            <w:noWrap/>
            <w:vAlign w:val="bottom"/>
            <w:hideMark/>
          </w:tcPr>
          <w:p w14:paraId="3C3D1826"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-0.29</w:t>
            </w:r>
          </w:p>
        </w:tc>
        <w:tc>
          <w:tcPr>
            <w:tcW w:w="720" w:type="dxa"/>
            <w:tcBorders>
              <w:top w:val="nil"/>
              <w:left w:val="nil"/>
              <w:bottom w:val="single" w:sz="4" w:space="0" w:color="auto"/>
              <w:right w:val="single" w:sz="4" w:space="0" w:color="auto"/>
            </w:tcBorders>
            <w:shd w:val="clear" w:color="000000" w:fill="FFFFFF"/>
            <w:noWrap/>
            <w:vAlign w:val="bottom"/>
            <w:hideMark/>
          </w:tcPr>
          <w:p w14:paraId="0ED432B7"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-0.14</w:t>
            </w:r>
          </w:p>
        </w:tc>
        <w:tc>
          <w:tcPr>
            <w:tcW w:w="720" w:type="dxa"/>
            <w:tcBorders>
              <w:top w:val="nil"/>
              <w:left w:val="nil"/>
              <w:bottom w:val="single" w:sz="4" w:space="0" w:color="auto"/>
              <w:right w:val="single" w:sz="4" w:space="0" w:color="auto"/>
            </w:tcBorders>
            <w:shd w:val="clear" w:color="000000" w:fill="D8E4BC"/>
            <w:noWrap/>
            <w:vAlign w:val="bottom"/>
            <w:hideMark/>
          </w:tcPr>
          <w:p w14:paraId="7DAA3FD6"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-0.65</w:t>
            </w:r>
          </w:p>
        </w:tc>
        <w:tc>
          <w:tcPr>
            <w:tcW w:w="720" w:type="dxa"/>
            <w:tcBorders>
              <w:top w:val="nil"/>
              <w:left w:val="nil"/>
              <w:bottom w:val="single" w:sz="4" w:space="0" w:color="auto"/>
              <w:right w:val="single" w:sz="4" w:space="0" w:color="auto"/>
            </w:tcBorders>
            <w:shd w:val="clear" w:color="000000" w:fill="D8E4BC"/>
            <w:noWrap/>
            <w:vAlign w:val="bottom"/>
            <w:hideMark/>
          </w:tcPr>
          <w:p w14:paraId="075FFF23"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-1.69</w:t>
            </w:r>
          </w:p>
        </w:tc>
        <w:tc>
          <w:tcPr>
            <w:tcW w:w="720" w:type="dxa"/>
            <w:tcBorders>
              <w:top w:val="nil"/>
              <w:left w:val="nil"/>
              <w:bottom w:val="single" w:sz="4" w:space="0" w:color="auto"/>
              <w:right w:val="single" w:sz="4" w:space="0" w:color="auto"/>
            </w:tcBorders>
            <w:shd w:val="clear" w:color="000000" w:fill="D8E4BC"/>
            <w:noWrap/>
            <w:vAlign w:val="bottom"/>
            <w:hideMark/>
          </w:tcPr>
          <w:p w14:paraId="08CBA814"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-1.06</w:t>
            </w:r>
          </w:p>
        </w:tc>
        <w:tc>
          <w:tcPr>
            <w:tcW w:w="720" w:type="dxa"/>
            <w:tcBorders>
              <w:top w:val="nil"/>
              <w:left w:val="nil"/>
              <w:bottom w:val="single" w:sz="4" w:space="0" w:color="auto"/>
              <w:right w:val="single" w:sz="4" w:space="0" w:color="auto"/>
            </w:tcBorders>
            <w:shd w:val="clear" w:color="auto" w:fill="auto"/>
            <w:noWrap/>
            <w:vAlign w:val="bottom"/>
            <w:hideMark/>
          </w:tcPr>
          <w:p w14:paraId="07FBA9E3"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-0.19</w:t>
            </w:r>
          </w:p>
        </w:tc>
        <w:tc>
          <w:tcPr>
            <w:tcW w:w="720" w:type="dxa"/>
            <w:tcBorders>
              <w:top w:val="nil"/>
              <w:left w:val="nil"/>
              <w:bottom w:val="single" w:sz="4" w:space="0" w:color="auto"/>
              <w:right w:val="single" w:sz="4" w:space="0" w:color="auto"/>
            </w:tcBorders>
            <w:shd w:val="clear" w:color="000000" w:fill="95B3D7"/>
            <w:noWrap/>
            <w:vAlign w:val="bottom"/>
            <w:hideMark/>
          </w:tcPr>
          <w:p w14:paraId="5CB119CB"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-0.75</w:t>
            </w:r>
          </w:p>
        </w:tc>
        <w:tc>
          <w:tcPr>
            <w:tcW w:w="720" w:type="dxa"/>
            <w:tcBorders>
              <w:top w:val="nil"/>
              <w:left w:val="nil"/>
              <w:bottom w:val="single" w:sz="4" w:space="0" w:color="auto"/>
              <w:right w:val="single" w:sz="4" w:space="0" w:color="auto"/>
            </w:tcBorders>
            <w:shd w:val="clear" w:color="000000" w:fill="FFFFFF"/>
            <w:noWrap/>
            <w:vAlign w:val="bottom"/>
            <w:hideMark/>
          </w:tcPr>
          <w:p w14:paraId="113760A8"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-0.37</w:t>
            </w:r>
          </w:p>
        </w:tc>
      </w:tr>
      <w:tr w:rsidR="009933B6" w:rsidRPr="000C440D" w14:paraId="2B2216C1" w14:textId="77777777" w:rsidTr="009933B6">
        <w:trPr>
          <w:trHeight w:val="315"/>
        </w:trPr>
        <w:tc>
          <w:tcPr>
            <w:tcW w:w="1240" w:type="dxa"/>
            <w:vMerge/>
            <w:tcBorders>
              <w:top w:val="nil"/>
              <w:left w:val="single" w:sz="4" w:space="0" w:color="auto"/>
              <w:bottom w:val="single" w:sz="8" w:space="0" w:color="000000"/>
              <w:right w:val="single" w:sz="4" w:space="0" w:color="auto"/>
            </w:tcBorders>
            <w:vAlign w:val="center"/>
            <w:hideMark/>
          </w:tcPr>
          <w:p w14:paraId="205CEBCB" w14:textId="77777777" w:rsidR="009933B6" w:rsidRPr="009933B6" w:rsidRDefault="009933B6" w:rsidP="009933B6">
            <w:pPr>
              <w:spacing w:after="0" w:line="240" w:lineRule="auto"/>
              <w:rPr>
                <w:rFonts w:eastAsia="Times New Roman"/>
                <w:color w:val="000000"/>
                <w:lang w:val="en-US"/>
              </w:rPr>
            </w:pPr>
          </w:p>
        </w:tc>
        <w:tc>
          <w:tcPr>
            <w:tcW w:w="1420" w:type="dxa"/>
            <w:tcBorders>
              <w:top w:val="nil"/>
              <w:left w:val="nil"/>
              <w:bottom w:val="single" w:sz="8" w:space="0" w:color="auto"/>
              <w:right w:val="single" w:sz="4" w:space="0" w:color="auto"/>
            </w:tcBorders>
            <w:shd w:val="clear" w:color="auto" w:fill="auto"/>
            <w:noWrap/>
            <w:vAlign w:val="bottom"/>
            <w:hideMark/>
          </w:tcPr>
          <w:p w14:paraId="27CE90F5" w14:textId="77777777" w:rsidR="009933B6" w:rsidRPr="009933B6" w:rsidRDefault="009933B6" w:rsidP="009933B6">
            <w:pPr>
              <w:spacing w:after="0" w:line="240" w:lineRule="auto"/>
              <w:rPr>
                <w:rFonts w:eastAsia="Times New Roman"/>
                <w:b/>
                <w:bCs/>
                <w:color w:val="000000"/>
                <w:lang w:val="en-US"/>
              </w:rPr>
            </w:pPr>
            <w:r w:rsidRPr="009933B6">
              <w:rPr>
                <w:rFonts w:eastAsia="Times New Roman"/>
                <w:b/>
                <w:bCs/>
                <w:color w:val="000000"/>
                <w:lang w:val="en-US"/>
              </w:rPr>
              <w:t>High</w:t>
            </w:r>
          </w:p>
        </w:tc>
        <w:tc>
          <w:tcPr>
            <w:tcW w:w="720" w:type="dxa"/>
            <w:tcBorders>
              <w:top w:val="nil"/>
              <w:left w:val="nil"/>
              <w:bottom w:val="single" w:sz="8" w:space="0" w:color="auto"/>
              <w:right w:val="single" w:sz="4" w:space="0" w:color="auto"/>
            </w:tcBorders>
            <w:shd w:val="clear" w:color="000000" w:fill="FFFFFF"/>
            <w:noWrap/>
            <w:vAlign w:val="bottom"/>
            <w:hideMark/>
          </w:tcPr>
          <w:p w14:paraId="3A9BC20C"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-0.80</w:t>
            </w:r>
          </w:p>
        </w:tc>
        <w:tc>
          <w:tcPr>
            <w:tcW w:w="720" w:type="dxa"/>
            <w:tcBorders>
              <w:top w:val="nil"/>
              <w:left w:val="nil"/>
              <w:bottom w:val="single" w:sz="8" w:space="0" w:color="auto"/>
              <w:right w:val="single" w:sz="4" w:space="0" w:color="auto"/>
            </w:tcBorders>
            <w:shd w:val="clear" w:color="000000" w:fill="D8E4BC"/>
            <w:noWrap/>
            <w:vAlign w:val="bottom"/>
            <w:hideMark/>
          </w:tcPr>
          <w:p w14:paraId="0470254C"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-1.84</w:t>
            </w:r>
          </w:p>
        </w:tc>
        <w:tc>
          <w:tcPr>
            <w:tcW w:w="720" w:type="dxa"/>
            <w:tcBorders>
              <w:top w:val="nil"/>
              <w:left w:val="nil"/>
              <w:bottom w:val="single" w:sz="8" w:space="0" w:color="auto"/>
              <w:right w:val="single" w:sz="4" w:space="0" w:color="auto"/>
            </w:tcBorders>
            <w:shd w:val="clear" w:color="000000" w:fill="D8E4BC"/>
            <w:noWrap/>
            <w:vAlign w:val="bottom"/>
            <w:hideMark/>
          </w:tcPr>
          <w:p w14:paraId="5D538D67"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-1.29</w:t>
            </w:r>
          </w:p>
        </w:tc>
        <w:tc>
          <w:tcPr>
            <w:tcW w:w="720" w:type="dxa"/>
            <w:tcBorders>
              <w:top w:val="nil"/>
              <w:left w:val="nil"/>
              <w:bottom w:val="single" w:sz="8" w:space="0" w:color="auto"/>
              <w:right w:val="single" w:sz="4" w:space="0" w:color="auto"/>
            </w:tcBorders>
            <w:shd w:val="clear" w:color="000000" w:fill="D8E4BC"/>
            <w:noWrap/>
            <w:vAlign w:val="bottom"/>
            <w:hideMark/>
          </w:tcPr>
          <w:p w14:paraId="69649C7B"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-1.54</w:t>
            </w:r>
          </w:p>
        </w:tc>
        <w:tc>
          <w:tcPr>
            <w:tcW w:w="720" w:type="dxa"/>
            <w:tcBorders>
              <w:top w:val="nil"/>
              <w:left w:val="nil"/>
              <w:bottom w:val="single" w:sz="8" w:space="0" w:color="auto"/>
              <w:right w:val="single" w:sz="4" w:space="0" w:color="auto"/>
            </w:tcBorders>
            <w:shd w:val="clear" w:color="000000" w:fill="FFFFFF"/>
            <w:noWrap/>
            <w:vAlign w:val="bottom"/>
            <w:hideMark/>
          </w:tcPr>
          <w:p w14:paraId="53D40262"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0.40</w:t>
            </w:r>
          </w:p>
        </w:tc>
        <w:tc>
          <w:tcPr>
            <w:tcW w:w="720" w:type="dxa"/>
            <w:tcBorders>
              <w:top w:val="nil"/>
              <w:left w:val="nil"/>
              <w:bottom w:val="single" w:sz="8" w:space="0" w:color="auto"/>
              <w:right w:val="single" w:sz="4" w:space="0" w:color="auto"/>
            </w:tcBorders>
            <w:shd w:val="clear" w:color="auto" w:fill="auto"/>
            <w:noWrap/>
            <w:vAlign w:val="bottom"/>
            <w:hideMark/>
          </w:tcPr>
          <w:p w14:paraId="076C526E"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-0.52</w:t>
            </w:r>
          </w:p>
        </w:tc>
        <w:tc>
          <w:tcPr>
            <w:tcW w:w="720" w:type="dxa"/>
            <w:tcBorders>
              <w:top w:val="nil"/>
              <w:left w:val="nil"/>
              <w:bottom w:val="single" w:sz="8" w:space="0" w:color="auto"/>
              <w:right w:val="single" w:sz="4" w:space="0" w:color="auto"/>
            </w:tcBorders>
            <w:shd w:val="clear" w:color="auto" w:fill="auto"/>
            <w:noWrap/>
            <w:vAlign w:val="bottom"/>
            <w:hideMark/>
          </w:tcPr>
          <w:p w14:paraId="61A2FDDB"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-0.28</w:t>
            </w:r>
          </w:p>
        </w:tc>
        <w:tc>
          <w:tcPr>
            <w:tcW w:w="720" w:type="dxa"/>
            <w:tcBorders>
              <w:top w:val="nil"/>
              <w:left w:val="nil"/>
              <w:bottom w:val="single" w:sz="8" w:space="0" w:color="auto"/>
              <w:right w:val="single" w:sz="4" w:space="0" w:color="auto"/>
            </w:tcBorders>
            <w:shd w:val="clear" w:color="000000" w:fill="D8E4BC"/>
            <w:noWrap/>
            <w:vAlign w:val="bottom"/>
            <w:hideMark/>
          </w:tcPr>
          <w:p w14:paraId="44F1A7BB"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-1.68</w:t>
            </w:r>
          </w:p>
        </w:tc>
        <w:tc>
          <w:tcPr>
            <w:tcW w:w="720" w:type="dxa"/>
            <w:tcBorders>
              <w:top w:val="nil"/>
              <w:left w:val="nil"/>
              <w:bottom w:val="single" w:sz="8" w:space="0" w:color="auto"/>
              <w:right w:val="single" w:sz="4" w:space="0" w:color="auto"/>
            </w:tcBorders>
            <w:shd w:val="clear" w:color="000000" w:fill="D8E4BC"/>
            <w:noWrap/>
            <w:vAlign w:val="bottom"/>
            <w:hideMark/>
          </w:tcPr>
          <w:p w14:paraId="05BC7D5D"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-1.81</w:t>
            </w:r>
          </w:p>
        </w:tc>
      </w:tr>
      <w:tr w:rsidR="009933B6" w:rsidRPr="000C440D" w14:paraId="23529A32" w14:textId="77777777" w:rsidTr="009933B6">
        <w:trPr>
          <w:trHeight w:val="300"/>
        </w:trPr>
        <w:tc>
          <w:tcPr>
            <w:tcW w:w="2660" w:type="dxa"/>
            <w:gridSpan w:val="2"/>
            <w:tcBorders>
              <w:top w:val="nil"/>
              <w:left w:val="single" w:sz="4" w:space="0" w:color="auto"/>
              <w:bottom w:val="single" w:sz="4" w:space="0" w:color="auto"/>
              <w:right w:val="single" w:sz="4" w:space="0" w:color="auto"/>
            </w:tcBorders>
            <w:shd w:val="clear" w:color="000000" w:fill="FFFFFF"/>
            <w:noWrap/>
            <w:vAlign w:val="bottom"/>
            <w:hideMark/>
          </w:tcPr>
          <w:p w14:paraId="55CFA5E8" w14:textId="77777777" w:rsidR="009933B6" w:rsidRPr="009933B6" w:rsidRDefault="009933B6" w:rsidP="009933B6">
            <w:pPr>
              <w:spacing w:after="0" w:line="240" w:lineRule="auto"/>
              <w:jc w:val="center"/>
              <w:rPr>
                <w:rFonts w:eastAsia="Times New Roman"/>
                <w:color w:val="000000"/>
                <w:lang w:val="en-US"/>
              </w:rPr>
            </w:pPr>
            <w:r w:rsidRPr="009933B6">
              <w:rPr>
                <w:rFonts w:eastAsia="Times New Roman"/>
                <w:color w:val="000000"/>
                <w:lang w:val="en-US"/>
              </w:rPr>
              <w:t>R²</w:t>
            </w:r>
          </w:p>
        </w:tc>
        <w:tc>
          <w:tcPr>
            <w:tcW w:w="720" w:type="dxa"/>
            <w:tcBorders>
              <w:top w:val="nil"/>
              <w:left w:val="nil"/>
              <w:bottom w:val="single" w:sz="4" w:space="0" w:color="auto"/>
              <w:right w:val="single" w:sz="4" w:space="0" w:color="auto"/>
            </w:tcBorders>
            <w:shd w:val="clear" w:color="auto" w:fill="auto"/>
            <w:noWrap/>
            <w:vAlign w:val="bottom"/>
            <w:hideMark/>
          </w:tcPr>
          <w:p w14:paraId="1A1C8D2D"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0.05</w:t>
            </w:r>
          </w:p>
        </w:tc>
        <w:tc>
          <w:tcPr>
            <w:tcW w:w="720" w:type="dxa"/>
            <w:tcBorders>
              <w:top w:val="nil"/>
              <w:left w:val="nil"/>
              <w:bottom w:val="single" w:sz="4" w:space="0" w:color="auto"/>
              <w:right w:val="single" w:sz="4" w:space="0" w:color="auto"/>
            </w:tcBorders>
            <w:shd w:val="clear" w:color="auto" w:fill="auto"/>
            <w:noWrap/>
            <w:vAlign w:val="bottom"/>
            <w:hideMark/>
          </w:tcPr>
          <w:p w14:paraId="5460AD4C"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0.04</w:t>
            </w:r>
          </w:p>
        </w:tc>
        <w:tc>
          <w:tcPr>
            <w:tcW w:w="720" w:type="dxa"/>
            <w:tcBorders>
              <w:top w:val="nil"/>
              <w:left w:val="nil"/>
              <w:bottom w:val="single" w:sz="4" w:space="0" w:color="auto"/>
              <w:right w:val="single" w:sz="4" w:space="0" w:color="auto"/>
            </w:tcBorders>
            <w:shd w:val="clear" w:color="auto" w:fill="auto"/>
            <w:noWrap/>
            <w:vAlign w:val="bottom"/>
            <w:hideMark/>
          </w:tcPr>
          <w:p w14:paraId="1BE50E0F"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0.04</w:t>
            </w:r>
          </w:p>
        </w:tc>
        <w:tc>
          <w:tcPr>
            <w:tcW w:w="720" w:type="dxa"/>
            <w:tcBorders>
              <w:top w:val="nil"/>
              <w:left w:val="nil"/>
              <w:bottom w:val="single" w:sz="4" w:space="0" w:color="auto"/>
              <w:right w:val="single" w:sz="4" w:space="0" w:color="auto"/>
            </w:tcBorders>
            <w:shd w:val="clear" w:color="auto" w:fill="auto"/>
            <w:noWrap/>
            <w:vAlign w:val="bottom"/>
            <w:hideMark/>
          </w:tcPr>
          <w:p w14:paraId="3D5919EF"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0.03</w:t>
            </w:r>
          </w:p>
        </w:tc>
        <w:tc>
          <w:tcPr>
            <w:tcW w:w="720" w:type="dxa"/>
            <w:tcBorders>
              <w:top w:val="nil"/>
              <w:left w:val="nil"/>
              <w:bottom w:val="single" w:sz="4" w:space="0" w:color="auto"/>
              <w:right w:val="single" w:sz="4" w:space="0" w:color="auto"/>
            </w:tcBorders>
            <w:shd w:val="clear" w:color="auto" w:fill="auto"/>
            <w:noWrap/>
            <w:vAlign w:val="bottom"/>
            <w:hideMark/>
          </w:tcPr>
          <w:p w14:paraId="1E44C06A"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0.02</w:t>
            </w:r>
          </w:p>
        </w:tc>
        <w:tc>
          <w:tcPr>
            <w:tcW w:w="720" w:type="dxa"/>
            <w:tcBorders>
              <w:top w:val="nil"/>
              <w:left w:val="nil"/>
              <w:bottom w:val="single" w:sz="4" w:space="0" w:color="auto"/>
              <w:right w:val="single" w:sz="4" w:space="0" w:color="auto"/>
            </w:tcBorders>
            <w:shd w:val="clear" w:color="auto" w:fill="auto"/>
            <w:noWrap/>
            <w:vAlign w:val="bottom"/>
            <w:hideMark/>
          </w:tcPr>
          <w:p w14:paraId="4E966D23"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0.02</w:t>
            </w:r>
          </w:p>
        </w:tc>
        <w:tc>
          <w:tcPr>
            <w:tcW w:w="720" w:type="dxa"/>
            <w:tcBorders>
              <w:top w:val="nil"/>
              <w:left w:val="nil"/>
              <w:bottom w:val="single" w:sz="4" w:space="0" w:color="auto"/>
              <w:right w:val="single" w:sz="4" w:space="0" w:color="auto"/>
            </w:tcBorders>
            <w:shd w:val="clear" w:color="auto" w:fill="auto"/>
            <w:noWrap/>
            <w:vAlign w:val="bottom"/>
            <w:hideMark/>
          </w:tcPr>
          <w:p w14:paraId="7BE5AE41"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0.02</w:t>
            </w:r>
          </w:p>
        </w:tc>
        <w:tc>
          <w:tcPr>
            <w:tcW w:w="720" w:type="dxa"/>
            <w:tcBorders>
              <w:top w:val="nil"/>
              <w:left w:val="nil"/>
              <w:bottom w:val="single" w:sz="4" w:space="0" w:color="auto"/>
              <w:right w:val="single" w:sz="4" w:space="0" w:color="auto"/>
            </w:tcBorders>
            <w:shd w:val="clear" w:color="auto" w:fill="auto"/>
            <w:noWrap/>
            <w:vAlign w:val="bottom"/>
            <w:hideMark/>
          </w:tcPr>
          <w:p w14:paraId="355AEBF3"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0.06</w:t>
            </w:r>
          </w:p>
        </w:tc>
        <w:tc>
          <w:tcPr>
            <w:tcW w:w="720" w:type="dxa"/>
            <w:tcBorders>
              <w:top w:val="nil"/>
              <w:left w:val="nil"/>
              <w:bottom w:val="single" w:sz="4" w:space="0" w:color="auto"/>
              <w:right w:val="single" w:sz="4" w:space="0" w:color="auto"/>
            </w:tcBorders>
            <w:shd w:val="clear" w:color="auto" w:fill="auto"/>
            <w:noWrap/>
            <w:vAlign w:val="bottom"/>
            <w:hideMark/>
          </w:tcPr>
          <w:p w14:paraId="7C1A9853" w14:textId="77777777" w:rsidR="009933B6" w:rsidRPr="009933B6" w:rsidRDefault="009933B6" w:rsidP="009933B6">
            <w:pPr>
              <w:spacing w:after="0" w:line="240" w:lineRule="auto"/>
              <w:jc w:val="right"/>
              <w:rPr>
                <w:rFonts w:eastAsia="Times New Roman"/>
                <w:color w:val="000000"/>
                <w:lang w:val="en-US"/>
              </w:rPr>
            </w:pPr>
            <w:r w:rsidRPr="009933B6">
              <w:rPr>
                <w:rFonts w:eastAsia="Times New Roman"/>
                <w:color w:val="000000"/>
                <w:lang w:val="en-US"/>
              </w:rPr>
              <w:t>0.04</w:t>
            </w:r>
          </w:p>
        </w:tc>
      </w:tr>
      <w:tr w:rsidR="009933B6" w:rsidRPr="000C440D" w14:paraId="25CAF2D5" w14:textId="77777777" w:rsidTr="009933B6">
        <w:trPr>
          <w:trHeight w:val="300"/>
        </w:trPr>
        <w:tc>
          <w:tcPr>
            <w:tcW w:w="2660" w:type="dxa"/>
            <w:gridSpan w:val="2"/>
            <w:tcBorders>
              <w:top w:val="single" w:sz="4" w:space="0" w:color="auto"/>
              <w:left w:val="nil"/>
              <w:bottom w:val="nil"/>
              <w:right w:val="nil"/>
            </w:tcBorders>
            <w:shd w:val="clear" w:color="000000" w:fill="D8E4BC"/>
            <w:noWrap/>
            <w:vAlign w:val="bottom"/>
            <w:hideMark/>
          </w:tcPr>
          <w:p w14:paraId="32F23553"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significant α=0,05</w:t>
            </w:r>
          </w:p>
        </w:tc>
        <w:tc>
          <w:tcPr>
            <w:tcW w:w="720" w:type="dxa"/>
            <w:tcBorders>
              <w:top w:val="nil"/>
              <w:left w:val="nil"/>
              <w:bottom w:val="nil"/>
              <w:right w:val="nil"/>
            </w:tcBorders>
            <w:shd w:val="clear" w:color="000000" w:fill="FFFFFF"/>
            <w:noWrap/>
            <w:vAlign w:val="bottom"/>
            <w:hideMark/>
          </w:tcPr>
          <w:p w14:paraId="10F47DBB"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0E883AD7"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1B45FDA9"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6720EEAB"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757111C0"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0DC2E7B7"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09401FCA"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7C1046B8"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177605D8"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r>
      <w:tr w:rsidR="009933B6" w:rsidRPr="000C440D" w14:paraId="7862360D" w14:textId="77777777" w:rsidTr="009933B6">
        <w:trPr>
          <w:trHeight w:val="300"/>
        </w:trPr>
        <w:tc>
          <w:tcPr>
            <w:tcW w:w="2660" w:type="dxa"/>
            <w:gridSpan w:val="2"/>
            <w:tcBorders>
              <w:top w:val="nil"/>
              <w:left w:val="nil"/>
              <w:bottom w:val="nil"/>
              <w:right w:val="nil"/>
            </w:tcBorders>
            <w:shd w:val="clear" w:color="000000" w:fill="95B3D7"/>
            <w:noWrap/>
            <w:vAlign w:val="bottom"/>
            <w:hideMark/>
          </w:tcPr>
          <w:p w14:paraId="75D2942A"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significant α=0,10</w:t>
            </w:r>
          </w:p>
        </w:tc>
        <w:tc>
          <w:tcPr>
            <w:tcW w:w="720" w:type="dxa"/>
            <w:tcBorders>
              <w:top w:val="nil"/>
              <w:left w:val="nil"/>
              <w:bottom w:val="nil"/>
              <w:right w:val="nil"/>
            </w:tcBorders>
            <w:shd w:val="clear" w:color="000000" w:fill="FFFFFF"/>
            <w:noWrap/>
            <w:vAlign w:val="bottom"/>
            <w:hideMark/>
          </w:tcPr>
          <w:p w14:paraId="2A8B17B4"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35192564"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20BC2E5E"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6E4B9919"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653D42D3"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7A398479"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0B9BFE69"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7A7BBDB6"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c>
          <w:tcPr>
            <w:tcW w:w="720" w:type="dxa"/>
            <w:tcBorders>
              <w:top w:val="nil"/>
              <w:left w:val="nil"/>
              <w:bottom w:val="nil"/>
              <w:right w:val="nil"/>
            </w:tcBorders>
            <w:shd w:val="clear" w:color="000000" w:fill="FFFFFF"/>
            <w:noWrap/>
            <w:vAlign w:val="bottom"/>
            <w:hideMark/>
          </w:tcPr>
          <w:p w14:paraId="7829D877" w14:textId="77777777" w:rsidR="009933B6" w:rsidRPr="009933B6" w:rsidRDefault="009933B6" w:rsidP="009933B6">
            <w:pPr>
              <w:spacing w:after="0" w:line="240" w:lineRule="auto"/>
              <w:rPr>
                <w:rFonts w:eastAsia="Times New Roman"/>
                <w:color w:val="000000"/>
                <w:lang w:val="en-US"/>
              </w:rPr>
            </w:pPr>
            <w:r w:rsidRPr="009933B6">
              <w:rPr>
                <w:rFonts w:eastAsia="Times New Roman"/>
                <w:color w:val="000000"/>
                <w:lang w:val="en-US"/>
              </w:rPr>
              <w:t> </w:t>
            </w:r>
          </w:p>
        </w:tc>
      </w:tr>
    </w:tbl>
    <w:p w14:paraId="0AD8F78A" w14:textId="77777777" w:rsidR="00E36784" w:rsidRDefault="00E36784" w:rsidP="006168E6">
      <w:pPr>
        <w:spacing w:line="360" w:lineRule="auto"/>
        <w:jc w:val="both"/>
        <w:rPr>
          <w:lang w:val="en-US"/>
        </w:rPr>
      </w:pPr>
    </w:p>
    <w:p w14:paraId="79311E15" w14:textId="77777777" w:rsidR="00FD52A0" w:rsidRDefault="00B70783" w:rsidP="004674B9">
      <w:pPr>
        <w:pStyle w:val="Heading2"/>
        <w:numPr>
          <w:ilvl w:val="1"/>
          <w:numId w:val="34"/>
        </w:numPr>
        <w:rPr>
          <w:rFonts w:cs="Calibri"/>
          <w:sz w:val="24"/>
          <w:szCs w:val="24"/>
          <w:lang w:val="en-US" w:eastAsia="ja-JP"/>
        </w:rPr>
      </w:pPr>
      <w:bookmarkStart w:id="16" w:name="_Toc432114508"/>
      <w:r>
        <w:rPr>
          <w:rFonts w:cs="Calibri"/>
          <w:sz w:val="24"/>
          <w:szCs w:val="24"/>
          <w:lang w:val="en-US" w:eastAsia="ja-JP"/>
        </w:rPr>
        <w:t xml:space="preserve">OLS results </w:t>
      </w:r>
      <w:r w:rsidR="00FD52A0">
        <w:rPr>
          <w:rFonts w:cs="Calibri"/>
          <w:sz w:val="24"/>
          <w:szCs w:val="24"/>
          <w:lang w:val="en-US" w:eastAsia="ja-JP"/>
        </w:rPr>
        <w:t>basic model</w:t>
      </w:r>
      <w:bookmarkEnd w:id="16"/>
    </w:p>
    <w:p w14:paraId="20A96E70" w14:textId="77777777" w:rsidR="00FD52A0" w:rsidRDefault="00FD52A0" w:rsidP="00FD52A0">
      <w:pPr>
        <w:spacing w:line="360" w:lineRule="auto"/>
        <w:ind w:firstLine="360"/>
        <w:jc w:val="both"/>
        <w:rPr>
          <w:lang w:val="en-US"/>
        </w:rPr>
      </w:pPr>
    </w:p>
    <w:p w14:paraId="1EFE8559" w14:textId="71C20099" w:rsidR="003E0A4F" w:rsidRPr="005F2CBC" w:rsidRDefault="007E68CF" w:rsidP="009B2D1C">
      <w:pPr>
        <w:spacing w:line="360" w:lineRule="auto"/>
        <w:ind w:firstLine="360"/>
        <w:jc w:val="both"/>
        <w:rPr>
          <w:lang w:val="en-US"/>
        </w:rPr>
      </w:pPr>
      <w:r>
        <w:rPr>
          <w:lang w:val="en-US"/>
        </w:rPr>
        <w:lastRenderedPageBreak/>
        <w:t xml:space="preserve">The regression results for the simple model are depicted in table </w:t>
      </w:r>
      <w:r w:rsidR="006D10A1">
        <w:rPr>
          <w:lang w:val="en-US"/>
        </w:rPr>
        <w:t>2</w:t>
      </w:r>
      <w:r>
        <w:rPr>
          <w:lang w:val="en-US"/>
        </w:rPr>
        <w:t>.</w:t>
      </w:r>
      <w:r w:rsidR="00EC32E0">
        <w:rPr>
          <w:lang w:val="en-US"/>
        </w:rPr>
        <w:t xml:space="preserve"> </w:t>
      </w:r>
      <w:r w:rsidR="00DF2781" w:rsidRPr="006D2DB3">
        <w:rPr>
          <w:lang w:val="en-US"/>
        </w:rPr>
        <w:t>For all countries the variable</w:t>
      </w:r>
      <w:r w:rsidR="00B35A11" w:rsidRPr="006D2DB3">
        <w:rPr>
          <w:lang w:val="en-US"/>
        </w:rPr>
        <w:t>s</w:t>
      </w:r>
      <w:r w:rsidR="00A45A31">
        <w:rPr>
          <w:lang w:val="en-US"/>
        </w:rPr>
        <w:t xml:space="preserve"> are jointly significant at a 5</w:t>
      </w:r>
      <w:r w:rsidR="00DF2781" w:rsidRPr="006D2DB3">
        <w:rPr>
          <w:lang w:val="en-US"/>
        </w:rPr>
        <w:t>% significance level</w:t>
      </w:r>
      <w:r w:rsidR="001C7016" w:rsidRPr="006D2DB3">
        <w:rPr>
          <w:lang w:val="en-US"/>
        </w:rPr>
        <w:t xml:space="preserve"> in both time periods</w:t>
      </w:r>
      <w:r w:rsidR="00DF2781" w:rsidRPr="006D2DB3">
        <w:rPr>
          <w:lang w:val="en-US"/>
        </w:rPr>
        <w:t xml:space="preserve">. </w:t>
      </w:r>
      <w:r w:rsidR="005F2CBC">
        <w:rPr>
          <w:lang w:val="en-US"/>
        </w:rPr>
        <w:t>Also almost all</w:t>
      </w:r>
      <w:r w:rsidR="003E0A4F" w:rsidRPr="006D2DB3">
        <w:rPr>
          <w:lang w:val="en-US"/>
        </w:rPr>
        <w:t xml:space="preserve"> variables that are significant in 2004 remain significant in 2010 while there are sizeable differences </w:t>
      </w:r>
      <w:r w:rsidR="00D150E0">
        <w:rPr>
          <w:lang w:val="en-US"/>
        </w:rPr>
        <w:t xml:space="preserve">in the estimated coefficients </w:t>
      </w:r>
      <w:r w:rsidR="007A5AA7">
        <w:rPr>
          <w:lang w:val="en-US"/>
        </w:rPr>
        <w:t>of</w:t>
      </w:r>
      <w:r w:rsidR="00D150E0">
        <w:rPr>
          <w:lang w:val="en-US"/>
        </w:rPr>
        <w:t xml:space="preserve"> the predictors</w:t>
      </w:r>
      <w:r w:rsidR="003E0A4F" w:rsidRPr="006D2DB3">
        <w:rPr>
          <w:lang w:val="en-US"/>
        </w:rPr>
        <w:t>. This indicates that the relevance of these variables in explaining BMI remains undisputed over time while the</w:t>
      </w:r>
      <w:r w:rsidR="00DE597B" w:rsidRPr="006D2DB3">
        <w:rPr>
          <w:lang w:val="en-US"/>
        </w:rPr>
        <w:t>ir</w:t>
      </w:r>
      <w:r w:rsidR="003E0A4F" w:rsidRPr="006D2DB3">
        <w:rPr>
          <w:lang w:val="en-US"/>
        </w:rPr>
        <w:t xml:space="preserve"> relationship</w:t>
      </w:r>
      <w:r w:rsidR="00DE597B" w:rsidRPr="006D2DB3">
        <w:rPr>
          <w:lang w:val="en-US"/>
        </w:rPr>
        <w:t xml:space="preserve"> with BMI appears to be</w:t>
      </w:r>
      <w:r w:rsidR="003E0A4F" w:rsidRPr="006D2DB3">
        <w:rPr>
          <w:lang w:val="en-US"/>
        </w:rPr>
        <w:t xml:space="preserve"> changing, which makes it worthwhile to dig deeper into the significance of these changes and </w:t>
      </w:r>
      <w:r w:rsidR="00EC0F8A">
        <w:rPr>
          <w:lang w:val="en-US"/>
        </w:rPr>
        <w:t xml:space="preserve">the decomposition of the model </w:t>
      </w:r>
      <w:r w:rsidR="00EC0F8A" w:rsidRPr="00EC0F8A">
        <w:rPr>
          <w:lang w:val="en-US"/>
        </w:rPr>
        <w:t>(O'Donnell</w:t>
      </w:r>
      <w:r w:rsidR="00EC0F8A">
        <w:rPr>
          <w:lang w:val="en-US"/>
        </w:rPr>
        <w:t xml:space="preserve"> et al,</w:t>
      </w:r>
      <w:r w:rsidR="00EC0F8A" w:rsidRPr="00EC0F8A">
        <w:rPr>
          <w:lang w:val="en-US"/>
        </w:rPr>
        <w:t xml:space="preserve"> 2007)</w:t>
      </w:r>
      <w:r w:rsidR="00EC0F8A">
        <w:rPr>
          <w:lang w:val="en-US"/>
        </w:rPr>
        <w:t>.</w:t>
      </w:r>
    </w:p>
    <w:p w14:paraId="254E65D3" w14:textId="5E044089" w:rsidR="00FD52A0" w:rsidRDefault="003E0A4F" w:rsidP="009B2D1C">
      <w:pPr>
        <w:spacing w:line="360" w:lineRule="auto"/>
        <w:ind w:firstLine="360"/>
        <w:jc w:val="both"/>
        <w:rPr>
          <w:lang w:val="en-US"/>
        </w:rPr>
      </w:pPr>
      <w:r w:rsidRPr="006D2DB3">
        <w:rPr>
          <w:lang w:val="en-US"/>
        </w:rPr>
        <w:t xml:space="preserve">Gender </w:t>
      </w:r>
      <w:r w:rsidR="00DF2781" w:rsidRPr="006D2DB3">
        <w:rPr>
          <w:lang w:val="en-US"/>
        </w:rPr>
        <w:t xml:space="preserve">appears to be one </w:t>
      </w:r>
      <w:r w:rsidR="00B30720" w:rsidRPr="006D2DB3">
        <w:rPr>
          <w:lang w:val="en-US"/>
        </w:rPr>
        <w:t>of the most</w:t>
      </w:r>
      <w:r w:rsidR="00DF2781" w:rsidRPr="006D2DB3">
        <w:rPr>
          <w:lang w:val="en-US"/>
        </w:rPr>
        <w:t xml:space="preserve"> significant</w:t>
      </w:r>
      <w:r w:rsidR="007A5AA7">
        <w:rPr>
          <w:lang w:val="en-US"/>
        </w:rPr>
        <w:t xml:space="preserve"> </w:t>
      </w:r>
      <w:r w:rsidR="00DF2781" w:rsidRPr="006D2DB3">
        <w:rPr>
          <w:lang w:val="en-US"/>
        </w:rPr>
        <w:t xml:space="preserve">variables in the </w:t>
      </w:r>
      <w:r w:rsidR="0002645F" w:rsidRPr="006D2DB3">
        <w:rPr>
          <w:lang w:val="en-US"/>
        </w:rPr>
        <w:t xml:space="preserve">basic </w:t>
      </w:r>
      <w:r w:rsidR="00DF2781" w:rsidRPr="006D2DB3">
        <w:rPr>
          <w:lang w:val="en-US"/>
        </w:rPr>
        <w:t>model.</w:t>
      </w:r>
      <w:r w:rsidR="00B30720" w:rsidRPr="006D2DB3">
        <w:rPr>
          <w:lang w:val="en-US"/>
        </w:rPr>
        <w:t xml:space="preserve"> A wom</w:t>
      </w:r>
      <w:r w:rsidR="001C392F">
        <w:rPr>
          <w:lang w:val="en-US"/>
        </w:rPr>
        <w:t>en’s BMI is 0.5 to 1.</w:t>
      </w:r>
      <w:r w:rsidR="00B30720" w:rsidRPr="006D2DB3">
        <w:rPr>
          <w:lang w:val="en-US"/>
        </w:rPr>
        <w:t>0 points lower compared their male counterpart</w:t>
      </w:r>
      <w:r w:rsidR="005F2CBC">
        <w:rPr>
          <w:lang w:val="en-US"/>
        </w:rPr>
        <w:t xml:space="preserve"> for both time periods</w:t>
      </w:r>
      <w:r w:rsidR="00B30720" w:rsidRPr="006D2DB3">
        <w:rPr>
          <w:lang w:val="en-US"/>
        </w:rPr>
        <w:t xml:space="preserve"> in most of these European countries</w:t>
      </w:r>
      <w:r w:rsidR="007A5AA7">
        <w:rPr>
          <w:lang w:val="en-US"/>
        </w:rPr>
        <w:t>.</w:t>
      </w:r>
      <w:r w:rsidR="00D45DEC">
        <w:rPr>
          <w:lang w:val="en-US"/>
        </w:rPr>
        <w:t xml:space="preserve"> This is consistent with findings in previous literature</w:t>
      </w:r>
      <w:r w:rsidR="00174285">
        <w:rPr>
          <w:lang w:val="en-US"/>
        </w:rPr>
        <w:t xml:space="preserve"> and is due to the fact that relative to height men are heavier build than women</w:t>
      </w:r>
      <w:r w:rsidR="007A5AA7">
        <w:rPr>
          <w:lang w:val="en-US"/>
        </w:rPr>
        <w:t xml:space="preserve"> </w:t>
      </w:r>
      <w:r w:rsidR="00174285">
        <w:rPr>
          <w:lang w:val="en-US"/>
        </w:rPr>
        <w:t xml:space="preserve">resulting in higher BMI. </w:t>
      </w:r>
      <w:r w:rsidR="00D60434">
        <w:rPr>
          <w:lang w:val="en-US"/>
        </w:rPr>
        <w:t xml:space="preserve">This gender discrepancy </w:t>
      </w:r>
      <w:r w:rsidR="00D60434">
        <w:rPr>
          <w:lang w:val="en-US"/>
        </w:rPr>
        <w:lastRenderedPageBreak/>
        <w:t>of BMI</w:t>
      </w:r>
      <w:r w:rsidR="00D60434" w:rsidRPr="006D2DB3">
        <w:rPr>
          <w:lang w:val="en-US"/>
        </w:rPr>
        <w:t xml:space="preserve"> </w:t>
      </w:r>
      <w:r w:rsidR="00D60434">
        <w:rPr>
          <w:lang w:val="en-US"/>
        </w:rPr>
        <w:t xml:space="preserve">proves already the importance of constructing different models for men and women, if feasible, regarding this topic. </w:t>
      </w:r>
      <w:r w:rsidR="00733586" w:rsidRPr="006D2DB3">
        <w:rPr>
          <w:lang w:val="en-US"/>
        </w:rPr>
        <w:t>The effect</w:t>
      </w:r>
      <w:r w:rsidR="001C7016" w:rsidRPr="006D2DB3">
        <w:rPr>
          <w:lang w:val="en-US"/>
        </w:rPr>
        <w:t xml:space="preserve"> of age</w:t>
      </w:r>
      <w:r w:rsidR="00733586" w:rsidRPr="006D2DB3">
        <w:rPr>
          <w:lang w:val="en-US"/>
        </w:rPr>
        <w:t xml:space="preserve"> on BMI</w:t>
      </w:r>
      <w:r w:rsidR="001C7016" w:rsidRPr="006D2DB3">
        <w:rPr>
          <w:lang w:val="en-US"/>
        </w:rPr>
        <w:t xml:space="preserve"> </w:t>
      </w:r>
      <w:r w:rsidR="00733586" w:rsidRPr="006D2DB3">
        <w:rPr>
          <w:lang w:val="en-US"/>
        </w:rPr>
        <w:t>appears to be negative, as the significant coefficients of</w:t>
      </w:r>
      <w:r w:rsidR="003163B6" w:rsidRPr="006D2DB3">
        <w:rPr>
          <w:lang w:val="en-US"/>
        </w:rPr>
        <w:t xml:space="preserve"> the age categories are negative</w:t>
      </w:r>
      <w:r w:rsidR="00733586" w:rsidRPr="006D2DB3">
        <w:rPr>
          <w:lang w:val="en-US"/>
        </w:rPr>
        <w:t xml:space="preserve"> and </w:t>
      </w:r>
      <w:r w:rsidR="003163B6" w:rsidRPr="006D2DB3">
        <w:rPr>
          <w:lang w:val="en-US"/>
        </w:rPr>
        <w:t>decreasing</w:t>
      </w:r>
      <w:r w:rsidR="00733586" w:rsidRPr="006D2DB3">
        <w:rPr>
          <w:lang w:val="en-US"/>
        </w:rPr>
        <w:t xml:space="preserve"> for </w:t>
      </w:r>
      <w:r w:rsidR="00BE37A9" w:rsidRPr="006D2DB3">
        <w:rPr>
          <w:lang w:val="en-US"/>
        </w:rPr>
        <w:t xml:space="preserve">the </w:t>
      </w:r>
      <w:r w:rsidR="003163B6" w:rsidRPr="006D2DB3">
        <w:rPr>
          <w:lang w:val="en-US"/>
        </w:rPr>
        <w:t>older</w:t>
      </w:r>
      <w:r w:rsidR="00733586" w:rsidRPr="006D2DB3">
        <w:rPr>
          <w:lang w:val="en-US"/>
        </w:rPr>
        <w:t xml:space="preserve"> people compared to the </w:t>
      </w:r>
      <w:r w:rsidR="003163B6" w:rsidRPr="006D2DB3">
        <w:rPr>
          <w:lang w:val="en-US"/>
        </w:rPr>
        <w:t>young</w:t>
      </w:r>
      <w:r w:rsidR="00733586" w:rsidRPr="006D2DB3">
        <w:rPr>
          <w:lang w:val="en-US"/>
        </w:rPr>
        <w:t>est people in the sample</w:t>
      </w:r>
      <w:r w:rsidR="00207113" w:rsidRPr="006D2DB3">
        <w:rPr>
          <w:lang w:val="en-US"/>
        </w:rPr>
        <w:t>.</w:t>
      </w:r>
      <w:r w:rsidR="00D60434">
        <w:rPr>
          <w:lang w:val="en-US"/>
        </w:rPr>
        <w:t xml:space="preserve"> </w:t>
      </w:r>
      <w:r w:rsidR="00BB447A" w:rsidRPr="006D2DB3">
        <w:rPr>
          <w:lang w:val="en-US"/>
        </w:rPr>
        <w:t xml:space="preserve">Especially the </w:t>
      </w:r>
      <w:r w:rsidR="003163B6" w:rsidRPr="006D2DB3">
        <w:rPr>
          <w:lang w:val="en-US"/>
        </w:rPr>
        <w:t>old</w:t>
      </w:r>
      <w:r w:rsidR="00BE37A9" w:rsidRPr="006D2DB3">
        <w:rPr>
          <w:lang w:val="en-US"/>
        </w:rPr>
        <w:t>est</w:t>
      </w:r>
      <w:r w:rsidR="001C7016" w:rsidRPr="006D2DB3">
        <w:rPr>
          <w:lang w:val="en-US"/>
        </w:rPr>
        <w:t xml:space="preserve"> </w:t>
      </w:r>
      <w:r w:rsidR="00BE37A9" w:rsidRPr="006D2DB3">
        <w:rPr>
          <w:lang w:val="en-US"/>
        </w:rPr>
        <w:t xml:space="preserve">group of people has on average </w:t>
      </w:r>
      <w:r w:rsidR="00BB447A" w:rsidRPr="006D2DB3">
        <w:rPr>
          <w:lang w:val="en-US"/>
        </w:rPr>
        <w:t>a signi</w:t>
      </w:r>
      <w:r w:rsidR="003163B6" w:rsidRPr="006D2DB3">
        <w:rPr>
          <w:lang w:val="en-US"/>
        </w:rPr>
        <w:t>ficantly low</w:t>
      </w:r>
      <w:r w:rsidR="00BE37A9" w:rsidRPr="006D2DB3">
        <w:rPr>
          <w:lang w:val="en-US"/>
        </w:rPr>
        <w:t>er BMI</w:t>
      </w:r>
      <w:r w:rsidR="00BB447A" w:rsidRPr="006D2DB3">
        <w:rPr>
          <w:lang w:val="en-US"/>
        </w:rPr>
        <w:t xml:space="preserve"> </w:t>
      </w:r>
      <w:r w:rsidR="003163B6" w:rsidRPr="006D2DB3">
        <w:rPr>
          <w:lang w:val="en-US"/>
        </w:rPr>
        <w:t>compared to the young</w:t>
      </w:r>
      <w:r w:rsidR="001C7016" w:rsidRPr="006D2DB3">
        <w:rPr>
          <w:lang w:val="en-US"/>
        </w:rPr>
        <w:t>est g</w:t>
      </w:r>
      <w:r w:rsidR="00443DE0" w:rsidRPr="006D2DB3">
        <w:rPr>
          <w:lang w:val="en-US"/>
        </w:rPr>
        <w:t>roup.</w:t>
      </w:r>
      <w:r w:rsidR="00525376" w:rsidRPr="006D2DB3">
        <w:rPr>
          <w:lang w:val="en-US"/>
        </w:rPr>
        <w:t xml:space="preserve"> The gap in BMI between the youngest group and the oldest group of people grows for most countries in a time span of six years with approximately 1</w:t>
      </w:r>
      <w:r w:rsidR="00443DE0" w:rsidRPr="006D2DB3">
        <w:rPr>
          <w:lang w:val="en-US"/>
        </w:rPr>
        <w:t>.0 to 1.</w:t>
      </w:r>
      <w:r w:rsidR="00525376" w:rsidRPr="006D2DB3">
        <w:rPr>
          <w:lang w:val="en-US"/>
        </w:rPr>
        <w:t>5 points ce</w:t>
      </w:r>
      <w:r w:rsidR="003163B6" w:rsidRPr="006D2DB3">
        <w:rPr>
          <w:lang w:val="en-US"/>
        </w:rPr>
        <w:t>teris paribus.</w:t>
      </w:r>
      <w:r w:rsidR="00475DFB">
        <w:rPr>
          <w:lang w:val="en-US"/>
        </w:rPr>
        <w:t xml:space="preserve"> </w:t>
      </w:r>
    </w:p>
    <w:p w14:paraId="4BA515DC" w14:textId="56159BFF" w:rsidR="00D65DB8" w:rsidRDefault="00475DFB" w:rsidP="00FD52A0">
      <w:pPr>
        <w:spacing w:line="360" w:lineRule="auto"/>
        <w:ind w:firstLine="360"/>
        <w:jc w:val="both"/>
        <w:rPr>
          <w:lang w:val="en-US"/>
        </w:rPr>
      </w:pPr>
      <w:r>
        <w:rPr>
          <w:lang w:val="en-US"/>
        </w:rPr>
        <w:t xml:space="preserve">These results suggests that there are very different BMI patterns at different ages. </w:t>
      </w:r>
      <w:r w:rsidR="0085021D">
        <w:rPr>
          <w:lang w:val="en-US"/>
        </w:rPr>
        <w:t>Age</w:t>
      </w:r>
      <w:r>
        <w:rPr>
          <w:lang w:val="en-US"/>
        </w:rPr>
        <w:t xml:space="preserve"> influences many characteristics in life </w:t>
      </w:r>
      <w:r w:rsidR="0085021D">
        <w:rPr>
          <w:lang w:val="en-US"/>
        </w:rPr>
        <w:t xml:space="preserve">that may also have an effect on </w:t>
      </w:r>
      <w:r>
        <w:rPr>
          <w:lang w:val="en-US"/>
        </w:rPr>
        <w:t>BMI</w:t>
      </w:r>
      <w:r w:rsidR="0085021D">
        <w:rPr>
          <w:lang w:val="en-US"/>
        </w:rPr>
        <w:t>. Interaction effects flowing from this may be very distinct for people of a certain age. This indicates that results from</w:t>
      </w:r>
      <w:r w:rsidR="000879AD">
        <w:rPr>
          <w:lang w:val="en-US"/>
        </w:rPr>
        <w:t xml:space="preserve"> studies on BMI may not be blindly </w:t>
      </w:r>
      <w:r w:rsidR="0085021D">
        <w:rPr>
          <w:lang w:val="en-US"/>
        </w:rPr>
        <w:t xml:space="preserve">extrapolated to </w:t>
      </w:r>
      <w:r w:rsidR="0085021D">
        <w:rPr>
          <w:lang w:val="en-US"/>
        </w:rPr>
        <w:lastRenderedPageBreak/>
        <w:t xml:space="preserve">the whole society, because results may only </w:t>
      </w:r>
      <w:r w:rsidR="000879AD">
        <w:rPr>
          <w:lang w:val="en-US"/>
        </w:rPr>
        <w:t>hold in real life for people of similar age as the study sample.</w:t>
      </w:r>
      <w:r w:rsidR="0085021D">
        <w:rPr>
          <w:lang w:val="en-US"/>
        </w:rPr>
        <w:t xml:space="preserve"> </w:t>
      </w:r>
      <w:r w:rsidR="00184912" w:rsidRPr="009B2D1C">
        <w:rPr>
          <w:lang w:val="en-US"/>
        </w:rPr>
        <w:t>Since the age groups in the model are kept constant between time periods</w:t>
      </w:r>
      <w:r w:rsidR="00C03B02" w:rsidRPr="009B2D1C">
        <w:rPr>
          <w:lang w:val="en-US"/>
        </w:rPr>
        <w:t>,</w:t>
      </w:r>
      <w:r w:rsidR="00184912" w:rsidRPr="009B2D1C">
        <w:rPr>
          <w:lang w:val="en-US"/>
        </w:rPr>
        <w:t xml:space="preserve"> th</w:t>
      </w:r>
      <w:r w:rsidR="000879AD" w:rsidRPr="009B2D1C">
        <w:rPr>
          <w:lang w:val="en-US"/>
        </w:rPr>
        <w:t>e</w:t>
      </w:r>
      <w:r w:rsidR="00184912" w:rsidRPr="009B2D1C">
        <w:rPr>
          <w:lang w:val="en-US"/>
        </w:rPr>
        <w:t xml:space="preserve"> </w:t>
      </w:r>
      <w:r w:rsidR="000879AD" w:rsidRPr="009B2D1C">
        <w:rPr>
          <w:lang w:val="en-US"/>
        </w:rPr>
        <w:t xml:space="preserve">increase in the gap between </w:t>
      </w:r>
      <w:r w:rsidR="00C03B02" w:rsidRPr="009B2D1C">
        <w:rPr>
          <w:lang w:val="en-US"/>
        </w:rPr>
        <w:t>the youngest and the older age</w:t>
      </w:r>
      <w:r w:rsidR="000879AD" w:rsidRPr="009B2D1C">
        <w:rPr>
          <w:lang w:val="en-US"/>
        </w:rPr>
        <w:t xml:space="preserve"> groups</w:t>
      </w:r>
      <w:r w:rsidR="00184912" w:rsidRPr="009B2D1C">
        <w:rPr>
          <w:lang w:val="en-US"/>
        </w:rPr>
        <w:t xml:space="preserve"> cannot be explained by people switching categories trough time, which may bias the aging effect</w:t>
      </w:r>
      <w:r w:rsidR="00E85EBA" w:rsidRPr="009B2D1C">
        <w:rPr>
          <w:lang w:val="en-US"/>
        </w:rPr>
        <w:t xml:space="preserve"> as </w:t>
      </w:r>
      <w:r w:rsidR="009D58E4" w:rsidRPr="009B2D1C">
        <w:rPr>
          <w:lang w:val="en-US"/>
        </w:rPr>
        <w:t xml:space="preserve">discussed in section </w:t>
      </w:r>
      <w:r w:rsidR="002273D9" w:rsidRPr="009B2D1C">
        <w:rPr>
          <w:lang w:val="en-US"/>
        </w:rPr>
        <w:t>3</w:t>
      </w:r>
      <w:r w:rsidR="00184912" w:rsidRPr="009B2D1C">
        <w:rPr>
          <w:lang w:val="en-US"/>
        </w:rPr>
        <w:t xml:space="preserve">. </w:t>
      </w:r>
      <w:r w:rsidR="00C03B02" w:rsidRPr="009B2D1C">
        <w:rPr>
          <w:lang w:val="en-US"/>
        </w:rPr>
        <w:t xml:space="preserve">Because </w:t>
      </w:r>
      <w:r w:rsidR="007A1E4B" w:rsidRPr="009B2D1C">
        <w:rPr>
          <w:lang w:val="en-US"/>
        </w:rPr>
        <w:t>this bias is overcome the effect of age on BMI is two folded</w:t>
      </w:r>
      <w:r w:rsidR="0097117D" w:rsidRPr="009B2D1C">
        <w:rPr>
          <w:lang w:val="en-US"/>
        </w:rPr>
        <w:t xml:space="preserve"> and consists </w:t>
      </w:r>
      <w:r w:rsidR="0097117D" w:rsidRPr="006D2DB3">
        <w:rPr>
          <w:lang w:val="en-US"/>
        </w:rPr>
        <w:t>out of an aging effect and a cohort effect</w:t>
      </w:r>
      <w:r w:rsidR="007A1E4B" w:rsidRPr="006D2DB3">
        <w:rPr>
          <w:lang w:val="en-US"/>
        </w:rPr>
        <w:t>.</w:t>
      </w:r>
      <w:r w:rsidR="0097117D" w:rsidRPr="006D2DB3">
        <w:rPr>
          <w:lang w:val="en-US"/>
        </w:rPr>
        <w:t xml:space="preserve"> The aging e</w:t>
      </w:r>
      <w:r w:rsidR="00052BC0">
        <w:rPr>
          <w:lang w:val="en-US"/>
        </w:rPr>
        <w:t>ffect is the average effect that aging six</w:t>
      </w:r>
      <w:r w:rsidR="0097117D" w:rsidRPr="006D2DB3">
        <w:rPr>
          <w:lang w:val="en-US"/>
        </w:rPr>
        <w:t xml:space="preserve"> </w:t>
      </w:r>
      <w:r w:rsidR="00052BC0">
        <w:rPr>
          <w:lang w:val="en-US"/>
        </w:rPr>
        <w:t xml:space="preserve">years has on BMI for people in a certain age boundary. </w:t>
      </w:r>
      <w:r w:rsidR="00222526">
        <w:rPr>
          <w:lang w:val="en-US"/>
        </w:rPr>
        <w:t>T</w:t>
      </w:r>
      <w:r w:rsidR="003163B6" w:rsidRPr="006D2DB3">
        <w:rPr>
          <w:lang w:val="en-US"/>
        </w:rPr>
        <w:t xml:space="preserve">here </w:t>
      </w:r>
      <w:r w:rsidR="00C03B02">
        <w:rPr>
          <w:lang w:val="en-US"/>
        </w:rPr>
        <w:t>is</w:t>
      </w:r>
      <w:r w:rsidR="00C03B02" w:rsidRPr="006D2DB3">
        <w:rPr>
          <w:lang w:val="en-US"/>
        </w:rPr>
        <w:t xml:space="preserve"> </w:t>
      </w:r>
      <w:r w:rsidR="003163B6" w:rsidRPr="006D2DB3">
        <w:rPr>
          <w:lang w:val="en-US"/>
        </w:rPr>
        <w:t>also a</w:t>
      </w:r>
      <w:r w:rsidR="00331D93" w:rsidRPr="006D2DB3">
        <w:rPr>
          <w:lang w:val="en-US"/>
        </w:rPr>
        <w:t xml:space="preserve"> cohort effect, which is the effect of fetal influences and being born at a specific point in time on physical development in later life. There are for example strong indications that European babies conceived during world war two are on average physically less developed </w:t>
      </w:r>
      <w:r w:rsidR="00770954">
        <w:rPr>
          <w:lang w:val="en-US"/>
        </w:rPr>
        <w:t xml:space="preserve">and have higher risk of being obese later in life </w:t>
      </w:r>
      <w:r w:rsidR="00331D93" w:rsidRPr="006D2DB3">
        <w:rPr>
          <w:lang w:val="en-US"/>
        </w:rPr>
        <w:t xml:space="preserve">compared to babies born before or after the </w:t>
      </w:r>
      <w:r w:rsidR="00331D93" w:rsidRPr="00770954">
        <w:rPr>
          <w:lang w:val="en-US"/>
        </w:rPr>
        <w:t xml:space="preserve">war </w:t>
      </w:r>
      <w:r w:rsidR="00770954" w:rsidRPr="00770954">
        <w:rPr>
          <w:lang w:val="en-US"/>
        </w:rPr>
        <w:t>(Roseboom et al, 2001)</w:t>
      </w:r>
      <w:r w:rsidR="00052BC0" w:rsidRPr="00770954">
        <w:rPr>
          <w:lang w:val="en-US"/>
        </w:rPr>
        <w:t>.</w:t>
      </w:r>
      <w:r w:rsidR="00CC4782" w:rsidRPr="00770954">
        <w:rPr>
          <w:lang w:val="en-US"/>
        </w:rPr>
        <w:t xml:space="preserve"> </w:t>
      </w:r>
      <w:r w:rsidR="008422D1">
        <w:rPr>
          <w:lang w:val="en-US"/>
        </w:rPr>
        <w:t xml:space="preserve">Also people born in different periods may be </w:t>
      </w:r>
      <w:r w:rsidR="008422D1">
        <w:rPr>
          <w:lang w:val="en-US"/>
        </w:rPr>
        <w:lastRenderedPageBreak/>
        <w:t>exposed to trends and other external factors at different ages. There have been for example distinctive trends in the increased quality of food, medical care and</w:t>
      </w:r>
      <w:r w:rsidR="001C5EDD">
        <w:rPr>
          <w:lang w:val="en-US"/>
        </w:rPr>
        <w:t xml:space="preserve"> modes of</w:t>
      </w:r>
      <w:r w:rsidR="008422D1">
        <w:rPr>
          <w:lang w:val="en-US"/>
        </w:rPr>
        <w:t xml:space="preserve"> transportation in the twentieth century, all factors that may influence BMI differently at varying ages. </w:t>
      </w:r>
      <w:r w:rsidR="001C5EDD">
        <w:rPr>
          <w:lang w:val="en-US"/>
        </w:rPr>
        <w:t xml:space="preserve">This means the effect of age on BMI cannot be </w:t>
      </w:r>
      <w:r w:rsidR="004F3C86" w:rsidRPr="006D2DB3">
        <w:rPr>
          <w:lang w:val="en-US"/>
        </w:rPr>
        <w:t xml:space="preserve">allocated </w:t>
      </w:r>
      <w:r w:rsidR="001C5EDD">
        <w:rPr>
          <w:lang w:val="en-US"/>
        </w:rPr>
        <w:t xml:space="preserve">singularly to aging a </w:t>
      </w:r>
      <w:r w:rsidR="004F3C86" w:rsidRPr="006D2DB3">
        <w:rPr>
          <w:lang w:val="en-US"/>
        </w:rPr>
        <w:t xml:space="preserve">itself, but will be </w:t>
      </w:r>
      <w:r w:rsidR="00D60434">
        <w:rPr>
          <w:lang w:val="en-US"/>
        </w:rPr>
        <w:t>also be</w:t>
      </w:r>
      <w:r w:rsidR="00D60434" w:rsidRPr="006D2DB3">
        <w:rPr>
          <w:lang w:val="en-US"/>
        </w:rPr>
        <w:t xml:space="preserve"> </w:t>
      </w:r>
      <w:r w:rsidR="004F3C86" w:rsidRPr="006D2DB3">
        <w:rPr>
          <w:lang w:val="en-US"/>
        </w:rPr>
        <w:t xml:space="preserve">driven by factors associated with </w:t>
      </w:r>
      <w:r w:rsidR="001C5EDD">
        <w:rPr>
          <w:lang w:val="en-US"/>
        </w:rPr>
        <w:t>BMI and having a certain age</w:t>
      </w:r>
      <w:r w:rsidR="00D60434">
        <w:rPr>
          <w:lang w:val="en-US"/>
        </w:rPr>
        <w:t>,</w:t>
      </w:r>
      <w:r w:rsidR="001C5EDD" w:rsidRPr="006D2DB3">
        <w:rPr>
          <w:lang w:val="en-US"/>
        </w:rPr>
        <w:t xml:space="preserve"> </w:t>
      </w:r>
      <w:r w:rsidR="004F3C86" w:rsidRPr="006D2DB3">
        <w:rPr>
          <w:lang w:val="en-US"/>
        </w:rPr>
        <w:t>that are</w:t>
      </w:r>
      <w:r w:rsidR="00443DE0" w:rsidRPr="006D2DB3">
        <w:rPr>
          <w:lang w:val="en-US"/>
        </w:rPr>
        <w:t xml:space="preserve"> </w:t>
      </w:r>
      <w:r w:rsidR="001C5EDD">
        <w:rPr>
          <w:lang w:val="en-US"/>
        </w:rPr>
        <w:t xml:space="preserve">now </w:t>
      </w:r>
      <w:r w:rsidR="00443DE0" w:rsidRPr="006D2DB3">
        <w:rPr>
          <w:lang w:val="en-US"/>
        </w:rPr>
        <w:t>left out of the</w:t>
      </w:r>
      <w:r w:rsidR="004F3C86" w:rsidRPr="006D2DB3">
        <w:rPr>
          <w:lang w:val="en-US"/>
        </w:rPr>
        <w:t xml:space="preserve"> </w:t>
      </w:r>
      <w:r w:rsidR="005F5E2B">
        <w:rPr>
          <w:lang w:val="en-US"/>
        </w:rPr>
        <w:t>model</w:t>
      </w:r>
      <w:r w:rsidR="001C5EDD">
        <w:rPr>
          <w:lang w:val="en-US"/>
        </w:rPr>
        <w:t>.</w:t>
      </w:r>
      <w:r w:rsidR="004F3C86" w:rsidRPr="006D2DB3">
        <w:rPr>
          <w:lang w:val="en-US"/>
        </w:rPr>
        <w:t xml:space="preserve"> </w:t>
      </w:r>
      <w:r w:rsidR="001C5EDD">
        <w:rPr>
          <w:lang w:val="en-US"/>
        </w:rPr>
        <w:t>One may think about</w:t>
      </w:r>
      <w:r w:rsidR="005F5E2B">
        <w:rPr>
          <w:lang w:val="en-US"/>
        </w:rPr>
        <w:t xml:space="preserve"> BMI decline due to increased comorbidities of the elderly</w:t>
      </w:r>
      <w:r w:rsidR="001C5EDD">
        <w:rPr>
          <w:lang w:val="en-US"/>
        </w:rPr>
        <w:t xml:space="preserve"> and the way in how these illnesses have been treated, exposure to more processed (fast) food</w:t>
      </w:r>
      <w:r w:rsidR="00D23FA9">
        <w:rPr>
          <w:lang w:val="en-US"/>
        </w:rPr>
        <w:t xml:space="preserve"> at different ages and technological progress that may have benefited young people more or for a longer period of time than older people</w:t>
      </w:r>
      <w:r w:rsidR="00712DE1">
        <w:rPr>
          <w:lang w:val="en-US"/>
        </w:rPr>
        <w:t>.</w:t>
      </w:r>
    </w:p>
    <w:p w14:paraId="17447A55" w14:textId="2A62A130" w:rsidR="006D2DB3" w:rsidRDefault="00D33FA1" w:rsidP="009B2D1C">
      <w:pPr>
        <w:spacing w:line="360" w:lineRule="auto"/>
        <w:ind w:firstLine="360"/>
        <w:jc w:val="both"/>
        <w:rPr>
          <w:lang w:val="en-US"/>
        </w:rPr>
      </w:pPr>
      <w:r>
        <w:rPr>
          <w:lang w:val="en-US"/>
        </w:rPr>
        <w:t>E</w:t>
      </w:r>
      <w:r w:rsidR="00A00AB7" w:rsidRPr="006D2DB3">
        <w:rPr>
          <w:lang w:val="en-US"/>
        </w:rPr>
        <w:t>ducation is negatively correlated with</w:t>
      </w:r>
      <w:r w:rsidR="001C7016" w:rsidRPr="006D2DB3">
        <w:rPr>
          <w:lang w:val="en-US"/>
        </w:rPr>
        <w:t xml:space="preserve"> BMI, which is consistent with wh</w:t>
      </w:r>
      <w:r w:rsidR="00AD16BB">
        <w:rPr>
          <w:lang w:val="en-US"/>
        </w:rPr>
        <w:t xml:space="preserve">at is found in previous studies </w:t>
      </w:r>
      <w:r w:rsidR="00AD16BB" w:rsidRPr="00AD16BB">
        <w:rPr>
          <w:lang w:val="en-US"/>
        </w:rPr>
        <w:t>(Molarius</w:t>
      </w:r>
      <w:r w:rsidR="00216F5E">
        <w:rPr>
          <w:lang w:val="en-US"/>
        </w:rPr>
        <w:t xml:space="preserve"> et al. </w:t>
      </w:r>
      <w:r w:rsidR="00AD16BB" w:rsidRPr="00AD16BB">
        <w:rPr>
          <w:lang w:val="en-US"/>
        </w:rPr>
        <w:t>2000</w:t>
      </w:r>
      <w:r w:rsidR="00216F5E">
        <w:rPr>
          <w:lang w:val="en-US"/>
        </w:rPr>
        <w:t xml:space="preserve">, </w:t>
      </w:r>
      <w:r w:rsidR="00712DE1" w:rsidRPr="00712DE1">
        <w:rPr>
          <w:lang w:val="en-US"/>
        </w:rPr>
        <w:t>Monteiro et al</w:t>
      </w:r>
      <w:r w:rsidR="00216F5E">
        <w:rPr>
          <w:lang w:val="en-US"/>
        </w:rPr>
        <w:t>.</w:t>
      </w:r>
      <w:r w:rsidR="00712DE1" w:rsidRPr="00712DE1">
        <w:rPr>
          <w:lang w:val="en-US"/>
        </w:rPr>
        <w:t xml:space="preserve"> 2001</w:t>
      </w:r>
      <w:r w:rsidR="00216F5E">
        <w:rPr>
          <w:lang w:val="en-US"/>
        </w:rPr>
        <w:t>,</w:t>
      </w:r>
      <w:r w:rsidR="00712DE1">
        <w:rPr>
          <w:lang w:val="en-US"/>
        </w:rPr>
        <w:t xml:space="preserve"> </w:t>
      </w:r>
      <w:r w:rsidR="00216F5E">
        <w:rPr>
          <w:lang w:val="en-US"/>
        </w:rPr>
        <w:t>Cawley</w:t>
      </w:r>
      <w:r w:rsidR="00712DE1" w:rsidRPr="00712DE1">
        <w:rPr>
          <w:lang w:val="en-US"/>
        </w:rPr>
        <w:t xml:space="preserve"> 2011)</w:t>
      </w:r>
      <w:r w:rsidR="00712DE1">
        <w:rPr>
          <w:lang w:val="en-US"/>
        </w:rPr>
        <w:t>.</w:t>
      </w:r>
      <w:r w:rsidR="00AD16BB" w:rsidRPr="00712DE1">
        <w:rPr>
          <w:lang w:val="en-US"/>
        </w:rPr>
        <w:t xml:space="preserve"> </w:t>
      </w:r>
      <w:r w:rsidR="00A00AB7" w:rsidRPr="006D2DB3">
        <w:rPr>
          <w:lang w:val="en-US"/>
        </w:rPr>
        <w:t xml:space="preserve">The difference in BMI levels </w:t>
      </w:r>
      <w:r>
        <w:rPr>
          <w:lang w:val="en-US"/>
        </w:rPr>
        <w:t xml:space="preserve">is </w:t>
      </w:r>
      <w:r w:rsidR="00A00AB7" w:rsidRPr="006D2DB3">
        <w:rPr>
          <w:lang w:val="en-US"/>
        </w:rPr>
        <w:t xml:space="preserve">most pronounced when comparing the lowest with the highest educated </w:t>
      </w:r>
      <w:r w:rsidR="00A00AB7" w:rsidRPr="006D2DB3">
        <w:rPr>
          <w:lang w:val="en-US"/>
        </w:rPr>
        <w:lastRenderedPageBreak/>
        <w:t>individuals. The effect of having a high education compared to a low education is</w:t>
      </w:r>
      <w:r>
        <w:rPr>
          <w:lang w:val="en-US"/>
        </w:rPr>
        <w:t xml:space="preserve"> </w:t>
      </w:r>
      <w:r w:rsidR="00A00AB7" w:rsidRPr="006D2DB3">
        <w:rPr>
          <w:lang w:val="en-US"/>
        </w:rPr>
        <w:t xml:space="preserve">significant </w:t>
      </w:r>
      <w:r>
        <w:rPr>
          <w:lang w:val="en-US"/>
        </w:rPr>
        <w:t xml:space="preserve">in both time periods </w:t>
      </w:r>
      <w:r w:rsidR="00A00AB7" w:rsidRPr="006D2DB3">
        <w:rPr>
          <w:lang w:val="en-US"/>
        </w:rPr>
        <w:t xml:space="preserve">for </w:t>
      </w:r>
      <w:r>
        <w:rPr>
          <w:lang w:val="en-US"/>
        </w:rPr>
        <w:t xml:space="preserve">five </w:t>
      </w:r>
      <w:r w:rsidR="00A00AB7" w:rsidRPr="006D2DB3">
        <w:rPr>
          <w:lang w:val="en-US"/>
        </w:rPr>
        <w:t xml:space="preserve">of the nine countries. </w:t>
      </w:r>
      <w:r w:rsidR="0045734C" w:rsidRPr="006D2DB3">
        <w:rPr>
          <w:lang w:val="en-US"/>
        </w:rPr>
        <w:t>These coefficients</w:t>
      </w:r>
      <w:r w:rsidR="00A00AB7" w:rsidRPr="006D2DB3">
        <w:rPr>
          <w:lang w:val="en-US"/>
        </w:rPr>
        <w:t xml:space="preserve"> represent</w:t>
      </w:r>
      <w:r w:rsidR="0045734C" w:rsidRPr="006D2DB3">
        <w:rPr>
          <w:lang w:val="en-US"/>
        </w:rPr>
        <w:t xml:space="preserve"> not</w:t>
      </w:r>
      <w:r w:rsidR="00A00AB7" w:rsidRPr="006D2DB3">
        <w:rPr>
          <w:lang w:val="en-US"/>
        </w:rPr>
        <w:t xml:space="preserve"> the single effect of education </w:t>
      </w:r>
      <w:r w:rsidR="0045734C" w:rsidRPr="006D2DB3">
        <w:rPr>
          <w:lang w:val="en-US"/>
        </w:rPr>
        <w:t>on BMI alone, but include most definitely also the effect of all variables that are influenced by</w:t>
      </w:r>
      <w:r w:rsidR="00464A14">
        <w:rPr>
          <w:lang w:val="en-US"/>
        </w:rPr>
        <w:t xml:space="preserve"> education, such as j</w:t>
      </w:r>
      <w:r w:rsidR="0045734C" w:rsidRPr="006D2DB3">
        <w:rPr>
          <w:lang w:val="en-US"/>
        </w:rPr>
        <w:t>ob type, one’s soci</w:t>
      </w:r>
      <w:r w:rsidR="00AD16BB">
        <w:rPr>
          <w:lang w:val="en-US"/>
        </w:rPr>
        <w:t>al environment</w:t>
      </w:r>
      <w:r w:rsidR="00D23FA9">
        <w:rPr>
          <w:lang w:val="en-US"/>
        </w:rPr>
        <w:t xml:space="preserve"> </w:t>
      </w:r>
      <w:r w:rsidR="00AD16BB">
        <w:rPr>
          <w:lang w:val="en-US"/>
        </w:rPr>
        <w:t>and income.</w:t>
      </w:r>
    </w:p>
    <w:p w14:paraId="3915C773" w14:textId="61FA6E19" w:rsidR="006D2DB3" w:rsidRDefault="000E508D" w:rsidP="009B2D1C">
      <w:pPr>
        <w:spacing w:line="360" w:lineRule="auto"/>
        <w:ind w:firstLine="360"/>
        <w:jc w:val="both"/>
        <w:rPr>
          <w:lang w:val="en-US"/>
        </w:rPr>
      </w:pPr>
      <w:r w:rsidRPr="009B2D1C">
        <w:rPr>
          <w:lang w:val="en-US"/>
        </w:rPr>
        <w:t>Interactions of the parameters from the basic model are interacted with the wave dummy for each country and tested with a T-test to check whether they are sig</w:t>
      </w:r>
      <w:r w:rsidR="00A45A31" w:rsidRPr="009B2D1C">
        <w:rPr>
          <w:lang w:val="en-US"/>
        </w:rPr>
        <w:t>nificantly different from zero.</w:t>
      </w:r>
      <w:r w:rsidRPr="009B2D1C">
        <w:rPr>
          <w:lang w:val="en-US"/>
        </w:rPr>
        <w:t xml:space="preserve"> For </w:t>
      </w:r>
      <w:r w:rsidR="00792B99" w:rsidRPr="009B2D1C">
        <w:rPr>
          <w:lang w:val="en-US"/>
        </w:rPr>
        <w:t xml:space="preserve">all countries except Spain, </w:t>
      </w:r>
      <w:r w:rsidRPr="009B2D1C">
        <w:rPr>
          <w:lang w:val="en-US"/>
        </w:rPr>
        <w:t>there is a significant difference of the</w:t>
      </w:r>
      <w:r w:rsidR="00792B99" w:rsidRPr="009B2D1C">
        <w:rPr>
          <w:lang w:val="en-US"/>
        </w:rPr>
        <w:t xml:space="preserve"> effect of the parameters </w:t>
      </w:r>
      <w:r w:rsidRPr="009B2D1C">
        <w:rPr>
          <w:lang w:val="en-US"/>
        </w:rPr>
        <w:t>between 2004 and 2010</w:t>
      </w:r>
      <w:r w:rsidR="00443DE0" w:rsidRPr="009B2D1C">
        <w:rPr>
          <w:lang w:val="en-US"/>
        </w:rPr>
        <w:t xml:space="preserve"> at a 5% significance </w:t>
      </w:r>
      <w:r w:rsidR="00A005C1" w:rsidRPr="009B2D1C">
        <w:rPr>
          <w:lang w:val="en-US"/>
        </w:rPr>
        <w:t xml:space="preserve">level. </w:t>
      </w:r>
      <w:r w:rsidR="00A45A31" w:rsidRPr="009B2D1C">
        <w:rPr>
          <w:lang w:val="en-US"/>
        </w:rPr>
        <w:t xml:space="preserve">Thus the OB </w:t>
      </w:r>
      <w:r w:rsidR="00A005C1" w:rsidRPr="009B2D1C">
        <w:rPr>
          <w:lang w:val="en-US"/>
        </w:rPr>
        <w:t>decomposition</w:t>
      </w:r>
      <w:r w:rsidRPr="009B2D1C">
        <w:rPr>
          <w:lang w:val="en-US"/>
        </w:rPr>
        <w:t xml:space="preserve"> approach, which allows for different regression c</w:t>
      </w:r>
      <w:r w:rsidR="00835FB7">
        <w:rPr>
          <w:lang w:val="en-US"/>
        </w:rPr>
        <w:t>oefficients, makes sense in</w:t>
      </w:r>
      <w:r w:rsidRPr="009B2D1C">
        <w:rPr>
          <w:lang w:val="en-US"/>
        </w:rPr>
        <w:t xml:space="preserve"> this context</w:t>
      </w:r>
      <w:r w:rsidR="00DE597B" w:rsidRPr="009B2D1C">
        <w:rPr>
          <w:lang w:val="en-US"/>
        </w:rPr>
        <w:t>.</w:t>
      </w:r>
    </w:p>
    <w:p w14:paraId="139165F0" w14:textId="77777777" w:rsidR="00FD52A0" w:rsidRDefault="00B70783" w:rsidP="00FD52A0">
      <w:pPr>
        <w:pStyle w:val="Heading2"/>
        <w:numPr>
          <w:ilvl w:val="1"/>
          <w:numId w:val="31"/>
        </w:numPr>
        <w:rPr>
          <w:rFonts w:cs="Calibri"/>
          <w:sz w:val="24"/>
          <w:szCs w:val="24"/>
          <w:lang w:val="en-US" w:eastAsia="ja-JP"/>
        </w:rPr>
      </w:pPr>
      <w:bookmarkStart w:id="17" w:name="_Toc432114509"/>
      <w:r>
        <w:rPr>
          <w:rFonts w:cs="Calibri"/>
          <w:sz w:val="24"/>
          <w:szCs w:val="24"/>
          <w:lang w:val="en-US" w:eastAsia="ja-JP"/>
        </w:rPr>
        <w:t>OLS results</w:t>
      </w:r>
      <w:r w:rsidR="00FD52A0">
        <w:rPr>
          <w:rFonts w:cs="Calibri"/>
          <w:sz w:val="24"/>
          <w:szCs w:val="24"/>
          <w:lang w:val="en-US" w:eastAsia="ja-JP"/>
        </w:rPr>
        <w:t xml:space="preserve"> extended model</w:t>
      </w:r>
      <w:bookmarkEnd w:id="17"/>
    </w:p>
    <w:p w14:paraId="4C0075E3" w14:textId="77777777" w:rsidR="00FD52A0" w:rsidRPr="009B2D1C" w:rsidRDefault="00FD52A0" w:rsidP="00FD52A0">
      <w:pPr>
        <w:rPr>
          <w:lang w:val="en-US" w:eastAsia="ja-JP"/>
        </w:rPr>
      </w:pPr>
    </w:p>
    <w:p w14:paraId="1E2E7829" w14:textId="77777777" w:rsidR="00835FB7" w:rsidRPr="006D2DB3" w:rsidRDefault="008F4AD8" w:rsidP="00FD52A0">
      <w:pPr>
        <w:spacing w:line="360" w:lineRule="auto"/>
        <w:jc w:val="both"/>
        <w:rPr>
          <w:lang w:val="en-US"/>
        </w:rPr>
      </w:pPr>
      <w:r w:rsidRPr="006D2DB3">
        <w:rPr>
          <w:lang w:val="en-US"/>
        </w:rPr>
        <w:lastRenderedPageBreak/>
        <w:t>Results for the extended model are depicted</w:t>
      </w:r>
      <w:r w:rsidR="0073649D" w:rsidRPr="006D2DB3">
        <w:rPr>
          <w:lang w:val="en-US"/>
        </w:rPr>
        <w:t xml:space="preserve"> </w:t>
      </w:r>
      <w:r w:rsidR="006D10A1">
        <w:rPr>
          <w:lang w:val="en-US"/>
        </w:rPr>
        <w:t>in table 3</w:t>
      </w:r>
      <w:r w:rsidR="00995A40" w:rsidRPr="006D2DB3">
        <w:rPr>
          <w:lang w:val="en-US"/>
        </w:rPr>
        <w:t xml:space="preserve">. </w:t>
      </w:r>
      <w:r w:rsidR="008D2EF6" w:rsidRPr="006D2DB3">
        <w:rPr>
          <w:lang w:val="en-US"/>
        </w:rPr>
        <w:t>The added variables</w:t>
      </w:r>
      <w:r w:rsidR="00D65DB8">
        <w:rPr>
          <w:lang w:val="en-US"/>
        </w:rPr>
        <w:t xml:space="preserve"> are jointly significant at a 5</w:t>
      </w:r>
      <w:r w:rsidR="008D2EF6" w:rsidRPr="006D2DB3">
        <w:rPr>
          <w:lang w:val="en-US"/>
        </w:rPr>
        <w:t>% significance level in the first wave for Austria, Germany</w:t>
      </w:r>
      <w:r w:rsidR="00D65DB8">
        <w:rPr>
          <w:lang w:val="en-US"/>
        </w:rPr>
        <w:t xml:space="preserve">, The Netherlands, Spain, </w:t>
      </w:r>
      <w:r w:rsidR="008D2EF6" w:rsidRPr="006D2DB3">
        <w:rPr>
          <w:lang w:val="en-US"/>
        </w:rPr>
        <w:t>and France. In the second wave they</w:t>
      </w:r>
      <w:r w:rsidR="00D65DB8">
        <w:rPr>
          <w:lang w:val="en-US"/>
        </w:rPr>
        <w:t xml:space="preserve"> are jointly significant at a 5</w:t>
      </w:r>
      <w:r w:rsidR="008D2EF6" w:rsidRPr="006D2DB3">
        <w:rPr>
          <w:lang w:val="en-US"/>
        </w:rPr>
        <w:t xml:space="preserve">% level for all countries except Switzerland and Italy. </w:t>
      </w:r>
      <w:r w:rsidR="00995A40" w:rsidRPr="006D2DB3">
        <w:rPr>
          <w:lang w:val="en-US"/>
        </w:rPr>
        <w:t xml:space="preserve">As we can see that </w:t>
      </w:r>
      <w:r w:rsidRPr="006D2DB3">
        <w:rPr>
          <w:lang w:val="en-US"/>
        </w:rPr>
        <w:t>significance</w:t>
      </w:r>
      <w:r w:rsidR="00995A40" w:rsidRPr="006D2DB3">
        <w:rPr>
          <w:lang w:val="en-US"/>
        </w:rPr>
        <w:t xml:space="preserve"> and sign of the coefficients</w:t>
      </w:r>
      <w:r w:rsidRPr="006D2DB3">
        <w:rPr>
          <w:lang w:val="en-US"/>
        </w:rPr>
        <w:t xml:space="preserve"> for gender, age and education </w:t>
      </w:r>
      <w:r w:rsidR="00A13618" w:rsidRPr="006D2DB3">
        <w:rPr>
          <w:lang w:val="en-US"/>
        </w:rPr>
        <w:t>remain</w:t>
      </w:r>
      <w:r w:rsidRPr="006D2DB3">
        <w:rPr>
          <w:lang w:val="en-US"/>
        </w:rPr>
        <w:t xml:space="preserve"> com</w:t>
      </w:r>
      <w:r w:rsidR="00995A40" w:rsidRPr="006D2DB3">
        <w:rPr>
          <w:lang w:val="en-US"/>
        </w:rPr>
        <w:t>parable to the basic model.</w:t>
      </w:r>
      <w:r w:rsidR="00702284" w:rsidRPr="006D2DB3">
        <w:rPr>
          <w:lang w:val="en-US"/>
        </w:rPr>
        <w:t xml:space="preserve"> Also the magnitude of the coefficients is</w:t>
      </w:r>
      <w:r w:rsidRPr="006D2DB3">
        <w:rPr>
          <w:lang w:val="en-US"/>
        </w:rPr>
        <w:t xml:space="preserve"> not altered drastically, </w:t>
      </w:r>
      <w:r w:rsidRPr="003F149C">
        <w:rPr>
          <w:lang w:val="en-US"/>
        </w:rPr>
        <w:t>which means the effects of the added variables were</w:t>
      </w:r>
      <w:r w:rsidR="001925F6" w:rsidRPr="003F149C">
        <w:rPr>
          <w:lang w:val="en-US"/>
        </w:rPr>
        <w:t xml:space="preserve"> not previously flowing via the ef</w:t>
      </w:r>
      <w:r w:rsidR="00702284" w:rsidRPr="003F149C">
        <w:rPr>
          <w:lang w:val="en-US"/>
        </w:rPr>
        <w:t>fect of education, gender or age</w:t>
      </w:r>
      <w:r w:rsidR="001925F6" w:rsidRPr="003F149C">
        <w:rPr>
          <w:lang w:val="en-US"/>
        </w:rPr>
        <w:t>.</w:t>
      </w:r>
      <w:r w:rsidR="00D65DB8" w:rsidRPr="00735B55">
        <w:rPr>
          <w:rStyle w:val="FootnoteReference"/>
        </w:rPr>
        <w:footnoteReference w:id="7"/>
      </w:r>
      <w:r w:rsidR="00870191" w:rsidRPr="00003CB0">
        <w:rPr>
          <w:rStyle w:val="FootnoteReference"/>
          <w:sz w:val="24"/>
          <w:szCs w:val="24"/>
          <w:lang w:val="en-US"/>
        </w:rPr>
        <w:t xml:space="preserve"> </w:t>
      </w:r>
      <w:r w:rsidR="00B4410B" w:rsidRPr="006D2DB3">
        <w:rPr>
          <w:lang w:val="en-US"/>
        </w:rPr>
        <w:t xml:space="preserve">Broadly advocated is the positive effect of exercising </w:t>
      </w:r>
      <w:r w:rsidR="00AD16BB">
        <w:rPr>
          <w:lang w:val="en-US"/>
        </w:rPr>
        <w:t xml:space="preserve">frequently on reducing body fat </w:t>
      </w:r>
      <w:r w:rsidR="00AD16BB" w:rsidRPr="00AD16BB">
        <w:rPr>
          <w:lang w:val="en-US"/>
        </w:rPr>
        <w:t>(Cawley, 2011)</w:t>
      </w:r>
      <w:r w:rsidR="00AD16BB">
        <w:rPr>
          <w:lang w:val="en-US"/>
        </w:rPr>
        <w:t xml:space="preserve">. </w:t>
      </w:r>
      <w:r w:rsidR="00B4410B" w:rsidRPr="006D2DB3">
        <w:rPr>
          <w:lang w:val="en-US"/>
        </w:rPr>
        <w:t xml:space="preserve">It is </w:t>
      </w:r>
      <w:r w:rsidR="00B4410B" w:rsidRPr="006D2DB3">
        <w:rPr>
          <w:lang w:val="en-US"/>
        </w:rPr>
        <w:lastRenderedPageBreak/>
        <w:t>therefore not unexpected that being active minimal once a week is for seven countries associated with significantly lower BMI</w:t>
      </w:r>
      <w:r w:rsidR="005F2CBC">
        <w:rPr>
          <w:lang w:val="en-US"/>
        </w:rPr>
        <w:t xml:space="preserve"> in 2004 and for eight countries in 2010</w:t>
      </w:r>
      <w:r w:rsidR="00B4410B" w:rsidRPr="006D2DB3">
        <w:rPr>
          <w:lang w:val="en-US"/>
        </w:rPr>
        <w:t>.</w:t>
      </w:r>
      <w:r w:rsidR="00BB1998" w:rsidRPr="006D2DB3">
        <w:rPr>
          <w:lang w:val="en-US"/>
        </w:rPr>
        <w:t xml:space="preserve"> However it must be said that omitted variable bias a</w:t>
      </w:r>
      <w:r w:rsidR="0042683F" w:rsidRPr="006D2DB3">
        <w:rPr>
          <w:lang w:val="en-US"/>
        </w:rPr>
        <w:t>s</w:t>
      </w:r>
      <w:r w:rsidR="00BB1998" w:rsidRPr="006D2DB3">
        <w:rPr>
          <w:lang w:val="en-US"/>
        </w:rPr>
        <w:t xml:space="preserve"> </w:t>
      </w:r>
      <w:r w:rsidR="0042683F" w:rsidRPr="006D2DB3">
        <w:rPr>
          <w:lang w:val="en-US"/>
        </w:rPr>
        <w:t xml:space="preserve">well as reverse causality </w:t>
      </w:r>
      <w:r w:rsidR="003163B6" w:rsidRPr="006D2DB3">
        <w:rPr>
          <w:lang w:val="en-US"/>
        </w:rPr>
        <w:t>most certainly</w:t>
      </w:r>
      <w:r w:rsidR="0042683F" w:rsidRPr="006D2DB3">
        <w:rPr>
          <w:lang w:val="en-US"/>
        </w:rPr>
        <w:t xml:space="preserve"> violate the zero conditional mean assumption by including this variable. For very high levels of BMI it may be inconvenient or </w:t>
      </w:r>
      <w:r w:rsidR="00FD52A0" w:rsidRPr="006D2DB3">
        <w:rPr>
          <w:lang w:val="en-US"/>
        </w:rPr>
        <w:t xml:space="preserve">even physically too demanding to exercise, resulting in an effect flowing from BMI to </w:t>
      </w:r>
    </w:p>
    <w:tbl>
      <w:tblPr>
        <w:tblpPr w:leftFromText="141" w:rightFromText="141" w:vertAnchor="text" w:horzAnchor="margin" w:tblpY="717"/>
        <w:tblW w:w="5018" w:type="pct"/>
        <w:tblCellMar>
          <w:left w:w="70" w:type="dxa"/>
          <w:right w:w="70" w:type="dxa"/>
        </w:tblCellMar>
        <w:tblLook w:val="04A0" w:firstRow="1" w:lastRow="0" w:firstColumn="1" w:lastColumn="0" w:noHBand="0" w:noVBand="1"/>
      </w:tblPr>
      <w:tblGrid>
        <w:gridCol w:w="1217"/>
        <w:gridCol w:w="1082"/>
        <w:gridCol w:w="758"/>
        <w:gridCol w:w="758"/>
        <w:gridCol w:w="758"/>
        <w:gridCol w:w="756"/>
        <w:gridCol w:w="756"/>
        <w:gridCol w:w="756"/>
        <w:gridCol w:w="756"/>
        <w:gridCol w:w="756"/>
        <w:gridCol w:w="752"/>
      </w:tblGrid>
      <w:tr w:rsidR="00835FB7" w:rsidRPr="003F149C" w14:paraId="12E16246" w14:textId="77777777" w:rsidTr="00835FB7">
        <w:trPr>
          <w:trHeight w:val="300"/>
        </w:trPr>
        <w:tc>
          <w:tcPr>
            <w:tcW w:w="669" w:type="pct"/>
            <w:tcBorders>
              <w:top w:val="single" w:sz="4" w:space="0" w:color="auto"/>
              <w:left w:val="single" w:sz="4" w:space="0" w:color="auto"/>
              <w:bottom w:val="single" w:sz="4" w:space="0" w:color="auto"/>
              <w:right w:val="single" w:sz="4" w:space="0" w:color="auto"/>
            </w:tcBorders>
            <w:shd w:val="clear" w:color="auto" w:fill="auto"/>
            <w:noWrap/>
            <w:hideMark/>
          </w:tcPr>
          <w:p w14:paraId="77C48965" w14:textId="77777777" w:rsidR="00835FB7" w:rsidRPr="003F149C" w:rsidRDefault="00835FB7" w:rsidP="00835FB7">
            <w:pPr>
              <w:spacing w:after="0" w:line="240" w:lineRule="auto"/>
              <w:jc w:val="center"/>
              <w:rPr>
                <w:rFonts w:eastAsia="Times New Roman" w:cs="Calibri"/>
                <w:color w:val="000000"/>
                <w:lang w:eastAsia="nl-NL"/>
              </w:rPr>
            </w:pPr>
            <w:r w:rsidRPr="003F149C">
              <w:rPr>
                <w:rFonts w:eastAsia="Times New Roman" w:cs="Calibri"/>
                <w:color w:val="000000"/>
                <w:lang w:eastAsia="nl-NL"/>
              </w:rPr>
              <w:t>BMI 2004</w:t>
            </w:r>
          </w:p>
        </w:tc>
        <w:tc>
          <w:tcPr>
            <w:tcW w:w="594" w:type="pct"/>
            <w:tcBorders>
              <w:top w:val="single" w:sz="4" w:space="0" w:color="auto"/>
              <w:left w:val="nil"/>
              <w:bottom w:val="single" w:sz="4" w:space="0" w:color="auto"/>
              <w:right w:val="single" w:sz="4" w:space="0" w:color="auto"/>
            </w:tcBorders>
            <w:shd w:val="clear" w:color="auto" w:fill="auto"/>
            <w:noWrap/>
            <w:vAlign w:val="bottom"/>
            <w:hideMark/>
          </w:tcPr>
          <w:p w14:paraId="49D7D2FD"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single" w:sz="4" w:space="0" w:color="auto"/>
              <w:left w:val="nil"/>
              <w:bottom w:val="single" w:sz="4" w:space="0" w:color="auto"/>
              <w:right w:val="single" w:sz="4" w:space="0" w:color="auto"/>
            </w:tcBorders>
            <w:shd w:val="clear" w:color="auto" w:fill="auto"/>
            <w:noWrap/>
            <w:vAlign w:val="bottom"/>
            <w:hideMark/>
          </w:tcPr>
          <w:p w14:paraId="77C611F1"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AT</w:t>
            </w:r>
          </w:p>
        </w:tc>
        <w:tc>
          <w:tcPr>
            <w:tcW w:w="416" w:type="pct"/>
            <w:tcBorders>
              <w:top w:val="single" w:sz="4" w:space="0" w:color="auto"/>
              <w:left w:val="nil"/>
              <w:bottom w:val="single" w:sz="4" w:space="0" w:color="auto"/>
              <w:right w:val="single" w:sz="4" w:space="0" w:color="auto"/>
            </w:tcBorders>
            <w:shd w:val="clear" w:color="auto" w:fill="auto"/>
            <w:noWrap/>
            <w:vAlign w:val="bottom"/>
            <w:hideMark/>
          </w:tcPr>
          <w:p w14:paraId="04AB492F"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DE</w:t>
            </w:r>
          </w:p>
        </w:tc>
        <w:tc>
          <w:tcPr>
            <w:tcW w:w="416" w:type="pct"/>
            <w:tcBorders>
              <w:top w:val="single" w:sz="4" w:space="0" w:color="auto"/>
              <w:left w:val="nil"/>
              <w:bottom w:val="single" w:sz="4" w:space="0" w:color="auto"/>
              <w:right w:val="single" w:sz="4" w:space="0" w:color="auto"/>
            </w:tcBorders>
            <w:shd w:val="clear" w:color="auto" w:fill="auto"/>
            <w:noWrap/>
            <w:vAlign w:val="bottom"/>
            <w:hideMark/>
          </w:tcPr>
          <w:p w14:paraId="3A2342A7"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SE</w:t>
            </w:r>
          </w:p>
        </w:tc>
        <w:tc>
          <w:tcPr>
            <w:tcW w:w="415" w:type="pct"/>
            <w:tcBorders>
              <w:top w:val="single" w:sz="4" w:space="0" w:color="auto"/>
              <w:left w:val="nil"/>
              <w:bottom w:val="single" w:sz="4" w:space="0" w:color="auto"/>
              <w:right w:val="single" w:sz="4" w:space="0" w:color="auto"/>
            </w:tcBorders>
            <w:shd w:val="clear" w:color="auto" w:fill="auto"/>
            <w:noWrap/>
            <w:vAlign w:val="bottom"/>
            <w:hideMark/>
          </w:tcPr>
          <w:p w14:paraId="75C0CB72"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NL</w:t>
            </w:r>
          </w:p>
        </w:tc>
        <w:tc>
          <w:tcPr>
            <w:tcW w:w="415" w:type="pct"/>
            <w:tcBorders>
              <w:top w:val="single" w:sz="4" w:space="0" w:color="auto"/>
              <w:left w:val="nil"/>
              <w:bottom w:val="single" w:sz="4" w:space="0" w:color="auto"/>
              <w:right w:val="single" w:sz="4" w:space="0" w:color="auto"/>
            </w:tcBorders>
            <w:shd w:val="clear" w:color="auto" w:fill="auto"/>
            <w:noWrap/>
            <w:vAlign w:val="bottom"/>
            <w:hideMark/>
          </w:tcPr>
          <w:p w14:paraId="0049B8E6"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ES</w:t>
            </w:r>
          </w:p>
        </w:tc>
        <w:tc>
          <w:tcPr>
            <w:tcW w:w="415" w:type="pct"/>
            <w:tcBorders>
              <w:top w:val="single" w:sz="4" w:space="0" w:color="auto"/>
              <w:left w:val="nil"/>
              <w:bottom w:val="single" w:sz="4" w:space="0" w:color="auto"/>
              <w:right w:val="single" w:sz="4" w:space="0" w:color="auto"/>
            </w:tcBorders>
            <w:shd w:val="clear" w:color="auto" w:fill="auto"/>
            <w:noWrap/>
            <w:vAlign w:val="bottom"/>
            <w:hideMark/>
          </w:tcPr>
          <w:p w14:paraId="2746F2FF"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IT</w:t>
            </w:r>
          </w:p>
        </w:tc>
        <w:tc>
          <w:tcPr>
            <w:tcW w:w="415" w:type="pct"/>
            <w:tcBorders>
              <w:top w:val="single" w:sz="4" w:space="0" w:color="auto"/>
              <w:left w:val="nil"/>
              <w:bottom w:val="single" w:sz="4" w:space="0" w:color="auto"/>
              <w:right w:val="single" w:sz="4" w:space="0" w:color="auto"/>
            </w:tcBorders>
            <w:shd w:val="clear" w:color="auto" w:fill="auto"/>
            <w:noWrap/>
            <w:vAlign w:val="bottom"/>
            <w:hideMark/>
          </w:tcPr>
          <w:p w14:paraId="67E4F741"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FR</w:t>
            </w:r>
          </w:p>
        </w:tc>
        <w:tc>
          <w:tcPr>
            <w:tcW w:w="415" w:type="pct"/>
            <w:tcBorders>
              <w:top w:val="single" w:sz="4" w:space="0" w:color="auto"/>
              <w:left w:val="nil"/>
              <w:bottom w:val="single" w:sz="4" w:space="0" w:color="auto"/>
              <w:right w:val="single" w:sz="4" w:space="0" w:color="auto"/>
            </w:tcBorders>
            <w:shd w:val="clear" w:color="auto" w:fill="auto"/>
            <w:noWrap/>
            <w:vAlign w:val="bottom"/>
            <w:hideMark/>
          </w:tcPr>
          <w:p w14:paraId="55EE5FF0"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DK</w:t>
            </w:r>
          </w:p>
        </w:tc>
        <w:tc>
          <w:tcPr>
            <w:tcW w:w="413" w:type="pct"/>
            <w:tcBorders>
              <w:top w:val="single" w:sz="4" w:space="0" w:color="auto"/>
              <w:left w:val="nil"/>
              <w:bottom w:val="single" w:sz="4" w:space="0" w:color="auto"/>
              <w:right w:val="single" w:sz="4" w:space="0" w:color="auto"/>
            </w:tcBorders>
            <w:shd w:val="clear" w:color="auto" w:fill="auto"/>
            <w:noWrap/>
            <w:vAlign w:val="bottom"/>
            <w:hideMark/>
          </w:tcPr>
          <w:p w14:paraId="34E36689"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CH</w:t>
            </w:r>
          </w:p>
        </w:tc>
      </w:tr>
      <w:tr w:rsidR="00835FB7" w:rsidRPr="003F149C" w14:paraId="43BCEE48" w14:textId="77777777" w:rsidTr="00835FB7">
        <w:trPr>
          <w:trHeight w:val="300"/>
        </w:trPr>
        <w:tc>
          <w:tcPr>
            <w:tcW w:w="669" w:type="pct"/>
            <w:tcBorders>
              <w:top w:val="nil"/>
              <w:left w:val="single" w:sz="4" w:space="0" w:color="auto"/>
              <w:bottom w:val="single" w:sz="4" w:space="0" w:color="auto"/>
              <w:right w:val="single" w:sz="4" w:space="0" w:color="auto"/>
            </w:tcBorders>
            <w:shd w:val="clear" w:color="auto" w:fill="auto"/>
            <w:noWrap/>
            <w:hideMark/>
          </w:tcPr>
          <w:p w14:paraId="6B83DC5D"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594" w:type="pct"/>
            <w:tcBorders>
              <w:top w:val="nil"/>
              <w:left w:val="nil"/>
              <w:bottom w:val="single" w:sz="4" w:space="0" w:color="auto"/>
              <w:right w:val="single" w:sz="4" w:space="0" w:color="auto"/>
            </w:tcBorders>
            <w:shd w:val="clear" w:color="auto" w:fill="auto"/>
            <w:noWrap/>
            <w:vAlign w:val="bottom"/>
            <w:hideMark/>
          </w:tcPr>
          <w:p w14:paraId="3CA9B9D2"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Constant</w:t>
            </w:r>
          </w:p>
        </w:tc>
        <w:tc>
          <w:tcPr>
            <w:tcW w:w="416" w:type="pct"/>
            <w:tcBorders>
              <w:top w:val="nil"/>
              <w:left w:val="nil"/>
              <w:bottom w:val="single" w:sz="4" w:space="0" w:color="auto"/>
              <w:right w:val="single" w:sz="4" w:space="0" w:color="auto"/>
            </w:tcBorders>
            <w:shd w:val="clear" w:color="000000" w:fill="D8E4BC"/>
            <w:noWrap/>
            <w:vAlign w:val="bottom"/>
            <w:hideMark/>
          </w:tcPr>
          <w:p w14:paraId="564A85A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29,32</w:t>
            </w:r>
          </w:p>
        </w:tc>
        <w:tc>
          <w:tcPr>
            <w:tcW w:w="416" w:type="pct"/>
            <w:tcBorders>
              <w:top w:val="nil"/>
              <w:left w:val="nil"/>
              <w:bottom w:val="single" w:sz="4" w:space="0" w:color="auto"/>
              <w:right w:val="single" w:sz="4" w:space="0" w:color="auto"/>
            </w:tcBorders>
            <w:shd w:val="clear" w:color="000000" w:fill="D8E4BC"/>
            <w:noWrap/>
            <w:vAlign w:val="bottom"/>
            <w:hideMark/>
          </w:tcPr>
          <w:p w14:paraId="03F5514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28,33</w:t>
            </w:r>
          </w:p>
        </w:tc>
        <w:tc>
          <w:tcPr>
            <w:tcW w:w="416" w:type="pct"/>
            <w:tcBorders>
              <w:top w:val="nil"/>
              <w:left w:val="nil"/>
              <w:bottom w:val="single" w:sz="4" w:space="0" w:color="auto"/>
              <w:right w:val="single" w:sz="4" w:space="0" w:color="auto"/>
            </w:tcBorders>
            <w:shd w:val="clear" w:color="000000" w:fill="D8E4BC"/>
            <w:noWrap/>
            <w:vAlign w:val="bottom"/>
            <w:hideMark/>
          </w:tcPr>
          <w:p w14:paraId="753ABCF8"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27,42</w:t>
            </w:r>
          </w:p>
        </w:tc>
        <w:tc>
          <w:tcPr>
            <w:tcW w:w="415" w:type="pct"/>
            <w:tcBorders>
              <w:top w:val="nil"/>
              <w:left w:val="nil"/>
              <w:bottom w:val="single" w:sz="4" w:space="0" w:color="auto"/>
              <w:right w:val="single" w:sz="4" w:space="0" w:color="auto"/>
            </w:tcBorders>
            <w:shd w:val="clear" w:color="000000" w:fill="D8E4BC"/>
            <w:noWrap/>
            <w:vAlign w:val="bottom"/>
            <w:hideMark/>
          </w:tcPr>
          <w:p w14:paraId="6970633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27,47</w:t>
            </w:r>
          </w:p>
        </w:tc>
        <w:tc>
          <w:tcPr>
            <w:tcW w:w="415" w:type="pct"/>
            <w:tcBorders>
              <w:top w:val="nil"/>
              <w:left w:val="nil"/>
              <w:bottom w:val="single" w:sz="4" w:space="0" w:color="auto"/>
              <w:right w:val="single" w:sz="4" w:space="0" w:color="auto"/>
            </w:tcBorders>
            <w:shd w:val="clear" w:color="000000" w:fill="D8E4BC"/>
            <w:noWrap/>
            <w:vAlign w:val="bottom"/>
            <w:hideMark/>
          </w:tcPr>
          <w:p w14:paraId="179A144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27,87</w:t>
            </w:r>
          </w:p>
        </w:tc>
        <w:tc>
          <w:tcPr>
            <w:tcW w:w="415" w:type="pct"/>
            <w:tcBorders>
              <w:top w:val="nil"/>
              <w:left w:val="nil"/>
              <w:bottom w:val="single" w:sz="4" w:space="0" w:color="auto"/>
              <w:right w:val="single" w:sz="4" w:space="0" w:color="auto"/>
            </w:tcBorders>
            <w:shd w:val="clear" w:color="000000" w:fill="D8E4BC"/>
            <w:noWrap/>
            <w:vAlign w:val="bottom"/>
            <w:hideMark/>
          </w:tcPr>
          <w:p w14:paraId="0D08106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27,56</w:t>
            </w:r>
          </w:p>
        </w:tc>
        <w:tc>
          <w:tcPr>
            <w:tcW w:w="415" w:type="pct"/>
            <w:tcBorders>
              <w:top w:val="nil"/>
              <w:left w:val="nil"/>
              <w:bottom w:val="single" w:sz="4" w:space="0" w:color="auto"/>
              <w:right w:val="single" w:sz="4" w:space="0" w:color="auto"/>
            </w:tcBorders>
            <w:shd w:val="clear" w:color="000000" w:fill="D8E4BC"/>
            <w:noWrap/>
            <w:vAlign w:val="bottom"/>
            <w:hideMark/>
          </w:tcPr>
          <w:p w14:paraId="096B076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26,89</w:t>
            </w:r>
          </w:p>
        </w:tc>
        <w:tc>
          <w:tcPr>
            <w:tcW w:w="415" w:type="pct"/>
            <w:tcBorders>
              <w:top w:val="nil"/>
              <w:left w:val="nil"/>
              <w:bottom w:val="single" w:sz="4" w:space="0" w:color="auto"/>
              <w:right w:val="single" w:sz="4" w:space="0" w:color="auto"/>
            </w:tcBorders>
            <w:shd w:val="clear" w:color="000000" w:fill="D8E4BC"/>
            <w:noWrap/>
            <w:vAlign w:val="bottom"/>
            <w:hideMark/>
          </w:tcPr>
          <w:p w14:paraId="6A06EFA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27,46</w:t>
            </w:r>
          </w:p>
        </w:tc>
        <w:tc>
          <w:tcPr>
            <w:tcW w:w="413" w:type="pct"/>
            <w:tcBorders>
              <w:top w:val="nil"/>
              <w:left w:val="nil"/>
              <w:bottom w:val="single" w:sz="4" w:space="0" w:color="auto"/>
              <w:right w:val="single" w:sz="4" w:space="0" w:color="auto"/>
            </w:tcBorders>
            <w:shd w:val="clear" w:color="000000" w:fill="D8E4BC"/>
            <w:noWrap/>
            <w:vAlign w:val="bottom"/>
            <w:hideMark/>
          </w:tcPr>
          <w:p w14:paraId="2724A439"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26,25</w:t>
            </w:r>
          </w:p>
        </w:tc>
      </w:tr>
      <w:tr w:rsidR="00835FB7" w:rsidRPr="003F149C" w14:paraId="55F98A30" w14:textId="77777777" w:rsidTr="00835FB7">
        <w:trPr>
          <w:trHeight w:val="300"/>
        </w:trPr>
        <w:tc>
          <w:tcPr>
            <w:tcW w:w="669" w:type="pct"/>
            <w:tcBorders>
              <w:top w:val="nil"/>
              <w:left w:val="single" w:sz="4" w:space="0" w:color="auto"/>
              <w:bottom w:val="single" w:sz="4" w:space="0" w:color="auto"/>
              <w:right w:val="single" w:sz="4" w:space="0" w:color="auto"/>
            </w:tcBorders>
            <w:shd w:val="clear" w:color="auto" w:fill="auto"/>
            <w:noWrap/>
            <w:hideMark/>
          </w:tcPr>
          <w:p w14:paraId="420E1640"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Gender</w:t>
            </w:r>
          </w:p>
        </w:tc>
        <w:tc>
          <w:tcPr>
            <w:tcW w:w="594" w:type="pct"/>
            <w:tcBorders>
              <w:top w:val="nil"/>
              <w:left w:val="nil"/>
              <w:bottom w:val="single" w:sz="4" w:space="0" w:color="auto"/>
              <w:right w:val="single" w:sz="4" w:space="0" w:color="auto"/>
            </w:tcBorders>
            <w:shd w:val="clear" w:color="auto" w:fill="auto"/>
            <w:noWrap/>
            <w:vAlign w:val="bottom"/>
            <w:hideMark/>
          </w:tcPr>
          <w:p w14:paraId="317863C7"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Female</w:t>
            </w:r>
          </w:p>
        </w:tc>
        <w:tc>
          <w:tcPr>
            <w:tcW w:w="416" w:type="pct"/>
            <w:tcBorders>
              <w:top w:val="nil"/>
              <w:left w:val="nil"/>
              <w:bottom w:val="single" w:sz="4" w:space="0" w:color="auto"/>
              <w:right w:val="single" w:sz="4" w:space="0" w:color="auto"/>
            </w:tcBorders>
            <w:shd w:val="clear" w:color="000000" w:fill="FFFFFF"/>
            <w:noWrap/>
            <w:vAlign w:val="bottom"/>
            <w:hideMark/>
          </w:tcPr>
          <w:p w14:paraId="72988A8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-0,65</w:t>
            </w:r>
          </w:p>
        </w:tc>
        <w:tc>
          <w:tcPr>
            <w:tcW w:w="416" w:type="pct"/>
            <w:tcBorders>
              <w:top w:val="nil"/>
              <w:left w:val="nil"/>
              <w:bottom w:val="single" w:sz="4" w:space="0" w:color="auto"/>
              <w:right w:val="single" w:sz="4" w:space="0" w:color="auto"/>
            </w:tcBorders>
            <w:shd w:val="clear" w:color="000000" w:fill="D8E4BC"/>
            <w:noWrap/>
            <w:vAlign w:val="bottom"/>
            <w:hideMark/>
          </w:tcPr>
          <w:p w14:paraId="61084B7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-0,93</w:t>
            </w:r>
          </w:p>
        </w:tc>
        <w:tc>
          <w:tcPr>
            <w:tcW w:w="416" w:type="pct"/>
            <w:tcBorders>
              <w:top w:val="nil"/>
              <w:left w:val="nil"/>
              <w:bottom w:val="single" w:sz="4" w:space="0" w:color="auto"/>
              <w:right w:val="single" w:sz="4" w:space="0" w:color="auto"/>
            </w:tcBorders>
            <w:shd w:val="clear" w:color="000000" w:fill="D8E4BC"/>
            <w:noWrap/>
            <w:vAlign w:val="bottom"/>
            <w:hideMark/>
          </w:tcPr>
          <w:p w14:paraId="1643109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-0,84</w:t>
            </w:r>
          </w:p>
        </w:tc>
        <w:tc>
          <w:tcPr>
            <w:tcW w:w="415" w:type="pct"/>
            <w:tcBorders>
              <w:top w:val="nil"/>
              <w:left w:val="nil"/>
              <w:bottom w:val="single" w:sz="4" w:space="0" w:color="auto"/>
              <w:right w:val="single" w:sz="4" w:space="0" w:color="auto"/>
            </w:tcBorders>
            <w:shd w:val="clear" w:color="000000" w:fill="D8E4BC"/>
            <w:noWrap/>
            <w:vAlign w:val="bottom"/>
            <w:hideMark/>
          </w:tcPr>
          <w:p w14:paraId="25DFF88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-0,46</w:t>
            </w:r>
          </w:p>
        </w:tc>
        <w:tc>
          <w:tcPr>
            <w:tcW w:w="415" w:type="pct"/>
            <w:tcBorders>
              <w:top w:val="nil"/>
              <w:left w:val="nil"/>
              <w:bottom w:val="single" w:sz="4" w:space="0" w:color="auto"/>
              <w:right w:val="single" w:sz="4" w:space="0" w:color="auto"/>
            </w:tcBorders>
            <w:shd w:val="clear" w:color="000000" w:fill="FFFFFF"/>
            <w:noWrap/>
            <w:vAlign w:val="bottom"/>
            <w:hideMark/>
          </w:tcPr>
          <w:p w14:paraId="1C4D0E3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0,41</w:t>
            </w:r>
          </w:p>
        </w:tc>
        <w:tc>
          <w:tcPr>
            <w:tcW w:w="415" w:type="pct"/>
            <w:tcBorders>
              <w:top w:val="nil"/>
              <w:left w:val="nil"/>
              <w:bottom w:val="single" w:sz="4" w:space="0" w:color="auto"/>
              <w:right w:val="single" w:sz="4" w:space="0" w:color="auto"/>
            </w:tcBorders>
            <w:shd w:val="clear" w:color="000000" w:fill="D8E4BC"/>
            <w:noWrap/>
            <w:vAlign w:val="bottom"/>
            <w:hideMark/>
          </w:tcPr>
          <w:p w14:paraId="5326DA9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-0,64</w:t>
            </w:r>
          </w:p>
        </w:tc>
        <w:tc>
          <w:tcPr>
            <w:tcW w:w="415" w:type="pct"/>
            <w:tcBorders>
              <w:top w:val="nil"/>
              <w:left w:val="nil"/>
              <w:bottom w:val="single" w:sz="4" w:space="0" w:color="auto"/>
              <w:right w:val="single" w:sz="4" w:space="0" w:color="auto"/>
            </w:tcBorders>
            <w:shd w:val="clear" w:color="000000" w:fill="D8E4BC"/>
            <w:noWrap/>
            <w:vAlign w:val="bottom"/>
            <w:hideMark/>
          </w:tcPr>
          <w:p w14:paraId="149C12A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-0,82</w:t>
            </w:r>
          </w:p>
        </w:tc>
        <w:tc>
          <w:tcPr>
            <w:tcW w:w="415" w:type="pct"/>
            <w:tcBorders>
              <w:top w:val="nil"/>
              <w:left w:val="nil"/>
              <w:bottom w:val="single" w:sz="4" w:space="0" w:color="auto"/>
              <w:right w:val="single" w:sz="4" w:space="0" w:color="auto"/>
            </w:tcBorders>
            <w:shd w:val="clear" w:color="000000" w:fill="D8E4BC"/>
            <w:noWrap/>
            <w:vAlign w:val="bottom"/>
            <w:hideMark/>
          </w:tcPr>
          <w:p w14:paraId="4284043B"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-1,27</w:t>
            </w:r>
          </w:p>
        </w:tc>
        <w:tc>
          <w:tcPr>
            <w:tcW w:w="413" w:type="pct"/>
            <w:tcBorders>
              <w:top w:val="nil"/>
              <w:left w:val="nil"/>
              <w:bottom w:val="single" w:sz="4" w:space="0" w:color="auto"/>
              <w:right w:val="single" w:sz="4" w:space="0" w:color="auto"/>
            </w:tcBorders>
            <w:shd w:val="clear" w:color="000000" w:fill="D8E4BC"/>
            <w:noWrap/>
            <w:vAlign w:val="bottom"/>
            <w:hideMark/>
          </w:tcPr>
          <w:p w14:paraId="5DA31F6D"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-1,25</w:t>
            </w:r>
          </w:p>
        </w:tc>
      </w:tr>
      <w:tr w:rsidR="00835FB7" w:rsidRPr="003F149C" w14:paraId="1857554D" w14:textId="77777777" w:rsidTr="00835FB7">
        <w:trPr>
          <w:trHeight w:val="315"/>
        </w:trPr>
        <w:tc>
          <w:tcPr>
            <w:tcW w:w="669" w:type="pct"/>
            <w:vMerge w:val="restart"/>
            <w:tcBorders>
              <w:top w:val="nil"/>
              <w:left w:val="single" w:sz="4" w:space="0" w:color="auto"/>
              <w:bottom w:val="single" w:sz="4" w:space="0" w:color="auto"/>
              <w:right w:val="single" w:sz="4" w:space="0" w:color="auto"/>
            </w:tcBorders>
            <w:shd w:val="clear" w:color="auto" w:fill="auto"/>
            <w:hideMark/>
          </w:tcPr>
          <w:p w14:paraId="61373B5D"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xml:space="preserve">Agegroup base: 1 </w:t>
            </w:r>
          </w:p>
        </w:tc>
        <w:tc>
          <w:tcPr>
            <w:tcW w:w="594" w:type="pct"/>
            <w:tcBorders>
              <w:top w:val="nil"/>
              <w:left w:val="nil"/>
              <w:bottom w:val="single" w:sz="4" w:space="0" w:color="auto"/>
              <w:right w:val="single" w:sz="4" w:space="0" w:color="auto"/>
            </w:tcBorders>
            <w:shd w:val="clear" w:color="auto" w:fill="auto"/>
            <w:noWrap/>
            <w:vAlign w:val="bottom"/>
            <w:hideMark/>
          </w:tcPr>
          <w:p w14:paraId="1EED3627"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Group 2</w:t>
            </w:r>
          </w:p>
        </w:tc>
        <w:tc>
          <w:tcPr>
            <w:tcW w:w="416" w:type="pct"/>
            <w:tcBorders>
              <w:top w:val="nil"/>
              <w:left w:val="nil"/>
              <w:bottom w:val="single" w:sz="4" w:space="0" w:color="auto"/>
              <w:right w:val="single" w:sz="4" w:space="0" w:color="auto"/>
            </w:tcBorders>
            <w:shd w:val="clear" w:color="000000" w:fill="D8E4BC"/>
            <w:noWrap/>
            <w:vAlign w:val="bottom"/>
            <w:hideMark/>
          </w:tcPr>
          <w:p w14:paraId="0D43481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-1,62</w:t>
            </w:r>
          </w:p>
        </w:tc>
        <w:tc>
          <w:tcPr>
            <w:tcW w:w="416" w:type="pct"/>
            <w:tcBorders>
              <w:top w:val="nil"/>
              <w:left w:val="nil"/>
              <w:bottom w:val="single" w:sz="4" w:space="0" w:color="auto"/>
              <w:right w:val="single" w:sz="4" w:space="0" w:color="auto"/>
            </w:tcBorders>
            <w:shd w:val="clear" w:color="000000" w:fill="FFFFFF"/>
            <w:noWrap/>
            <w:vAlign w:val="bottom"/>
            <w:hideMark/>
          </w:tcPr>
          <w:p w14:paraId="69307C1B"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0,00</w:t>
            </w:r>
          </w:p>
        </w:tc>
        <w:tc>
          <w:tcPr>
            <w:tcW w:w="416" w:type="pct"/>
            <w:tcBorders>
              <w:top w:val="nil"/>
              <w:left w:val="nil"/>
              <w:bottom w:val="single" w:sz="4" w:space="0" w:color="auto"/>
              <w:right w:val="single" w:sz="4" w:space="0" w:color="auto"/>
            </w:tcBorders>
            <w:shd w:val="clear" w:color="000000" w:fill="FFFFFF"/>
            <w:noWrap/>
            <w:vAlign w:val="bottom"/>
            <w:hideMark/>
          </w:tcPr>
          <w:p w14:paraId="0416000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-0,32</w:t>
            </w:r>
          </w:p>
        </w:tc>
        <w:tc>
          <w:tcPr>
            <w:tcW w:w="415" w:type="pct"/>
            <w:tcBorders>
              <w:top w:val="nil"/>
              <w:left w:val="nil"/>
              <w:bottom w:val="single" w:sz="4" w:space="0" w:color="auto"/>
              <w:right w:val="single" w:sz="4" w:space="0" w:color="auto"/>
            </w:tcBorders>
            <w:shd w:val="clear" w:color="auto" w:fill="auto"/>
            <w:noWrap/>
            <w:vAlign w:val="bottom"/>
            <w:hideMark/>
          </w:tcPr>
          <w:p w14:paraId="5B0C262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-0,18</w:t>
            </w:r>
          </w:p>
        </w:tc>
        <w:tc>
          <w:tcPr>
            <w:tcW w:w="415" w:type="pct"/>
            <w:tcBorders>
              <w:top w:val="nil"/>
              <w:left w:val="nil"/>
              <w:bottom w:val="single" w:sz="4" w:space="0" w:color="auto"/>
              <w:right w:val="single" w:sz="4" w:space="0" w:color="auto"/>
            </w:tcBorders>
            <w:shd w:val="clear" w:color="000000" w:fill="FFFFFF"/>
            <w:noWrap/>
            <w:vAlign w:val="bottom"/>
            <w:hideMark/>
          </w:tcPr>
          <w:p w14:paraId="7C20413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0,32</w:t>
            </w:r>
          </w:p>
        </w:tc>
        <w:tc>
          <w:tcPr>
            <w:tcW w:w="415" w:type="pct"/>
            <w:tcBorders>
              <w:top w:val="nil"/>
              <w:left w:val="nil"/>
              <w:bottom w:val="single" w:sz="4" w:space="0" w:color="auto"/>
              <w:right w:val="single" w:sz="4" w:space="0" w:color="auto"/>
            </w:tcBorders>
            <w:shd w:val="clear" w:color="auto" w:fill="auto"/>
            <w:noWrap/>
            <w:vAlign w:val="bottom"/>
            <w:hideMark/>
          </w:tcPr>
          <w:p w14:paraId="7C72CAC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-0,15</w:t>
            </w:r>
          </w:p>
        </w:tc>
        <w:tc>
          <w:tcPr>
            <w:tcW w:w="415" w:type="pct"/>
            <w:tcBorders>
              <w:top w:val="nil"/>
              <w:left w:val="nil"/>
              <w:bottom w:val="single" w:sz="4" w:space="0" w:color="auto"/>
              <w:right w:val="single" w:sz="4" w:space="0" w:color="auto"/>
            </w:tcBorders>
            <w:shd w:val="clear" w:color="auto" w:fill="auto"/>
            <w:noWrap/>
            <w:vAlign w:val="bottom"/>
            <w:hideMark/>
          </w:tcPr>
          <w:p w14:paraId="5AD9E81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-0,08</w:t>
            </w:r>
          </w:p>
        </w:tc>
        <w:tc>
          <w:tcPr>
            <w:tcW w:w="415" w:type="pct"/>
            <w:tcBorders>
              <w:top w:val="nil"/>
              <w:left w:val="nil"/>
              <w:bottom w:val="single" w:sz="4" w:space="0" w:color="auto"/>
              <w:right w:val="single" w:sz="4" w:space="0" w:color="auto"/>
            </w:tcBorders>
            <w:shd w:val="clear" w:color="000000" w:fill="95B3D7"/>
            <w:noWrap/>
            <w:vAlign w:val="bottom"/>
            <w:hideMark/>
          </w:tcPr>
          <w:p w14:paraId="74A8C1CB"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-0,63</w:t>
            </w:r>
          </w:p>
        </w:tc>
        <w:tc>
          <w:tcPr>
            <w:tcW w:w="413" w:type="pct"/>
            <w:tcBorders>
              <w:top w:val="nil"/>
              <w:left w:val="nil"/>
              <w:bottom w:val="single" w:sz="4" w:space="0" w:color="auto"/>
              <w:right w:val="single" w:sz="4" w:space="0" w:color="auto"/>
            </w:tcBorders>
            <w:shd w:val="clear" w:color="auto" w:fill="auto"/>
            <w:noWrap/>
            <w:vAlign w:val="bottom"/>
            <w:hideMark/>
          </w:tcPr>
          <w:p w14:paraId="091F7EFD"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-0,00</w:t>
            </w:r>
          </w:p>
        </w:tc>
      </w:tr>
      <w:tr w:rsidR="00835FB7" w:rsidRPr="003F149C" w14:paraId="2A081197" w14:textId="77777777" w:rsidTr="00835FB7">
        <w:trPr>
          <w:trHeight w:val="300"/>
        </w:trPr>
        <w:tc>
          <w:tcPr>
            <w:tcW w:w="669" w:type="pct"/>
            <w:vMerge/>
            <w:tcBorders>
              <w:top w:val="nil"/>
              <w:left w:val="single" w:sz="4" w:space="0" w:color="auto"/>
              <w:bottom w:val="single" w:sz="4" w:space="0" w:color="auto"/>
              <w:right w:val="single" w:sz="4" w:space="0" w:color="auto"/>
            </w:tcBorders>
            <w:vAlign w:val="center"/>
            <w:hideMark/>
          </w:tcPr>
          <w:p w14:paraId="697036F3" w14:textId="77777777" w:rsidR="00835FB7" w:rsidRPr="003F149C" w:rsidRDefault="00835FB7" w:rsidP="00835FB7">
            <w:pPr>
              <w:spacing w:after="0" w:line="240" w:lineRule="auto"/>
              <w:rPr>
                <w:rFonts w:eastAsia="Times New Roman" w:cs="Calibri"/>
                <w:color w:val="000000"/>
                <w:lang w:eastAsia="nl-NL"/>
              </w:rPr>
            </w:pPr>
          </w:p>
        </w:tc>
        <w:tc>
          <w:tcPr>
            <w:tcW w:w="594" w:type="pct"/>
            <w:tcBorders>
              <w:top w:val="nil"/>
              <w:left w:val="nil"/>
              <w:bottom w:val="single" w:sz="4" w:space="0" w:color="auto"/>
              <w:right w:val="single" w:sz="4" w:space="0" w:color="auto"/>
            </w:tcBorders>
            <w:shd w:val="clear" w:color="auto" w:fill="auto"/>
            <w:noWrap/>
            <w:vAlign w:val="bottom"/>
            <w:hideMark/>
          </w:tcPr>
          <w:p w14:paraId="10F8E92A"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Group 3</w:t>
            </w:r>
          </w:p>
        </w:tc>
        <w:tc>
          <w:tcPr>
            <w:tcW w:w="416" w:type="pct"/>
            <w:tcBorders>
              <w:top w:val="nil"/>
              <w:left w:val="nil"/>
              <w:bottom w:val="single" w:sz="4" w:space="0" w:color="auto"/>
              <w:right w:val="single" w:sz="4" w:space="0" w:color="auto"/>
            </w:tcBorders>
            <w:shd w:val="clear" w:color="000000" w:fill="D8E4BC"/>
            <w:noWrap/>
            <w:vAlign w:val="bottom"/>
            <w:hideMark/>
          </w:tcPr>
          <w:p w14:paraId="38159E6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-3,14</w:t>
            </w:r>
          </w:p>
        </w:tc>
        <w:tc>
          <w:tcPr>
            <w:tcW w:w="416" w:type="pct"/>
            <w:tcBorders>
              <w:top w:val="nil"/>
              <w:left w:val="nil"/>
              <w:bottom w:val="single" w:sz="4" w:space="0" w:color="auto"/>
              <w:right w:val="single" w:sz="4" w:space="0" w:color="auto"/>
            </w:tcBorders>
            <w:shd w:val="clear" w:color="000000" w:fill="FFFFFF"/>
            <w:noWrap/>
            <w:vAlign w:val="bottom"/>
            <w:hideMark/>
          </w:tcPr>
          <w:p w14:paraId="306B1E2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-0,48</w:t>
            </w:r>
          </w:p>
        </w:tc>
        <w:tc>
          <w:tcPr>
            <w:tcW w:w="416" w:type="pct"/>
            <w:tcBorders>
              <w:top w:val="nil"/>
              <w:left w:val="nil"/>
              <w:bottom w:val="single" w:sz="4" w:space="0" w:color="auto"/>
              <w:right w:val="single" w:sz="4" w:space="0" w:color="auto"/>
            </w:tcBorders>
            <w:shd w:val="clear" w:color="000000" w:fill="D8E4BC"/>
            <w:noWrap/>
            <w:vAlign w:val="bottom"/>
            <w:hideMark/>
          </w:tcPr>
          <w:p w14:paraId="1870894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-1,24</w:t>
            </w:r>
          </w:p>
        </w:tc>
        <w:tc>
          <w:tcPr>
            <w:tcW w:w="415" w:type="pct"/>
            <w:tcBorders>
              <w:top w:val="nil"/>
              <w:left w:val="nil"/>
              <w:bottom w:val="single" w:sz="4" w:space="0" w:color="auto"/>
              <w:right w:val="single" w:sz="4" w:space="0" w:color="auto"/>
            </w:tcBorders>
            <w:shd w:val="clear" w:color="000000" w:fill="D8E4BC"/>
            <w:noWrap/>
            <w:vAlign w:val="bottom"/>
            <w:hideMark/>
          </w:tcPr>
          <w:p w14:paraId="304E0FE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-1,24</w:t>
            </w:r>
          </w:p>
        </w:tc>
        <w:tc>
          <w:tcPr>
            <w:tcW w:w="415" w:type="pct"/>
            <w:tcBorders>
              <w:top w:val="nil"/>
              <w:left w:val="nil"/>
              <w:bottom w:val="single" w:sz="4" w:space="0" w:color="auto"/>
              <w:right w:val="single" w:sz="4" w:space="0" w:color="auto"/>
            </w:tcBorders>
            <w:shd w:val="clear" w:color="000000" w:fill="D8E4BC"/>
            <w:noWrap/>
            <w:vAlign w:val="bottom"/>
            <w:hideMark/>
          </w:tcPr>
          <w:p w14:paraId="3DC3E3F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-0,96</w:t>
            </w:r>
          </w:p>
        </w:tc>
        <w:tc>
          <w:tcPr>
            <w:tcW w:w="415" w:type="pct"/>
            <w:tcBorders>
              <w:top w:val="nil"/>
              <w:left w:val="nil"/>
              <w:bottom w:val="single" w:sz="4" w:space="0" w:color="auto"/>
              <w:right w:val="single" w:sz="4" w:space="0" w:color="auto"/>
            </w:tcBorders>
            <w:shd w:val="clear" w:color="auto" w:fill="auto"/>
            <w:noWrap/>
            <w:vAlign w:val="bottom"/>
            <w:hideMark/>
          </w:tcPr>
          <w:p w14:paraId="1F0E0BB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-0,70</w:t>
            </w:r>
          </w:p>
        </w:tc>
        <w:tc>
          <w:tcPr>
            <w:tcW w:w="415" w:type="pct"/>
            <w:tcBorders>
              <w:top w:val="nil"/>
              <w:left w:val="nil"/>
              <w:bottom w:val="single" w:sz="4" w:space="0" w:color="auto"/>
              <w:right w:val="single" w:sz="4" w:space="0" w:color="auto"/>
            </w:tcBorders>
            <w:shd w:val="clear" w:color="000000" w:fill="D8E4BC"/>
            <w:noWrap/>
            <w:vAlign w:val="bottom"/>
            <w:hideMark/>
          </w:tcPr>
          <w:p w14:paraId="78E37AA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-0,93</w:t>
            </w:r>
          </w:p>
        </w:tc>
        <w:tc>
          <w:tcPr>
            <w:tcW w:w="415" w:type="pct"/>
            <w:tcBorders>
              <w:top w:val="nil"/>
              <w:left w:val="nil"/>
              <w:bottom w:val="single" w:sz="4" w:space="0" w:color="auto"/>
              <w:right w:val="single" w:sz="4" w:space="0" w:color="auto"/>
            </w:tcBorders>
            <w:shd w:val="clear" w:color="000000" w:fill="D8E4BC"/>
            <w:noWrap/>
            <w:vAlign w:val="bottom"/>
            <w:hideMark/>
          </w:tcPr>
          <w:p w14:paraId="49E4AA49"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-1,36</w:t>
            </w:r>
          </w:p>
        </w:tc>
        <w:tc>
          <w:tcPr>
            <w:tcW w:w="413" w:type="pct"/>
            <w:tcBorders>
              <w:top w:val="nil"/>
              <w:left w:val="nil"/>
              <w:bottom w:val="single" w:sz="4" w:space="0" w:color="auto"/>
              <w:right w:val="single" w:sz="4" w:space="0" w:color="auto"/>
            </w:tcBorders>
            <w:shd w:val="clear" w:color="auto" w:fill="auto"/>
            <w:noWrap/>
            <w:vAlign w:val="bottom"/>
            <w:hideMark/>
          </w:tcPr>
          <w:p w14:paraId="6465A21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0,14</w:t>
            </w:r>
          </w:p>
        </w:tc>
      </w:tr>
      <w:tr w:rsidR="00835FB7" w:rsidRPr="003F149C" w14:paraId="0373372C" w14:textId="77777777" w:rsidTr="00835FB7">
        <w:trPr>
          <w:trHeight w:val="300"/>
        </w:trPr>
        <w:tc>
          <w:tcPr>
            <w:tcW w:w="669" w:type="pct"/>
            <w:vMerge w:val="restart"/>
            <w:tcBorders>
              <w:top w:val="nil"/>
              <w:left w:val="single" w:sz="4" w:space="0" w:color="auto"/>
              <w:bottom w:val="single" w:sz="4" w:space="0" w:color="auto"/>
              <w:right w:val="single" w:sz="4" w:space="0" w:color="auto"/>
            </w:tcBorders>
            <w:shd w:val="clear" w:color="auto" w:fill="auto"/>
            <w:hideMark/>
          </w:tcPr>
          <w:p w14:paraId="1297A167"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ISCED base: Low</w:t>
            </w:r>
          </w:p>
        </w:tc>
        <w:tc>
          <w:tcPr>
            <w:tcW w:w="594" w:type="pct"/>
            <w:tcBorders>
              <w:top w:val="nil"/>
              <w:left w:val="nil"/>
              <w:bottom w:val="single" w:sz="4" w:space="0" w:color="auto"/>
              <w:right w:val="single" w:sz="4" w:space="0" w:color="auto"/>
            </w:tcBorders>
            <w:shd w:val="clear" w:color="auto" w:fill="auto"/>
            <w:noWrap/>
            <w:vAlign w:val="bottom"/>
            <w:hideMark/>
          </w:tcPr>
          <w:p w14:paraId="5E17B433"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Mid</w:t>
            </w:r>
          </w:p>
        </w:tc>
        <w:tc>
          <w:tcPr>
            <w:tcW w:w="416" w:type="pct"/>
            <w:tcBorders>
              <w:top w:val="nil"/>
              <w:left w:val="nil"/>
              <w:bottom w:val="single" w:sz="4" w:space="0" w:color="auto"/>
              <w:right w:val="single" w:sz="4" w:space="0" w:color="auto"/>
            </w:tcBorders>
            <w:shd w:val="clear" w:color="000000" w:fill="FFFFFF"/>
            <w:noWrap/>
            <w:vAlign w:val="bottom"/>
            <w:hideMark/>
          </w:tcPr>
          <w:p w14:paraId="4E68E2D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-0,54</w:t>
            </w:r>
          </w:p>
        </w:tc>
        <w:tc>
          <w:tcPr>
            <w:tcW w:w="416" w:type="pct"/>
            <w:tcBorders>
              <w:top w:val="nil"/>
              <w:left w:val="nil"/>
              <w:bottom w:val="single" w:sz="4" w:space="0" w:color="auto"/>
              <w:right w:val="single" w:sz="4" w:space="0" w:color="auto"/>
            </w:tcBorders>
            <w:shd w:val="clear" w:color="000000" w:fill="FFFFFF"/>
            <w:noWrap/>
            <w:vAlign w:val="bottom"/>
            <w:hideMark/>
          </w:tcPr>
          <w:p w14:paraId="28D2410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-0,33</w:t>
            </w:r>
          </w:p>
        </w:tc>
        <w:tc>
          <w:tcPr>
            <w:tcW w:w="416" w:type="pct"/>
            <w:tcBorders>
              <w:top w:val="nil"/>
              <w:left w:val="nil"/>
              <w:bottom w:val="single" w:sz="4" w:space="0" w:color="auto"/>
              <w:right w:val="single" w:sz="4" w:space="0" w:color="auto"/>
            </w:tcBorders>
            <w:shd w:val="clear" w:color="000000" w:fill="FFFFFF"/>
            <w:noWrap/>
            <w:vAlign w:val="bottom"/>
            <w:hideMark/>
          </w:tcPr>
          <w:p w14:paraId="25162A0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-0,31</w:t>
            </w:r>
          </w:p>
        </w:tc>
        <w:tc>
          <w:tcPr>
            <w:tcW w:w="415" w:type="pct"/>
            <w:tcBorders>
              <w:top w:val="nil"/>
              <w:left w:val="nil"/>
              <w:bottom w:val="single" w:sz="4" w:space="0" w:color="auto"/>
              <w:right w:val="single" w:sz="4" w:space="0" w:color="auto"/>
            </w:tcBorders>
            <w:shd w:val="clear" w:color="000000" w:fill="FFFFFF"/>
            <w:noWrap/>
            <w:vAlign w:val="bottom"/>
            <w:hideMark/>
          </w:tcPr>
          <w:p w14:paraId="5E56F8A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-0,20</w:t>
            </w:r>
          </w:p>
        </w:tc>
        <w:tc>
          <w:tcPr>
            <w:tcW w:w="415" w:type="pct"/>
            <w:tcBorders>
              <w:top w:val="nil"/>
              <w:left w:val="nil"/>
              <w:bottom w:val="single" w:sz="4" w:space="0" w:color="auto"/>
              <w:right w:val="single" w:sz="4" w:space="0" w:color="auto"/>
            </w:tcBorders>
            <w:shd w:val="clear" w:color="000000" w:fill="95B3D7"/>
            <w:noWrap/>
            <w:vAlign w:val="bottom"/>
            <w:hideMark/>
          </w:tcPr>
          <w:p w14:paraId="498DFBA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-0,95</w:t>
            </w:r>
          </w:p>
        </w:tc>
        <w:tc>
          <w:tcPr>
            <w:tcW w:w="415" w:type="pct"/>
            <w:tcBorders>
              <w:top w:val="nil"/>
              <w:left w:val="nil"/>
              <w:bottom w:val="single" w:sz="4" w:space="0" w:color="auto"/>
              <w:right w:val="single" w:sz="4" w:space="0" w:color="auto"/>
            </w:tcBorders>
            <w:shd w:val="clear" w:color="000000" w:fill="D8E4BC"/>
            <w:noWrap/>
            <w:vAlign w:val="bottom"/>
            <w:hideMark/>
          </w:tcPr>
          <w:p w14:paraId="66FC1F7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-0,89</w:t>
            </w:r>
          </w:p>
        </w:tc>
        <w:tc>
          <w:tcPr>
            <w:tcW w:w="415" w:type="pct"/>
            <w:tcBorders>
              <w:top w:val="nil"/>
              <w:left w:val="nil"/>
              <w:bottom w:val="single" w:sz="4" w:space="0" w:color="auto"/>
              <w:right w:val="single" w:sz="4" w:space="0" w:color="auto"/>
            </w:tcBorders>
            <w:shd w:val="clear" w:color="000000" w:fill="FFFFFF"/>
            <w:noWrap/>
            <w:vAlign w:val="bottom"/>
            <w:hideMark/>
          </w:tcPr>
          <w:p w14:paraId="71500459"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-0,03</w:t>
            </w:r>
          </w:p>
        </w:tc>
        <w:tc>
          <w:tcPr>
            <w:tcW w:w="415" w:type="pct"/>
            <w:tcBorders>
              <w:top w:val="nil"/>
              <w:left w:val="nil"/>
              <w:bottom w:val="single" w:sz="4" w:space="0" w:color="auto"/>
              <w:right w:val="single" w:sz="4" w:space="0" w:color="auto"/>
            </w:tcBorders>
            <w:shd w:val="clear" w:color="000000" w:fill="FFFFFF"/>
            <w:noWrap/>
            <w:vAlign w:val="bottom"/>
            <w:hideMark/>
          </w:tcPr>
          <w:p w14:paraId="25C3CEA8"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-0,31</w:t>
            </w:r>
          </w:p>
        </w:tc>
        <w:tc>
          <w:tcPr>
            <w:tcW w:w="413" w:type="pct"/>
            <w:tcBorders>
              <w:top w:val="nil"/>
              <w:left w:val="nil"/>
              <w:bottom w:val="single" w:sz="4" w:space="0" w:color="auto"/>
              <w:right w:val="single" w:sz="4" w:space="0" w:color="auto"/>
            </w:tcBorders>
            <w:shd w:val="clear" w:color="000000" w:fill="FFFFFF"/>
            <w:noWrap/>
            <w:vAlign w:val="bottom"/>
            <w:hideMark/>
          </w:tcPr>
          <w:p w14:paraId="63DBD47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-0,28</w:t>
            </w:r>
          </w:p>
        </w:tc>
      </w:tr>
      <w:tr w:rsidR="00835FB7" w:rsidRPr="003F149C" w14:paraId="7C841193" w14:textId="77777777" w:rsidTr="00835FB7">
        <w:trPr>
          <w:trHeight w:val="315"/>
        </w:trPr>
        <w:tc>
          <w:tcPr>
            <w:tcW w:w="669" w:type="pct"/>
            <w:vMerge/>
            <w:tcBorders>
              <w:top w:val="nil"/>
              <w:left w:val="single" w:sz="4" w:space="0" w:color="auto"/>
              <w:bottom w:val="single" w:sz="4" w:space="0" w:color="auto"/>
              <w:right w:val="single" w:sz="4" w:space="0" w:color="auto"/>
            </w:tcBorders>
            <w:vAlign w:val="center"/>
            <w:hideMark/>
          </w:tcPr>
          <w:p w14:paraId="76184735" w14:textId="77777777" w:rsidR="00835FB7" w:rsidRPr="003F149C" w:rsidRDefault="00835FB7" w:rsidP="00835FB7">
            <w:pPr>
              <w:spacing w:after="0" w:line="240" w:lineRule="auto"/>
              <w:rPr>
                <w:rFonts w:eastAsia="Times New Roman" w:cs="Calibri"/>
                <w:color w:val="000000"/>
                <w:lang w:eastAsia="nl-NL"/>
              </w:rPr>
            </w:pPr>
          </w:p>
        </w:tc>
        <w:tc>
          <w:tcPr>
            <w:tcW w:w="594" w:type="pct"/>
            <w:tcBorders>
              <w:top w:val="nil"/>
              <w:left w:val="nil"/>
              <w:bottom w:val="single" w:sz="4" w:space="0" w:color="auto"/>
              <w:right w:val="single" w:sz="4" w:space="0" w:color="auto"/>
            </w:tcBorders>
            <w:shd w:val="clear" w:color="auto" w:fill="auto"/>
            <w:noWrap/>
            <w:vAlign w:val="bottom"/>
            <w:hideMark/>
          </w:tcPr>
          <w:p w14:paraId="1C70AD40"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High</w:t>
            </w:r>
          </w:p>
        </w:tc>
        <w:tc>
          <w:tcPr>
            <w:tcW w:w="416" w:type="pct"/>
            <w:tcBorders>
              <w:top w:val="nil"/>
              <w:left w:val="nil"/>
              <w:bottom w:val="single" w:sz="4" w:space="0" w:color="auto"/>
              <w:right w:val="single" w:sz="4" w:space="0" w:color="auto"/>
            </w:tcBorders>
            <w:shd w:val="clear" w:color="000000" w:fill="FFFFFF"/>
            <w:noWrap/>
            <w:vAlign w:val="bottom"/>
            <w:hideMark/>
          </w:tcPr>
          <w:p w14:paraId="29B3206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-0,57</w:t>
            </w:r>
          </w:p>
        </w:tc>
        <w:tc>
          <w:tcPr>
            <w:tcW w:w="416" w:type="pct"/>
            <w:tcBorders>
              <w:top w:val="nil"/>
              <w:left w:val="nil"/>
              <w:bottom w:val="single" w:sz="4" w:space="0" w:color="auto"/>
              <w:right w:val="single" w:sz="4" w:space="0" w:color="auto"/>
            </w:tcBorders>
            <w:shd w:val="clear" w:color="000000" w:fill="D8E4BC"/>
            <w:noWrap/>
            <w:vAlign w:val="bottom"/>
            <w:hideMark/>
          </w:tcPr>
          <w:p w14:paraId="57EFEDE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-1,30</w:t>
            </w:r>
          </w:p>
        </w:tc>
        <w:tc>
          <w:tcPr>
            <w:tcW w:w="416" w:type="pct"/>
            <w:tcBorders>
              <w:top w:val="nil"/>
              <w:left w:val="nil"/>
              <w:bottom w:val="single" w:sz="4" w:space="0" w:color="auto"/>
              <w:right w:val="single" w:sz="4" w:space="0" w:color="auto"/>
            </w:tcBorders>
            <w:shd w:val="clear" w:color="000000" w:fill="D8E4BC"/>
            <w:noWrap/>
            <w:vAlign w:val="bottom"/>
            <w:hideMark/>
          </w:tcPr>
          <w:p w14:paraId="2A87B8B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-1,42</w:t>
            </w:r>
          </w:p>
        </w:tc>
        <w:tc>
          <w:tcPr>
            <w:tcW w:w="415" w:type="pct"/>
            <w:tcBorders>
              <w:top w:val="nil"/>
              <w:left w:val="nil"/>
              <w:bottom w:val="single" w:sz="4" w:space="0" w:color="auto"/>
              <w:right w:val="single" w:sz="4" w:space="0" w:color="auto"/>
            </w:tcBorders>
            <w:shd w:val="clear" w:color="000000" w:fill="D8E4BC"/>
            <w:noWrap/>
            <w:vAlign w:val="bottom"/>
            <w:hideMark/>
          </w:tcPr>
          <w:p w14:paraId="33C6755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-1,04</w:t>
            </w:r>
          </w:p>
        </w:tc>
        <w:tc>
          <w:tcPr>
            <w:tcW w:w="415" w:type="pct"/>
            <w:tcBorders>
              <w:top w:val="nil"/>
              <w:left w:val="nil"/>
              <w:bottom w:val="single" w:sz="4" w:space="0" w:color="auto"/>
              <w:right w:val="single" w:sz="4" w:space="0" w:color="auto"/>
            </w:tcBorders>
            <w:shd w:val="clear" w:color="000000" w:fill="FFFFFF"/>
            <w:noWrap/>
            <w:vAlign w:val="bottom"/>
            <w:hideMark/>
          </w:tcPr>
          <w:p w14:paraId="5F8F4B5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0,32</w:t>
            </w:r>
          </w:p>
        </w:tc>
        <w:tc>
          <w:tcPr>
            <w:tcW w:w="415" w:type="pct"/>
            <w:tcBorders>
              <w:top w:val="nil"/>
              <w:left w:val="nil"/>
              <w:bottom w:val="single" w:sz="4" w:space="0" w:color="auto"/>
              <w:right w:val="single" w:sz="4" w:space="0" w:color="auto"/>
            </w:tcBorders>
            <w:shd w:val="clear" w:color="000000" w:fill="D8E4BC"/>
            <w:noWrap/>
            <w:vAlign w:val="bottom"/>
            <w:hideMark/>
          </w:tcPr>
          <w:p w14:paraId="1749205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-0,90</w:t>
            </w:r>
          </w:p>
        </w:tc>
        <w:tc>
          <w:tcPr>
            <w:tcW w:w="415" w:type="pct"/>
            <w:tcBorders>
              <w:top w:val="nil"/>
              <w:left w:val="nil"/>
              <w:bottom w:val="single" w:sz="4" w:space="0" w:color="auto"/>
              <w:right w:val="single" w:sz="4" w:space="0" w:color="auto"/>
            </w:tcBorders>
            <w:shd w:val="clear" w:color="000000" w:fill="FFFFFF"/>
            <w:noWrap/>
            <w:vAlign w:val="bottom"/>
            <w:hideMark/>
          </w:tcPr>
          <w:p w14:paraId="6B699E9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-0,13</w:t>
            </w:r>
          </w:p>
        </w:tc>
        <w:tc>
          <w:tcPr>
            <w:tcW w:w="415" w:type="pct"/>
            <w:tcBorders>
              <w:top w:val="nil"/>
              <w:left w:val="nil"/>
              <w:bottom w:val="single" w:sz="4" w:space="0" w:color="auto"/>
              <w:right w:val="single" w:sz="4" w:space="0" w:color="auto"/>
            </w:tcBorders>
            <w:shd w:val="clear" w:color="000000" w:fill="D8E4BC"/>
            <w:noWrap/>
            <w:vAlign w:val="bottom"/>
            <w:hideMark/>
          </w:tcPr>
          <w:p w14:paraId="4DF6C90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-1,39</w:t>
            </w:r>
          </w:p>
        </w:tc>
        <w:tc>
          <w:tcPr>
            <w:tcW w:w="413" w:type="pct"/>
            <w:tcBorders>
              <w:top w:val="nil"/>
              <w:left w:val="nil"/>
              <w:bottom w:val="single" w:sz="4" w:space="0" w:color="auto"/>
              <w:right w:val="single" w:sz="4" w:space="0" w:color="auto"/>
            </w:tcBorders>
            <w:shd w:val="clear" w:color="000000" w:fill="D8E4BC"/>
            <w:noWrap/>
            <w:vAlign w:val="bottom"/>
            <w:hideMark/>
          </w:tcPr>
          <w:p w14:paraId="0F8BAD4D"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-1,48</w:t>
            </w:r>
          </w:p>
        </w:tc>
      </w:tr>
      <w:tr w:rsidR="00835FB7" w:rsidRPr="003F149C" w14:paraId="50F45716" w14:textId="77777777" w:rsidTr="00835FB7">
        <w:trPr>
          <w:trHeight w:val="270"/>
        </w:trPr>
        <w:tc>
          <w:tcPr>
            <w:tcW w:w="669" w:type="pct"/>
            <w:tcBorders>
              <w:top w:val="nil"/>
              <w:left w:val="single" w:sz="4" w:space="0" w:color="auto"/>
              <w:bottom w:val="single" w:sz="4" w:space="0" w:color="auto"/>
              <w:right w:val="single" w:sz="4" w:space="0" w:color="auto"/>
            </w:tcBorders>
            <w:shd w:val="clear" w:color="000000" w:fill="FFFFFF"/>
            <w:vAlign w:val="bottom"/>
            <w:hideMark/>
          </w:tcPr>
          <w:p w14:paraId="71A333DA"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Active</w:t>
            </w:r>
          </w:p>
        </w:tc>
        <w:tc>
          <w:tcPr>
            <w:tcW w:w="594" w:type="pct"/>
            <w:tcBorders>
              <w:top w:val="nil"/>
              <w:left w:val="nil"/>
              <w:bottom w:val="single" w:sz="4" w:space="0" w:color="auto"/>
              <w:right w:val="single" w:sz="4" w:space="0" w:color="auto"/>
            </w:tcBorders>
            <w:shd w:val="clear" w:color="000000" w:fill="FFFFFF"/>
            <w:noWrap/>
            <w:vAlign w:val="bottom"/>
            <w:hideMark/>
          </w:tcPr>
          <w:p w14:paraId="1D09315A"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Weekly</w:t>
            </w:r>
          </w:p>
        </w:tc>
        <w:tc>
          <w:tcPr>
            <w:tcW w:w="416" w:type="pct"/>
            <w:tcBorders>
              <w:top w:val="nil"/>
              <w:left w:val="nil"/>
              <w:bottom w:val="single" w:sz="4" w:space="0" w:color="auto"/>
              <w:right w:val="single" w:sz="4" w:space="0" w:color="auto"/>
            </w:tcBorders>
            <w:shd w:val="clear" w:color="000000" w:fill="D8E4BC"/>
            <w:noWrap/>
            <w:vAlign w:val="bottom"/>
            <w:hideMark/>
          </w:tcPr>
          <w:p w14:paraId="04B7069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-1,33</w:t>
            </w:r>
          </w:p>
        </w:tc>
        <w:tc>
          <w:tcPr>
            <w:tcW w:w="416" w:type="pct"/>
            <w:tcBorders>
              <w:top w:val="nil"/>
              <w:left w:val="nil"/>
              <w:bottom w:val="single" w:sz="4" w:space="0" w:color="auto"/>
              <w:right w:val="single" w:sz="4" w:space="0" w:color="auto"/>
            </w:tcBorders>
            <w:shd w:val="clear" w:color="000000" w:fill="D8E4BC"/>
            <w:noWrap/>
            <w:vAlign w:val="bottom"/>
            <w:hideMark/>
          </w:tcPr>
          <w:p w14:paraId="7C85825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-0,95</w:t>
            </w:r>
          </w:p>
        </w:tc>
        <w:tc>
          <w:tcPr>
            <w:tcW w:w="416" w:type="pct"/>
            <w:tcBorders>
              <w:top w:val="nil"/>
              <w:left w:val="nil"/>
              <w:bottom w:val="single" w:sz="4" w:space="0" w:color="auto"/>
              <w:right w:val="single" w:sz="4" w:space="0" w:color="auto"/>
            </w:tcBorders>
            <w:shd w:val="clear" w:color="000000" w:fill="D8E4BC"/>
            <w:noWrap/>
            <w:vAlign w:val="bottom"/>
            <w:hideMark/>
          </w:tcPr>
          <w:p w14:paraId="28E6EEA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-0,50</w:t>
            </w:r>
          </w:p>
        </w:tc>
        <w:tc>
          <w:tcPr>
            <w:tcW w:w="415" w:type="pct"/>
            <w:tcBorders>
              <w:top w:val="nil"/>
              <w:left w:val="nil"/>
              <w:bottom w:val="single" w:sz="4" w:space="0" w:color="auto"/>
              <w:right w:val="single" w:sz="4" w:space="0" w:color="auto"/>
            </w:tcBorders>
            <w:shd w:val="clear" w:color="000000" w:fill="D8E4BC"/>
            <w:noWrap/>
            <w:vAlign w:val="bottom"/>
            <w:hideMark/>
          </w:tcPr>
          <w:p w14:paraId="3E5E071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-0,79</w:t>
            </w:r>
          </w:p>
        </w:tc>
        <w:tc>
          <w:tcPr>
            <w:tcW w:w="415" w:type="pct"/>
            <w:tcBorders>
              <w:top w:val="nil"/>
              <w:left w:val="nil"/>
              <w:bottom w:val="single" w:sz="4" w:space="0" w:color="auto"/>
              <w:right w:val="single" w:sz="4" w:space="0" w:color="auto"/>
            </w:tcBorders>
            <w:shd w:val="clear" w:color="000000" w:fill="D8E4BC"/>
            <w:noWrap/>
            <w:vAlign w:val="bottom"/>
            <w:hideMark/>
          </w:tcPr>
          <w:p w14:paraId="384293F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-1,06</w:t>
            </w:r>
          </w:p>
        </w:tc>
        <w:tc>
          <w:tcPr>
            <w:tcW w:w="415" w:type="pct"/>
            <w:tcBorders>
              <w:top w:val="nil"/>
              <w:left w:val="nil"/>
              <w:bottom w:val="single" w:sz="4" w:space="0" w:color="auto"/>
              <w:right w:val="single" w:sz="4" w:space="0" w:color="auto"/>
            </w:tcBorders>
            <w:shd w:val="clear" w:color="000000" w:fill="D8E4BC"/>
            <w:noWrap/>
            <w:vAlign w:val="bottom"/>
            <w:hideMark/>
          </w:tcPr>
          <w:p w14:paraId="6D33FED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-0,55</w:t>
            </w:r>
          </w:p>
        </w:tc>
        <w:tc>
          <w:tcPr>
            <w:tcW w:w="415" w:type="pct"/>
            <w:tcBorders>
              <w:top w:val="nil"/>
              <w:left w:val="nil"/>
              <w:bottom w:val="single" w:sz="4" w:space="0" w:color="auto"/>
              <w:right w:val="single" w:sz="4" w:space="0" w:color="auto"/>
            </w:tcBorders>
            <w:shd w:val="clear" w:color="000000" w:fill="D8E4BC"/>
            <w:noWrap/>
            <w:vAlign w:val="bottom"/>
            <w:hideMark/>
          </w:tcPr>
          <w:p w14:paraId="7EC46534"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-0,84</w:t>
            </w:r>
          </w:p>
        </w:tc>
        <w:tc>
          <w:tcPr>
            <w:tcW w:w="415" w:type="pct"/>
            <w:tcBorders>
              <w:top w:val="nil"/>
              <w:left w:val="nil"/>
              <w:bottom w:val="single" w:sz="4" w:space="0" w:color="auto"/>
              <w:right w:val="single" w:sz="4" w:space="0" w:color="auto"/>
            </w:tcBorders>
            <w:shd w:val="clear" w:color="000000" w:fill="FFFFFF"/>
            <w:noWrap/>
            <w:vAlign w:val="bottom"/>
            <w:hideMark/>
          </w:tcPr>
          <w:p w14:paraId="4F6B79B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-0,46</w:t>
            </w:r>
          </w:p>
        </w:tc>
        <w:tc>
          <w:tcPr>
            <w:tcW w:w="413" w:type="pct"/>
            <w:tcBorders>
              <w:top w:val="nil"/>
              <w:left w:val="nil"/>
              <w:bottom w:val="single" w:sz="4" w:space="0" w:color="auto"/>
              <w:right w:val="single" w:sz="4" w:space="0" w:color="auto"/>
            </w:tcBorders>
            <w:shd w:val="clear" w:color="000000" w:fill="FFFFFF"/>
            <w:noWrap/>
            <w:vAlign w:val="bottom"/>
            <w:hideMark/>
          </w:tcPr>
          <w:p w14:paraId="69287A9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0,09</w:t>
            </w:r>
          </w:p>
        </w:tc>
      </w:tr>
      <w:tr w:rsidR="00835FB7" w:rsidRPr="003F149C" w14:paraId="312ACC30" w14:textId="77777777" w:rsidTr="00835FB7">
        <w:trPr>
          <w:trHeight w:val="315"/>
        </w:trPr>
        <w:tc>
          <w:tcPr>
            <w:tcW w:w="669" w:type="pct"/>
            <w:tcBorders>
              <w:top w:val="nil"/>
              <w:left w:val="single" w:sz="4" w:space="0" w:color="auto"/>
              <w:bottom w:val="single" w:sz="4" w:space="0" w:color="auto"/>
              <w:right w:val="single" w:sz="4" w:space="0" w:color="auto"/>
            </w:tcBorders>
            <w:shd w:val="clear" w:color="000000" w:fill="FFFFFF"/>
            <w:vAlign w:val="bottom"/>
            <w:hideMark/>
          </w:tcPr>
          <w:p w14:paraId="48BDCB79"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Income</w:t>
            </w:r>
          </w:p>
        </w:tc>
        <w:tc>
          <w:tcPr>
            <w:tcW w:w="594" w:type="pct"/>
            <w:tcBorders>
              <w:top w:val="nil"/>
              <w:left w:val="nil"/>
              <w:bottom w:val="single" w:sz="4" w:space="0" w:color="auto"/>
              <w:right w:val="single" w:sz="4" w:space="0" w:color="auto"/>
            </w:tcBorders>
            <w:shd w:val="clear" w:color="000000" w:fill="FFFFFF"/>
            <w:noWrap/>
            <w:vAlign w:val="bottom"/>
            <w:hideMark/>
          </w:tcPr>
          <w:p w14:paraId="3433AAB0"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Low</w:t>
            </w:r>
          </w:p>
        </w:tc>
        <w:tc>
          <w:tcPr>
            <w:tcW w:w="416" w:type="pct"/>
            <w:tcBorders>
              <w:top w:val="nil"/>
              <w:left w:val="nil"/>
              <w:bottom w:val="single" w:sz="4" w:space="0" w:color="auto"/>
              <w:right w:val="single" w:sz="4" w:space="0" w:color="auto"/>
            </w:tcBorders>
            <w:shd w:val="clear" w:color="000000" w:fill="FFFFFF"/>
            <w:noWrap/>
            <w:vAlign w:val="bottom"/>
            <w:hideMark/>
          </w:tcPr>
          <w:p w14:paraId="3D27F19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0,17</w:t>
            </w:r>
          </w:p>
        </w:tc>
        <w:tc>
          <w:tcPr>
            <w:tcW w:w="416" w:type="pct"/>
            <w:tcBorders>
              <w:top w:val="nil"/>
              <w:left w:val="nil"/>
              <w:bottom w:val="single" w:sz="4" w:space="0" w:color="auto"/>
              <w:right w:val="single" w:sz="4" w:space="0" w:color="auto"/>
            </w:tcBorders>
            <w:shd w:val="clear" w:color="000000" w:fill="D8E4BC"/>
            <w:noWrap/>
            <w:vAlign w:val="bottom"/>
            <w:hideMark/>
          </w:tcPr>
          <w:p w14:paraId="406BE48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0,96</w:t>
            </w:r>
          </w:p>
        </w:tc>
        <w:tc>
          <w:tcPr>
            <w:tcW w:w="416" w:type="pct"/>
            <w:tcBorders>
              <w:top w:val="nil"/>
              <w:left w:val="nil"/>
              <w:bottom w:val="single" w:sz="4" w:space="0" w:color="auto"/>
              <w:right w:val="single" w:sz="4" w:space="0" w:color="auto"/>
            </w:tcBorders>
            <w:shd w:val="clear" w:color="000000" w:fill="FFFFFF"/>
            <w:noWrap/>
            <w:vAlign w:val="bottom"/>
            <w:hideMark/>
          </w:tcPr>
          <w:p w14:paraId="062BE5F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0,40</w:t>
            </w:r>
          </w:p>
        </w:tc>
        <w:tc>
          <w:tcPr>
            <w:tcW w:w="415" w:type="pct"/>
            <w:tcBorders>
              <w:top w:val="nil"/>
              <w:left w:val="nil"/>
              <w:bottom w:val="single" w:sz="4" w:space="0" w:color="auto"/>
              <w:right w:val="single" w:sz="4" w:space="0" w:color="auto"/>
            </w:tcBorders>
            <w:shd w:val="clear" w:color="000000" w:fill="95B3D7"/>
            <w:noWrap/>
            <w:vAlign w:val="bottom"/>
            <w:hideMark/>
          </w:tcPr>
          <w:p w14:paraId="5D2302E9"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0,64</w:t>
            </w:r>
          </w:p>
        </w:tc>
        <w:tc>
          <w:tcPr>
            <w:tcW w:w="415" w:type="pct"/>
            <w:tcBorders>
              <w:top w:val="nil"/>
              <w:left w:val="nil"/>
              <w:bottom w:val="single" w:sz="4" w:space="0" w:color="auto"/>
              <w:right w:val="single" w:sz="4" w:space="0" w:color="auto"/>
            </w:tcBorders>
            <w:shd w:val="clear" w:color="000000" w:fill="FFFFFF"/>
            <w:noWrap/>
            <w:vAlign w:val="bottom"/>
            <w:hideMark/>
          </w:tcPr>
          <w:p w14:paraId="233382FB"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0,35</w:t>
            </w:r>
          </w:p>
        </w:tc>
        <w:tc>
          <w:tcPr>
            <w:tcW w:w="415" w:type="pct"/>
            <w:tcBorders>
              <w:top w:val="nil"/>
              <w:left w:val="nil"/>
              <w:bottom w:val="single" w:sz="4" w:space="0" w:color="auto"/>
              <w:right w:val="single" w:sz="4" w:space="0" w:color="auto"/>
            </w:tcBorders>
            <w:shd w:val="clear" w:color="000000" w:fill="FFFFFF"/>
            <w:noWrap/>
            <w:vAlign w:val="bottom"/>
            <w:hideMark/>
          </w:tcPr>
          <w:p w14:paraId="0A34A4F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-0,13</w:t>
            </w:r>
          </w:p>
        </w:tc>
        <w:tc>
          <w:tcPr>
            <w:tcW w:w="415" w:type="pct"/>
            <w:tcBorders>
              <w:top w:val="nil"/>
              <w:left w:val="nil"/>
              <w:bottom w:val="single" w:sz="4" w:space="0" w:color="auto"/>
              <w:right w:val="single" w:sz="4" w:space="0" w:color="auto"/>
            </w:tcBorders>
            <w:shd w:val="clear" w:color="000000" w:fill="FFFFFF"/>
            <w:noWrap/>
            <w:vAlign w:val="bottom"/>
            <w:hideMark/>
          </w:tcPr>
          <w:p w14:paraId="20A939AD"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0,57</w:t>
            </w:r>
          </w:p>
        </w:tc>
        <w:tc>
          <w:tcPr>
            <w:tcW w:w="415" w:type="pct"/>
            <w:tcBorders>
              <w:top w:val="nil"/>
              <w:left w:val="nil"/>
              <w:bottom w:val="single" w:sz="4" w:space="0" w:color="auto"/>
              <w:right w:val="single" w:sz="4" w:space="0" w:color="auto"/>
            </w:tcBorders>
            <w:shd w:val="clear" w:color="auto" w:fill="auto"/>
            <w:noWrap/>
            <w:vAlign w:val="bottom"/>
            <w:hideMark/>
          </w:tcPr>
          <w:p w14:paraId="1716603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0,65</w:t>
            </w:r>
          </w:p>
        </w:tc>
        <w:tc>
          <w:tcPr>
            <w:tcW w:w="413" w:type="pct"/>
            <w:tcBorders>
              <w:top w:val="nil"/>
              <w:left w:val="nil"/>
              <w:bottom w:val="single" w:sz="4" w:space="0" w:color="auto"/>
              <w:right w:val="single" w:sz="4" w:space="0" w:color="auto"/>
            </w:tcBorders>
            <w:shd w:val="clear" w:color="000000" w:fill="FFFFFF"/>
            <w:noWrap/>
            <w:vAlign w:val="bottom"/>
            <w:hideMark/>
          </w:tcPr>
          <w:p w14:paraId="5074F01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0,41</w:t>
            </w:r>
          </w:p>
        </w:tc>
      </w:tr>
      <w:tr w:rsidR="00835FB7" w:rsidRPr="003F149C" w14:paraId="320F4204" w14:textId="77777777" w:rsidTr="00835FB7">
        <w:trPr>
          <w:trHeight w:val="270"/>
        </w:trPr>
        <w:tc>
          <w:tcPr>
            <w:tcW w:w="669" w:type="pct"/>
            <w:vMerge w:val="restart"/>
            <w:tcBorders>
              <w:top w:val="nil"/>
              <w:left w:val="single" w:sz="4" w:space="0" w:color="auto"/>
              <w:bottom w:val="single" w:sz="4" w:space="0" w:color="auto"/>
              <w:right w:val="single" w:sz="4" w:space="0" w:color="auto"/>
            </w:tcBorders>
            <w:shd w:val="clear" w:color="000000" w:fill="FFFFFF"/>
            <w:hideMark/>
          </w:tcPr>
          <w:p w14:paraId="51E82B9F"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Food cons base: Mid</w:t>
            </w:r>
          </w:p>
        </w:tc>
        <w:tc>
          <w:tcPr>
            <w:tcW w:w="594" w:type="pct"/>
            <w:tcBorders>
              <w:top w:val="nil"/>
              <w:left w:val="nil"/>
              <w:bottom w:val="single" w:sz="4" w:space="0" w:color="auto"/>
              <w:right w:val="single" w:sz="4" w:space="0" w:color="auto"/>
            </w:tcBorders>
            <w:shd w:val="clear" w:color="000000" w:fill="FFFFFF"/>
            <w:noWrap/>
            <w:vAlign w:val="bottom"/>
            <w:hideMark/>
          </w:tcPr>
          <w:p w14:paraId="52DE58F7"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Low</w:t>
            </w:r>
          </w:p>
        </w:tc>
        <w:tc>
          <w:tcPr>
            <w:tcW w:w="416" w:type="pct"/>
            <w:tcBorders>
              <w:top w:val="nil"/>
              <w:left w:val="nil"/>
              <w:bottom w:val="single" w:sz="4" w:space="0" w:color="auto"/>
              <w:right w:val="single" w:sz="4" w:space="0" w:color="auto"/>
            </w:tcBorders>
            <w:shd w:val="clear" w:color="000000" w:fill="FFFFFF"/>
            <w:noWrap/>
            <w:vAlign w:val="bottom"/>
            <w:hideMark/>
          </w:tcPr>
          <w:p w14:paraId="3707CC4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-0,36</w:t>
            </w:r>
          </w:p>
        </w:tc>
        <w:tc>
          <w:tcPr>
            <w:tcW w:w="416" w:type="pct"/>
            <w:tcBorders>
              <w:top w:val="nil"/>
              <w:left w:val="nil"/>
              <w:bottom w:val="single" w:sz="4" w:space="0" w:color="auto"/>
              <w:right w:val="single" w:sz="4" w:space="0" w:color="auto"/>
            </w:tcBorders>
            <w:shd w:val="clear" w:color="000000" w:fill="FFFFFF"/>
            <w:noWrap/>
            <w:vAlign w:val="bottom"/>
            <w:hideMark/>
          </w:tcPr>
          <w:p w14:paraId="4134A3BF"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0,13</w:t>
            </w:r>
          </w:p>
        </w:tc>
        <w:tc>
          <w:tcPr>
            <w:tcW w:w="416" w:type="pct"/>
            <w:tcBorders>
              <w:top w:val="nil"/>
              <w:left w:val="nil"/>
              <w:bottom w:val="single" w:sz="4" w:space="0" w:color="auto"/>
              <w:right w:val="single" w:sz="4" w:space="0" w:color="auto"/>
            </w:tcBorders>
            <w:shd w:val="clear" w:color="000000" w:fill="FFFFFF"/>
            <w:noWrap/>
            <w:vAlign w:val="bottom"/>
            <w:hideMark/>
          </w:tcPr>
          <w:p w14:paraId="1B7ABC1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0,02</w:t>
            </w:r>
          </w:p>
        </w:tc>
        <w:tc>
          <w:tcPr>
            <w:tcW w:w="415" w:type="pct"/>
            <w:tcBorders>
              <w:top w:val="nil"/>
              <w:left w:val="nil"/>
              <w:bottom w:val="single" w:sz="4" w:space="0" w:color="auto"/>
              <w:right w:val="single" w:sz="4" w:space="0" w:color="auto"/>
            </w:tcBorders>
            <w:shd w:val="clear" w:color="000000" w:fill="FFFFFF"/>
            <w:noWrap/>
            <w:vAlign w:val="bottom"/>
            <w:hideMark/>
          </w:tcPr>
          <w:p w14:paraId="4E8D9E4F"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-0,37</w:t>
            </w:r>
          </w:p>
        </w:tc>
        <w:tc>
          <w:tcPr>
            <w:tcW w:w="415" w:type="pct"/>
            <w:tcBorders>
              <w:top w:val="nil"/>
              <w:left w:val="nil"/>
              <w:bottom w:val="single" w:sz="4" w:space="0" w:color="auto"/>
              <w:right w:val="single" w:sz="4" w:space="0" w:color="auto"/>
            </w:tcBorders>
            <w:shd w:val="clear" w:color="000000" w:fill="FFFFFF"/>
            <w:noWrap/>
            <w:vAlign w:val="bottom"/>
            <w:hideMark/>
          </w:tcPr>
          <w:p w14:paraId="29FF1724"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0,42</w:t>
            </w:r>
          </w:p>
        </w:tc>
        <w:tc>
          <w:tcPr>
            <w:tcW w:w="415" w:type="pct"/>
            <w:tcBorders>
              <w:top w:val="nil"/>
              <w:left w:val="nil"/>
              <w:bottom w:val="single" w:sz="4" w:space="0" w:color="auto"/>
              <w:right w:val="single" w:sz="4" w:space="0" w:color="auto"/>
            </w:tcBorders>
            <w:shd w:val="clear" w:color="000000" w:fill="FFFFFF"/>
            <w:noWrap/>
            <w:vAlign w:val="bottom"/>
            <w:hideMark/>
          </w:tcPr>
          <w:p w14:paraId="3A277CC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0,47</w:t>
            </w:r>
          </w:p>
        </w:tc>
        <w:tc>
          <w:tcPr>
            <w:tcW w:w="415" w:type="pct"/>
            <w:tcBorders>
              <w:top w:val="nil"/>
              <w:left w:val="nil"/>
              <w:bottom w:val="single" w:sz="8" w:space="0" w:color="auto"/>
              <w:right w:val="single" w:sz="4" w:space="0" w:color="auto"/>
            </w:tcBorders>
            <w:shd w:val="clear" w:color="000000" w:fill="D8E4BC"/>
            <w:noWrap/>
            <w:vAlign w:val="bottom"/>
            <w:hideMark/>
          </w:tcPr>
          <w:p w14:paraId="17EA705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0,70</w:t>
            </w:r>
          </w:p>
        </w:tc>
        <w:tc>
          <w:tcPr>
            <w:tcW w:w="415" w:type="pct"/>
            <w:tcBorders>
              <w:top w:val="nil"/>
              <w:left w:val="nil"/>
              <w:bottom w:val="single" w:sz="4" w:space="0" w:color="auto"/>
              <w:right w:val="single" w:sz="4" w:space="0" w:color="auto"/>
            </w:tcBorders>
            <w:shd w:val="clear" w:color="auto" w:fill="auto"/>
            <w:noWrap/>
            <w:vAlign w:val="bottom"/>
            <w:hideMark/>
          </w:tcPr>
          <w:p w14:paraId="17E4FDE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0,41</w:t>
            </w:r>
          </w:p>
        </w:tc>
        <w:tc>
          <w:tcPr>
            <w:tcW w:w="413" w:type="pct"/>
            <w:tcBorders>
              <w:top w:val="nil"/>
              <w:left w:val="nil"/>
              <w:bottom w:val="single" w:sz="4" w:space="0" w:color="auto"/>
              <w:right w:val="single" w:sz="4" w:space="0" w:color="auto"/>
            </w:tcBorders>
            <w:shd w:val="clear" w:color="000000" w:fill="FFFFFF"/>
            <w:noWrap/>
            <w:vAlign w:val="bottom"/>
            <w:hideMark/>
          </w:tcPr>
          <w:p w14:paraId="46EDF65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-0,65</w:t>
            </w:r>
          </w:p>
        </w:tc>
      </w:tr>
      <w:tr w:rsidR="00835FB7" w:rsidRPr="003F149C" w14:paraId="0CBEC108" w14:textId="77777777" w:rsidTr="00835FB7">
        <w:trPr>
          <w:trHeight w:val="300"/>
        </w:trPr>
        <w:tc>
          <w:tcPr>
            <w:tcW w:w="669" w:type="pct"/>
            <w:vMerge/>
            <w:tcBorders>
              <w:top w:val="nil"/>
              <w:left w:val="single" w:sz="4" w:space="0" w:color="auto"/>
              <w:bottom w:val="single" w:sz="4" w:space="0" w:color="auto"/>
              <w:right w:val="single" w:sz="4" w:space="0" w:color="auto"/>
            </w:tcBorders>
            <w:vAlign w:val="center"/>
            <w:hideMark/>
          </w:tcPr>
          <w:p w14:paraId="0E645CF6" w14:textId="77777777" w:rsidR="00835FB7" w:rsidRPr="003F149C" w:rsidRDefault="00835FB7" w:rsidP="00835FB7">
            <w:pPr>
              <w:spacing w:after="0" w:line="240" w:lineRule="auto"/>
              <w:rPr>
                <w:rFonts w:eastAsia="Times New Roman" w:cs="Calibri"/>
                <w:color w:val="000000"/>
                <w:lang w:eastAsia="nl-NL"/>
              </w:rPr>
            </w:pPr>
          </w:p>
        </w:tc>
        <w:tc>
          <w:tcPr>
            <w:tcW w:w="594" w:type="pct"/>
            <w:tcBorders>
              <w:top w:val="nil"/>
              <w:left w:val="nil"/>
              <w:bottom w:val="single" w:sz="4" w:space="0" w:color="auto"/>
              <w:right w:val="single" w:sz="4" w:space="0" w:color="auto"/>
            </w:tcBorders>
            <w:shd w:val="clear" w:color="000000" w:fill="FFFFFF"/>
            <w:noWrap/>
            <w:vAlign w:val="bottom"/>
            <w:hideMark/>
          </w:tcPr>
          <w:p w14:paraId="3B4F041D"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High</w:t>
            </w:r>
          </w:p>
        </w:tc>
        <w:tc>
          <w:tcPr>
            <w:tcW w:w="416" w:type="pct"/>
            <w:tcBorders>
              <w:top w:val="nil"/>
              <w:left w:val="nil"/>
              <w:bottom w:val="single" w:sz="4" w:space="0" w:color="auto"/>
              <w:right w:val="single" w:sz="4" w:space="0" w:color="auto"/>
            </w:tcBorders>
            <w:shd w:val="clear" w:color="000000" w:fill="FFFFFF"/>
            <w:noWrap/>
            <w:vAlign w:val="bottom"/>
            <w:hideMark/>
          </w:tcPr>
          <w:p w14:paraId="615D8F98"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0,34</w:t>
            </w:r>
          </w:p>
        </w:tc>
        <w:tc>
          <w:tcPr>
            <w:tcW w:w="416" w:type="pct"/>
            <w:tcBorders>
              <w:top w:val="nil"/>
              <w:left w:val="nil"/>
              <w:bottom w:val="single" w:sz="4" w:space="0" w:color="auto"/>
              <w:right w:val="single" w:sz="4" w:space="0" w:color="auto"/>
            </w:tcBorders>
            <w:shd w:val="clear" w:color="000000" w:fill="8DB4E2"/>
            <w:noWrap/>
            <w:vAlign w:val="bottom"/>
            <w:hideMark/>
          </w:tcPr>
          <w:p w14:paraId="5D5AA9D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-0,65</w:t>
            </w:r>
          </w:p>
        </w:tc>
        <w:tc>
          <w:tcPr>
            <w:tcW w:w="416" w:type="pct"/>
            <w:tcBorders>
              <w:top w:val="nil"/>
              <w:left w:val="nil"/>
              <w:bottom w:val="single" w:sz="4" w:space="0" w:color="auto"/>
              <w:right w:val="single" w:sz="4" w:space="0" w:color="auto"/>
            </w:tcBorders>
            <w:shd w:val="clear" w:color="auto" w:fill="auto"/>
            <w:noWrap/>
            <w:vAlign w:val="bottom"/>
            <w:hideMark/>
          </w:tcPr>
          <w:p w14:paraId="7A334F7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-0,20</w:t>
            </w:r>
          </w:p>
        </w:tc>
        <w:tc>
          <w:tcPr>
            <w:tcW w:w="415" w:type="pct"/>
            <w:tcBorders>
              <w:top w:val="nil"/>
              <w:left w:val="nil"/>
              <w:bottom w:val="single" w:sz="4" w:space="0" w:color="auto"/>
              <w:right w:val="single" w:sz="4" w:space="0" w:color="auto"/>
            </w:tcBorders>
            <w:shd w:val="clear" w:color="auto" w:fill="auto"/>
            <w:noWrap/>
            <w:vAlign w:val="bottom"/>
            <w:hideMark/>
          </w:tcPr>
          <w:p w14:paraId="1D7D3DD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0,11</w:t>
            </w:r>
          </w:p>
        </w:tc>
        <w:tc>
          <w:tcPr>
            <w:tcW w:w="415" w:type="pct"/>
            <w:tcBorders>
              <w:top w:val="nil"/>
              <w:left w:val="nil"/>
              <w:bottom w:val="single" w:sz="4" w:space="0" w:color="auto"/>
              <w:right w:val="single" w:sz="4" w:space="0" w:color="auto"/>
            </w:tcBorders>
            <w:shd w:val="clear" w:color="000000" w:fill="FFFFFF"/>
            <w:noWrap/>
            <w:vAlign w:val="bottom"/>
            <w:hideMark/>
          </w:tcPr>
          <w:p w14:paraId="68BA02E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-0,40</w:t>
            </w:r>
          </w:p>
        </w:tc>
        <w:tc>
          <w:tcPr>
            <w:tcW w:w="415" w:type="pct"/>
            <w:tcBorders>
              <w:top w:val="nil"/>
              <w:left w:val="nil"/>
              <w:bottom w:val="single" w:sz="4" w:space="0" w:color="auto"/>
              <w:right w:val="single" w:sz="4" w:space="0" w:color="auto"/>
            </w:tcBorders>
            <w:shd w:val="clear" w:color="000000" w:fill="FFFFFF"/>
            <w:noWrap/>
            <w:vAlign w:val="bottom"/>
            <w:hideMark/>
          </w:tcPr>
          <w:p w14:paraId="430E085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0,05</w:t>
            </w:r>
          </w:p>
        </w:tc>
        <w:tc>
          <w:tcPr>
            <w:tcW w:w="415" w:type="pct"/>
            <w:tcBorders>
              <w:top w:val="single" w:sz="4" w:space="0" w:color="auto"/>
              <w:left w:val="nil"/>
              <w:bottom w:val="single" w:sz="4" w:space="0" w:color="auto"/>
              <w:right w:val="single" w:sz="4" w:space="0" w:color="auto"/>
            </w:tcBorders>
            <w:shd w:val="clear" w:color="auto" w:fill="auto"/>
            <w:noWrap/>
            <w:vAlign w:val="bottom"/>
            <w:hideMark/>
          </w:tcPr>
          <w:p w14:paraId="0C6218AB"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-0,23</w:t>
            </w:r>
          </w:p>
        </w:tc>
        <w:tc>
          <w:tcPr>
            <w:tcW w:w="415" w:type="pct"/>
            <w:tcBorders>
              <w:top w:val="nil"/>
              <w:left w:val="nil"/>
              <w:bottom w:val="single" w:sz="4" w:space="0" w:color="auto"/>
              <w:right w:val="single" w:sz="4" w:space="0" w:color="auto"/>
            </w:tcBorders>
            <w:shd w:val="clear" w:color="auto" w:fill="auto"/>
            <w:noWrap/>
            <w:vAlign w:val="bottom"/>
            <w:hideMark/>
          </w:tcPr>
          <w:p w14:paraId="2A591AA9"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0,37</w:t>
            </w:r>
          </w:p>
        </w:tc>
        <w:tc>
          <w:tcPr>
            <w:tcW w:w="413" w:type="pct"/>
            <w:tcBorders>
              <w:top w:val="nil"/>
              <w:left w:val="nil"/>
              <w:bottom w:val="single" w:sz="4" w:space="0" w:color="auto"/>
              <w:right w:val="single" w:sz="4" w:space="0" w:color="auto"/>
            </w:tcBorders>
            <w:shd w:val="clear" w:color="000000" w:fill="FFFFFF"/>
            <w:noWrap/>
            <w:vAlign w:val="bottom"/>
            <w:hideMark/>
          </w:tcPr>
          <w:p w14:paraId="3760844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0,10</w:t>
            </w:r>
          </w:p>
        </w:tc>
      </w:tr>
      <w:tr w:rsidR="00835FB7" w:rsidRPr="003F149C" w14:paraId="2810B150" w14:textId="77777777" w:rsidTr="00835FB7">
        <w:trPr>
          <w:trHeight w:val="300"/>
        </w:trPr>
        <w:tc>
          <w:tcPr>
            <w:tcW w:w="669" w:type="pct"/>
            <w:tcBorders>
              <w:top w:val="nil"/>
              <w:left w:val="single" w:sz="4" w:space="0" w:color="auto"/>
              <w:bottom w:val="single" w:sz="8" w:space="0" w:color="auto"/>
              <w:right w:val="single" w:sz="4" w:space="0" w:color="auto"/>
            </w:tcBorders>
            <w:shd w:val="clear" w:color="000000" w:fill="FFFFFF"/>
            <w:noWrap/>
            <w:vAlign w:val="bottom"/>
            <w:hideMark/>
          </w:tcPr>
          <w:p w14:paraId="0CFFF659"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Child health</w:t>
            </w:r>
          </w:p>
        </w:tc>
        <w:tc>
          <w:tcPr>
            <w:tcW w:w="594" w:type="pct"/>
            <w:tcBorders>
              <w:top w:val="nil"/>
              <w:left w:val="nil"/>
              <w:bottom w:val="single" w:sz="8" w:space="0" w:color="auto"/>
              <w:right w:val="single" w:sz="4" w:space="0" w:color="auto"/>
            </w:tcBorders>
            <w:shd w:val="clear" w:color="000000" w:fill="FFFFFF"/>
            <w:noWrap/>
            <w:vAlign w:val="bottom"/>
            <w:hideMark/>
          </w:tcPr>
          <w:p w14:paraId="529A6EC6"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Poor</w:t>
            </w:r>
          </w:p>
        </w:tc>
        <w:tc>
          <w:tcPr>
            <w:tcW w:w="416" w:type="pct"/>
            <w:tcBorders>
              <w:top w:val="nil"/>
              <w:left w:val="nil"/>
              <w:bottom w:val="single" w:sz="8" w:space="0" w:color="auto"/>
              <w:right w:val="single" w:sz="4" w:space="0" w:color="auto"/>
            </w:tcBorders>
            <w:shd w:val="clear" w:color="000000" w:fill="FFFFFF"/>
            <w:noWrap/>
            <w:vAlign w:val="bottom"/>
            <w:hideMark/>
          </w:tcPr>
          <w:p w14:paraId="099895D9"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0,30</w:t>
            </w:r>
          </w:p>
        </w:tc>
        <w:tc>
          <w:tcPr>
            <w:tcW w:w="416" w:type="pct"/>
            <w:tcBorders>
              <w:top w:val="nil"/>
              <w:left w:val="nil"/>
              <w:bottom w:val="single" w:sz="8" w:space="0" w:color="auto"/>
              <w:right w:val="single" w:sz="4" w:space="0" w:color="auto"/>
            </w:tcBorders>
            <w:shd w:val="clear" w:color="000000" w:fill="FFFFFF"/>
            <w:noWrap/>
            <w:vAlign w:val="bottom"/>
            <w:hideMark/>
          </w:tcPr>
          <w:p w14:paraId="3DB9593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-0,01</w:t>
            </w:r>
          </w:p>
        </w:tc>
        <w:tc>
          <w:tcPr>
            <w:tcW w:w="416" w:type="pct"/>
            <w:tcBorders>
              <w:top w:val="nil"/>
              <w:left w:val="nil"/>
              <w:bottom w:val="single" w:sz="8" w:space="0" w:color="auto"/>
              <w:right w:val="single" w:sz="4" w:space="0" w:color="auto"/>
            </w:tcBorders>
            <w:shd w:val="clear" w:color="000000" w:fill="FFFFFF"/>
            <w:noWrap/>
            <w:vAlign w:val="bottom"/>
            <w:hideMark/>
          </w:tcPr>
          <w:p w14:paraId="0AA11D8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0,19</w:t>
            </w:r>
          </w:p>
        </w:tc>
        <w:tc>
          <w:tcPr>
            <w:tcW w:w="415" w:type="pct"/>
            <w:tcBorders>
              <w:top w:val="nil"/>
              <w:left w:val="nil"/>
              <w:bottom w:val="single" w:sz="4" w:space="0" w:color="auto"/>
              <w:right w:val="single" w:sz="4" w:space="0" w:color="auto"/>
            </w:tcBorders>
            <w:shd w:val="clear" w:color="000000" w:fill="8DB4E2"/>
            <w:noWrap/>
            <w:vAlign w:val="bottom"/>
            <w:hideMark/>
          </w:tcPr>
          <w:p w14:paraId="61F5950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-0,71</w:t>
            </w:r>
          </w:p>
        </w:tc>
        <w:tc>
          <w:tcPr>
            <w:tcW w:w="415" w:type="pct"/>
            <w:tcBorders>
              <w:top w:val="nil"/>
              <w:left w:val="nil"/>
              <w:bottom w:val="single" w:sz="8" w:space="0" w:color="auto"/>
              <w:right w:val="single" w:sz="4" w:space="0" w:color="auto"/>
            </w:tcBorders>
            <w:shd w:val="clear" w:color="000000" w:fill="FFFFFF"/>
            <w:noWrap/>
            <w:vAlign w:val="bottom"/>
            <w:hideMark/>
          </w:tcPr>
          <w:p w14:paraId="256261F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0,85</w:t>
            </w:r>
          </w:p>
        </w:tc>
        <w:tc>
          <w:tcPr>
            <w:tcW w:w="415" w:type="pct"/>
            <w:tcBorders>
              <w:top w:val="nil"/>
              <w:left w:val="nil"/>
              <w:bottom w:val="single" w:sz="8" w:space="0" w:color="auto"/>
              <w:right w:val="single" w:sz="4" w:space="0" w:color="auto"/>
            </w:tcBorders>
            <w:shd w:val="clear" w:color="000000" w:fill="FFFFFF"/>
            <w:noWrap/>
            <w:vAlign w:val="bottom"/>
            <w:hideMark/>
          </w:tcPr>
          <w:p w14:paraId="4A5429D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-0,25</w:t>
            </w:r>
          </w:p>
        </w:tc>
        <w:tc>
          <w:tcPr>
            <w:tcW w:w="415" w:type="pct"/>
            <w:tcBorders>
              <w:top w:val="nil"/>
              <w:left w:val="nil"/>
              <w:bottom w:val="single" w:sz="8" w:space="0" w:color="auto"/>
              <w:right w:val="single" w:sz="4" w:space="0" w:color="auto"/>
            </w:tcBorders>
            <w:shd w:val="clear" w:color="000000" w:fill="D8E4BC"/>
            <w:noWrap/>
            <w:vAlign w:val="bottom"/>
            <w:hideMark/>
          </w:tcPr>
          <w:p w14:paraId="19D5643D"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-1,35</w:t>
            </w:r>
          </w:p>
        </w:tc>
        <w:tc>
          <w:tcPr>
            <w:tcW w:w="415" w:type="pct"/>
            <w:tcBorders>
              <w:top w:val="nil"/>
              <w:left w:val="nil"/>
              <w:bottom w:val="single" w:sz="8" w:space="0" w:color="auto"/>
              <w:right w:val="single" w:sz="4" w:space="0" w:color="auto"/>
            </w:tcBorders>
            <w:shd w:val="clear" w:color="000000" w:fill="FFFFFF"/>
            <w:noWrap/>
            <w:vAlign w:val="bottom"/>
            <w:hideMark/>
          </w:tcPr>
          <w:p w14:paraId="2A7330CF"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0,28</w:t>
            </w:r>
          </w:p>
        </w:tc>
        <w:tc>
          <w:tcPr>
            <w:tcW w:w="413" w:type="pct"/>
            <w:tcBorders>
              <w:top w:val="nil"/>
              <w:left w:val="nil"/>
              <w:bottom w:val="single" w:sz="8" w:space="0" w:color="auto"/>
              <w:right w:val="single" w:sz="4" w:space="0" w:color="auto"/>
            </w:tcBorders>
            <w:shd w:val="clear" w:color="000000" w:fill="FFFFFF"/>
            <w:noWrap/>
            <w:vAlign w:val="bottom"/>
            <w:hideMark/>
          </w:tcPr>
          <w:p w14:paraId="202434F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0,50</w:t>
            </w:r>
          </w:p>
        </w:tc>
      </w:tr>
      <w:tr w:rsidR="00835FB7" w:rsidRPr="003F149C" w14:paraId="52EF0287" w14:textId="77777777" w:rsidTr="00835FB7">
        <w:trPr>
          <w:trHeight w:val="300"/>
        </w:trPr>
        <w:tc>
          <w:tcPr>
            <w:tcW w:w="1263" w:type="pct"/>
            <w:gridSpan w:val="2"/>
            <w:tcBorders>
              <w:top w:val="nil"/>
              <w:left w:val="single" w:sz="4" w:space="0" w:color="auto"/>
              <w:bottom w:val="single" w:sz="4" w:space="0" w:color="auto"/>
              <w:right w:val="single" w:sz="4" w:space="0" w:color="000000"/>
            </w:tcBorders>
            <w:shd w:val="clear" w:color="000000" w:fill="FFFFFF"/>
            <w:noWrap/>
            <w:vAlign w:val="bottom"/>
            <w:hideMark/>
          </w:tcPr>
          <w:p w14:paraId="236F0BC7" w14:textId="77777777" w:rsidR="00835FB7" w:rsidRPr="003F149C" w:rsidRDefault="00835FB7" w:rsidP="00835FB7">
            <w:pPr>
              <w:spacing w:after="0" w:line="240" w:lineRule="auto"/>
              <w:jc w:val="center"/>
              <w:rPr>
                <w:rFonts w:eastAsia="Times New Roman" w:cs="Calibri"/>
                <w:color w:val="000000"/>
                <w:lang w:eastAsia="nl-NL"/>
              </w:rPr>
            </w:pPr>
            <w:r w:rsidRPr="003F149C">
              <w:rPr>
                <w:rFonts w:eastAsia="Times New Roman" w:cs="Calibri"/>
                <w:color w:val="000000"/>
                <w:lang w:eastAsia="nl-NL"/>
              </w:rPr>
              <w:t>R²</w:t>
            </w:r>
          </w:p>
        </w:tc>
        <w:tc>
          <w:tcPr>
            <w:tcW w:w="416" w:type="pct"/>
            <w:tcBorders>
              <w:top w:val="nil"/>
              <w:left w:val="nil"/>
              <w:bottom w:val="single" w:sz="4" w:space="0" w:color="auto"/>
              <w:right w:val="single" w:sz="4" w:space="0" w:color="auto"/>
            </w:tcBorders>
            <w:shd w:val="clear" w:color="auto" w:fill="auto"/>
            <w:noWrap/>
            <w:vAlign w:val="bottom"/>
            <w:hideMark/>
          </w:tcPr>
          <w:p w14:paraId="7623903B"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0,07</w:t>
            </w:r>
          </w:p>
        </w:tc>
        <w:tc>
          <w:tcPr>
            <w:tcW w:w="416" w:type="pct"/>
            <w:tcBorders>
              <w:top w:val="nil"/>
              <w:left w:val="nil"/>
              <w:bottom w:val="single" w:sz="4" w:space="0" w:color="auto"/>
              <w:right w:val="single" w:sz="4" w:space="0" w:color="auto"/>
            </w:tcBorders>
            <w:shd w:val="clear" w:color="auto" w:fill="auto"/>
            <w:noWrap/>
            <w:vAlign w:val="bottom"/>
            <w:hideMark/>
          </w:tcPr>
          <w:p w14:paraId="4D61177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0,04</w:t>
            </w:r>
          </w:p>
        </w:tc>
        <w:tc>
          <w:tcPr>
            <w:tcW w:w="416" w:type="pct"/>
            <w:tcBorders>
              <w:top w:val="nil"/>
              <w:left w:val="nil"/>
              <w:bottom w:val="single" w:sz="4" w:space="0" w:color="auto"/>
              <w:right w:val="single" w:sz="4" w:space="0" w:color="auto"/>
            </w:tcBorders>
            <w:shd w:val="clear" w:color="auto" w:fill="auto"/>
            <w:noWrap/>
            <w:vAlign w:val="bottom"/>
            <w:hideMark/>
          </w:tcPr>
          <w:p w14:paraId="20CD85E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0,04</w:t>
            </w:r>
          </w:p>
        </w:tc>
        <w:tc>
          <w:tcPr>
            <w:tcW w:w="415" w:type="pct"/>
            <w:tcBorders>
              <w:top w:val="nil"/>
              <w:left w:val="nil"/>
              <w:bottom w:val="single" w:sz="4" w:space="0" w:color="auto"/>
              <w:right w:val="single" w:sz="4" w:space="0" w:color="auto"/>
            </w:tcBorders>
            <w:shd w:val="clear" w:color="auto" w:fill="auto"/>
            <w:noWrap/>
            <w:vAlign w:val="bottom"/>
            <w:hideMark/>
          </w:tcPr>
          <w:p w14:paraId="07968A58"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0,03</w:t>
            </w:r>
          </w:p>
        </w:tc>
        <w:tc>
          <w:tcPr>
            <w:tcW w:w="415" w:type="pct"/>
            <w:tcBorders>
              <w:top w:val="nil"/>
              <w:left w:val="nil"/>
              <w:bottom w:val="single" w:sz="4" w:space="0" w:color="auto"/>
              <w:right w:val="single" w:sz="4" w:space="0" w:color="auto"/>
            </w:tcBorders>
            <w:shd w:val="clear" w:color="auto" w:fill="auto"/>
            <w:noWrap/>
            <w:vAlign w:val="bottom"/>
            <w:hideMark/>
          </w:tcPr>
          <w:p w14:paraId="354617E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0,03</w:t>
            </w:r>
          </w:p>
        </w:tc>
        <w:tc>
          <w:tcPr>
            <w:tcW w:w="415" w:type="pct"/>
            <w:tcBorders>
              <w:top w:val="nil"/>
              <w:left w:val="nil"/>
              <w:bottom w:val="single" w:sz="4" w:space="0" w:color="auto"/>
              <w:right w:val="single" w:sz="4" w:space="0" w:color="auto"/>
            </w:tcBorders>
            <w:shd w:val="clear" w:color="auto" w:fill="auto"/>
            <w:noWrap/>
            <w:vAlign w:val="bottom"/>
            <w:hideMark/>
          </w:tcPr>
          <w:p w14:paraId="5D0ED84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0,02</w:t>
            </w:r>
          </w:p>
        </w:tc>
        <w:tc>
          <w:tcPr>
            <w:tcW w:w="415" w:type="pct"/>
            <w:tcBorders>
              <w:top w:val="nil"/>
              <w:left w:val="nil"/>
              <w:bottom w:val="single" w:sz="4" w:space="0" w:color="auto"/>
              <w:right w:val="single" w:sz="4" w:space="0" w:color="auto"/>
            </w:tcBorders>
            <w:shd w:val="clear" w:color="auto" w:fill="auto"/>
            <w:noWrap/>
            <w:vAlign w:val="bottom"/>
            <w:hideMark/>
          </w:tcPr>
          <w:p w14:paraId="1D8BBE7D"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0,03</w:t>
            </w:r>
          </w:p>
        </w:tc>
        <w:tc>
          <w:tcPr>
            <w:tcW w:w="415" w:type="pct"/>
            <w:tcBorders>
              <w:top w:val="nil"/>
              <w:left w:val="nil"/>
              <w:bottom w:val="single" w:sz="4" w:space="0" w:color="auto"/>
              <w:right w:val="single" w:sz="4" w:space="0" w:color="auto"/>
            </w:tcBorders>
            <w:shd w:val="clear" w:color="auto" w:fill="auto"/>
            <w:noWrap/>
            <w:vAlign w:val="bottom"/>
            <w:hideMark/>
          </w:tcPr>
          <w:p w14:paraId="151778B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0,05</w:t>
            </w:r>
          </w:p>
        </w:tc>
        <w:tc>
          <w:tcPr>
            <w:tcW w:w="413" w:type="pct"/>
            <w:tcBorders>
              <w:top w:val="nil"/>
              <w:left w:val="nil"/>
              <w:bottom w:val="single" w:sz="4" w:space="0" w:color="auto"/>
              <w:right w:val="single" w:sz="4" w:space="0" w:color="auto"/>
            </w:tcBorders>
            <w:shd w:val="clear" w:color="auto" w:fill="auto"/>
            <w:noWrap/>
            <w:vAlign w:val="bottom"/>
            <w:hideMark/>
          </w:tcPr>
          <w:p w14:paraId="407E938B"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0,03</w:t>
            </w:r>
          </w:p>
        </w:tc>
      </w:tr>
      <w:tr w:rsidR="00835FB7" w:rsidRPr="003F149C" w14:paraId="20E71D12" w14:textId="77777777" w:rsidTr="00835FB7">
        <w:trPr>
          <w:trHeight w:val="300"/>
        </w:trPr>
        <w:tc>
          <w:tcPr>
            <w:tcW w:w="1263" w:type="pct"/>
            <w:gridSpan w:val="2"/>
            <w:tcBorders>
              <w:top w:val="single" w:sz="4" w:space="0" w:color="auto"/>
              <w:left w:val="nil"/>
              <w:bottom w:val="nil"/>
              <w:right w:val="nil"/>
            </w:tcBorders>
            <w:shd w:val="clear" w:color="000000" w:fill="D8E4BC"/>
            <w:noWrap/>
            <w:vAlign w:val="bottom"/>
            <w:hideMark/>
          </w:tcPr>
          <w:p w14:paraId="3640D660"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lastRenderedPageBreak/>
              <w:t>* significant α=0,05</w:t>
            </w:r>
          </w:p>
        </w:tc>
        <w:tc>
          <w:tcPr>
            <w:tcW w:w="416" w:type="pct"/>
            <w:tcBorders>
              <w:top w:val="nil"/>
              <w:left w:val="nil"/>
              <w:bottom w:val="nil"/>
              <w:right w:val="nil"/>
            </w:tcBorders>
            <w:shd w:val="clear" w:color="000000" w:fill="FFFFFF"/>
            <w:noWrap/>
            <w:vAlign w:val="bottom"/>
            <w:hideMark/>
          </w:tcPr>
          <w:p w14:paraId="706CF8D7"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nil"/>
              <w:left w:val="nil"/>
              <w:bottom w:val="nil"/>
              <w:right w:val="nil"/>
            </w:tcBorders>
            <w:shd w:val="clear" w:color="000000" w:fill="FFFFFF"/>
            <w:noWrap/>
            <w:vAlign w:val="bottom"/>
            <w:hideMark/>
          </w:tcPr>
          <w:p w14:paraId="1F933363"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nil"/>
              <w:left w:val="nil"/>
              <w:bottom w:val="nil"/>
              <w:right w:val="nil"/>
            </w:tcBorders>
            <w:shd w:val="clear" w:color="000000" w:fill="FFFFFF"/>
            <w:noWrap/>
            <w:vAlign w:val="bottom"/>
            <w:hideMark/>
          </w:tcPr>
          <w:p w14:paraId="6D272A5D"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129123FB"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651E00C4"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4B103BF7"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48D947A0"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529D973F"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3" w:type="pct"/>
            <w:tcBorders>
              <w:top w:val="nil"/>
              <w:left w:val="nil"/>
              <w:bottom w:val="nil"/>
              <w:right w:val="nil"/>
            </w:tcBorders>
            <w:shd w:val="clear" w:color="000000" w:fill="FFFFFF"/>
            <w:noWrap/>
            <w:vAlign w:val="bottom"/>
            <w:hideMark/>
          </w:tcPr>
          <w:p w14:paraId="02C028BA"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r>
      <w:tr w:rsidR="00835FB7" w:rsidRPr="003F149C" w14:paraId="587F699A" w14:textId="77777777" w:rsidTr="00835FB7">
        <w:trPr>
          <w:trHeight w:val="300"/>
        </w:trPr>
        <w:tc>
          <w:tcPr>
            <w:tcW w:w="1263" w:type="pct"/>
            <w:gridSpan w:val="2"/>
            <w:tcBorders>
              <w:top w:val="nil"/>
              <w:left w:val="nil"/>
              <w:bottom w:val="nil"/>
              <w:right w:val="nil"/>
            </w:tcBorders>
            <w:shd w:val="clear" w:color="000000" w:fill="95B3D7"/>
            <w:noWrap/>
            <w:vAlign w:val="bottom"/>
            <w:hideMark/>
          </w:tcPr>
          <w:p w14:paraId="5D53098A"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significant α=0,10</w:t>
            </w:r>
          </w:p>
        </w:tc>
        <w:tc>
          <w:tcPr>
            <w:tcW w:w="416" w:type="pct"/>
            <w:tcBorders>
              <w:top w:val="nil"/>
              <w:left w:val="nil"/>
              <w:bottom w:val="nil"/>
              <w:right w:val="nil"/>
            </w:tcBorders>
            <w:shd w:val="clear" w:color="000000" w:fill="FFFFFF"/>
            <w:noWrap/>
            <w:vAlign w:val="bottom"/>
            <w:hideMark/>
          </w:tcPr>
          <w:p w14:paraId="55A1E758"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nil"/>
              <w:left w:val="nil"/>
              <w:bottom w:val="nil"/>
              <w:right w:val="nil"/>
            </w:tcBorders>
            <w:shd w:val="clear" w:color="000000" w:fill="FFFFFF"/>
            <w:noWrap/>
            <w:vAlign w:val="bottom"/>
            <w:hideMark/>
          </w:tcPr>
          <w:p w14:paraId="3F35109B"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nil"/>
              <w:left w:val="nil"/>
              <w:bottom w:val="nil"/>
              <w:right w:val="nil"/>
            </w:tcBorders>
            <w:shd w:val="clear" w:color="000000" w:fill="FFFFFF"/>
            <w:noWrap/>
            <w:vAlign w:val="bottom"/>
            <w:hideMark/>
          </w:tcPr>
          <w:p w14:paraId="71CAEAE3"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10A20BD7"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33ACF6DF"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0D879298"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250F92EF"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618499C3"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3" w:type="pct"/>
            <w:tcBorders>
              <w:top w:val="nil"/>
              <w:left w:val="nil"/>
              <w:bottom w:val="nil"/>
              <w:right w:val="nil"/>
            </w:tcBorders>
            <w:shd w:val="clear" w:color="000000" w:fill="FFFFFF"/>
            <w:noWrap/>
            <w:vAlign w:val="bottom"/>
            <w:hideMark/>
          </w:tcPr>
          <w:p w14:paraId="370BBDDC"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r>
      <w:tr w:rsidR="00835FB7" w:rsidRPr="003F149C" w14:paraId="79595DDC" w14:textId="77777777" w:rsidTr="00835FB7">
        <w:trPr>
          <w:trHeight w:val="300"/>
        </w:trPr>
        <w:tc>
          <w:tcPr>
            <w:tcW w:w="669" w:type="pct"/>
            <w:tcBorders>
              <w:top w:val="nil"/>
              <w:left w:val="nil"/>
              <w:bottom w:val="nil"/>
              <w:right w:val="nil"/>
            </w:tcBorders>
            <w:shd w:val="clear" w:color="000000" w:fill="FFFFFF"/>
            <w:noWrap/>
            <w:vAlign w:val="bottom"/>
            <w:hideMark/>
          </w:tcPr>
          <w:p w14:paraId="2B031A21"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594" w:type="pct"/>
            <w:tcBorders>
              <w:top w:val="nil"/>
              <w:left w:val="nil"/>
              <w:bottom w:val="nil"/>
              <w:right w:val="nil"/>
            </w:tcBorders>
            <w:shd w:val="clear" w:color="000000" w:fill="FFFFFF"/>
            <w:noWrap/>
            <w:vAlign w:val="bottom"/>
            <w:hideMark/>
          </w:tcPr>
          <w:p w14:paraId="310E2E05"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nil"/>
              <w:left w:val="nil"/>
              <w:bottom w:val="nil"/>
              <w:right w:val="nil"/>
            </w:tcBorders>
            <w:shd w:val="clear" w:color="000000" w:fill="FFFFFF"/>
            <w:noWrap/>
            <w:vAlign w:val="bottom"/>
            <w:hideMark/>
          </w:tcPr>
          <w:p w14:paraId="08083AFB"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nil"/>
              <w:left w:val="nil"/>
              <w:bottom w:val="nil"/>
              <w:right w:val="nil"/>
            </w:tcBorders>
            <w:shd w:val="clear" w:color="000000" w:fill="FFFFFF"/>
            <w:noWrap/>
            <w:vAlign w:val="bottom"/>
            <w:hideMark/>
          </w:tcPr>
          <w:p w14:paraId="3ECB5566"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nil"/>
              <w:left w:val="nil"/>
              <w:bottom w:val="nil"/>
              <w:right w:val="nil"/>
            </w:tcBorders>
            <w:shd w:val="clear" w:color="000000" w:fill="FFFFFF"/>
            <w:noWrap/>
            <w:vAlign w:val="bottom"/>
            <w:hideMark/>
          </w:tcPr>
          <w:p w14:paraId="1997F5F6"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75C391EA"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6AC1BD02"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257CF16F"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454704E4"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5093894D"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3" w:type="pct"/>
            <w:tcBorders>
              <w:top w:val="nil"/>
              <w:left w:val="nil"/>
              <w:bottom w:val="nil"/>
              <w:right w:val="nil"/>
            </w:tcBorders>
            <w:shd w:val="clear" w:color="000000" w:fill="FFFFFF"/>
            <w:noWrap/>
            <w:vAlign w:val="bottom"/>
            <w:hideMark/>
          </w:tcPr>
          <w:p w14:paraId="47072D15"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r>
      <w:tr w:rsidR="00835FB7" w:rsidRPr="003F149C" w14:paraId="028B034C" w14:textId="77777777" w:rsidTr="00835FB7">
        <w:trPr>
          <w:trHeight w:val="300"/>
        </w:trPr>
        <w:tc>
          <w:tcPr>
            <w:tcW w:w="669" w:type="pct"/>
            <w:tcBorders>
              <w:top w:val="single" w:sz="4" w:space="0" w:color="auto"/>
              <w:left w:val="single" w:sz="4" w:space="0" w:color="auto"/>
              <w:bottom w:val="single" w:sz="4" w:space="0" w:color="auto"/>
              <w:right w:val="single" w:sz="4" w:space="0" w:color="auto"/>
            </w:tcBorders>
            <w:shd w:val="clear" w:color="auto" w:fill="auto"/>
            <w:noWrap/>
            <w:hideMark/>
          </w:tcPr>
          <w:p w14:paraId="7472BBF4" w14:textId="77777777" w:rsidR="00835FB7" w:rsidRPr="003F149C" w:rsidRDefault="00835FB7" w:rsidP="00835FB7">
            <w:pPr>
              <w:spacing w:after="0" w:line="240" w:lineRule="auto"/>
              <w:jc w:val="center"/>
              <w:rPr>
                <w:rFonts w:eastAsia="Times New Roman" w:cs="Calibri"/>
                <w:color w:val="000000"/>
                <w:lang w:eastAsia="nl-NL"/>
              </w:rPr>
            </w:pPr>
            <w:r w:rsidRPr="003F149C">
              <w:rPr>
                <w:rFonts w:eastAsia="Times New Roman" w:cs="Calibri"/>
                <w:color w:val="000000"/>
                <w:lang w:eastAsia="nl-NL"/>
              </w:rPr>
              <w:t>BMI 2010</w:t>
            </w:r>
          </w:p>
        </w:tc>
        <w:tc>
          <w:tcPr>
            <w:tcW w:w="594" w:type="pct"/>
            <w:tcBorders>
              <w:top w:val="single" w:sz="4" w:space="0" w:color="auto"/>
              <w:left w:val="nil"/>
              <w:bottom w:val="single" w:sz="4" w:space="0" w:color="auto"/>
              <w:right w:val="single" w:sz="4" w:space="0" w:color="auto"/>
            </w:tcBorders>
            <w:shd w:val="clear" w:color="auto" w:fill="auto"/>
            <w:noWrap/>
            <w:vAlign w:val="bottom"/>
            <w:hideMark/>
          </w:tcPr>
          <w:p w14:paraId="70A1635E"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single" w:sz="4" w:space="0" w:color="auto"/>
              <w:left w:val="nil"/>
              <w:bottom w:val="single" w:sz="4" w:space="0" w:color="auto"/>
              <w:right w:val="single" w:sz="4" w:space="0" w:color="auto"/>
            </w:tcBorders>
            <w:shd w:val="clear" w:color="auto" w:fill="auto"/>
            <w:noWrap/>
            <w:vAlign w:val="bottom"/>
            <w:hideMark/>
          </w:tcPr>
          <w:p w14:paraId="7A6E045B"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AT</w:t>
            </w:r>
          </w:p>
        </w:tc>
        <w:tc>
          <w:tcPr>
            <w:tcW w:w="416" w:type="pct"/>
            <w:tcBorders>
              <w:top w:val="single" w:sz="4" w:space="0" w:color="auto"/>
              <w:left w:val="nil"/>
              <w:bottom w:val="single" w:sz="4" w:space="0" w:color="auto"/>
              <w:right w:val="single" w:sz="4" w:space="0" w:color="auto"/>
            </w:tcBorders>
            <w:shd w:val="clear" w:color="auto" w:fill="auto"/>
            <w:noWrap/>
            <w:vAlign w:val="bottom"/>
            <w:hideMark/>
          </w:tcPr>
          <w:p w14:paraId="69AA16F5"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DE</w:t>
            </w:r>
          </w:p>
        </w:tc>
        <w:tc>
          <w:tcPr>
            <w:tcW w:w="416" w:type="pct"/>
            <w:tcBorders>
              <w:top w:val="single" w:sz="4" w:space="0" w:color="auto"/>
              <w:left w:val="nil"/>
              <w:bottom w:val="single" w:sz="4" w:space="0" w:color="auto"/>
              <w:right w:val="single" w:sz="4" w:space="0" w:color="auto"/>
            </w:tcBorders>
            <w:shd w:val="clear" w:color="auto" w:fill="auto"/>
            <w:noWrap/>
            <w:vAlign w:val="bottom"/>
            <w:hideMark/>
          </w:tcPr>
          <w:p w14:paraId="3D3FB79B"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SE</w:t>
            </w:r>
          </w:p>
        </w:tc>
        <w:tc>
          <w:tcPr>
            <w:tcW w:w="415" w:type="pct"/>
            <w:tcBorders>
              <w:top w:val="single" w:sz="4" w:space="0" w:color="auto"/>
              <w:left w:val="nil"/>
              <w:bottom w:val="single" w:sz="4" w:space="0" w:color="auto"/>
              <w:right w:val="single" w:sz="4" w:space="0" w:color="auto"/>
            </w:tcBorders>
            <w:shd w:val="clear" w:color="auto" w:fill="auto"/>
            <w:noWrap/>
            <w:vAlign w:val="bottom"/>
            <w:hideMark/>
          </w:tcPr>
          <w:p w14:paraId="50737FC9"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NL</w:t>
            </w:r>
          </w:p>
        </w:tc>
        <w:tc>
          <w:tcPr>
            <w:tcW w:w="415" w:type="pct"/>
            <w:tcBorders>
              <w:top w:val="single" w:sz="4" w:space="0" w:color="auto"/>
              <w:left w:val="nil"/>
              <w:bottom w:val="single" w:sz="4" w:space="0" w:color="auto"/>
              <w:right w:val="single" w:sz="4" w:space="0" w:color="auto"/>
            </w:tcBorders>
            <w:shd w:val="clear" w:color="auto" w:fill="auto"/>
            <w:noWrap/>
            <w:vAlign w:val="bottom"/>
            <w:hideMark/>
          </w:tcPr>
          <w:p w14:paraId="79FA30FC"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ES</w:t>
            </w:r>
          </w:p>
        </w:tc>
        <w:tc>
          <w:tcPr>
            <w:tcW w:w="415" w:type="pct"/>
            <w:tcBorders>
              <w:top w:val="single" w:sz="4" w:space="0" w:color="auto"/>
              <w:left w:val="nil"/>
              <w:bottom w:val="single" w:sz="4" w:space="0" w:color="auto"/>
              <w:right w:val="single" w:sz="4" w:space="0" w:color="auto"/>
            </w:tcBorders>
            <w:shd w:val="clear" w:color="auto" w:fill="auto"/>
            <w:noWrap/>
            <w:vAlign w:val="bottom"/>
            <w:hideMark/>
          </w:tcPr>
          <w:p w14:paraId="0E363421"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IT</w:t>
            </w:r>
          </w:p>
        </w:tc>
        <w:tc>
          <w:tcPr>
            <w:tcW w:w="415" w:type="pct"/>
            <w:tcBorders>
              <w:top w:val="single" w:sz="4" w:space="0" w:color="auto"/>
              <w:left w:val="nil"/>
              <w:bottom w:val="single" w:sz="4" w:space="0" w:color="auto"/>
              <w:right w:val="single" w:sz="4" w:space="0" w:color="auto"/>
            </w:tcBorders>
            <w:shd w:val="clear" w:color="auto" w:fill="auto"/>
            <w:noWrap/>
            <w:vAlign w:val="bottom"/>
            <w:hideMark/>
          </w:tcPr>
          <w:p w14:paraId="507A7DC6"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FR</w:t>
            </w:r>
          </w:p>
        </w:tc>
        <w:tc>
          <w:tcPr>
            <w:tcW w:w="415" w:type="pct"/>
            <w:tcBorders>
              <w:top w:val="single" w:sz="4" w:space="0" w:color="auto"/>
              <w:left w:val="nil"/>
              <w:bottom w:val="single" w:sz="4" w:space="0" w:color="auto"/>
              <w:right w:val="single" w:sz="4" w:space="0" w:color="auto"/>
            </w:tcBorders>
            <w:shd w:val="clear" w:color="auto" w:fill="auto"/>
            <w:noWrap/>
            <w:vAlign w:val="bottom"/>
            <w:hideMark/>
          </w:tcPr>
          <w:p w14:paraId="06380015"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DK</w:t>
            </w:r>
          </w:p>
        </w:tc>
        <w:tc>
          <w:tcPr>
            <w:tcW w:w="413" w:type="pct"/>
            <w:tcBorders>
              <w:top w:val="single" w:sz="4" w:space="0" w:color="auto"/>
              <w:left w:val="nil"/>
              <w:bottom w:val="single" w:sz="4" w:space="0" w:color="auto"/>
              <w:right w:val="single" w:sz="4" w:space="0" w:color="auto"/>
            </w:tcBorders>
            <w:shd w:val="clear" w:color="auto" w:fill="auto"/>
            <w:noWrap/>
            <w:vAlign w:val="bottom"/>
            <w:hideMark/>
          </w:tcPr>
          <w:p w14:paraId="2D67CF5E"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CH</w:t>
            </w:r>
          </w:p>
        </w:tc>
      </w:tr>
      <w:tr w:rsidR="00835FB7" w:rsidRPr="003F149C" w14:paraId="4FEC64CF" w14:textId="77777777" w:rsidTr="00835FB7">
        <w:trPr>
          <w:trHeight w:val="315"/>
        </w:trPr>
        <w:tc>
          <w:tcPr>
            <w:tcW w:w="669" w:type="pct"/>
            <w:tcBorders>
              <w:top w:val="nil"/>
              <w:left w:val="single" w:sz="4" w:space="0" w:color="auto"/>
              <w:bottom w:val="single" w:sz="4" w:space="0" w:color="auto"/>
              <w:right w:val="single" w:sz="4" w:space="0" w:color="auto"/>
            </w:tcBorders>
            <w:shd w:val="clear" w:color="auto" w:fill="auto"/>
            <w:noWrap/>
            <w:hideMark/>
          </w:tcPr>
          <w:p w14:paraId="2A0A2C4A"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594" w:type="pct"/>
            <w:tcBorders>
              <w:top w:val="nil"/>
              <w:left w:val="nil"/>
              <w:bottom w:val="single" w:sz="4" w:space="0" w:color="auto"/>
              <w:right w:val="single" w:sz="4" w:space="0" w:color="auto"/>
            </w:tcBorders>
            <w:shd w:val="clear" w:color="auto" w:fill="auto"/>
            <w:noWrap/>
            <w:vAlign w:val="bottom"/>
            <w:hideMark/>
          </w:tcPr>
          <w:p w14:paraId="6351D6C5"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Constant</w:t>
            </w:r>
          </w:p>
        </w:tc>
        <w:tc>
          <w:tcPr>
            <w:tcW w:w="416" w:type="pct"/>
            <w:tcBorders>
              <w:top w:val="nil"/>
              <w:left w:val="nil"/>
              <w:bottom w:val="single" w:sz="4" w:space="0" w:color="auto"/>
              <w:right w:val="single" w:sz="4" w:space="0" w:color="auto"/>
            </w:tcBorders>
            <w:shd w:val="clear" w:color="000000" w:fill="D8E4BC"/>
            <w:noWrap/>
            <w:vAlign w:val="bottom"/>
            <w:hideMark/>
          </w:tcPr>
          <w:p w14:paraId="55A923C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29,90</w:t>
            </w:r>
          </w:p>
        </w:tc>
        <w:tc>
          <w:tcPr>
            <w:tcW w:w="416" w:type="pct"/>
            <w:tcBorders>
              <w:top w:val="nil"/>
              <w:left w:val="nil"/>
              <w:bottom w:val="single" w:sz="4" w:space="0" w:color="auto"/>
              <w:right w:val="single" w:sz="4" w:space="0" w:color="auto"/>
            </w:tcBorders>
            <w:shd w:val="clear" w:color="000000" w:fill="D8E4BC"/>
            <w:noWrap/>
            <w:vAlign w:val="bottom"/>
            <w:hideMark/>
          </w:tcPr>
          <w:p w14:paraId="54CE4576" w14:textId="77777777" w:rsidR="00835FB7" w:rsidRPr="003F149C" w:rsidRDefault="00835FB7" w:rsidP="00835FB7">
            <w:pPr>
              <w:spacing w:after="0" w:line="240" w:lineRule="auto"/>
              <w:jc w:val="right"/>
              <w:rPr>
                <w:rFonts w:eastAsia="Times New Roman" w:cs="Calibri"/>
                <w:color w:val="000000"/>
                <w:lang w:eastAsia="nl-NL"/>
              </w:rPr>
            </w:pPr>
            <w:r>
              <w:rPr>
                <w:rFonts w:eastAsia="Times New Roman" w:cs="Calibri"/>
                <w:color w:val="000000"/>
                <w:lang w:eastAsia="nl-NL"/>
              </w:rPr>
              <w:t>27,33</w:t>
            </w:r>
          </w:p>
        </w:tc>
        <w:tc>
          <w:tcPr>
            <w:tcW w:w="416" w:type="pct"/>
            <w:tcBorders>
              <w:top w:val="nil"/>
              <w:left w:val="nil"/>
              <w:bottom w:val="single" w:sz="4" w:space="0" w:color="auto"/>
              <w:right w:val="single" w:sz="4" w:space="0" w:color="auto"/>
            </w:tcBorders>
            <w:shd w:val="clear" w:color="000000" w:fill="D8E4BC"/>
            <w:noWrap/>
            <w:vAlign w:val="bottom"/>
            <w:hideMark/>
          </w:tcPr>
          <w:p w14:paraId="084B943D"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27,55</w:t>
            </w:r>
          </w:p>
        </w:tc>
        <w:tc>
          <w:tcPr>
            <w:tcW w:w="415" w:type="pct"/>
            <w:tcBorders>
              <w:top w:val="nil"/>
              <w:left w:val="nil"/>
              <w:bottom w:val="single" w:sz="4" w:space="0" w:color="auto"/>
              <w:right w:val="single" w:sz="4" w:space="0" w:color="auto"/>
            </w:tcBorders>
            <w:shd w:val="clear" w:color="000000" w:fill="D8E4BC"/>
            <w:noWrap/>
            <w:vAlign w:val="bottom"/>
            <w:hideMark/>
          </w:tcPr>
          <w:p w14:paraId="5682AFD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27,68</w:t>
            </w:r>
          </w:p>
        </w:tc>
        <w:tc>
          <w:tcPr>
            <w:tcW w:w="415" w:type="pct"/>
            <w:tcBorders>
              <w:top w:val="nil"/>
              <w:left w:val="nil"/>
              <w:bottom w:val="single" w:sz="4" w:space="0" w:color="auto"/>
              <w:right w:val="single" w:sz="4" w:space="0" w:color="auto"/>
            </w:tcBorders>
            <w:shd w:val="clear" w:color="000000" w:fill="D8E4BC"/>
            <w:noWrap/>
            <w:vAlign w:val="bottom"/>
            <w:hideMark/>
          </w:tcPr>
          <w:p w14:paraId="6EA1AAF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28,03</w:t>
            </w:r>
          </w:p>
        </w:tc>
        <w:tc>
          <w:tcPr>
            <w:tcW w:w="415" w:type="pct"/>
            <w:tcBorders>
              <w:top w:val="nil"/>
              <w:left w:val="nil"/>
              <w:bottom w:val="single" w:sz="4" w:space="0" w:color="auto"/>
              <w:right w:val="single" w:sz="4" w:space="0" w:color="auto"/>
            </w:tcBorders>
            <w:shd w:val="clear" w:color="000000" w:fill="D8E4BC"/>
            <w:noWrap/>
            <w:vAlign w:val="bottom"/>
            <w:hideMark/>
          </w:tcPr>
          <w:p w14:paraId="4B28C55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27,79</w:t>
            </w:r>
          </w:p>
        </w:tc>
        <w:tc>
          <w:tcPr>
            <w:tcW w:w="415" w:type="pct"/>
            <w:tcBorders>
              <w:top w:val="nil"/>
              <w:left w:val="nil"/>
              <w:bottom w:val="single" w:sz="4" w:space="0" w:color="auto"/>
              <w:right w:val="single" w:sz="4" w:space="0" w:color="auto"/>
            </w:tcBorders>
            <w:shd w:val="clear" w:color="000000" w:fill="D8E4BC"/>
            <w:noWrap/>
            <w:vAlign w:val="bottom"/>
            <w:hideMark/>
          </w:tcPr>
          <w:p w14:paraId="7627349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27,36</w:t>
            </w:r>
          </w:p>
        </w:tc>
        <w:tc>
          <w:tcPr>
            <w:tcW w:w="415" w:type="pct"/>
            <w:tcBorders>
              <w:top w:val="nil"/>
              <w:left w:val="nil"/>
              <w:bottom w:val="single" w:sz="4" w:space="0" w:color="auto"/>
              <w:right w:val="single" w:sz="4" w:space="0" w:color="auto"/>
            </w:tcBorders>
            <w:shd w:val="clear" w:color="000000" w:fill="D8E4BC"/>
            <w:noWrap/>
            <w:vAlign w:val="bottom"/>
            <w:hideMark/>
          </w:tcPr>
          <w:p w14:paraId="5919F94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28,43</w:t>
            </w:r>
          </w:p>
        </w:tc>
        <w:tc>
          <w:tcPr>
            <w:tcW w:w="413" w:type="pct"/>
            <w:tcBorders>
              <w:top w:val="nil"/>
              <w:left w:val="nil"/>
              <w:bottom w:val="single" w:sz="4" w:space="0" w:color="auto"/>
              <w:right w:val="single" w:sz="4" w:space="0" w:color="auto"/>
            </w:tcBorders>
            <w:shd w:val="clear" w:color="000000" w:fill="D8E4BC"/>
            <w:noWrap/>
            <w:vAlign w:val="bottom"/>
            <w:hideMark/>
          </w:tcPr>
          <w:p w14:paraId="547CB9B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27,23</w:t>
            </w:r>
          </w:p>
        </w:tc>
      </w:tr>
      <w:tr w:rsidR="00835FB7" w:rsidRPr="003F149C" w14:paraId="71C8DA1C" w14:textId="77777777" w:rsidTr="00835FB7">
        <w:trPr>
          <w:trHeight w:val="300"/>
        </w:trPr>
        <w:tc>
          <w:tcPr>
            <w:tcW w:w="669" w:type="pct"/>
            <w:tcBorders>
              <w:top w:val="nil"/>
              <w:left w:val="single" w:sz="4" w:space="0" w:color="auto"/>
              <w:bottom w:val="single" w:sz="4" w:space="0" w:color="auto"/>
              <w:right w:val="single" w:sz="4" w:space="0" w:color="auto"/>
            </w:tcBorders>
            <w:shd w:val="clear" w:color="auto" w:fill="auto"/>
            <w:noWrap/>
            <w:hideMark/>
          </w:tcPr>
          <w:p w14:paraId="3AE44B2A"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Gender</w:t>
            </w:r>
          </w:p>
        </w:tc>
        <w:tc>
          <w:tcPr>
            <w:tcW w:w="594" w:type="pct"/>
            <w:tcBorders>
              <w:top w:val="nil"/>
              <w:left w:val="nil"/>
              <w:bottom w:val="single" w:sz="4" w:space="0" w:color="auto"/>
              <w:right w:val="single" w:sz="4" w:space="0" w:color="auto"/>
            </w:tcBorders>
            <w:shd w:val="clear" w:color="auto" w:fill="auto"/>
            <w:noWrap/>
            <w:vAlign w:val="bottom"/>
            <w:hideMark/>
          </w:tcPr>
          <w:p w14:paraId="63246EA9"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Female</w:t>
            </w:r>
          </w:p>
        </w:tc>
        <w:tc>
          <w:tcPr>
            <w:tcW w:w="416" w:type="pct"/>
            <w:tcBorders>
              <w:top w:val="nil"/>
              <w:left w:val="nil"/>
              <w:bottom w:val="single" w:sz="4" w:space="0" w:color="auto"/>
              <w:right w:val="single" w:sz="4" w:space="0" w:color="auto"/>
            </w:tcBorders>
            <w:shd w:val="clear" w:color="000000" w:fill="FFFFFF"/>
            <w:noWrap/>
            <w:vAlign w:val="bottom"/>
            <w:hideMark/>
          </w:tcPr>
          <w:p w14:paraId="07B6328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-0,68</w:t>
            </w:r>
          </w:p>
        </w:tc>
        <w:tc>
          <w:tcPr>
            <w:tcW w:w="416" w:type="pct"/>
            <w:tcBorders>
              <w:top w:val="nil"/>
              <w:left w:val="nil"/>
              <w:bottom w:val="single" w:sz="4" w:space="0" w:color="auto"/>
              <w:right w:val="single" w:sz="4" w:space="0" w:color="auto"/>
            </w:tcBorders>
            <w:shd w:val="clear" w:color="000000" w:fill="D8E4BC"/>
            <w:noWrap/>
            <w:vAlign w:val="bottom"/>
            <w:hideMark/>
          </w:tcPr>
          <w:p w14:paraId="73BCEC1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0,30</w:t>
            </w:r>
          </w:p>
        </w:tc>
        <w:tc>
          <w:tcPr>
            <w:tcW w:w="416" w:type="pct"/>
            <w:tcBorders>
              <w:top w:val="nil"/>
              <w:left w:val="nil"/>
              <w:bottom w:val="single" w:sz="4" w:space="0" w:color="auto"/>
              <w:right w:val="single" w:sz="4" w:space="0" w:color="auto"/>
            </w:tcBorders>
            <w:shd w:val="clear" w:color="000000" w:fill="D8E4BC"/>
            <w:noWrap/>
            <w:vAlign w:val="bottom"/>
            <w:hideMark/>
          </w:tcPr>
          <w:p w14:paraId="31B9E4A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-0,77</w:t>
            </w:r>
          </w:p>
        </w:tc>
        <w:tc>
          <w:tcPr>
            <w:tcW w:w="415" w:type="pct"/>
            <w:tcBorders>
              <w:top w:val="nil"/>
              <w:left w:val="nil"/>
              <w:bottom w:val="single" w:sz="4" w:space="0" w:color="auto"/>
              <w:right w:val="single" w:sz="4" w:space="0" w:color="auto"/>
            </w:tcBorders>
            <w:shd w:val="clear" w:color="000000" w:fill="D8E4BC"/>
            <w:noWrap/>
            <w:vAlign w:val="bottom"/>
            <w:hideMark/>
          </w:tcPr>
          <w:p w14:paraId="4386B53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-0,61</w:t>
            </w:r>
          </w:p>
        </w:tc>
        <w:tc>
          <w:tcPr>
            <w:tcW w:w="415" w:type="pct"/>
            <w:tcBorders>
              <w:top w:val="nil"/>
              <w:left w:val="nil"/>
              <w:bottom w:val="single" w:sz="4" w:space="0" w:color="auto"/>
              <w:right w:val="single" w:sz="4" w:space="0" w:color="auto"/>
            </w:tcBorders>
            <w:shd w:val="clear" w:color="000000" w:fill="FFFFFF"/>
            <w:noWrap/>
            <w:vAlign w:val="bottom"/>
            <w:hideMark/>
          </w:tcPr>
          <w:p w14:paraId="21E2B5D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0,25</w:t>
            </w:r>
          </w:p>
        </w:tc>
        <w:tc>
          <w:tcPr>
            <w:tcW w:w="415" w:type="pct"/>
            <w:tcBorders>
              <w:top w:val="nil"/>
              <w:left w:val="nil"/>
              <w:bottom w:val="single" w:sz="4" w:space="0" w:color="auto"/>
              <w:right w:val="single" w:sz="4" w:space="0" w:color="auto"/>
            </w:tcBorders>
            <w:shd w:val="clear" w:color="000000" w:fill="D8E4BC"/>
            <w:noWrap/>
            <w:vAlign w:val="bottom"/>
            <w:hideMark/>
          </w:tcPr>
          <w:p w14:paraId="11665E5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-0,81</w:t>
            </w:r>
          </w:p>
        </w:tc>
        <w:tc>
          <w:tcPr>
            <w:tcW w:w="415" w:type="pct"/>
            <w:tcBorders>
              <w:top w:val="nil"/>
              <w:left w:val="nil"/>
              <w:bottom w:val="single" w:sz="4" w:space="0" w:color="auto"/>
              <w:right w:val="single" w:sz="4" w:space="0" w:color="auto"/>
            </w:tcBorders>
            <w:shd w:val="clear" w:color="000000" w:fill="D8E4BC"/>
            <w:noWrap/>
            <w:vAlign w:val="bottom"/>
            <w:hideMark/>
          </w:tcPr>
          <w:p w14:paraId="1F3EA8D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-0,79</w:t>
            </w:r>
          </w:p>
        </w:tc>
        <w:tc>
          <w:tcPr>
            <w:tcW w:w="415" w:type="pct"/>
            <w:tcBorders>
              <w:top w:val="nil"/>
              <w:left w:val="nil"/>
              <w:bottom w:val="single" w:sz="4" w:space="0" w:color="auto"/>
              <w:right w:val="single" w:sz="4" w:space="0" w:color="auto"/>
            </w:tcBorders>
            <w:shd w:val="clear" w:color="000000" w:fill="D8E4BC"/>
            <w:noWrap/>
            <w:vAlign w:val="bottom"/>
            <w:hideMark/>
          </w:tcPr>
          <w:p w14:paraId="41DF390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-1,18</w:t>
            </w:r>
          </w:p>
        </w:tc>
        <w:tc>
          <w:tcPr>
            <w:tcW w:w="413" w:type="pct"/>
            <w:tcBorders>
              <w:top w:val="nil"/>
              <w:left w:val="nil"/>
              <w:bottom w:val="single" w:sz="4" w:space="0" w:color="auto"/>
              <w:right w:val="single" w:sz="4" w:space="0" w:color="auto"/>
            </w:tcBorders>
            <w:shd w:val="clear" w:color="000000" w:fill="D8E4BC"/>
            <w:noWrap/>
            <w:vAlign w:val="bottom"/>
            <w:hideMark/>
          </w:tcPr>
          <w:p w14:paraId="2B9AEED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-1,01</w:t>
            </w:r>
          </w:p>
        </w:tc>
      </w:tr>
      <w:tr w:rsidR="00835FB7" w:rsidRPr="003F149C" w14:paraId="2C3BCB61" w14:textId="77777777" w:rsidTr="00835FB7">
        <w:trPr>
          <w:trHeight w:val="300"/>
        </w:trPr>
        <w:tc>
          <w:tcPr>
            <w:tcW w:w="669" w:type="pct"/>
            <w:vMerge w:val="restart"/>
            <w:tcBorders>
              <w:top w:val="nil"/>
              <w:left w:val="single" w:sz="4" w:space="0" w:color="auto"/>
              <w:bottom w:val="single" w:sz="4" w:space="0" w:color="auto"/>
              <w:right w:val="single" w:sz="4" w:space="0" w:color="auto"/>
            </w:tcBorders>
            <w:shd w:val="clear" w:color="auto" w:fill="auto"/>
            <w:hideMark/>
          </w:tcPr>
          <w:p w14:paraId="41644C9F"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xml:space="preserve">Agegroup base: 1 </w:t>
            </w:r>
          </w:p>
        </w:tc>
        <w:tc>
          <w:tcPr>
            <w:tcW w:w="594" w:type="pct"/>
            <w:tcBorders>
              <w:top w:val="nil"/>
              <w:left w:val="nil"/>
              <w:bottom w:val="single" w:sz="4" w:space="0" w:color="auto"/>
              <w:right w:val="single" w:sz="4" w:space="0" w:color="auto"/>
            </w:tcBorders>
            <w:shd w:val="clear" w:color="auto" w:fill="auto"/>
            <w:noWrap/>
            <w:vAlign w:val="bottom"/>
            <w:hideMark/>
          </w:tcPr>
          <w:p w14:paraId="3FDC51B1"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Group 2</w:t>
            </w:r>
          </w:p>
        </w:tc>
        <w:tc>
          <w:tcPr>
            <w:tcW w:w="416" w:type="pct"/>
            <w:tcBorders>
              <w:top w:val="nil"/>
              <w:left w:val="nil"/>
              <w:bottom w:val="single" w:sz="4" w:space="0" w:color="auto"/>
              <w:right w:val="single" w:sz="4" w:space="0" w:color="auto"/>
            </w:tcBorders>
            <w:shd w:val="clear" w:color="000000" w:fill="D8E4BC"/>
            <w:noWrap/>
            <w:vAlign w:val="bottom"/>
            <w:hideMark/>
          </w:tcPr>
          <w:p w14:paraId="0236DCA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-1,74</w:t>
            </w:r>
          </w:p>
        </w:tc>
        <w:tc>
          <w:tcPr>
            <w:tcW w:w="416" w:type="pct"/>
            <w:tcBorders>
              <w:top w:val="nil"/>
              <w:left w:val="nil"/>
              <w:bottom w:val="single" w:sz="4" w:space="0" w:color="auto"/>
              <w:right w:val="single" w:sz="4" w:space="0" w:color="auto"/>
            </w:tcBorders>
            <w:shd w:val="clear" w:color="000000" w:fill="FFFFFF"/>
            <w:noWrap/>
            <w:vAlign w:val="bottom"/>
            <w:hideMark/>
          </w:tcPr>
          <w:p w14:paraId="0DBBB4F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0,33</w:t>
            </w:r>
          </w:p>
        </w:tc>
        <w:tc>
          <w:tcPr>
            <w:tcW w:w="416" w:type="pct"/>
            <w:tcBorders>
              <w:top w:val="nil"/>
              <w:left w:val="nil"/>
              <w:bottom w:val="single" w:sz="4" w:space="0" w:color="auto"/>
              <w:right w:val="single" w:sz="4" w:space="0" w:color="auto"/>
            </w:tcBorders>
            <w:shd w:val="clear" w:color="000000" w:fill="D8E4BC"/>
            <w:noWrap/>
            <w:vAlign w:val="bottom"/>
            <w:hideMark/>
          </w:tcPr>
          <w:p w14:paraId="751AD18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-0,58</w:t>
            </w:r>
          </w:p>
        </w:tc>
        <w:tc>
          <w:tcPr>
            <w:tcW w:w="415" w:type="pct"/>
            <w:tcBorders>
              <w:top w:val="nil"/>
              <w:left w:val="nil"/>
              <w:bottom w:val="single" w:sz="4" w:space="0" w:color="auto"/>
              <w:right w:val="single" w:sz="4" w:space="0" w:color="auto"/>
            </w:tcBorders>
            <w:shd w:val="clear" w:color="000000" w:fill="D8E4BC"/>
            <w:noWrap/>
            <w:vAlign w:val="bottom"/>
            <w:hideMark/>
          </w:tcPr>
          <w:p w14:paraId="20E44E48"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-0,73</w:t>
            </w:r>
          </w:p>
        </w:tc>
        <w:tc>
          <w:tcPr>
            <w:tcW w:w="415" w:type="pct"/>
            <w:tcBorders>
              <w:top w:val="nil"/>
              <w:left w:val="nil"/>
              <w:bottom w:val="single" w:sz="4" w:space="0" w:color="auto"/>
              <w:right w:val="single" w:sz="4" w:space="0" w:color="auto"/>
            </w:tcBorders>
            <w:shd w:val="clear" w:color="000000" w:fill="FFFFFF"/>
            <w:noWrap/>
            <w:vAlign w:val="bottom"/>
            <w:hideMark/>
          </w:tcPr>
          <w:p w14:paraId="719BE2E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-0,07</w:t>
            </w:r>
          </w:p>
        </w:tc>
        <w:tc>
          <w:tcPr>
            <w:tcW w:w="415" w:type="pct"/>
            <w:tcBorders>
              <w:top w:val="nil"/>
              <w:left w:val="nil"/>
              <w:bottom w:val="single" w:sz="4" w:space="0" w:color="auto"/>
              <w:right w:val="single" w:sz="4" w:space="0" w:color="auto"/>
            </w:tcBorders>
            <w:shd w:val="clear" w:color="000000" w:fill="D8E4BC"/>
            <w:noWrap/>
            <w:vAlign w:val="bottom"/>
            <w:hideMark/>
          </w:tcPr>
          <w:p w14:paraId="045D252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-0,53</w:t>
            </w:r>
          </w:p>
        </w:tc>
        <w:tc>
          <w:tcPr>
            <w:tcW w:w="415" w:type="pct"/>
            <w:tcBorders>
              <w:top w:val="nil"/>
              <w:left w:val="nil"/>
              <w:bottom w:val="single" w:sz="4" w:space="0" w:color="auto"/>
              <w:right w:val="single" w:sz="4" w:space="0" w:color="auto"/>
            </w:tcBorders>
            <w:shd w:val="clear" w:color="000000" w:fill="D8E4BC"/>
            <w:noWrap/>
            <w:vAlign w:val="bottom"/>
            <w:hideMark/>
          </w:tcPr>
          <w:p w14:paraId="0466B2EB"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-0,79</w:t>
            </w:r>
          </w:p>
        </w:tc>
        <w:tc>
          <w:tcPr>
            <w:tcW w:w="415" w:type="pct"/>
            <w:tcBorders>
              <w:top w:val="nil"/>
              <w:left w:val="nil"/>
              <w:bottom w:val="single" w:sz="4" w:space="0" w:color="auto"/>
              <w:right w:val="single" w:sz="4" w:space="0" w:color="auto"/>
            </w:tcBorders>
            <w:shd w:val="clear" w:color="000000" w:fill="D8E4BC"/>
            <w:noWrap/>
            <w:vAlign w:val="bottom"/>
            <w:hideMark/>
          </w:tcPr>
          <w:p w14:paraId="72EA96D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-1,15</w:t>
            </w:r>
          </w:p>
        </w:tc>
        <w:tc>
          <w:tcPr>
            <w:tcW w:w="413" w:type="pct"/>
            <w:tcBorders>
              <w:top w:val="nil"/>
              <w:left w:val="nil"/>
              <w:bottom w:val="single" w:sz="4" w:space="0" w:color="auto"/>
              <w:right w:val="single" w:sz="4" w:space="0" w:color="auto"/>
            </w:tcBorders>
            <w:shd w:val="clear" w:color="000000" w:fill="D8E4BC"/>
            <w:noWrap/>
            <w:vAlign w:val="bottom"/>
            <w:hideMark/>
          </w:tcPr>
          <w:p w14:paraId="2CAAB70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-0,75</w:t>
            </w:r>
          </w:p>
        </w:tc>
      </w:tr>
      <w:tr w:rsidR="00835FB7" w:rsidRPr="003F149C" w14:paraId="7D10175C" w14:textId="77777777" w:rsidTr="00835FB7">
        <w:trPr>
          <w:trHeight w:val="300"/>
        </w:trPr>
        <w:tc>
          <w:tcPr>
            <w:tcW w:w="669" w:type="pct"/>
            <w:vMerge/>
            <w:tcBorders>
              <w:top w:val="nil"/>
              <w:left w:val="single" w:sz="4" w:space="0" w:color="auto"/>
              <w:bottom w:val="single" w:sz="4" w:space="0" w:color="auto"/>
              <w:right w:val="single" w:sz="4" w:space="0" w:color="auto"/>
            </w:tcBorders>
            <w:vAlign w:val="center"/>
            <w:hideMark/>
          </w:tcPr>
          <w:p w14:paraId="0CF60130" w14:textId="77777777" w:rsidR="00835FB7" w:rsidRPr="003F149C" w:rsidRDefault="00835FB7" w:rsidP="00835FB7">
            <w:pPr>
              <w:spacing w:after="0" w:line="240" w:lineRule="auto"/>
              <w:rPr>
                <w:rFonts w:eastAsia="Times New Roman" w:cs="Calibri"/>
                <w:color w:val="000000"/>
                <w:lang w:eastAsia="nl-NL"/>
              </w:rPr>
            </w:pPr>
          </w:p>
        </w:tc>
        <w:tc>
          <w:tcPr>
            <w:tcW w:w="594" w:type="pct"/>
            <w:tcBorders>
              <w:top w:val="nil"/>
              <w:left w:val="nil"/>
              <w:bottom w:val="single" w:sz="4" w:space="0" w:color="auto"/>
              <w:right w:val="single" w:sz="4" w:space="0" w:color="auto"/>
            </w:tcBorders>
            <w:shd w:val="clear" w:color="auto" w:fill="auto"/>
            <w:noWrap/>
            <w:vAlign w:val="bottom"/>
            <w:hideMark/>
          </w:tcPr>
          <w:p w14:paraId="549843B6"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Group 3</w:t>
            </w:r>
          </w:p>
        </w:tc>
        <w:tc>
          <w:tcPr>
            <w:tcW w:w="416" w:type="pct"/>
            <w:tcBorders>
              <w:top w:val="nil"/>
              <w:left w:val="nil"/>
              <w:bottom w:val="single" w:sz="4" w:space="0" w:color="auto"/>
              <w:right w:val="single" w:sz="4" w:space="0" w:color="auto"/>
            </w:tcBorders>
            <w:shd w:val="clear" w:color="000000" w:fill="D8E4BC"/>
            <w:noWrap/>
            <w:vAlign w:val="bottom"/>
            <w:hideMark/>
          </w:tcPr>
          <w:p w14:paraId="706A7C9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-3,39</w:t>
            </w:r>
          </w:p>
        </w:tc>
        <w:tc>
          <w:tcPr>
            <w:tcW w:w="416" w:type="pct"/>
            <w:tcBorders>
              <w:top w:val="nil"/>
              <w:left w:val="nil"/>
              <w:bottom w:val="single" w:sz="4" w:space="0" w:color="auto"/>
              <w:right w:val="single" w:sz="4" w:space="0" w:color="auto"/>
            </w:tcBorders>
            <w:shd w:val="clear" w:color="000000" w:fill="FFFFFF"/>
            <w:noWrap/>
            <w:vAlign w:val="bottom"/>
            <w:hideMark/>
          </w:tcPr>
          <w:p w14:paraId="4039FCF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0,78</w:t>
            </w:r>
          </w:p>
        </w:tc>
        <w:tc>
          <w:tcPr>
            <w:tcW w:w="416" w:type="pct"/>
            <w:tcBorders>
              <w:top w:val="nil"/>
              <w:left w:val="nil"/>
              <w:bottom w:val="single" w:sz="4" w:space="0" w:color="auto"/>
              <w:right w:val="single" w:sz="4" w:space="0" w:color="auto"/>
            </w:tcBorders>
            <w:shd w:val="clear" w:color="000000" w:fill="D8E4BC"/>
            <w:noWrap/>
            <w:vAlign w:val="bottom"/>
            <w:hideMark/>
          </w:tcPr>
          <w:p w14:paraId="0BAADA1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-2,20</w:t>
            </w:r>
          </w:p>
        </w:tc>
        <w:tc>
          <w:tcPr>
            <w:tcW w:w="415" w:type="pct"/>
            <w:tcBorders>
              <w:top w:val="nil"/>
              <w:left w:val="nil"/>
              <w:bottom w:val="single" w:sz="4" w:space="0" w:color="auto"/>
              <w:right w:val="single" w:sz="4" w:space="0" w:color="auto"/>
            </w:tcBorders>
            <w:shd w:val="clear" w:color="000000" w:fill="D8E4BC"/>
            <w:noWrap/>
            <w:vAlign w:val="bottom"/>
            <w:hideMark/>
          </w:tcPr>
          <w:p w14:paraId="347E557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-2,35</w:t>
            </w:r>
          </w:p>
        </w:tc>
        <w:tc>
          <w:tcPr>
            <w:tcW w:w="415" w:type="pct"/>
            <w:tcBorders>
              <w:top w:val="nil"/>
              <w:left w:val="nil"/>
              <w:bottom w:val="single" w:sz="4" w:space="0" w:color="auto"/>
              <w:right w:val="single" w:sz="4" w:space="0" w:color="auto"/>
            </w:tcBorders>
            <w:shd w:val="clear" w:color="000000" w:fill="D8E4BC"/>
            <w:noWrap/>
            <w:vAlign w:val="bottom"/>
            <w:hideMark/>
          </w:tcPr>
          <w:p w14:paraId="6DA18248"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-1,07</w:t>
            </w:r>
          </w:p>
        </w:tc>
        <w:tc>
          <w:tcPr>
            <w:tcW w:w="415" w:type="pct"/>
            <w:tcBorders>
              <w:top w:val="nil"/>
              <w:left w:val="nil"/>
              <w:bottom w:val="single" w:sz="4" w:space="0" w:color="auto"/>
              <w:right w:val="single" w:sz="4" w:space="0" w:color="auto"/>
            </w:tcBorders>
            <w:shd w:val="clear" w:color="000000" w:fill="D8E4BC"/>
            <w:noWrap/>
            <w:vAlign w:val="bottom"/>
            <w:hideMark/>
          </w:tcPr>
          <w:p w14:paraId="680FEC0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-1,16</w:t>
            </w:r>
          </w:p>
        </w:tc>
        <w:tc>
          <w:tcPr>
            <w:tcW w:w="415" w:type="pct"/>
            <w:tcBorders>
              <w:top w:val="nil"/>
              <w:left w:val="nil"/>
              <w:bottom w:val="single" w:sz="4" w:space="0" w:color="auto"/>
              <w:right w:val="single" w:sz="4" w:space="0" w:color="auto"/>
            </w:tcBorders>
            <w:shd w:val="clear" w:color="000000" w:fill="D8E4BC"/>
            <w:noWrap/>
            <w:vAlign w:val="bottom"/>
            <w:hideMark/>
          </w:tcPr>
          <w:p w14:paraId="45DDD94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-2,50</w:t>
            </w:r>
          </w:p>
        </w:tc>
        <w:tc>
          <w:tcPr>
            <w:tcW w:w="415" w:type="pct"/>
            <w:tcBorders>
              <w:top w:val="nil"/>
              <w:left w:val="nil"/>
              <w:bottom w:val="single" w:sz="4" w:space="0" w:color="auto"/>
              <w:right w:val="single" w:sz="4" w:space="0" w:color="auto"/>
            </w:tcBorders>
            <w:shd w:val="clear" w:color="000000" w:fill="D8E4BC"/>
            <w:noWrap/>
            <w:vAlign w:val="bottom"/>
            <w:hideMark/>
          </w:tcPr>
          <w:p w14:paraId="6AE5366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-2,68</w:t>
            </w:r>
          </w:p>
        </w:tc>
        <w:tc>
          <w:tcPr>
            <w:tcW w:w="413" w:type="pct"/>
            <w:tcBorders>
              <w:top w:val="nil"/>
              <w:left w:val="nil"/>
              <w:bottom w:val="single" w:sz="4" w:space="0" w:color="auto"/>
              <w:right w:val="single" w:sz="4" w:space="0" w:color="auto"/>
            </w:tcBorders>
            <w:shd w:val="clear" w:color="000000" w:fill="D8E4BC"/>
            <w:noWrap/>
            <w:vAlign w:val="bottom"/>
            <w:hideMark/>
          </w:tcPr>
          <w:p w14:paraId="7664334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-1,97</w:t>
            </w:r>
          </w:p>
        </w:tc>
      </w:tr>
      <w:tr w:rsidR="00835FB7" w:rsidRPr="003F149C" w14:paraId="6E96E1AF" w14:textId="77777777" w:rsidTr="00835FB7">
        <w:trPr>
          <w:trHeight w:val="300"/>
        </w:trPr>
        <w:tc>
          <w:tcPr>
            <w:tcW w:w="669" w:type="pct"/>
            <w:vMerge w:val="restart"/>
            <w:tcBorders>
              <w:top w:val="nil"/>
              <w:left w:val="single" w:sz="4" w:space="0" w:color="auto"/>
              <w:bottom w:val="single" w:sz="4" w:space="0" w:color="auto"/>
              <w:right w:val="single" w:sz="4" w:space="0" w:color="auto"/>
            </w:tcBorders>
            <w:shd w:val="clear" w:color="auto" w:fill="auto"/>
            <w:hideMark/>
          </w:tcPr>
          <w:p w14:paraId="6D5D2C44"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ISCED base: Low</w:t>
            </w:r>
          </w:p>
        </w:tc>
        <w:tc>
          <w:tcPr>
            <w:tcW w:w="594" w:type="pct"/>
            <w:tcBorders>
              <w:top w:val="nil"/>
              <w:left w:val="nil"/>
              <w:bottom w:val="single" w:sz="4" w:space="0" w:color="auto"/>
              <w:right w:val="single" w:sz="4" w:space="0" w:color="auto"/>
            </w:tcBorders>
            <w:shd w:val="clear" w:color="auto" w:fill="auto"/>
            <w:noWrap/>
            <w:vAlign w:val="bottom"/>
            <w:hideMark/>
          </w:tcPr>
          <w:p w14:paraId="2A7812AF"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Mid</w:t>
            </w:r>
          </w:p>
        </w:tc>
        <w:tc>
          <w:tcPr>
            <w:tcW w:w="416" w:type="pct"/>
            <w:tcBorders>
              <w:top w:val="nil"/>
              <w:left w:val="nil"/>
              <w:bottom w:val="single" w:sz="4" w:space="0" w:color="auto"/>
              <w:right w:val="single" w:sz="4" w:space="0" w:color="auto"/>
            </w:tcBorders>
            <w:shd w:val="clear" w:color="000000" w:fill="D8E4BC"/>
            <w:noWrap/>
            <w:vAlign w:val="bottom"/>
            <w:hideMark/>
          </w:tcPr>
          <w:p w14:paraId="5B717F4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-0,56</w:t>
            </w:r>
          </w:p>
        </w:tc>
        <w:tc>
          <w:tcPr>
            <w:tcW w:w="416" w:type="pct"/>
            <w:tcBorders>
              <w:top w:val="nil"/>
              <w:left w:val="nil"/>
              <w:bottom w:val="single" w:sz="4" w:space="0" w:color="auto"/>
              <w:right w:val="single" w:sz="4" w:space="0" w:color="auto"/>
            </w:tcBorders>
            <w:shd w:val="clear" w:color="000000" w:fill="FFFFFF"/>
            <w:noWrap/>
            <w:vAlign w:val="bottom"/>
            <w:hideMark/>
          </w:tcPr>
          <w:p w14:paraId="2C2D312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0,51</w:t>
            </w:r>
          </w:p>
        </w:tc>
        <w:tc>
          <w:tcPr>
            <w:tcW w:w="416" w:type="pct"/>
            <w:tcBorders>
              <w:top w:val="nil"/>
              <w:left w:val="nil"/>
              <w:bottom w:val="single" w:sz="4" w:space="0" w:color="auto"/>
              <w:right w:val="single" w:sz="4" w:space="0" w:color="auto"/>
            </w:tcBorders>
            <w:shd w:val="clear" w:color="000000" w:fill="FFFFFF"/>
            <w:noWrap/>
            <w:vAlign w:val="bottom"/>
            <w:hideMark/>
          </w:tcPr>
          <w:p w14:paraId="5CC41F0D"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-0,12</w:t>
            </w:r>
          </w:p>
        </w:tc>
        <w:tc>
          <w:tcPr>
            <w:tcW w:w="415" w:type="pct"/>
            <w:tcBorders>
              <w:top w:val="nil"/>
              <w:left w:val="nil"/>
              <w:bottom w:val="single" w:sz="4" w:space="0" w:color="auto"/>
              <w:right w:val="single" w:sz="4" w:space="0" w:color="auto"/>
            </w:tcBorders>
            <w:shd w:val="clear" w:color="000000" w:fill="FFFFFF"/>
            <w:noWrap/>
            <w:vAlign w:val="bottom"/>
            <w:hideMark/>
          </w:tcPr>
          <w:p w14:paraId="6AE82D28"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-0,43</w:t>
            </w:r>
          </w:p>
        </w:tc>
        <w:tc>
          <w:tcPr>
            <w:tcW w:w="415" w:type="pct"/>
            <w:tcBorders>
              <w:top w:val="nil"/>
              <w:left w:val="nil"/>
              <w:bottom w:val="single" w:sz="4" w:space="0" w:color="auto"/>
              <w:right w:val="single" w:sz="4" w:space="0" w:color="auto"/>
            </w:tcBorders>
            <w:shd w:val="clear" w:color="000000" w:fill="D8E4BC"/>
            <w:noWrap/>
            <w:vAlign w:val="bottom"/>
            <w:hideMark/>
          </w:tcPr>
          <w:p w14:paraId="681945E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-1,69</w:t>
            </w:r>
          </w:p>
        </w:tc>
        <w:tc>
          <w:tcPr>
            <w:tcW w:w="415" w:type="pct"/>
            <w:tcBorders>
              <w:top w:val="nil"/>
              <w:left w:val="nil"/>
              <w:bottom w:val="single" w:sz="4" w:space="0" w:color="auto"/>
              <w:right w:val="single" w:sz="4" w:space="0" w:color="auto"/>
            </w:tcBorders>
            <w:shd w:val="clear" w:color="000000" w:fill="D8E4BC"/>
            <w:noWrap/>
            <w:vAlign w:val="bottom"/>
            <w:hideMark/>
          </w:tcPr>
          <w:p w14:paraId="2C9B77D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-0,97</w:t>
            </w:r>
          </w:p>
        </w:tc>
        <w:tc>
          <w:tcPr>
            <w:tcW w:w="415" w:type="pct"/>
            <w:tcBorders>
              <w:top w:val="nil"/>
              <w:left w:val="nil"/>
              <w:bottom w:val="single" w:sz="4" w:space="0" w:color="auto"/>
              <w:right w:val="single" w:sz="4" w:space="0" w:color="auto"/>
            </w:tcBorders>
            <w:shd w:val="clear" w:color="000000" w:fill="FFFFFF"/>
            <w:noWrap/>
            <w:vAlign w:val="bottom"/>
            <w:hideMark/>
          </w:tcPr>
          <w:p w14:paraId="6350A96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0,03</w:t>
            </w:r>
          </w:p>
        </w:tc>
        <w:tc>
          <w:tcPr>
            <w:tcW w:w="415" w:type="pct"/>
            <w:tcBorders>
              <w:top w:val="nil"/>
              <w:left w:val="nil"/>
              <w:bottom w:val="single" w:sz="4" w:space="0" w:color="auto"/>
              <w:right w:val="single" w:sz="4" w:space="0" w:color="auto"/>
            </w:tcBorders>
            <w:shd w:val="clear" w:color="000000" w:fill="95B3D7"/>
            <w:noWrap/>
            <w:vAlign w:val="bottom"/>
            <w:hideMark/>
          </w:tcPr>
          <w:p w14:paraId="287EABE8"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-0,69</w:t>
            </w:r>
          </w:p>
        </w:tc>
        <w:tc>
          <w:tcPr>
            <w:tcW w:w="413" w:type="pct"/>
            <w:tcBorders>
              <w:top w:val="nil"/>
              <w:left w:val="nil"/>
              <w:bottom w:val="single" w:sz="4" w:space="0" w:color="auto"/>
              <w:right w:val="single" w:sz="4" w:space="0" w:color="auto"/>
            </w:tcBorders>
            <w:shd w:val="clear" w:color="000000" w:fill="FFFFFF"/>
            <w:noWrap/>
            <w:vAlign w:val="bottom"/>
            <w:hideMark/>
          </w:tcPr>
          <w:p w14:paraId="1E95A99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-0,30</w:t>
            </w:r>
          </w:p>
        </w:tc>
      </w:tr>
      <w:tr w:rsidR="00835FB7" w:rsidRPr="003F149C" w14:paraId="3C6D343D" w14:textId="77777777" w:rsidTr="00835FB7">
        <w:trPr>
          <w:trHeight w:val="300"/>
        </w:trPr>
        <w:tc>
          <w:tcPr>
            <w:tcW w:w="669" w:type="pct"/>
            <w:vMerge/>
            <w:tcBorders>
              <w:top w:val="nil"/>
              <w:left w:val="single" w:sz="4" w:space="0" w:color="auto"/>
              <w:bottom w:val="single" w:sz="4" w:space="0" w:color="auto"/>
              <w:right w:val="single" w:sz="4" w:space="0" w:color="auto"/>
            </w:tcBorders>
            <w:vAlign w:val="center"/>
            <w:hideMark/>
          </w:tcPr>
          <w:p w14:paraId="2D5CF7C1" w14:textId="77777777" w:rsidR="00835FB7" w:rsidRPr="003F149C" w:rsidRDefault="00835FB7" w:rsidP="00835FB7">
            <w:pPr>
              <w:spacing w:after="0" w:line="240" w:lineRule="auto"/>
              <w:rPr>
                <w:rFonts w:eastAsia="Times New Roman" w:cs="Calibri"/>
                <w:color w:val="000000"/>
                <w:lang w:eastAsia="nl-NL"/>
              </w:rPr>
            </w:pPr>
          </w:p>
        </w:tc>
        <w:tc>
          <w:tcPr>
            <w:tcW w:w="594" w:type="pct"/>
            <w:tcBorders>
              <w:top w:val="nil"/>
              <w:left w:val="nil"/>
              <w:bottom w:val="single" w:sz="4" w:space="0" w:color="auto"/>
              <w:right w:val="single" w:sz="4" w:space="0" w:color="auto"/>
            </w:tcBorders>
            <w:shd w:val="clear" w:color="auto" w:fill="auto"/>
            <w:noWrap/>
            <w:vAlign w:val="bottom"/>
            <w:hideMark/>
          </w:tcPr>
          <w:p w14:paraId="62996048"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High</w:t>
            </w:r>
          </w:p>
        </w:tc>
        <w:tc>
          <w:tcPr>
            <w:tcW w:w="416" w:type="pct"/>
            <w:tcBorders>
              <w:top w:val="nil"/>
              <w:left w:val="nil"/>
              <w:bottom w:val="single" w:sz="4" w:space="0" w:color="auto"/>
              <w:right w:val="single" w:sz="4" w:space="0" w:color="auto"/>
            </w:tcBorders>
            <w:shd w:val="clear" w:color="000000" w:fill="FFFFFF"/>
            <w:noWrap/>
            <w:vAlign w:val="bottom"/>
            <w:hideMark/>
          </w:tcPr>
          <w:p w14:paraId="310F9AB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-0,80</w:t>
            </w:r>
          </w:p>
        </w:tc>
        <w:tc>
          <w:tcPr>
            <w:tcW w:w="416" w:type="pct"/>
            <w:tcBorders>
              <w:top w:val="nil"/>
              <w:left w:val="nil"/>
              <w:bottom w:val="single" w:sz="4" w:space="0" w:color="auto"/>
              <w:right w:val="single" w:sz="4" w:space="0" w:color="auto"/>
            </w:tcBorders>
            <w:shd w:val="clear" w:color="000000" w:fill="D8E4BC"/>
            <w:noWrap/>
            <w:vAlign w:val="bottom"/>
            <w:hideMark/>
          </w:tcPr>
          <w:p w14:paraId="3EAE982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0,52</w:t>
            </w:r>
          </w:p>
        </w:tc>
        <w:tc>
          <w:tcPr>
            <w:tcW w:w="416" w:type="pct"/>
            <w:tcBorders>
              <w:top w:val="nil"/>
              <w:left w:val="nil"/>
              <w:bottom w:val="single" w:sz="4" w:space="0" w:color="auto"/>
              <w:right w:val="single" w:sz="4" w:space="0" w:color="auto"/>
            </w:tcBorders>
            <w:shd w:val="clear" w:color="000000" w:fill="D8E4BC"/>
            <w:noWrap/>
            <w:vAlign w:val="bottom"/>
            <w:hideMark/>
          </w:tcPr>
          <w:p w14:paraId="4B0EC7F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-1,20</w:t>
            </w:r>
          </w:p>
        </w:tc>
        <w:tc>
          <w:tcPr>
            <w:tcW w:w="415" w:type="pct"/>
            <w:tcBorders>
              <w:top w:val="nil"/>
              <w:left w:val="nil"/>
              <w:bottom w:val="single" w:sz="4" w:space="0" w:color="auto"/>
              <w:right w:val="single" w:sz="4" w:space="0" w:color="auto"/>
            </w:tcBorders>
            <w:shd w:val="clear" w:color="000000" w:fill="D8E4BC"/>
            <w:noWrap/>
            <w:vAlign w:val="bottom"/>
            <w:hideMark/>
          </w:tcPr>
          <w:p w14:paraId="1119F50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-1,22</w:t>
            </w:r>
          </w:p>
        </w:tc>
        <w:tc>
          <w:tcPr>
            <w:tcW w:w="415" w:type="pct"/>
            <w:tcBorders>
              <w:top w:val="nil"/>
              <w:left w:val="nil"/>
              <w:bottom w:val="single" w:sz="4" w:space="0" w:color="auto"/>
              <w:right w:val="single" w:sz="4" w:space="0" w:color="auto"/>
            </w:tcBorders>
            <w:shd w:val="clear" w:color="000000" w:fill="FFFFFF"/>
            <w:noWrap/>
            <w:vAlign w:val="bottom"/>
            <w:hideMark/>
          </w:tcPr>
          <w:p w14:paraId="2BD993B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0,31</w:t>
            </w:r>
          </w:p>
        </w:tc>
        <w:tc>
          <w:tcPr>
            <w:tcW w:w="415" w:type="pct"/>
            <w:tcBorders>
              <w:top w:val="nil"/>
              <w:left w:val="nil"/>
              <w:bottom w:val="single" w:sz="4" w:space="0" w:color="auto"/>
              <w:right w:val="single" w:sz="4" w:space="0" w:color="auto"/>
            </w:tcBorders>
            <w:shd w:val="clear" w:color="auto" w:fill="auto"/>
            <w:noWrap/>
            <w:vAlign w:val="bottom"/>
            <w:hideMark/>
          </w:tcPr>
          <w:p w14:paraId="55039CBB"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-0,47</w:t>
            </w:r>
          </w:p>
        </w:tc>
        <w:tc>
          <w:tcPr>
            <w:tcW w:w="415" w:type="pct"/>
            <w:tcBorders>
              <w:top w:val="nil"/>
              <w:left w:val="nil"/>
              <w:bottom w:val="single" w:sz="4" w:space="0" w:color="auto"/>
              <w:right w:val="single" w:sz="4" w:space="0" w:color="auto"/>
            </w:tcBorders>
            <w:shd w:val="clear" w:color="000000" w:fill="FFFFFF"/>
            <w:noWrap/>
            <w:vAlign w:val="bottom"/>
            <w:hideMark/>
          </w:tcPr>
          <w:p w14:paraId="06A08AF4"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-0,19</w:t>
            </w:r>
          </w:p>
        </w:tc>
        <w:tc>
          <w:tcPr>
            <w:tcW w:w="415" w:type="pct"/>
            <w:tcBorders>
              <w:top w:val="nil"/>
              <w:left w:val="nil"/>
              <w:bottom w:val="single" w:sz="4" w:space="0" w:color="auto"/>
              <w:right w:val="single" w:sz="4" w:space="0" w:color="auto"/>
            </w:tcBorders>
            <w:shd w:val="clear" w:color="000000" w:fill="D8E4BC"/>
            <w:noWrap/>
            <w:vAlign w:val="bottom"/>
            <w:hideMark/>
          </w:tcPr>
          <w:p w14:paraId="57FF5E0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-1,63</w:t>
            </w:r>
          </w:p>
        </w:tc>
        <w:tc>
          <w:tcPr>
            <w:tcW w:w="413" w:type="pct"/>
            <w:tcBorders>
              <w:top w:val="nil"/>
              <w:left w:val="nil"/>
              <w:bottom w:val="single" w:sz="4" w:space="0" w:color="auto"/>
              <w:right w:val="single" w:sz="4" w:space="0" w:color="auto"/>
            </w:tcBorders>
            <w:shd w:val="clear" w:color="000000" w:fill="D8E4BC"/>
            <w:noWrap/>
            <w:vAlign w:val="bottom"/>
            <w:hideMark/>
          </w:tcPr>
          <w:p w14:paraId="7AC6EC89"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-1,76</w:t>
            </w:r>
          </w:p>
        </w:tc>
      </w:tr>
      <w:tr w:rsidR="00835FB7" w:rsidRPr="003F149C" w14:paraId="71392D9B" w14:textId="77777777" w:rsidTr="00835FB7">
        <w:trPr>
          <w:trHeight w:val="300"/>
        </w:trPr>
        <w:tc>
          <w:tcPr>
            <w:tcW w:w="669" w:type="pct"/>
            <w:tcBorders>
              <w:top w:val="nil"/>
              <w:left w:val="single" w:sz="4" w:space="0" w:color="auto"/>
              <w:bottom w:val="single" w:sz="4" w:space="0" w:color="auto"/>
              <w:right w:val="single" w:sz="4" w:space="0" w:color="auto"/>
            </w:tcBorders>
            <w:shd w:val="clear" w:color="000000" w:fill="FFFFFF"/>
            <w:vAlign w:val="bottom"/>
            <w:hideMark/>
          </w:tcPr>
          <w:p w14:paraId="4479D45D"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Active</w:t>
            </w:r>
          </w:p>
        </w:tc>
        <w:tc>
          <w:tcPr>
            <w:tcW w:w="594" w:type="pct"/>
            <w:tcBorders>
              <w:top w:val="nil"/>
              <w:left w:val="nil"/>
              <w:bottom w:val="single" w:sz="4" w:space="0" w:color="auto"/>
              <w:right w:val="single" w:sz="4" w:space="0" w:color="auto"/>
            </w:tcBorders>
            <w:shd w:val="clear" w:color="000000" w:fill="FFFFFF"/>
            <w:noWrap/>
            <w:vAlign w:val="bottom"/>
            <w:hideMark/>
          </w:tcPr>
          <w:p w14:paraId="10D4C336"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Weekly</w:t>
            </w:r>
          </w:p>
        </w:tc>
        <w:tc>
          <w:tcPr>
            <w:tcW w:w="416" w:type="pct"/>
            <w:tcBorders>
              <w:top w:val="nil"/>
              <w:left w:val="nil"/>
              <w:bottom w:val="single" w:sz="4" w:space="0" w:color="auto"/>
              <w:right w:val="single" w:sz="4" w:space="0" w:color="auto"/>
            </w:tcBorders>
            <w:shd w:val="clear" w:color="000000" w:fill="D8E4BC"/>
            <w:noWrap/>
            <w:vAlign w:val="bottom"/>
            <w:hideMark/>
          </w:tcPr>
          <w:p w14:paraId="4D51B6C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-1,57</w:t>
            </w:r>
          </w:p>
        </w:tc>
        <w:tc>
          <w:tcPr>
            <w:tcW w:w="416" w:type="pct"/>
            <w:tcBorders>
              <w:top w:val="nil"/>
              <w:left w:val="nil"/>
              <w:bottom w:val="single" w:sz="4" w:space="0" w:color="auto"/>
              <w:right w:val="single" w:sz="4" w:space="0" w:color="auto"/>
            </w:tcBorders>
            <w:shd w:val="clear" w:color="auto" w:fill="auto"/>
            <w:noWrap/>
            <w:vAlign w:val="bottom"/>
            <w:hideMark/>
          </w:tcPr>
          <w:p w14:paraId="52DDA0B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0,35</w:t>
            </w:r>
          </w:p>
        </w:tc>
        <w:tc>
          <w:tcPr>
            <w:tcW w:w="416" w:type="pct"/>
            <w:tcBorders>
              <w:top w:val="nil"/>
              <w:left w:val="nil"/>
              <w:bottom w:val="single" w:sz="4" w:space="0" w:color="auto"/>
              <w:right w:val="single" w:sz="4" w:space="0" w:color="auto"/>
            </w:tcBorders>
            <w:shd w:val="clear" w:color="000000" w:fill="D8E4BC"/>
            <w:noWrap/>
            <w:vAlign w:val="bottom"/>
            <w:hideMark/>
          </w:tcPr>
          <w:p w14:paraId="1B6AB38B"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-0,71</w:t>
            </w:r>
          </w:p>
        </w:tc>
        <w:tc>
          <w:tcPr>
            <w:tcW w:w="415" w:type="pct"/>
            <w:tcBorders>
              <w:top w:val="nil"/>
              <w:left w:val="nil"/>
              <w:bottom w:val="single" w:sz="4" w:space="0" w:color="auto"/>
              <w:right w:val="single" w:sz="4" w:space="0" w:color="auto"/>
            </w:tcBorders>
            <w:shd w:val="clear" w:color="000000" w:fill="D8E4BC"/>
            <w:noWrap/>
            <w:vAlign w:val="bottom"/>
            <w:hideMark/>
          </w:tcPr>
          <w:p w14:paraId="67769E08"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-0,81</w:t>
            </w:r>
          </w:p>
        </w:tc>
        <w:tc>
          <w:tcPr>
            <w:tcW w:w="415" w:type="pct"/>
            <w:tcBorders>
              <w:top w:val="nil"/>
              <w:left w:val="nil"/>
              <w:bottom w:val="single" w:sz="4" w:space="0" w:color="auto"/>
              <w:right w:val="single" w:sz="4" w:space="0" w:color="auto"/>
            </w:tcBorders>
            <w:shd w:val="clear" w:color="000000" w:fill="D8E4BC"/>
            <w:noWrap/>
            <w:vAlign w:val="bottom"/>
            <w:hideMark/>
          </w:tcPr>
          <w:p w14:paraId="4C997E2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-0,98</w:t>
            </w:r>
          </w:p>
        </w:tc>
        <w:tc>
          <w:tcPr>
            <w:tcW w:w="415" w:type="pct"/>
            <w:tcBorders>
              <w:top w:val="nil"/>
              <w:left w:val="nil"/>
              <w:bottom w:val="single" w:sz="4" w:space="0" w:color="auto"/>
              <w:right w:val="single" w:sz="4" w:space="0" w:color="auto"/>
            </w:tcBorders>
            <w:shd w:val="clear" w:color="000000" w:fill="95B3D7"/>
            <w:noWrap/>
            <w:vAlign w:val="bottom"/>
            <w:hideMark/>
          </w:tcPr>
          <w:p w14:paraId="3788C76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-0,46</w:t>
            </w:r>
          </w:p>
        </w:tc>
        <w:tc>
          <w:tcPr>
            <w:tcW w:w="415" w:type="pct"/>
            <w:tcBorders>
              <w:top w:val="nil"/>
              <w:left w:val="nil"/>
              <w:bottom w:val="single" w:sz="4" w:space="0" w:color="auto"/>
              <w:right w:val="single" w:sz="4" w:space="0" w:color="auto"/>
            </w:tcBorders>
            <w:shd w:val="clear" w:color="000000" w:fill="D8E4BC"/>
            <w:noWrap/>
            <w:vAlign w:val="bottom"/>
            <w:hideMark/>
          </w:tcPr>
          <w:p w14:paraId="15568739"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-1,10</w:t>
            </w:r>
          </w:p>
        </w:tc>
        <w:tc>
          <w:tcPr>
            <w:tcW w:w="415" w:type="pct"/>
            <w:tcBorders>
              <w:top w:val="nil"/>
              <w:left w:val="nil"/>
              <w:bottom w:val="single" w:sz="4" w:space="0" w:color="auto"/>
              <w:right w:val="single" w:sz="4" w:space="0" w:color="auto"/>
            </w:tcBorders>
            <w:shd w:val="clear" w:color="000000" w:fill="D8E4BC"/>
            <w:noWrap/>
            <w:vAlign w:val="bottom"/>
            <w:hideMark/>
          </w:tcPr>
          <w:p w14:paraId="338E502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-1,01</w:t>
            </w:r>
          </w:p>
        </w:tc>
        <w:tc>
          <w:tcPr>
            <w:tcW w:w="413" w:type="pct"/>
            <w:tcBorders>
              <w:top w:val="nil"/>
              <w:left w:val="nil"/>
              <w:bottom w:val="single" w:sz="4" w:space="0" w:color="auto"/>
              <w:right w:val="single" w:sz="4" w:space="0" w:color="auto"/>
            </w:tcBorders>
            <w:shd w:val="clear" w:color="000000" w:fill="95B3D7"/>
            <w:noWrap/>
            <w:vAlign w:val="bottom"/>
            <w:hideMark/>
          </w:tcPr>
          <w:p w14:paraId="75A5B5B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-0,70</w:t>
            </w:r>
          </w:p>
        </w:tc>
      </w:tr>
      <w:tr w:rsidR="00835FB7" w:rsidRPr="003F149C" w14:paraId="0B7BE710" w14:textId="77777777" w:rsidTr="00835FB7">
        <w:trPr>
          <w:trHeight w:val="300"/>
        </w:trPr>
        <w:tc>
          <w:tcPr>
            <w:tcW w:w="669" w:type="pct"/>
            <w:tcBorders>
              <w:top w:val="nil"/>
              <w:left w:val="single" w:sz="4" w:space="0" w:color="auto"/>
              <w:bottom w:val="single" w:sz="4" w:space="0" w:color="auto"/>
              <w:right w:val="single" w:sz="4" w:space="0" w:color="auto"/>
            </w:tcBorders>
            <w:shd w:val="clear" w:color="000000" w:fill="FFFFFF"/>
            <w:vAlign w:val="bottom"/>
            <w:hideMark/>
          </w:tcPr>
          <w:p w14:paraId="39978487"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Income</w:t>
            </w:r>
          </w:p>
        </w:tc>
        <w:tc>
          <w:tcPr>
            <w:tcW w:w="594" w:type="pct"/>
            <w:tcBorders>
              <w:top w:val="nil"/>
              <w:left w:val="nil"/>
              <w:bottom w:val="single" w:sz="4" w:space="0" w:color="auto"/>
              <w:right w:val="single" w:sz="4" w:space="0" w:color="auto"/>
            </w:tcBorders>
            <w:shd w:val="clear" w:color="000000" w:fill="FFFFFF"/>
            <w:noWrap/>
            <w:vAlign w:val="bottom"/>
            <w:hideMark/>
          </w:tcPr>
          <w:p w14:paraId="04C3F435"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Low</w:t>
            </w:r>
          </w:p>
        </w:tc>
        <w:tc>
          <w:tcPr>
            <w:tcW w:w="416" w:type="pct"/>
            <w:tcBorders>
              <w:top w:val="nil"/>
              <w:left w:val="nil"/>
              <w:bottom w:val="single" w:sz="4" w:space="0" w:color="auto"/>
              <w:right w:val="single" w:sz="4" w:space="0" w:color="auto"/>
            </w:tcBorders>
            <w:shd w:val="clear" w:color="000000" w:fill="FFFFFF"/>
            <w:noWrap/>
            <w:vAlign w:val="bottom"/>
            <w:hideMark/>
          </w:tcPr>
          <w:p w14:paraId="6C7C3B7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-0,49</w:t>
            </w:r>
          </w:p>
        </w:tc>
        <w:tc>
          <w:tcPr>
            <w:tcW w:w="416" w:type="pct"/>
            <w:tcBorders>
              <w:top w:val="nil"/>
              <w:left w:val="nil"/>
              <w:bottom w:val="single" w:sz="4" w:space="0" w:color="auto"/>
              <w:right w:val="single" w:sz="4" w:space="0" w:color="auto"/>
            </w:tcBorders>
            <w:shd w:val="clear" w:color="000000" w:fill="D8E4BC"/>
            <w:noWrap/>
            <w:vAlign w:val="bottom"/>
            <w:hideMark/>
          </w:tcPr>
          <w:p w14:paraId="7502367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0,45</w:t>
            </w:r>
          </w:p>
        </w:tc>
        <w:tc>
          <w:tcPr>
            <w:tcW w:w="416" w:type="pct"/>
            <w:tcBorders>
              <w:top w:val="nil"/>
              <w:left w:val="nil"/>
              <w:bottom w:val="single" w:sz="4" w:space="0" w:color="auto"/>
              <w:right w:val="single" w:sz="4" w:space="0" w:color="auto"/>
            </w:tcBorders>
            <w:shd w:val="clear" w:color="000000" w:fill="FFFFFF"/>
            <w:noWrap/>
            <w:vAlign w:val="bottom"/>
            <w:hideMark/>
          </w:tcPr>
          <w:p w14:paraId="70F1801F"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0,43</w:t>
            </w:r>
          </w:p>
        </w:tc>
        <w:tc>
          <w:tcPr>
            <w:tcW w:w="415" w:type="pct"/>
            <w:tcBorders>
              <w:top w:val="nil"/>
              <w:left w:val="nil"/>
              <w:bottom w:val="single" w:sz="4" w:space="0" w:color="auto"/>
              <w:right w:val="single" w:sz="4" w:space="0" w:color="auto"/>
            </w:tcBorders>
            <w:shd w:val="clear" w:color="000000" w:fill="D8E4BC"/>
            <w:noWrap/>
            <w:vAlign w:val="bottom"/>
            <w:hideMark/>
          </w:tcPr>
          <w:p w14:paraId="7BCD2B4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1,07</w:t>
            </w:r>
          </w:p>
        </w:tc>
        <w:tc>
          <w:tcPr>
            <w:tcW w:w="415" w:type="pct"/>
            <w:tcBorders>
              <w:top w:val="nil"/>
              <w:left w:val="nil"/>
              <w:bottom w:val="single" w:sz="4" w:space="0" w:color="auto"/>
              <w:right w:val="single" w:sz="4" w:space="0" w:color="auto"/>
            </w:tcBorders>
            <w:shd w:val="clear" w:color="000000" w:fill="D8E4BC"/>
            <w:noWrap/>
            <w:vAlign w:val="bottom"/>
            <w:hideMark/>
          </w:tcPr>
          <w:p w14:paraId="09034DE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1,08</w:t>
            </w:r>
          </w:p>
        </w:tc>
        <w:tc>
          <w:tcPr>
            <w:tcW w:w="415" w:type="pct"/>
            <w:tcBorders>
              <w:top w:val="nil"/>
              <w:left w:val="nil"/>
              <w:bottom w:val="single" w:sz="4" w:space="0" w:color="auto"/>
              <w:right w:val="single" w:sz="4" w:space="0" w:color="auto"/>
            </w:tcBorders>
            <w:shd w:val="clear" w:color="000000" w:fill="FFFFFF"/>
            <w:noWrap/>
            <w:vAlign w:val="bottom"/>
            <w:hideMark/>
          </w:tcPr>
          <w:p w14:paraId="5ECFF5B9"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0,48</w:t>
            </w:r>
          </w:p>
        </w:tc>
        <w:tc>
          <w:tcPr>
            <w:tcW w:w="415" w:type="pct"/>
            <w:tcBorders>
              <w:top w:val="nil"/>
              <w:left w:val="nil"/>
              <w:bottom w:val="single" w:sz="4" w:space="0" w:color="auto"/>
              <w:right w:val="single" w:sz="4" w:space="0" w:color="auto"/>
            </w:tcBorders>
            <w:shd w:val="clear" w:color="000000" w:fill="D8E4BC"/>
            <w:noWrap/>
            <w:vAlign w:val="bottom"/>
            <w:hideMark/>
          </w:tcPr>
          <w:p w14:paraId="6B12A880"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1,05</w:t>
            </w:r>
          </w:p>
        </w:tc>
        <w:tc>
          <w:tcPr>
            <w:tcW w:w="415" w:type="pct"/>
            <w:tcBorders>
              <w:top w:val="nil"/>
              <w:left w:val="nil"/>
              <w:bottom w:val="single" w:sz="4" w:space="0" w:color="auto"/>
              <w:right w:val="single" w:sz="4" w:space="0" w:color="auto"/>
            </w:tcBorders>
            <w:shd w:val="clear" w:color="000000" w:fill="FFFFFF"/>
            <w:noWrap/>
            <w:vAlign w:val="bottom"/>
            <w:hideMark/>
          </w:tcPr>
          <w:p w14:paraId="45D71EB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-0,27</w:t>
            </w:r>
          </w:p>
        </w:tc>
        <w:tc>
          <w:tcPr>
            <w:tcW w:w="413" w:type="pct"/>
            <w:tcBorders>
              <w:top w:val="nil"/>
              <w:left w:val="nil"/>
              <w:bottom w:val="single" w:sz="4" w:space="0" w:color="auto"/>
              <w:right w:val="single" w:sz="4" w:space="0" w:color="auto"/>
            </w:tcBorders>
            <w:shd w:val="clear" w:color="000000" w:fill="FFFFFF"/>
            <w:noWrap/>
            <w:vAlign w:val="bottom"/>
            <w:hideMark/>
          </w:tcPr>
          <w:p w14:paraId="68C2928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0,30</w:t>
            </w:r>
          </w:p>
        </w:tc>
      </w:tr>
      <w:tr w:rsidR="00835FB7" w:rsidRPr="003F149C" w14:paraId="3B6A8325" w14:textId="77777777" w:rsidTr="00835FB7">
        <w:trPr>
          <w:trHeight w:val="300"/>
        </w:trPr>
        <w:tc>
          <w:tcPr>
            <w:tcW w:w="669" w:type="pct"/>
            <w:vMerge w:val="restart"/>
            <w:tcBorders>
              <w:top w:val="nil"/>
              <w:left w:val="single" w:sz="4" w:space="0" w:color="auto"/>
              <w:bottom w:val="single" w:sz="4" w:space="0" w:color="auto"/>
              <w:right w:val="single" w:sz="4" w:space="0" w:color="auto"/>
            </w:tcBorders>
            <w:shd w:val="clear" w:color="000000" w:fill="FFFFFF"/>
            <w:hideMark/>
          </w:tcPr>
          <w:p w14:paraId="2B5C161F"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Food cons base: Mid</w:t>
            </w:r>
          </w:p>
        </w:tc>
        <w:tc>
          <w:tcPr>
            <w:tcW w:w="594" w:type="pct"/>
            <w:tcBorders>
              <w:top w:val="nil"/>
              <w:left w:val="nil"/>
              <w:bottom w:val="single" w:sz="4" w:space="0" w:color="auto"/>
              <w:right w:val="single" w:sz="4" w:space="0" w:color="auto"/>
            </w:tcBorders>
            <w:shd w:val="clear" w:color="000000" w:fill="FFFFFF"/>
            <w:noWrap/>
            <w:vAlign w:val="bottom"/>
            <w:hideMark/>
          </w:tcPr>
          <w:p w14:paraId="06C97DC7"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Low</w:t>
            </w:r>
          </w:p>
        </w:tc>
        <w:tc>
          <w:tcPr>
            <w:tcW w:w="416" w:type="pct"/>
            <w:tcBorders>
              <w:top w:val="nil"/>
              <w:left w:val="nil"/>
              <w:bottom w:val="single" w:sz="4" w:space="0" w:color="auto"/>
              <w:right w:val="single" w:sz="4" w:space="0" w:color="auto"/>
            </w:tcBorders>
            <w:shd w:val="clear" w:color="000000" w:fill="FFFFFF"/>
            <w:noWrap/>
            <w:vAlign w:val="bottom"/>
            <w:hideMark/>
          </w:tcPr>
          <w:p w14:paraId="7AEAFEF3"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-0,71</w:t>
            </w:r>
          </w:p>
        </w:tc>
        <w:tc>
          <w:tcPr>
            <w:tcW w:w="416" w:type="pct"/>
            <w:tcBorders>
              <w:top w:val="nil"/>
              <w:left w:val="nil"/>
              <w:bottom w:val="single" w:sz="4" w:space="0" w:color="auto"/>
              <w:right w:val="single" w:sz="4" w:space="0" w:color="auto"/>
            </w:tcBorders>
            <w:shd w:val="clear" w:color="000000" w:fill="FFFFFF"/>
            <w:noWrap/>
            <w:vAlign w:val="bottom"/>
            <w:hideMark/>
          </w:tcPr>
          <w:p w14:paraId="2443B14E"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0,37</w:t>
            </w:r>
          </w:p>
        </w:tc>
        <w:tc>
          <w:tcPr>
            <w:tcW w:w="416" w:type="pct"/>
            <w:tcBorders>
              <w:top w:val="nil"/>
              <w:left w:val="nil"/>
              <w:bottom w:val="single" w:sz="4" w:space="0" w:color="auto"/>
              <w:right w:val="single" w:sz="4" w:space="0" w:color="auto"/>
            </w:tcBorders>
            <w:shd w:val="clear" w:color="000000" w:fill="FFFFFF"/>
            <w:noWrap/>
            <w:vAlign w:val="bottom"/>
            <w:hideMark/>
          </w:tcPr>
          <w:p w14:paraId="53F5CF1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0,16</w:t>
            </w:r>
          </w:p>
        </w:tc>
        <w:tc>
          <w:tcPr>
            <w:tcW w:w="415" w:type="pct"/>
            <w:tcBorders>
              <w:top w:val="nil"/>
              <w:left w:val="nil"/>
              <w:bottom w:val="single" w:sz="4" w:space="0" w:color="auto"/>
              <w:right w:val="single" w:sz="4" w:space="0" w:color="auto"/>
            </w:tcBorders>
            <w:shd w:val="clear" w:color="000000" w:fill="FFFFFF"/>
            <w:noWrap/>
            <w:vAlign w:val="bottom"/>
            <w:hideMark/>
          </w:tcPr>
          <w:p w14:paraId="181638FD"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0,51</w:t>
            </w:r>
          </w:p>
        </w:tc>
        <w:tc>
          <w:tcPr>
            <w:tcW w:w="415" w:type="pct"/>
            <w:tcBorders>
              <w:top w:val="nil"/>
              <w:left w:val="nil"/>
              <w:bottom w:val="single" w:sz="4" w:space="0" w:color="auto"/>
              <w:right w:val="single" w:sz="4" w:space="0" w:color="auto"/>
            </w:tcBorders>
            <w:shd w:val="clear" w:color="000000" w:fill="FFFFFF"/>
            <w:noWrap/>
            <w:vAlign w:val="bottom"/>
            <w:hideMark/>
          </w:tcPr>
          <w:p w14:paraId="27950C04"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0,27</w:t>
            </w:r>
          </w:p>
        </w:tc>
        <w:tc>
          <w:tcPr>
            <w:tcW w:w="415" w:type="pct"/>
            <w:tcBorders>
              <w:top w:val="nil"/>
              <w:left w:val="nil"/>
              <w:bottom w:val="single" w:sz="4" w:space="0" w:color="auto"/>
              <w:right w:val="single" w:sz="4" w:space="0" w:color="auto"/>
            </w:tcBorders>
            <w:shd w:val="clear" w:color="000000" w:fill="FFFFFF"/>
            <w:noWrap/>
            <w:vAlign w:val="bottom"/>
            <w:hideMark/>
          </w:tcPr>
          <w:p w14:paraId="1BFAC19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-0,22</w:t>
            </w:r>
          </w:p>
        </w:tc>
        <w:tc>
          <w:tcPr>
            <w:tcW w:w="415" w:type="pct"/>
            <w:tcBorders>
              <w:top w:val="nil"/>
              <w:left w:val="nil"/>
              <w:bottom w:val="single" w:sz="4" w:space="0" w:color="auto"/>
              <w:right w:val="single" w:sz="4" w:space="0" w:color="auto"/>
            </w:tcBorders>
            <w:shd w:val="clear" w:color="000000" w:fill="D8E4BC"/>
            <w:noWrap/>
            <w:vAlign w:val="bottom"/>
            <w:hideMark/>
          </w:tcPr>
          <w:p w14:paraId="7DE1399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0,75</w:t>
            </w:r>
          </w:p>
        </w:tc>
        <w:tc>
          <w:tcPr>
            <w:tcW w:w="415" w:type="pct"/>
            <w:tcBorders>
              <w:top w:val="nil"/>
              <w:left w:val="nil"/>
              <w:bottom w:val="single" w:sz="4" w:space="0" w:color="auto"/>
              <w:right w:val="single" w:sz="4" w:space="0" w:color="auto"/>
            </w:tcBorders>
            <w:shd w:val="clear" w:color="auto" w:fill="auto"/>
            <w:noWrap/>
            <w:vAlign w:val="bottom"/>
            <w:hideMark/>
          </w:tcPr>
          <w:p w14:paraId="446AFBC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0,24</w:t>
            </w:r>
          </w:p>
        </w:tc>
        <w:tc>
          <w:tcPr>
            <w:tcW w:w="413" w:type="pct"/>
            <w:tcBorders>
              <w:top w:val="nil"/>
              <w:left w:val="nil"/>
              <w:bottom w:val="single" w:sz="4" w:space="0" w:color="auto"/>
              <w:right w:val="single" w:sz="4" w:space="0" w:color="auto"/>
            </w:tcBorders>
            <w:shd w:val="clear" w:color="000000" w:fill="FFFFFF"/>
            <w:noWrap/>
            <w:vAlign w:val="bottom"/>
            <w:hideMark/>
          </w:tcPr>
          <w:p w14:paraId="57498B1C"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-0,35</w:t>
            </w:r>
          </w:p>
        </w:tc>
      </w:tr>
      <w:tr w:rsidR="00835FB7" w:rsidRPr="003F149C" w14:paraId="0DB43AA6" w14:textId="77777777" w:rsidTr="00835FB7">
        <w:trPr>
          <w:trHeight w:val="300"/>
        </w:trPr>
        <w:tc>
          <w:tcPr>
            <w:tcW w:w="669" w:type="pct"/>
            <w:vMerge/>
            <w:tcBorders>
              <w:top w:val="nil"/>
              <w:left w:val="single" w:sz="4" w:space="0" w:color="auto"/>
              <w:bottom w:val="single" w:sz="4" w:space="0" w:color="auto"/>
              <w:right w:val="single" w:sz="4" w:space="0" w:color="auto"/>
            </w:tcBorders>
            <w:vAlign w:val="center"/>
            <w:hideMark/>
          </w:tcPr>
          <w:p w14:paraId="0035F158" w14:textId="77777777" w:rsidR="00835FB7" w:rsidRPr="003F149C" w:rsidRDefault="00835FB7" w:rsidP="00835FB7">
            <w:pPr>
              <w:spacing w:after="0" w:line="240" w:lineRule="auto"/>
              <w:rPr>
                <w:rFonts w:eastAsia="Times New Roman" w:cs="Calibri"/>
                <w:color w:val="000000"/>
                <w:lang w:eastAsia="nl-NL"/>
              </w:rPr>
            </w:pPr>
          </w:p>
        </w:tc>
        <w:tc>
          <w:tcPr>
            <w:tcW w:w="594" w:type="pct"/>
            <w:tcBorders>
              <w:top w:val="nil"/>
              <w:left w:val="nil"/>
              <w:bottom w:val="single" w:sz="4" w:space="0" w:color="auto"/>
              <w:right w:val="single" w:sz="4" w:space="0" w:color="auto"/>
            </w:tcBorders>
            <w:shd w:val="clear" w:color="000000" w:fill="FFFFFF"/>
            <w:noWrap/>
            <w:vAlign w:val="bottom"/>
            <w:hideMark/>
          </w:tcPr>
          <w:p w14:paraId="30787AB6"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High</w:t>
            </w:r>
          </w:p>
        </w:tc>
        <w:tc>
          <w:tcPr>
            <w:tcW w:w="416" w:type="pct"/>
            <w:tcBorders>
              <w:top w:val="nil"/>
              <w:left w:val="nil"/>
              <w:bottom w:val="single" w:sz="4" w:space="0" w:color="auto"/>
              <w:right w:val="single" w:sz="4" w:space="0" w:color="auto"/>
            </w:tcBorders>
            <w:shd w:val="clear" w:color="000000" w:fill="95B3D7"/>
            <w:noWrap/>
            <w:vAlign w:val="bottom"/>
            <w:hideMark/>
          </w:tcPr>
          <w:p w14:paraId="1908655F"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-0,83</w:t>
            </w:r>
          </w:p>
        </w:tc>
        <w:tc>
          <w:tcPr>
            <w:tcW w:w="416" w:type="pct"/>
            <w:tcBorders>
              <w:top w:val="nil"/>
              <w:left w:val="nil"/>
              <w:bottom w:val="single" w:sz="4" w:space="0" w:color="auto"/>
              <w:right w:val="single" w:sz="4" w:space="0" w:color="auto"/>
            </w:tcBorders>
            <w:shd w:val="clear" w:color="000000" w:fill="FFFFFF"/>
            <w:noWrap/>
            <w:vAlign w:val="bottom"/>
            <w:hideMark/>
          </w:tcPr>
          <w:p w14:paraId="7225B9C9"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0,40</w:t>
            </w:r>
          </w:p>
        </w:tc>
        <w:tc>
          <w:tcPr>
            <w:tcW w:w="416" w:type="pct"/>
            <w:tcBorders>
              <w:top w:val="nil"/>
              <w:left w:val="nil"/>
              <w:bottom w:val="single" w:sz="4" w:space="0" w:color="auto"/>
              <w:right w:val="single" w:sz="4" w:space="0" w:color="auto"/>
            </w:tcBorders>
            <w:shd w:val="clear" w:color="auto" w:fill="auto"/>
            <w:noWrap/>
            <w:vAlign w:val="bottom"/>
            <w:hideMark/>
          </w:tcPr>
          <w:p w14:paraId="2C5550C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0,51</w:t>
            </w:r>
          </w:p>
        </w:tc>
        <w:tc>
          <w:tcPr>
            <w:tcW w:w="415" w:type="pct"/>
            <w:tcBorders>
              <w:top w:val="nil"/>
              <w:left w:val="nil"/>
              <w:bottom w:val="single" w:sz="4" w:space="0" w:color="auto"/>
              <w:right w:val="single" w:sz="4" w:space="0" w:color="auto"/>
            </w:tcBorders>
            <w:shd w:val="clear" w:color="000000" w:fill="FFFFFF"/>
            <w:noWrap/>
            <w:vAlign w:val="bottom"/>
            <w:hideMark/>
          </w:tcPr>
          <w:p w14:paraId="6008A66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-0,02</w:t>
            </w:r>
          </w:p>
        </w:tc>
        <w:tc>
          <w:tcPr>
            <w:tcW w:w="415" w:type="pct"/>
            <w:tcBorders>
              <w:top w:val="nil"/>
              <w:left w:val="nil"/>
              <w:bottom w:val="single" w:sz="4" w:space="0" w:color="auto"/>
              <w:right w:val="single" w:sz="4" w:space="0" w:color="auto"/>
            </w:tcBorders>
            <w:shd w:val="clear" w:color="000000" w:fill="FFFFFF"/>
            <w:noWrap/>
            <w:vAlign w:val="bottom"/>
            <w:hideMark/>
          </w:tcPr>
          <w:p w14:paraId="46E49B8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-0,54</w:t>
            </w:r>
          </w:p>
        </w:tc>
        <w:tc>
          <w:tcPr>
            <w:tcW w:w="415" w:type="pct"/>
            <w:tcBorders>
              <w:top w:val="nil"/>
              <w:left w:val="nil"/>
              <w:bottom w:val="single" w:sz="4" w:space="0" w:color="auto"/>
              <w:right w:val="single" w:sz="4" w:space="0" w:color="auto"/>
            </w:tcBorders>
            <w:shd w:val="clear" w:color="000000" w:fill="FFFFFF"/>
            <w:noWrap/>
            <w:vAlign w:val="bottom"/>
            <w:hideMark/>
          </w:tcPr>
          <w:p w14:paraId="4B2F694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-0,19</w:t>
            </w:r>
          </w:p>
        </w:tc>
        <w:tc>
          <w:tcPr>
            <w:tcW w:w="415" w:type="pct"/>
            <w:tcBorders>
              <w:top w:val="nil"/>
              <w:left w:val="nil"/>
              <w:bottom w:val="single" w:sz="4" w:space="0" w:color="auto"/>
              <w:right w:val="single" w:sz="4" w:space="0" w:color="auto"/>
            </w:tcBorders>
            <w:shd w:val="clear" w:color="auto" w:fill="auto"/>
            <w:noWrap/>
            <w:vAlign w:val="bottom"/>
            <w:hideMark/>
          </w:tcPr>
          <w:p w14:paraId="74E69D7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-0,03</w:t>
            </w:r>
          </w:p>
        </w:tc>
        <w:tc>
          <w:tcPr>
            <w:tcW w:w="415" w:type="pct"/>
            <w:tcBorders>
              <w:top w:val="nil"/>
              <w:left w:val="nil"/>
              <w:bottom w:val="single" w:sz="4" w:space="0" w:color="auto"/>
              <w:right w:val="single" w:sz="4" w:space="0" w:color="auto"/>
            </w:tcBorders>
            <w:shd w:val="clear" w:color="000000" w:fill="FFFFFF"/>
            <w:noWrap/>
            <w:vAlign w:val="bottom"/>
            <w:hideMark/>
          </w:tcPr>
          <w:p w14:paraId="4E339B72"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0,32</w:t>
            </w:r>
          </w:p>
        </w:tc>
        <w:tc>
          <w:tcPr>
            <w:tcW w:w="413" w:type="pct"/>
            <w:tcBorders>
              <w:top w:val="nil"/>
              <w:left w:val="nil"/>
              <w:bottom w:val="single" w:sz="4" w:space="0" w:color="auto"/>
              <w:right w:val="single" w:sz="4" w:space="0" w:color="auto"/>
            </w:tcBorders>
            <w:shd w:val="clear" w:color="000000" w:fill="FFFFFF"/>
            <w:noWrap/>
            <w:vAlign w:val="bottom"/>
            <w:hideMark/>
          </w:tcPr>
          <w:p w14:paraId="2CDF4DB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-0,24</w:t>
            </w:r>
          </w:p>
        </w:tc>
      </w:tr>
      <w:tr w:rsidR="00835FB7" w:rsidRPr="003F149C" w14:paraId="77BA0291" w14:textId="77777777" w:rsidTr="00835FB7">
        <w:trPr>
          <w:trHeight w:val="300"/>
        </w:trPr>
        <w:tc>
          <w:tcPr>
            <w:tcW w:w="669" w:type="pct"/>
            <w:tcBorders>
              <w:top w:val="nil"/>
              <w:left w:val="single" w:sz="4" w:space="0" w:color="auto"/>
              <w:bottom w:val="single" w:sz="8" w:space="0" w:color="auto"/>
              <w:right w:val="single" w:sz="4" w:space="0" w:color="auto"/>
            </w:tcBorders>
            <w:shd w:val="clear" w:color="000000" w:fill="FFFFFF"/>
            <w:noWrap/>
            <w:vAlign w:val="bottom"/>
            <w:hideMark/>
          </w:tcPr>
          <w:p w14:paraId="563AA062"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Child health</w:t>
            </w:r>
          </w:p>
        </w:tc>
        <w:tc>
          <w:tcPr>
            <w:tcW w:w="594" w:type="pct"/>
            <w:tcBorders>
              <w:top w:val="nil"/>
              <w:left w:val="nil"/>
              <w:bottom w:val="single" w:sz="8" w:space="0" w:color="auto"/>
              <w:right w:val="single" w:sz="4" w:space="0" w:color="auto"/>
            </w:tcBorders>
            <w:shd w:val="clear" w:color="000000" w:fill="FFFFFF"/>
            <w:noWrap/>
            <w:vAlign w:val="bottom"/>
            <w:hideMark/>
          </w:tcPr>
          <w:p w14:paraId="2227C4A4" w14:textId="77777777" w:rsidR="00835FB7" w:rsidRPr="003F149C" w:rsidRDefault="00835FB7" w:rsidP="00835FB7">
            <w:pPr>
              <w:spacing w:after="0" w:line="240" w:lineRule="auto"/>
              <w:rPr>
                <w:rFonts w:eastAsia="Times New Roman" w:cs="Calibri"/>
                <w:b/>
                <w:bCs/>
                <w:color w:val="000000"/>
                <w:lang w:eastAsia="nl-NL"/>
              </w:rPr>
            </w:pPr>
            <w:r w:rsidRPr="003F149C">
              <w:rPr>
                <w:rFonts w:eastAsia="Times New Roman" w:cs="Calibri"/>
                <w:b/>
                <w:bCs/>
                <w:color w:val="000000"/>
                <w:lang w:eastAsia="nl-NL"/>
              </w:rPr>
              <w:t>Poor</w:t>
            </w:r>
          </w:p>
        </w:tc>
        <w:tc>
          <w:tcPr>
            <w:tcW w:w="416" w:type="pct"/>
            <w:tcBorders>
              <w:top w:val="nil"/>
              <w:left w:val="nil"/>
              <w:bottom w:val="single" w:sz="8" w:space="0" w:color="auto"/>
              <w:right w:val="single" w:sz="4" w:space="0" w:color="auto"/>
            </w:tcBorders>
            <w:shd w:val="clear" w:color="000000" w:fill="FFFFFF"/>
            <w:noWrap/>
            <w:vAlign w:val="bottom"/>
            <w:hideMark/>
          </w:tcPr>
          <w:p w14:paraId="6AAF96C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0,01</w:t>
            </w:r>
          </w:p>
        </w:tc>
        <w:tc>
          <w:tcPr>
            <w:tcW w:w="416" w:type="pct"/>
            <w:tcBorders>
              <w:top w:val="nil"/>
              <w:left w:val="nil"/>
              <w:bottom w:val="single" w:sz="8" w:space="0" w:color="auto"/>
              <w:right w:val="single" w:sz="4" w:space="0" w:color="auto"/>
            </w:tcBorders>
            <w:shd w:val="clear" w:color="000000" w:fill="FFFFFF"/>
            <w:noWrap/>
            <w:vAlign w:val="bottom"/>
            <w:hideMark/>
          </w:tcPr>
          <w:p w14:paraId="6D3829E8"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0,45</w:t>
            </w:r>
          </w:p>
        </w:tc>
        <w:tc>
          <w:tcPr>
            <w:tcW w:w="416" w:type="pct"/>
            <w:tcBorders>
              <w:top w:val="nil"/>
              <w:left w:val="nil"/>
              <w:bottom w:val="single" w:sz="8" w:space="0" w:color="auto"/>
              <w:right w:val="single" w:sz="4" w:space="0" w:color="auto"/>
            </w:tcBorders>
            <w:shd w:val="clear" w:color="000000" w:fill="FFFFFF"/>
            <w:noWrap/>
            <w:vAlign w:val="bottom"/>
            <w:hideMark/>
          </w:tcPr>
          <w:p w14:paraId="1EAC8C6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0,35</w:t>
            </w:r>
          </w:p>
        </w:tc>
        <w:tc>
          <w:tcPr>
            <w:tcW w:w="415" w:type="pct"/>
            <w:tcBorders>
              <w:top w:val="nil"/>
              <w:left w:val="nil"/>
              <w:bottom w:val="single" w:sz="8" w:space="0" w:color="auto"/>
              <w:right w:val="single" w:sz="4" w:space="0" w:color="auto"/>
            </w:tcBorders>
            <w:shd w:val="clear" w:color="000000" w:fill="D8E4BC"/>
            <w:noWrap/>
            <w:vAlign w:val="bottom"/>
            <w:hideMark/>
          </w:tcPr>
          <w:p w14:paraId="5C937DF8"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-0,96</w:t>
            </w:r>
          </w:p>
        </w:tc>
        <w:tc>
          <w:tcPr>
            <w:tcW w:w="415" w:type="pct"/>
            <w:tcBorders>
              <w:top w:val="nil"/>
              <w:left w:val="nil"/>
              <w:bottom w:val="single" w:sz="8" w:space="0" w:color="auto"/>
              <w:right w:val="single" w:sz="4" w:space="0" w:color="auto"/>
            </w:tcBorders>
            <w:shd w:val="clear" w:color="000000" w:fill="FFFFFF"/>
            <w:noWrap/>
            <w:vAlign w:val="bottom"/>
            <w:hideMark/>
          </w:tcPr>
          <w:p w14:paraId="21548D8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0,55</w:t>
            </w:r>
          </w:p>
        </w:tc>
        <w:tc>
          <w:tcPr>
            <w:tcW w:w="415" w:type="pct"/>
            <w:tcBorders>
              <w:top w:val="nil"/>
              <w:left w:val="nil"/>
              <w:bottom w:val="single" w:sz="8" w:space="0" w:color="auto"/>
              <w:right w:val="single" w:sz="4" w:space="0" w:color="auto"/>
            </w:tcBorders>
            <w:shd w:val="clear" w:color="000000" w:fill="FFFFFF"/>
            <w:noWrap/>
            <w:vAlign w:val="bottom"/>
            <w:hideMark/>
          </w:tcPr>
          <w:p w14:paraId="43C6463D"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0,17</w:t>
            </w:r>
          </w:p>
        </w:tc>
        <w:tc>
          <w:tcPr>
            <w:tcW w:w="415" w:type="pct"/>
            <w:tcBorders>
              <w:top w:val="nil"/>
              <w:left w:val="nil"/>
              <w:bottom w:val="single" w:sz="8" w:space="0" w:color="auto"/>
              <w:right w:val="single" w:sz="4" w:space="0" w:color="auto"/>
            </w:tcBorders>
            <w:shd w:val="clear" w:color="000000" w:fill="D8E4BC"/>
            <w:noWrap/>
            <w:vAlign w:val="bottom"/>
            <w:hideMark/>
          </w:tcPr>
          <w:p w14:paraId="288175F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-1,20</w:t>
            </w:r>
          </w:p>
        </w:tc>
        <w:tc>
          <w:tcPr>
            <w:tcW w:w="415" w:type="pct"/>
            <w:tcBorders>
              <w:top w:val="nil"/>
              <w:left w:val="nil"/>
              <w:bottom w:val="single" w:sz="8" w:space="0" w:color="auto"/>
              <w:right w:val="single" w:sz="4" w:space="0" w:color="auto"/>
            </w:tcBorders>
            <w:shd w:val="clear" w:color="000000" w:fill="FFFFFF"/>
            <w:noWrap/>
            <w:vAlign w:val="bottom"/>
            <w:hideMark/>
          </w:tcPr>
          <w:p w14:paraId="09975C7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0,05</w:t>
            </w:r>
          </w:p>
        </w:tc>
        <w:tc>
          <w:tcPr>
            <w:tcW w:w="413" w:type="pct"/>
            <w:tcBorders>
              <w:top w:val="nil"/>
              <w:left w:val="nil"/>
              <w:bottom w:val="single" w:sz="8" w:space="0" w:color="auto"/>
              <w:right w:val="single" w:sz="4" w:space="0" w:color="auto"/>
            </w:tcBorders>
            <w:shd w:val="clear" w:color="000000" w:fill="FFFFFF"/>
            <w:noWrap/>
            <w:vAlign w:val="bottom"/>
            <w:hideMark/>
          </w:tcPr>
          <w:p w14:paraId="0EC35C56"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0,44</w:t>
            </w:r>
          </w:p>
        </w:tc>
      </w:tr>
      <w:tr w:rsidR="00835FB7" w:rsidRPr="003F149C" w14:paraId="0BB9973C" w14:textId="77777777" w:rsidTr="00835FB7">
        <w:trPr>
          <w:trHeight w:val="300"/>
        </w:trPr>
        <w:tc>
          <w:tcPr>
            <w:tcW w:w="1263" w:type="pct"/>
            <w:gridSpan w:val="2"/>
            <w:tcBorders>
              <w:top w:val="nil"/>
              <w:left w:val="single" w:sz="4" w:space="0" w:color="auto"/>
              <w:bottom w:val="single" w:sz="4" w:space="0" w:color="auto"/>
              <w:right w:val="single" w:sz="4" w:space="0" w:color="000000"/>
            </w:tcBorders>
            <w:shd w:val="clear" w:color="000000" w:fill="FFFFFF"/>
            <w:noWrap/>
            <w:vAlign w:val="bottom"/>
            <w:hideMark/>
          </w:tcPr>
          <w:p w14:paraId="36015EC6" w14:textId="77777777" w:rsidR="00835FB7" w:rsidRPr="003F149C" w:rsidRDefault="00835FB7" w:rsidP="00835FB7">
            <w:pPr>
              <w:spacing w:after="0" w:line="240" w:lineRule="auto"/>
              <w:jc w:val="center"/>
              <w:rPr>
                <w:rFonts w:eastAsia="Times New Roman" w:cs="Calibri"/>
                <w:color w:val="000000"/>
                <w:lang w:eastAsia="nl-NL"/>
              </w:rPr>
            </w:pPr>
            <w:r w:rsidRPr="003F149C">
              <w:rPr>
                <w:rFonts w:eastAsia="Times New Roman" w:cs="Calibri"/>
                <w:color w:val="000000"/>
                <w:lang w:eastAsia="nl-NL"/>
              </w:rPr>
              <w:t>R²</w:t>
            </w:r>
          </w:p>
        </w:tc>
        <w:tc>
          <w:tcPr>
            <w:tcW w:w="416" w:type="pct"/>
            <w:tcBorders>
              <w:top w:val="nil"/>
              <w:left w:val="nil"/>
              <w:bottom w:val="single" w:sz="4" w:space="0" w:color="auto"/>
              <w:right w:val="single" w:sz="4" w:space="0" w:color="auto"/>
            </w:tcBorders>
            <w:shd w:val="clear" w:color="auto" w:fill="auto"/>
            <w:noWrap/>
            <w:vAlign w:val="bottom"/>
            <w:hideMark/>
          </w:tcPr>
          <w:p w14:paraId="6D9DB38F"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0,08</w:t>
            </w:r>
          </w:p>
        </w:tc>
        <w:tc>
          <w:tcPr>
            <w:tcW w:w="416" w:type="pct"/>
            <w:tcBorders>
              <w:top w:val="nil"/>
              <w:left w:val="nil"/>
              <w:bottom w:val="single" w:sz="4" w:space="0" w:color="auto"/>
              <w:right w:val="single" w:sz="4" w:space="0" w:color="auto"/>
            </w:tcBorders>
            <w:shd w:val="clear" w:color="auto" w:fill="auto"/>
            <w:noWrap/>
            <w:vAlign w:val="bottom"/>
            <w:hideMark/>
          </w:tcPr>
          <w:p w14:paraId="55FE68C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0,05</w:t>
            </w:r>
          </w:p>
        </w:tc>
        <w:tc>
          <w:tcPr>
            <w:tcW w:w="416" w:type="pct"/>
            <w:tcBorders>
              <w:top w:val="nil"/>
              <w:left w:val="nil"/>
              <w:bottom w:val="single" w:sz="4" w:space="0" w:color="auto"/>
              <w:right w:val="single" w:sz="4" w:space="0" w:color="auto"/>
            </w:tcBorders>
            <w:shd w:val="clear" w:color="auto" w:fill="auto"/>
            <w:noWrap/>
            <w:vAlign w:val="bottom"/>
            <w:hideMark/>
          </w:tcPr>
          <w:p w14:paraId="1C06E055"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0,05</w:t>
            </w:r>
          </w:p>
        </w:tc>
        <w:tc>
          <w:tcPr>
            <w:tcW w:w="415" w:type="pct"/>
            <w:tcBorders>
              <w:top w:val="nil"/>
              <w:left w:val="nil"/>
              <w:bottom w:val="single" w:sz="4" w:space="0" w:color="auto"/>
              <w:right w:val="single" w:sz="4" w:space="0" w:color="auto"/>
            </w:tcBorders>
            <w:shd w:val="clear" w:color="auto" w:fill="auto"/>
            <w:noWrap/>
            <w:vAlign w:val="bottom"/>
            <w:hideMark/>
          </w:tcPr>
          <w:p w14:paraId="4ED8D347"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0,05</w:t>
            </w:r>
          </w:p>
        </w:tc>
        <w:tc>
          <w:tcPr>
            <w:tcW w:w="415" w:type="pct"/>
            <w:tcBorders>
              <w:top w:val="nil"/>
              <w:left w:val="nil"/>
              <w:bottom w:val="single" w:sz="4" w:space="0" w:color="auto"/>
              <w:right w:val="single" w:sz="4" w:space="0" w:color="auto"/>
            </w:tcBorders>
            <w:shd w:val="clear" w:color="auto" w:fill="auto"/>
            <w:noWrap/>
            <w:vAlign w:val="bottom"/>
            <w:hideMark/>
          </w:tcPr>
          <w:p w14:paraId="6F2E1FAF"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0,04</w:t>
            </w:r>
          </w:p>
        </w:tc>
        <w:tc>
          <w:tcPr>
            <w:tcW w:w="415" w:type="pct"/>
            <w:tcBorders>
              <w:top w:val="nil"/>
              <w:left w:val="nil"/>
              <w:bottom w:val="single" w:sz="4" w:space="0" w:color="auto"/>
              <w:right w:val="single" w:sz="4" w:space="0" w:color="auto"/>
            </w:tcBorders>
            <w:shd w:val="clear" w:color="auto" w:fill="auto"/>
            <w:noWrap/>
            <w:vAlign w:val="bottom"/>
            <w:hideMark/>
          </w:tcPr>
          <w:p w14:paraId="5782750F"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0,02</w:t>
            </w:r>
          </w:p>
        </w:tc>
        <w:tc>
          <w:tcPr>
            <w:tcW w:w="415" w:type="pct"/>
            <w:tcBorders>
              <w:top w:val="nil"/>
              <w:left w:val="nil"/>
              <w:bottom w:val="single" w:sz="4" w:space="0" w:color="auto"/>
              <w:right w:val="single" w:sz="4" w:space="0" w:color="auto"/>
            </w:tcBorders>
            <w:shd w:val="clear" w:color="auto" w:fill="auto"/>
            <w:noWrap/>
            <w:vAlign w:val="bottom"/>
            <w:hideMark/>
          </w:tcPr>
          <w:p w14:paraId="42D19D49"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0,05</w:t>
            </w:r>
          </w:p>
        </w:tc>
        <w:tc>
          <w:tcPr>
            <w:tcW w:w="415" w:type="pct"/>
            <w:tcBorders>
              <w:top w:val="nil"/>
              <w:left w:val="nil"/>
              <w:bottom w:val="single" w:sz="4" w:space="0" w:color="auto"/>
              <w:right w:val="single" w:sz="4" w:space="0" w:color="auto"/>
            </w:tcBorders>
            <w:shd w:val="clear" w:color="auto" w:fill="auto"/>
            <w:noWrap/>
            <w:vAlign w:val="bottom"/>
            <w:hideMark/>
          </w:tcPr>
          <w:p w14:paraId="7E8BD561"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0,07</w:t>
            </w:r>
          </w:p>
        </w:tc>
        <w:tc>
          <w:tcPr>
            <w:tcW w:w="413" w:type="pct"/>
            <w:tcBorders>
              <w:top w:val="nil"/>
              <w:left w:val="nil"/>
              <w:bottom w:val="single" w:sz="4" w:space="0" w:color="auto"/>
              <w:right w:val="single" w:sz="4" w:space="0" w:color="auto"/>
            </w:tcBorders>
            <w:shd w:val="clear" w:color="auto" w:fill="auto"/>
            <w:noWrap/>
            <w:vAlign w:val="bottom"/>
            <w:hideMark/>
          </w:tcPr>
          <w:p w14:paraId="5585DE9A" w14:textId="77777777" w:rsidR="00835FB7" w:rsidRPr="003F149C" w:rsidRDefault="00835FB7" w:rsidP="00835FB7">
            <w:pPr>
              <w:spacing w:after="0" w:line="240" w:lineRule="auto"/>
              <w:jc w:val="right"/>
              <w:rPr>
                <w:rFonts w:eastAsia="Times New Roman" w:cs="Calibri"/>
                <w:color w:val="000000"/>
                <w:lang w:eastAsia="nl-NL"/>
              </w:rPr>
            </w:pPr>
            <w:r w:rsidRPr="003F149C">
              <w:rPr>
                <w:rFonts w:eastAsia="Times New Roman" w:cs="Calibri"/>
                <w:color w:val="000000"/>
                <w:lang w:eastAsia="nl-NL"/>
              </w:rPr>
              <w:t>0,04</w:t>
            </w:r>
          </w:p>
        </w:tc>
      </w:tr>
      <w:tr w:rsidR="00835FB7" w:rsidRPr="003F149C" w14:paraId="6C3E5E3C" w14:textId="77777777" w:rsidTr="00835FB7">
        <w:trPr>
          <w:trHeight w:val="300"/>
        </w:trPr>
        <w:tc>
          <w:tcPr>
            <w:tcW w:w="1263" w:type="pct"/>
            <w:gridSpan w:val="2"/>
            <w:tcBorders>
              <w:top w:val="single" w:sz="4" w:space="0" w:color="auto"/>
              <w:left w:val="nil"/>
              <w:bottom w:val="nil"/>
              <w:right w:val="nil"/>
            </w:tcBorders>
            <w:shd w:val="clear" w:color="000000" w:fill="D8E4BC"/>
            <w:noWrap/>
            <w:vAlign w:val="bottom"/>
            <w:hideMark/>
          </w:tcPr>
          <w:p w14:paraId="69EB91BD"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significant α=0,05</w:t>
            </w:r>
          </w:p>
        </w:tc>
        <w:tc>
          <w:tcPr>
            <w:tcW w:w="416" w:type="pct"/>
            <w:tcBorders>
              <w:top w:val="nil"/>
              <w:left w:val="nil"/>
              <w:bottom w:val="nil"/>
              <w:right w:val="nil"/>
            </w:tcBorders>
            <w:shd w:val="clear" w:color="000000" w:fill="FFFFFF"/>
            <w:noWrap/>
            <w:vAlign w:val="bottom"/>
            <w:hideMark/>
          </w:tcPr>
          <w:p w14:paraId="0D4301AA"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nil"/>
              <w:left w:val="nil"/>
              <w:bottom w:val="nil"/>
              <w:right w:val="nil"/>
            </w:tcBorders>
            <w:shd w:val="clear" w:color="000000" w:fill="FFFFFF"/>
            <w:noWrap/>
            <w:vAlign w:val="bottom"/>
            <w:hideMark/>
          </w:tcPr>
          <w:p w14:paraId="5EA38FDA"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nil"/>
              <w:left w:val="nil"/>
              <w:bottom w:val="nil"/>
              <w:right w:val="nil"/>
            </w:tcBorders>
            <w:shd w:val="clear" w:color="000000" w:fill="FFFFFF"/>
            <w:noWrap/>
            <w:vAlign w:val="bottom"/>
            <w:hideMark/>
          </w:tcPr>
          <w:p w14:paraId="43D287C5"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7EAF67C8"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2A2D4DFB"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2715666F"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7B077867"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68A2FD94"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3" w:type="pct"/>
            <w:tcBorders>
              <w:top w:val="nil"/>
              <w:left w:val="nil"/>
              <w:bottom w:val="nil"/>
              <w:right w:val="nil"/>
            </w:tcBorders>
            <w:shd w:val="clear" w:color="000000" w:fill="FFFFFF"/>
            <w:noWrap/>
            <w:vAlign w:val="bottom"/>
            <w:hideMark/>
          </w:tcPr>
          <w:p w14:paraId="4FE701D6"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r>
      <w:tr w:rsidR="00835FB7" w:rsidRPr="003F149C" w14:paraId="2EEBE90E" w14:textId="77777777" w:rsidTr="00835FB7">
        <w:trPr>
          <w:trHeight w:val="300"/>
        </w:trPr>
        <w:tc>
          <w:tcPr>
            <w:tcW w:w="1263" w:type="pct"/>
            <w:gridSpan w:val="2"/>
            <w:tcBorders>
              <w:top w:val="nil"/>
              <w:left w:val="nil"/>
              <w:bottom w:val="nil"/>
              <w:right w:val="nil"/>
            </w:tcBorders>
            <w:shd w:val="clear" w:color="000000" w:fill="95B3D7"/>
            <w:noWrap/>
            <w:vAlign w:val="bottom"/>
            <w:hideMark/>
          </w:tcPr>
          <w:p w14:paraId="2FB2086D"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significant α=0,10</w:t>
            </w:r>
          </w:p>
        </w:tc>
        <w:tc>
          <w:tcPr>
            <w:tcW w:w="416" w:type="pct"/>
            <w:tcBorders>
              <w:top w:val="nil"/>
              <w:left w:val="nil"/>
              <w:bottom w:val="nil"/>
              <w:right w:val="nil"/>
            </w:tcBorders>
            <w:shd w:val="clear" w:color="000000" w:fill="FFFFFF"/>
            <w:noWrap/>
            <w:vAlign w:val="bottom"/>
            <w:hideMark/>
          </w:tcPr>
          <w:p w14:paraId="5BFA1556"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nil"/>
              <w:left w:val="nil"/>
              <w:bottom w:val="nil"/>
              <w:right w:val="nil"/>
            </w:tcBorders>
            <w:shd w:val="clear" w:color="000000" w:fill="FFFFFF"/>
            <w:noWrap/>
            <w:vAlign w:val="bottom"/>
            <w:hideMark/>
          </w:tcPr>
          <w:p w14:paraId="241178FC"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6" w:type="pct"/>
            <w:tcBorders>
              <w:top w:val="nil"/>
              <w:left w:val="nil"/>
              <w:bottom w:val="nil"/>
              <w:right w:val="nil"/>
            </w:tcBorders>
            <w:shd w:val="clear" w:color="000000" w:fill="FFFFFF"/>
            <w:noWrap/>
            <w:vAlign w:val="bottom"/>
            <w:hideMark/>
          </w:tcPr>
          <w:p w14:paraId="4D5B0EDF"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39566B1C"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4357F2CE"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200A9650"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51354DDC"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5" w:type="pct"/>
            <w:tcBorders>
              <w:top w:val="nil"/>
              <w:left w:val="nil"/>
              <w:bottom w:val="nil"/>
              <w:right w:val="nil"/>
            </w:tcBorders>
            <w:shd w:val="clear" w:color="000000" w:fill="FFFFFF"/>
            <w:noWrap/>
            <w:vAlign w:val="bottom"/>
            <w:hideMark/>
          </w:tcPr>
          <w:p w14:paraId="04F8BFC0"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c>
          <w:tcPr>
            <w:tcW w:w="413" w:type="pct"/>
            <w:tcBorders>
              <w:top w:val="nil"/>
              <w:left w:val="nil"/>
              <w:bottom w:val="nil"/>
              <w:right w:val="nil"/>
            </w:tcBorders>
            <w:shd w:val="clear" w:color="000000" w:fill="FFFFFF"/>
            <w:noWrap/>
            <w:vAlign w:val="bottom"/>
            <w:hideMark/>
          </w:tcPr>
          <w:p w14:paraId="55E0DF86" w14:textId="77777777" w:rsidR="00835FB7" w:rsidRPr="003F149C" w:rsidRDefault="00835FB7" w:rsidP="00835FB7">
            <w:pPr>
              <w:spacing w:after="0" w:line="240" w:lineRule="auto"/>
              <w:rPr>
                <w:rFonts w:eastAsia="Times New Roman" w:cs="Calibri"/>
                <w:color w:val="000000"/>
                <w:lang w:eastAsia="nl-NL"/>
              </w:rPr>
            </w:pPr>
            <w:r w:rsidRPr="003F149C">
              <w:rPr>
                <w:rFonts w:eastAsia="Times New Roman" w:cs="Calibri"/>
                <w:color w:val="000000"/>
                <w:lang w:eastAsia="nl-NL"/>
              </w:rPr>
              <w:t> </w:t>
            </w:r>
          </w:p>
        </w:tc>
      </w:tr>
    </w:tbl>
    <w:p w14:paraId="6D687448" w14:textId="77777777" w:rsidR="00835FB7" w:rsidRPr="009B2D1C" w:rsidRDefault="00835FB7" w:rsidP="00835FB7">
      <w:pPr>
        <w:spacing w:line="360" w:lineRule="auto"/>
        <w:jc w:val="both"/>
        <w:rPr>
          <w:b/>
          <w:lang w:val="en-US"/>
        </w:rPr>
      </w:pPr>
      <w:r>
        <w:rPr>
          <w:b/>
          <w:lang w:val="en-US"/>
        </w:rPr>
        <w:lastRenderedPageBreak/>
        <w:t>Table 3: Regression results extended</w:t>
      </w:r>
      <w:r w:rsidRPr="009933B6">
        <w:rPr>
          <w:b/>
          <w:lang w:val="en-US"/>
        </w:rPr>
        <w:t xml:space="preserve"> model</w:t>
      </w:r>
    </w:p>
    <w:p w14:paraId="0B6D90A8" w14:textId="77777777" w:rsidR="00835FB7" w:rsidRDefault="00835FB7">
      <w:pPr>
        <w:spacing w:line="360" w:lineRule="auto"/>
        <w:jc w:val="both"/>
        <w:rPr>
          <w:lang w:val="en-US"/>
        </w:rPr>
      </w:pPr>
    </w:p>
    <w:p w14:paraId="73003A0E" w14:textId="5B41EEA8" w:rsidR="00FD52A0" w:rsidRDefault="00FD52A0">
      <w:pPr>
        <w:spacing w:line="360" w:lineRule="auto"/>
        <w:jc w:val="both"/>
        <w:rPr>
          <w:lang w:val="en-US"/>
        </w:rPr>
      </w:pPr>
      <w:r w:rsidRPr="006D2DB3">
        <w:rPr>
          <w:lang w:val="en-US"/>
        </w:rPr>
        <w:t>the intensity of exercising.</w:t>
      </w:r>
      <w:r>
        <w:rPr>
          <w:lang w:val="en-US"/>
        </w:rPr>
        <w:t xml:space="preserve"> </w:t>
      </w:r>
      <w:r w:rsidRPr="006D2DB3">
        <w:rPr>
          <w:lang w:val="en-US"/>
        </w:rPr>
        <w:t>Also the earlier mentioned myopia may explain why people may value direct utility higher than utility in the long term, which in the case of exercise and  caloric intake may be a tradeoff between relaxing and enjoying food now or feel and live healthier later.</w:t>
      </w:r>
    </w:p>
    <w:p w14:paraId="6AC0278A" w14:textId="77777777" w:rsidR="006D2DB3" w:rsidRDefault="000079E9" w:rsidP="009B2D1C">
      <w:pPr>
        <w:spacing w:line="360" w:lineRule="auto"/>
        <w:ind w:firstLine="360"/>
        <w:jc w:val="both"/>
        <w:rPr>
          <w:lang w:val="en-US"/>
        </w:rPr>
      </w:pPr>
      <w:r w:rsidRPr="00AD590F">
        <w:rPr>
          <w:lang w:val="en-US"/>
        </w:rPr>
        <w:lastRenderedPageBreak/>
        <w:t>Although the threshold for selecting people with a low income may be chosen somew</w:t>
      </w:r>
      <w:r w:rsidR="00BB1998" w:rsidRPr="00AD590F">
        <w:rPr>
          <w:lang w:val="en-US"/>
        </w:rPr>
        <w:t>hat arbitrarily and might not</w:t>
      </w:r>
      <w:r w:rsidRPr="00AD590F">
        <w:rPr>
          <w:lang w:val="en-US"/>
        </w:rPr>
        <w:t xml:space="preserve"> fit for every country to expose a pattern of income and BMI, the model reveals a positive effect of low incomes on BMI for almost every country. This is in line with findings in previous studies that show how </w:t>
      </w:r>
      <w:r w:rsidR="001925F6" w:rsidRPr="00AD590F">
        <w:rPr>
          <w:lang w:val="en-US"/>
        </w:rPr>
        <w:t>Income</w:t>
      </w:r>
      <w:r w:rsidRPr="00AD590F">
        <w:rPr>
          <w:lang w:val="en-US"/>
        </w:rPr>
        <w:t xml:space="preserve"> is negatively associated with BMI. </w:t>
      </w:r>
      <w:r w:rsidR="005F2CBC">
        <w:rPr>
          <w:lang w:val="en-US"/>
        </w:rPr>
        <w:t>The largest</w:t>
      </w:r>
      <w:r w:rsidR="000A7273" w:rsidRPr="00AD590F">
        <w:rPr>
          <w:lang w:val="en-US"/>
        </w:rPr>
        <w:t xml:space="preserve"> positive effects are found for Germany,</w:t>
      </w:r>
      <w:r w:rsidR="0028001E">
        <w:rPr>
          <w:lang w:val="en-US"/>
        </w:rPr>
        <w:t xml:space="preserve"> The Netherland</w:t>
      </w:r>
      <w:r w:rsidR="005F2CBC">
        <w:rPr>
          <w:lang w:val="en-US"/>
        </w:rPr>
        <w:t>s</w:t>
      </w:r>
      <w:r w:rsidR="0028001E">
        <w:rPr>
          <w:lang w:val="en-US"/>
        </w:rPr>
        <w:t>, France and Spain</w:t>
      </w:r>
      <w:r w:rsidR="005F2CBC">
        <w:rPr>
          <w:lang w:val="en-US"/>
        </w:rPr>
        <w:t xml:space="preserve"> in 2010 and these effects are estimated significant</w:t>
      </w:r>
      <w:r w:rsidR="000A7273" w:rsidRPr="00AD590F">
        <w:rPr>
          <w:lang w:val="en-US"/>
        </w:rPr>
        <w:t>.</w:t>
      </w:r>
      <w:r w:rsidR="005F2CBC">
        <w:rPr>
          <w:lang w:val="en-US"/>
        </w:rPr>
        <w:t xml:space="preserve"> For three countries the poorest 20% of the population is on average a whole BMI point fatter relative to the other 80%.</w:t>
      </w:r>
      <w:r w:rsidR="00BE3A98">
        <w:rPr>
          <w:lang w:val="en-US"/>
        </w:rPr>
        <w:t xml:space="preserve">This </w:t>
      </w:r>
      <w:r w:rsidR="00FA6E3D">
        <w:rPr>
          <w:lang w:val="en-US"/>
        </w:rPr>
        <w:t>suggests that relatively poor people are less</w:t>
      </w:r>
      <w:r w:rsidR="00BE3A98">
        <w:rPr>
          <w:lang w:val="en-US"/>
        </w:rPr>
        <w:t xml:space="preserve"> able </w:t>
      </w:r>
      <w:r w:rsidR="00FA6E3D">
        <w:rPr>
          <w:lang w:val="en-US"/>
        </w:rPr>
        <w:t>of maintaining a healthy weight, which may result from being less able to purchase healthy food or participate in sports activities. However it may also reflect effects from working environments, where maintaining a healthy diet or habits may be less stimulated by colleagues in lower valued occupations, which generate less income.</w:t>
      </w:r>
    </w:p>
    <w:p w14:paraId="68B9CE18" w14:textId="34790ACA" w:rsidR="008F4AD8" w:rsidRPr="009B2D1C" w:rsidRDefault="00BB1998" w:rsidP="009B2D1C">
      <w:pPr>
        <w:spacing w:line="360" w:lineRule="auto"/>
        <w:ind w:firstLine="360"/>
        <w:jc w:val="both"/>
        <w:rPr>
          <w:lang w:val="en-US"/>
        </w:rPr>
      </w:pPr>
      <w:r w:rsidRPr="006D2DB3">
        <w:rPr>
          <w:lang w:val="en-US"/>
        </w:rPr>
        <w:lastRenderedPageBreak/>
        <w:t>T</w:t>
      </w:r>
      <w:r w:rsidR="000A7273" w:rsidRPr="006D2DB3">
        <w:rPr>
          <w:lang w:val="en-US"/>
        </w:rPr>
        <w:t>he</w:t>
      </w:r>
      <w:r w:rsidRPr="006D2DB3">
        <w:rPr>
          <w:lang w:val="en-US"/>
        </w:rPr>
        <w:t>re is consistency between countries for the coefficie</w:t>
      </w:r>
      <w:r w:rsidR="0028001E">
        <w:rPr>
          <w:lang w:val="en-US"/>
        </w:rPr>
        <w:t xml:space="preserve">nts of food consumption, especially for the people that spend little money on food. These individuals tend to be fatter than the others in both time periods. Only for France this effect is significant but very substantial, where BMI of these people is approximately 0.7 higher compared to the middle category. For the upper two deciles the significant coefficients found for Austria and Germany indicate a negative effect on BMI of 0.6 to 0.8 points. </w:t>
      </w:r>
      <w:r w:rsidR="00711288">
        <w:rPr>
          <w:lang w:val="en-US"/>
        </w:rPr>
        <w:t xml:space="preserve">If food expenditure is assumed to be a proxy of food preference, it can be stated that especially people that prefer more </w:t>
      </w:r>
      <w:r w:rsidR="003F149C">
        <w:rPr>
          <w:lang w:val="en-US"/>
        </w:rPr>
        <w:t>cheaply</w:t>
      </w:r>
      <w:r w:rsidR="00711288">
        <w:rPr>
          <w:lang w:val="en-US"/>
        </w:rPr>
        <w:t xml:space="preserve">, and thus often more unhealthy foods, are fatter than the people spending an average amount on food. </w:t>
      </w:r>
      <w:r w:rsidRPr="006D2DB3">
        <w:rPr>
          <w:lang w:val="en-US"/>
        </w:rPr>
        <w:t xml:space="preserve">A reason </w:t>
      </w:r>
      <w:r w:rsidR="005F2CBC">
        <w:rPr>
          <w:lang w:val="en-US"/>
        </w:rPr>
        <w:t>that only few coefficients are estimated significant in the</w:t>
      </w:r>
      <w:r w:rsidRPr="006D2DB3">
        <w:rPr>
          <w:lang w:val="en-US"/>
        </w:rPr>
        <w:t xml:space="preserve"> model could be that individual food consumption is constructed out of household food consumption divided by the number of people in the household. Differences in individual eating </w:t>
      </w:r>
      <w:r w:rsidRPr="006D2DB3">
        <w:rPr>
          <w:lang w:val="en-US"/>
        </w:rPr>
        <w:lastRenderedPageBreak/>
        <w:t>habits reflected in food expenses are hereby smoothened across the household, which may pale the relation with BMI</w:t>
      </w:r>
      <w:r w:rsidR="009E1E8D" w:rsidRPr="006D2DB3">
        <w:rPr>
          <w:lang w:val="en-US"/>
        </w:rPr>
        <w:t>.</w:t>
      </w:r>
    </w:p>
    <w:p w14:paraId="1EEF6F0C" w14:textId="42B5FA16" w:rsidR="00E36784" w:rsidRPr="009B2D1C" w:rsidRDefault="00E42C7F" w:rsidP="006168E6">
      <w:pPr>
        <w:spacing w:line="360" w:lineRule="auto"/>
        <w:ind w:firstLine="360"/>
        <w:jc w:val="both"/>
        <w:rPr>
          <w:lang w:val="en-US"/>
        </w:rPr>
      </w:pPr>
      <w:r w:rsidRPr="009B2D1C">
        <w:rPr>
          <w:lang w:val="en-US"/>
        </w:rPr>
        <w:t>Interactions of the parameters from t</w:t>
      </w:r>
      <w:r w:rsidR="00AE2642" w:rsidRPr="009B2D1C">
        <w:rPr>
          <w:lang w:val="en-US"/>
        </w:rPr>
        <w:t>he extended</w:t>
      </w:r>
      <w:r w:rsidRPr="009B2D1C">
        <w:rPr>
          <w:lang w:val="en-US"/>
        </w:rPr>
        <w:t xml:space="preserve"> model are interacted with the wave dummy for each country and tested with a T-test to check whether they are significantly different from zero.  For </w:t>
      </w:r>
      <w:r w:rsidR="00B35A11" w:rsidRPr="009B2D1C">
        <w:rPr>
          <w:lang w:val="en-US"/>
        </w:rPr>
        <w:t xml:space="preserve">all countries </w:t>
      </w:r>
      <w:r w:rsidRPr="009B2D1C">
        <w:rPr>
          <w:lang w:val="en-US"/>
        </w:rPr>
        <w:t>there is a significant difference of the effect of the parameters at a 5% significance level between 2004 and 2010</w:t>
      </w:r>
      <w:r w:rsidR="00580496" w:rsidRPr="009B2D1C">
        <w:rPr>
          <w:lang w:val="en-US"/>
        </w:rPr>
        <w:t>, except for Switzerland where this can only be concluded at a 10% significance level</w:t>
      </w:r>
      <w:r w:rsidRPr="009B2D1C">
        <w:rPr>
          <w:lang w:val="en-US"/>
        </w:rPr>
        <w:t xml:space="preserve">. Thus the Oaxaca-type approach, which allows for different regression coefficients, </w:t>
      </w:r>
      <w:r w:rsidR="00B35A11" w:rsidRPr="009B2D1C">
        <w:rPr>
          <w:lang w:val="en-US"/>
        </w:rPr>
        <w:t>makes sense the extended model context as well</w:t>
      </w:r>
      <w:r w:rsidR="00AE2642" w:rsidRPr="009B2D1C">
        <w:rPr>
          <w:lang w:val="en-US"/>
        </w:rPr>
        <w:t>, although the explanatory power of the</w:t>
      </w:r>
      <w:r w:rsidR="00BE7FDA" w:rsidRPr="009B2D1C">
        <w:rPr>
          <w:lang w:val="en-US"/>
        </w:rPr>
        <w:t xml:space="preserve"> added</w:t>
      </w:r>
      <w:r w:rsidR="00AE2642" w:rsidRPr="009B2D1C">
        <w:rPr>
          <w:lang w:val="en-US"/>
        </w:rPr>
        <w:t xml:space="preserve"> parameters is somewhat marginal.</w:t>
      </w:r>
    </w:p>
    <w:p w14:paraId="7D1CA3CB" w14:textId="77777777" w:rsidR="006D2DB3" w:rsidRPr="009B2D1C" w:rsidRDefault="00240CD0">
      <w:pPr>
        <w:pStyle w:val="Heading1"/>
        <w:rPr>
          <w:color w:val="17406D" w:themeColor="text2"/>
        </w:rPr>
      </w:pPr>
      <w:bookmarkStart w:id="18" w:name="_Toc432114510"/>
      <w:r w:rsidRPr="009B2D1C">
        <w:rPr>
          <w:color w:val="17406D" w:themeColor="text2"/>
        </w:rPr>
        <w:t>OB Decomposition</w:t>
      </w:r>
      <w:r w:rsidR="00440004" w:rsidRPr="009B2D1C">
        <w:rPr>
          <w:color w:val="17406D" w:themeColor="text2"/>
        </w:rPr>
        <w:t xml:space="preserve"> </w:t>
      </w:r>
      <w:r w:rsidR="00B70783" w:rsidRPr="004674B9">
        <w:rPr>
          <w:color w:val="17406D" w:themeColor="text2"/>
        </w:rPr>
        <w:t>results</w:t>
      </w:r>
      <w:bookmarkEnd w:id="18"/>
    </w:p>
    <w:p w14:paraId="4EC4ABDD" w14:textId="77777777" w:rsidR="004573A4" w:rsidRDefault="004573A4" w:rsidP="004573A4">
      <w:pPr>
        <w:rPr>
          <w:lang w:eastAsia="ja-JP"/>
        </w:rPr>
      </w:pPr>
    </w:p>
    <w:p w14:paraId="6A0226B5" w14:textId="77777777" w:rsidR="00B70783" w:rsidRDefault="00B70783" w:rsidP="004674B9">
      <w:pPr>
        <w:pStyle w:val="Heading2"/>
        <w:numPr>
          <w:ilvl w:val="1"/>
          <w:numId w:val="35"/>
        </w:numPr>
        <w:rPr>
          <w:rFonts w:cs="Calibri"/>
          <w:sz w:val="24"/>
          <w:szCs w:val="24"/>
          <w:lang w:val="en-US" w:eastAsia="ja-JP"/>
        </w:rPr>
      </w:pPr>
      <w:bookmarkStart w:id="19" w:name="_Toc432114511"/>
      <w:r>
        <w:rPr>
          <w:rFonts w:cs="Calibri"/>
          <w:sz w:val="24"/>
          <w:szCs w:val="24"/>
          <w:lang w:val="en-US" w:eastAsia="ja-JP"/>
        </w:rPr>
        <w:lastRenderedPageBreak/>
        <w:t>OB decomposition of basic model</w:t>
      </w:r>
      <w:bookmarkEnd w:id="19"/>
    </w:p>
    <w:p w14:paraId="6F93DD65" w14:textId="77777777" w:rsidR="00B70783" w:rsidRPr="00B70783" w:rsidRDefault="00B70783" w:rsidP="004573A4">
      <w:pPr>
        <w:rPr>
          <w:lang w:val="en-US" w:eastAsia="ja-JP"/>
        </w:rPr>
      </w:pPr>
    </w:p>
    <w:p w14:paraId="16A15E42" w14:textId="72357C68" w:rsidR="00B9419B" w:rsidRDefault="00C02540" w:rsidP="009B2D1C">
      <w:pPr>
        <w:spacing w:line="360" w:lineRule="auto"/>
        <w:ind w:firstLine="360"/>
        <w:jc w:val="both"/>
        <w:rPr>
          <w:lang w:val="en-US"/>
        </w:rPr>
      </w:pPr>
      <w:r>
        <w:rPr>
          <w:lang w:val="en-US"/>
        </w:rPr>
        <w:t xml:space="preserve">Below in </w:t>
      </w:r>
      <w:r w:rsidR="002E3723">
        <w:rPr>
          <w:lang w:val="en-US"/>
        </w:rPr>
        <w:t>figure</w:t>
      </w:r>
      <w:r w:rsidR="00BB479C">
        <w:rPr>
          <w:lang w:val="en-US"/>
        </w:rPr>
        <w:t>s</w:t>
      </w:r>
      <w:r w:rsidR="002E3723">
        <w:rPr>
          <w:lang w:val="en-US"/>
        </w:rPr>
        <w:t xml:space="preserve"> 1</w:t>
      </w:r>
      <w:r w:rsidR="00231509">
        <w:rPr>
          <w:lang w:val="en-US"/>
        </w:rPr>
        <w:t xml:space="preserve"> to </w:t>
      </w:r>
      <w:r w:rsidR="002E3723">
        <w:rPr>
          <w:lang w:val="en-US"/>
        </w:rPr>
        <w:t>9</w:t>
      </w:r>
      <w:r w:rsidR="0019645B">
        <w:rPr>
          <w:lang w:val="en-US"/>
        </w:rPr>
        <w:t xml:space="preserve"> </w:t>
      </w:r>
      <w:r w:rsidR="00251DA7" w:rsidRPr="006D2DB3">
        <w:rPr>
          <w:lang w:val="en-US"/>
        </w:rPr>
        <w:t xml:space="preserve">the OB decomposition </w:t>
      </w:r>
      <w:r w:rsidR="00F814AF" w:rsidRPr="006D2DB3">
        <w:rPr>
          <w:lang w:val="en-US"/>
        </w:rPr>
        <w:t>results of</w:t>
      </w:r>
      <w:r w:rsidR="00251DA7" w:rsidRPr="006D2DB3">
        <w:rPr>
          <w:lang w:val="en-US"/>
        </w:rPr>
        <w:t xml:space="preserve"> the basic model are schematically depicted for each country. For all of the ni</w:t>
      </w:r>
      <w:r w:rsidR="00DB0BBA" w:rsidRPr="006D2DB3">
        <w:rPr>
          <w:lang w:val="en-US"/>
        </w:rPr>
        <w:t>ne countries the</w:t>
      </w:r>
      <w:r w:rsidR="00251DA7" w:rsidRPr="006D2DB3">
        <w:rPr>
          <w:lang w:val="en-US"/>
        </w:rPr>
        <w:t xml:space="preserve"> differences in BMI between the two periods can be </w:t>
      </w:r>
      <w:r w:rsidR="00DB0BBA" w:rsidRPr="006D2DB3">
        <w:rPr>
          <w:lang w:val="en-US"/>
        </w:rPr>
        <w:t xml:space="preserve">solely </w:t>
      </w:r>
      <w:r w:rsidR="00251DA7" w:rsidRPr="006D2DB3">
        <w:rPr>
          <w:lang w:val="en-US"/>
        </w:rPr>
        <w:t xml:space="preserve">explained through the </w:t>
      </w:r>
      <w:r w:rsidR="002851C7">
        <w:rPr>
          <w:lang w:val="en-US"/>
        </w:rPr>
        <w:t>association change</w:t>
      </w:r>
      <w:r w:rsidR="00B9419B">
        <w:rPr>
          <w:lang w:val="en-US"/>
        </w:rPr>
        <w:t xml:space="preserve"> </w:t>
      </w:r>
      <w:r w:rsidR="00251DA7" w:rsidRPr="006D2DB3">
        <w:rPr>
          <w:lang w:val="en-US"/>
        </w:rPr>
        <w:t>of the independent variables</w:t>
      </w:r>
      <w:r w:rsidR="00B9419B">
        <w:rPr>
          <w:lang w:val="en-US"/>
        </w:rPr>
        <w:t xml:space="preserve"> and BMI</w:t>
      </w:r>
      <w:r w:rsidR="00251DA7" w:rsidRPr="006D2DB3">
        <w:rPr>
          <w:lang w:val="en-US"/>
        </w:rPr>
        <w:t xml:space="preserve">. </w:t>
      </w:r>
      <w:r w:rsidR="00DB0BBA" w:rsidRPr="006D2DB3">
        <w:rPr>
          <w:lang w:val="en-US"/>
        </w:rPr>
        <w:t>Thi</w:t>
      </w:r>
      <w:r w:rsidR="004B55AC" w:rsidRPr="006D2DB3">
        <w:rPr>
          <w:lang w:val="en-US"/>
        </w:rPr>
        <w:t>s is expected, since</w:t>
      </w:r>
      <w:r w:rsidR="00DB0BBA" w:rsidRPr="006D2DB3">
        <w:rPr>
          <w:lang w:val="en-US"/>
        </w:rPr>
        <w:t xml:space="preserve"> none of the</w:t>
      </w:r>
      <w:r w:rsidR="00251DA7" w:rsidRPr="006D2DB3">
        <w:rPr>
          <w:lang w:val="en-US"/>
        </w:rPr>
        <w:t xml:space="preserve"> </w:t>
      </w:r>
      <w:r w:rsidR="00DB0BBA" w:rsidRPr="006D2DB3">
        <w:rPr>
          <w:lang w:val="en-US"/>
        </w:rPr>
        <w:t xml:space="preserve">independent </w:t>
      </w:r>
      <w:r w:rsidR="00251DA7" w:rsidRPr="006D2DB3">
        <w:rPr>
          <w:lang w:val="en-US"/>
        </w:rPr>
        <w:t>variable</w:t>
      </w:r>
      <w:r w:rsidR="00DB0BBA" w:rsidRPr="006D2DB3">
        <w:rPr>
          <w:lang w:val="en-US"/>
        </w:rPr>
        <w:t xml:space="preserve">s in the basic model </w:t>
      </w:r>
      <w:r w:rsidR="00251DA7" w:rsidRPr="006D2DB3">
        <w:rPr>
          <w:lang w:val="en-US"/>
        </w:rPr>
        <w:t>encounters</w:t>
      </w:r>
      <w:r w:rsidR="00B9419B">
        <w:rPr>
          <w:lang w:val="en-US"/>
        </w:rPr>
        <w:t xml:space="preserve"> endowment change </w:t>
      </w:r>
      <w:r w:rsidR="00251DA7" w:rsidRPr="006D2DB3">
        <w:rPr>
          <w:lang w:val="en-US"/>
        </w:rPr>
        <w:t>bet</w:t>
      </w:r>
      <w:r w:rsidR="00DB0BBA" w:rsidRPr="006D2DB3">
        <w:rPr>
          <w:lang w:val="en-US"/>
        </w:rPr>
        <w:t>ween the two periods</w:t>
      </w:r>
      <w:r w:rsidR="00251DA7" w:rsidRPr="006D2DB3">
        <w:rPr>
          <w:lang w:val="en-US"/>
        </w:rPr>
        <w:t xml:space="preserve">. </w:t>
      </w:r>
      <w:r w:rsidR="00F814AF" w:rsidRPr="006D2DB3">
        <w:rPr>
          <w:lang w:val="en-US"/>
        </w:rPr>
        <w:t>Gender and education</w:t>
      </w:r>
      <w:r w:rsidR="00817187" w:rsidRPr="006D2DB3">
        <w:rPr>
          <w:lang w:val="en-US"/>
        </w:rPr>
        <w:t xml:space="preserve"> for the </w:t>
      </w:r>
      <w:r w:rsidR="00AA3A7D" w:rsidRPr="006D2DB3">
        <w:rPr>
          <w:lang w:val="en-US"/>
        </w:rPr>
        <w:t>vast</w:t>
      </w:r>
      <w:r w:rsidR="00817187" w:rsidRPr="006D2DB3">
        <w:rPr>
          <w:lang w:val="en-US"/>
        </w:rPr>
        <w:t xml:space="preserve"> majority are fixed inputs early determined in life</w:t>
      </w:r>
      <w:r w:rsidR="00B9419B">
        <w:rPr>
          <w:lang w:val="en-US"/>
        </w:rPr>
        <w:t>. Information on these variables are only acquired</w:t>
      </w:r>
      <w:r w:rsidR="00AA3A7D">
        <w:rPr>
          <w:lang w:val="en-US"/>
        </w:rPr>
        <w:t xml:space="preserve"> in </w:t>
      </w:r>
      <w:r w:rsidR="00B9419B">
        <w:rPr>
          <w:lang w:val="en-US"/>
        </w:rPr>
        <w:t>the first wave of the SHARE dataset</w:t>
      </w:r>
      <w:r w:rsidR="00AA3A7D">
        <w:rPr>
          <w:lang w:val="en-US"/>
        </w:rPr>
        <w:t xml:space="preserve"> and</w:t>
      </w:r>
      <w:r w:rsidR="00B9419B">
        <w:rPr>
          <w:lang w:val="en-US"/>
        </w:rPr>
        <w:t xml:space="preserve"> are</w:t>
      </w:r>
      <w:r w:rsidR="00AA3A7D">
        <w:rPr>
          <w:lang w:val="en-US"/>
        </w:rPr>
        <w:t xml:space="preserve"> kept fixed </w:t>
      </w:r>
      <w:r w:rsidR="00B9419B">
        <w:rPr>
          <w:lang w:val="en-US"/>
        </w:rPr>
        <w:t>for</w:t>
      </w:r>
      <w:r w:rsidR="00AA3A7D">
        <w:rPr>
          <w:lang w:val="en-US"/>
        </w:rPr>
        <w:t xml:space="preserve"> the other waves</w:t>
      </w:r>
      <w:r w:rsidR="00817187" w:rsidRPr="006D2DB3">
        <w:rPr>
          <w:lang w:val="en-US"/>
        </w:rPr>
        <w:t xml:space="preserve">. </w:t>
      </w:r>
      <w:r w:rsidR="00B9419B">
        <w:rPr>
          <w:lang w:val="en-US"/>
        </w:rPr>
        <w:t xml:space="preserve">Age is as earlier discussed also a fixed input in this model. </w:t>
      </w:r>
      <w:r w:rsidR="004B55AC" w:rsidRPr="006D2DB3">
        <w:rPr>
          <w:lang w:val="en-US"/>
        </w:rPr>
        <w:t>Therefor</w:t>
      </w:r>
      <w:r w:rsidR="00FA6B05" w:rsidRPr="006D2DB3">
        <w:rPr>
          <w:lang w:val="en-US"/>
        </w:rPr>
        <w:t>e</w:t>
      </w:r>
      <w:r w:rsidR="004B55AC" w:rsidRPr="006D2DB3">
        <w:rPr>
          <w:lang w:val="en-US"/>
        </w:rPr>
        <w:t xml:space="preserve"> variation in BMI can only be explained </w:t>
      </w:r>
      <w:r w:rsidR="00B9419B">
        <w:rPr>
          <w:lang w:val="en-US"/>
        </w:rPr>
        <w:t>through</w:t>
      </w:r>
      <w:r w:rsidR="004B55AC" w:rsidRPr="006D2DB3">
        <w:rPr>
          <w:lang w:val="en-US"/>
        </w:rPr>
        <w:t xml:space="preserve"> </w:t>
      </w:r>
      <w:r w:rsidR="002851C7">
        <w:rPr>
          <w:lang w:val="en-US"/>
        </w:rPr>
        <w:t>association change</w:t>
      </w:r>
      <w:r w:rsidR="00B9419B">
        <w:rPr>
          <w:lang w:val="en-US"/>
        </w:rPr>
        <w:t>s and changes in the contribution of the constant.</w:t>
      </w:r>
    </w:p>
    <w:p w14:paraId="5A08EC71" w14:textId="6357397C" w:rsidR="0019645B" w:rsidRPr="0043561A" w:rsidRDefault="002E3723" w:rsidP="0043561A">
      <w:pPr>
        <w:spacing w:line="360" w:lineRule="auto"/>
        <w:jc w:val="both"/>
        <w:rPr>
          <w:b/>
          <w:lang w:val="en-US"/>
        </w:rPr>
      </w:pPr>
      <w:r>
        <w:rPr>
          <w:b/>
          <w:lang w:val="en-US"/>
        </w:rPr>
        <w:t>Figures</w:t>
      </w:r>
      <w:r w:rsidR="0019645B" w:rsidRPr="0019645B">
        <w:rPr>
          <w:b/>
          <w:lang w:val="en-US"/>
        </w:rPr>
        <w:t xml:space="preserve"> </w:t>
      </w:r>
      <w:r>
        <w:rPr>
          <w:b/>
          <w:lang w:val="en-US"/>
        </w:rPr>
        <w:t xml:space="preserve">1 </w:t>
      </w:r>
      <w:r w:rsidR="0019645B">
        <w:rPr>
          <w:b/>
          <w:lang w:val="en-US"/>
        </w:rPr>
        <w:t>-</w:t>
      </w:r>
      <w:r>
        <w:rPr>
          <w:b/>
          <w:lang w:val="en-US"/>
        </w:rPr>
        <w:t xml:space="preserve"> 9</w:t>
      </w:r>
      <w:r w:rsidR="0019645B" w:rsidRPr="0019645B">
        <w:rPr>
          <w:b/>
          <w:lang w:val="en-US"/>
        </w:rPr>
        <w:t>: Decomposition results basic regression model</w:t>
      </w:r>
    </w:p>
    <w:p w14:paraId="2363A410" w14:textId="77777777" w:rsidR="00C02540" w:rsidRDefault="00D3759C" w:rsidP="00273BEA">
      <w:pPr>
        <w:spacing w:line="360" w:lineRule="auto"/>
        <w:jc w:val="both"/>
        <w:rPr>
          <w:lang w:val="en-US"/>
        </w:rPr>
      </w:pPr>
      <w:r>
        <w:rPr>
          <w:noProof/>
          <w:lang w:val="en-GB" w:eastAsia="en-GB"/>
        </w:rPr>
        <w:lastRenderedPageBreak/>
        <w:drawing>
          <wp:inline distT="0" distB="0" distL="0" distR="0" wp14:anchorId="3ADDA261" wp14:editId="566F30AD">
            <wp:extent cx="5258435" cy="2825087"/>
            <wp:effectExtent l="0" t="0" r="18415" b="13970"/>
            <wp:docPr id="46" name="Chart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099BAB3" w14:textId="77777777" w:rsidR="00C02540" w:rsidRDefault="00D3759C" w:rsidP="00273BEA">
      <w:pPr>
        <w:spacing w:line="360" w:lineRule="auto"/>
        <w:jc w:val="both"/>
        <w:rPr>
          <w:lang w:val="en-US"/>
        </w:rPr>
      </w:pPr>
      <w:r>
        <w:rPr>
          <w:noProof/>
          <w:lang w:val="en-GB" w:eastAsia="en-GB"/>
        </w:rPr>
        <w:drawing>
          <wp:inline distT="0" distB="0" distL="0" distR="0" wp14:anchorId="38A3F8D9" wp14:editId="7EF9D4F9">
            <wp:extent cx="5258435" cy="2702257"/>
            <wp:effectExtent l="0" t="0" r="18415" b="3175"/>
            <wp:docPr id="47"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49C4A67" w14:textId="4A9B4C32" w:rsidR="00C02540" w:rsidRDefault="00685A8C" w:rsidP="00273BEA">
      <w:pPr>
        <w:spacing w:line="360" w:lineRule="auto"/>
        <w:jc w:val="both"/>
        <w:rPr>
          <w:lang w:val="en-US"/>
        </w:rPr>
      </w:pPr>
      <w:r>
        <w:rPr>
          <w:noProof/>
          <w:lang w:val="en-GB" w:eastAsia="en-GB"/>
        </w:rPr>
        <w:lastRenderedPageBreak/>
        <w:drawing>
          <wp:inline distT="0" distB="0" distL="0" distR="0" wp14:anchorId="42C6E7F1" wp14:editId="6C19F636">
            <wp:extent cx="5258435" cy="2784143"/>
            <wp:effectExtent l="0" t="0" r="18415" b="16510"/>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33A252A" w14:textId="47F576E1" w:rsidR="00C02540" w:rsidRDefault="00685A8C" w:rsidP="00273BEA">
      <w:pPr>
        <w:spacing w:line="360" w:lineRule="auto"/>
        <w:jc w:val="both"/>
        <w:rPr>
          <w:lang w:val="en-US"/>
        </w:rPr>
      </w:pPr>
      <w:r>
        <w:rPr>
          <w:noProof/>
          <w:lang w:val="en-GB" w:eastAsia="en-GB"/>
        </w:rPr>
        <w:drawing>
          <wp:inline distT="0" distB="0" distL="0" distR="0" wp14:anchorId="1287F320" wp14:editId="25EEE156">
            <wp:extent cx="5258435" cy="2770496"/>
            <wp:effectExtent l="0" t="0" r="18415" b="11430"/>
            <wp:docPr id="49" name="Chart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8B082C4" w14:textId="77777777" w:rsidR="00C02540" w:rsidRDefault="00D3759C" w:rsidP="00273BEA">
      <w:pPr>
        <w:spacing w:line="360" w:lineRule="auto"/>
        <w:jc w:val="both"/>
        <w:rPr>
          <w:lang w:val="en-US"/>
        </w:rPr>
      </w:pPr>
      <w:r>
        <w:rPr>
          <w:noProof/>
          <w:lang w:val="en-GB" w:eastAsia="en-GB"/>
        </w:rPr>
        <w:lastRenderedPageBreak/>
        <w:drawing>
          <wp:inline distT="0" distB="0" distL="0" distR="0" wp14:anchorId="0932EB6E" wp14:editId="017E8453">
            <wp:extent cx="5258435" cy="2855595"/>
            <wp:effectExtent l="0" t="0" r="18415" b="1905"/>
            <wp:docPr id="50" name="Chart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695701E" w14:textId="77777777" w:rsidR="00C02540" w:rsidRDefault="00D3759C" w:rsidP="00273BEA">
      <w:pPr>
        <w:spacing w:line="360" w:lineRule="auto"/>
        <w:jc w:val="both"/>
        <w:rPr>
          <w:lang w:val="en-US"/>
        </w:rPr>
      </w:pPr>
      <w:r>
        <w:rPr>
          <w:noProof/>
          <w:lang w:val="en-GB" w:eastAsia="en-GB"/>
        </w:rPr>
        <w:lastRenderedPageBreak/>
        <w:drawing>
          <wp:inline distT="0" distB="0" distL="0" distR="0" wp14:anchorId="6DA721D1" wp14:editId="3FC93B93">
            <wp:extent cx="5258961" cy="2858135"/>
            <wp:effectExtent l="0" t="0" r="18415" b="18415"/>
            <wp:docPr id="51" name="Chart 5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ABE9791" w14:textId="77777777" w:rsidR="006168E6" w:rsidRDefault="006168E6" w:rsidP="00273BEA">
      <w:pPr>
        <w:spacing w:line="360" w:lineRule="auto"/>
        <w:jc w:val="both"/>
        <w:rPr>
          <w:lang w:val="en-US"/>
        </w:rPr>
      </w:pPr>
      <w:r>
        <w:rPr>
          <w:noProof/>
          <w:lang w:val="en-GB" w:eastAsia="en-GB"/>
        </w:rPr>
        <w:drawing>
          <wp:inline distT="0" distB="0" distL="0" distR="0" wp14:anchorId="53FB6C20" wp14:editId="6AC8F728">
            <wp:extent cx="5258435" cy="2680138"/>
            <wp:effectExtent l="0" t="0" r="18415" b="6350"/>
            <wp:docPr id="53" name="Chart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DFB23B7" w14:textId="3CC96E04" w:rsidR="00C02540" w:rsidRDefault="00D3759C" w:rsidP="00273BEA">
      <w:pPr>
        <w:spacing w:line="360" w:lineRule="auto"/>
        <w:jc w:val="both"/>
        <w:rPr>
          <w:lang w:val="en-US"/>
        </w:rPr>
      </w:pPr>
      <w:r>
        <w:rPr>
          <w:noProof/>
          <w:lang w:val="en-GB" w:eastAsia="en-GB"/>
        </w:rPr>
        <w:lastRenderedPageBreak/>
        <w:drawing>
          <wp:inline distT="0" distB="0" distL="0" distR="0" wp14:anchorId="25FF43F4" wp14:editId="4CDEC167">
            <wp:extent cx="5258435" cy="2771775"/>
            <wp:effectExtent l="0" t="0" r="18415" b="9525"/>
            <wp:docPr id="52" name="Chart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695DDC6" w14:textId="57BB8FB1" w:rsidR="00441EDF" w:rsidRDefault="006168E6" w:rsidP="00273BEA">
      <w:pPr>
        <w:spacing w:line="360" w:lineRule="auto"/>
        <w:jc w:val="both"/>
        <w:rPr>
          <w:lang w:val="en-US"/>
        </w:rPr>
      </w:pPr>
      <w:r>
        <w:rPr>
          <w:noProof/>
          <w:lang w:val="en-GB" w:eastAsia="en-GB"/>
        </w:rPr>
        <w:drawing>
          <wp:inline distT="0" distB="0" distL="0" distR="0" wp14:anchorId="51846AD1" wp14:editId="62E21D96">
            <wp:extent cx="5258435" cy="2859405"/>
            <wp:effectExtent l="0" t="0" r="18415" b="17145"/>
            <wp:docPr id="54" name="Chart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DFFD85C" w14:textId="77777777" w:rsidR="00FC6E3C" w:rsidRDefault="00FC6E3C" w:rsidP="006168E6">
      <w:pPr>
        <w:spacing w:line="360" w:lineRule="auto"/>
        <w:jc w:val="both"/>
        <w:rPr>
          <w:lang w:val="en-US"/>
        </w:rPr>
      </w:pPr>
    </w:p>
    <w:p w14:paraId="2D654446" w14:textId="6CF05F48" w:rsidR="00D3759C" w:rsidRPr="009B2D1C" w:rsidRDefault="00D93877" w:rsidP="00685A8C">
      <w:pPr>
        <w:spacing w:line="360" w:lineRule="auto"/>
        <w:ind w:firstLine="360"/>
        <w:jc w:val="both"/>
        <w:rPr>
          <w:lang w:val="en-US"/>
        </w:rPr>
      </w:pPr>
      <w:r w:rsidRPr="006D2DB3">
        <w:rPr>
          <w:lang w:val="en-US"/>
        </w:rPr>
        <w:t>One of the most corresponding</w:t>
      </w:r>
      <w:r w:rsidR="002F5A5F" w:rsidRPr="006D2DB3">
        <w:rPr>
          <w:lang w:val="en-US"/>
        </w:rPr>
        <w:t xml:space="preserve"> </w:t>
      </w:r>
      <w:r w:rsidRPr="006D2DB3">
        <w:rPr>
          <w:lang w:val="en-US"/>
        </w:rPr>
        <w:t>results between countries is t</w:t>
      </w:r>
      <w:r w:rsidR="005B5D27" w:rsidRPr="006D2DB3">
        <w:rPr>
          <w:lang w:val="en-US"/>
        </w:rPr>
        <w:t xml:space="preserve">he relatively large and </w:t>
      </w:r>
      <w:r w:rsidR="003163B6" w:rsidRPr="006D2DB3">
        <w:rPr>
          <w:lang w:val="en-US"/>
        </w:rPr>
        <w:t>negat</w:t>
      </w:r>
      <w:r w:rsidR="008E1FE1" w:rsidRPr="006D2DB3">
        <w:rPr>
          <w:lang w:val="en-US"/>
        </w:rPr>
        <w:t>ive</w:t>
      </w:r>
      <w:r w:rsidRPr="006D2DB3">
        <w:rPr>
          <w:lang w:val="en-US"/>
        </w:rPr>
        <w:t xml:space="preserve"> </w:t>
      </w:r>
      <w:r w:rsidR="005B5D27" w:rsidRPr="006D2DB3">
        <w:rPr>
          <w:lang w:val="en-US"/>
        </w:rPr>
        <w:t xml:space="preserve">change in effect of </w:t>
      </w:r>
      <w:r w:rsidR="008E1FE1" w:rsidRPr="006D2DB3">
        <w:rPr>
          <w:lang w:val="en-US"/>
        </w:rPr>
        <w:t xml:space="preserve">age </w:t>
      </w:r>
      <w:r w:rsidRPr="006D2DB3">
        <w:rPr>
          <w:lang w:val="en-US"/>
        </w:rPr>
        <w:t>on BMI</w:t>
      </w:r>
      <w:r w:rsidR="00B9419B">
        <w:rPr>
          <w:lang w:val="en-US"/>
        </w:rPr>
        <w:t xml:space="preserve">. </w:t>
      </w:r>
      <w:r w:rsidR="006A3224">
        <w:rPr>
          <w:lang w:val="en-US"/>
        </w:rPr>
        <w:t xml:space="preserve">The older </w:t>
      </w:r>
      <w:r w:rsidR="008E1FE1" w:rsidRPr="006D2DB3">
        <w:rPr>
          <w:lang w:val="en-US"/>
        </w:rPr>
        <w:t>age group</w:t>
      </w:r>
      <w:r w:rsidR="006A3224">
        <w:rPr>
          <w:lang w:val="en-US"/>
        </w:rPr>
        <w:t>s</w:t>
      </w:r>
      <w:r w:rsidR="008E1FE1" w:rsidRPr="006D2DB3">
        <w:rPr>
          <w:lang w:val="en-US"/>
        </w:rPr>
        <w:t xml:space="preserve"> show a </w:t>
      </w:r>
      <w:r w:rsidR="006A3224">
        <w:rPr>
          <w:lang w:val="en-US"/>
        </w:rPr>
        <w:t>relatively</w:t>
      </w:r>
      <w:r w:rsidR="006A3224" w:rsidRPr="006D2DB3">
        <w:rPr>
          <w:lang w:val="en-US"/>
        </w:rPr>
        <w:t xml:space="preserve"> </w:t>
      </w:r>
      <w:r w:rsidR="008E1FE1" w:rsidRPr="006D2DB3">
        <w:rPr>
          <w:lang w:val="en-US"/>
        </w:rPr>
        <w:t xml:space="preserve">large </w:t>
      </w:r>
      <w:r w:rsidR="003163B6" w:rsidRPr="006D2DB3">
        <w:rPr>
          <w:lang w:val="en-US"/>
        </w:rPr>
        <w:t>increase</w:t>
      </w:r>
      <w:r w:rsidR="008E1FE1" w:rsidRPr="006D2DB3">
        <w:rPr>
          <w:lang w:val="en-US"/>
        </w:rPr>
        <w:t xml:space="preserve"> in </w:t>
      </w:r>
      <w:r w:rsidR="003163B6" w:rsidRPr="006D2DB3">
        <w:rPr>
          <w:lang w:val="en-US"/>
        </w:rPr>
        <w:t xml:space="preserve">the negative </w:t>
      </w:r>
      <w:r w:rsidR="008E1FE1" w:rsidRPr="006D2DB3">
        <w:rPr>
          <w:lang w:val="en-US"/>
        </w:rPr>
        <w:t xml:space="preserve">effect on </w:t>
      </w:r>
      <w:r w:rsidR="006E37CB" w:rsidRPr="006D2DB3">
        <w:rPr>
          <w:lang w:val="en-US"/>
        </w:rPr>
        <w:t>BMI by agi</w:t>
      </w:r>
      <w:r w:rsidR="003163B6" w:rsidRPr="006D2DB3">
        <w:rPr>
          <w:lang w:val="en-US"/>
        </w:rPr>
        <w:t xml:space="preserve">ng </w:t>
      </w:r>
      <w:r w:rsidR="003163B6" w:rsidRPr="00E54679">
        <w:rPr>
          <w:lang w:val="en-US"/>
        </w:rPr>
        <w:t>six years compared to the young</w:t>
      </w:r>
      <w:r w:rsidR="006E37CB" w:rsidRPr="00E54679">
        <w:rPr>
          <w:lang w:val="en-US"/>
        </w:rPr>
        <w:t xml:space="preserve">est age </w:t>
      </w:r>
      <w:r w:rsidR="006A3224">
        <w:rPr>
          <w:lang w:val="en-US"/>
        </w:rPr>
        <w:t>group</w:t>
      </w:r>
      <w:r w:rsidR="006E37CB" w:rsidRPr="00E54679">
        <w:rPr>
          <w:lang w:val="en-US"/>
        </w:rPr>
        <w:t>.</w:t>
      </w:r>
      <w:r w:rsidR="00D91787">
        <w:rPr>
          <w:lang w:val="en-US"/>
        </w:rPr>
        <w:t xml:space="preserve"> Results for the oldest group are somewhat more negative than the middle group, meaning that the BMI gap between young and old has grown more for the oldest people in the sample. </w:t>
      </w:r>
      <w:r w:rsidR="00862481" w:rsidRPr="00E54679">
        <w:rPr>
          <w:lang w:val="en-US"/>
        </w:rPr>
        <w:t>A</w:t>
      </w:r>
      <w:r w:rsidR="000B3528" w:rsidRPr="00E54679">
        <w:rPr>
          <w:lang w:val="en-US"/>
        </w:rPr>
        <w:t xml:space="preserve"> difficulty</w:t>
      </w:r>
      <w:r w:rsidR="00862481" w:rsidRPr="00E54679">
        <w:rPr>
          <w:lang w:val="en-US"/>
        </w:rPr>
        <w:t xml:space="preserve"> arises</w:t>
      </w:r>
      <w:r w:rsidR="00D91787">
        <w:rPr>
          <w:lang w:val="en-US"/>
        </w:rPr>
        <w:t xml:space="preserve"> for the interpretation of these results, because age is included categorically</w:t>
      </w:r>
      <w:r w:rsidR="000404D3">
        <w:rPr>
          <w:lang w:val="en-US"/>
        </w:rPr>
        <w:t xml:space="preserve"> and</w:t>
      </w:r>
      <w:r w:rsidR="000404D3" w:rsidRPr="006D2DB3">
        <w:rPr>
          <w:lang w:val="en-US"/>
        </w:rPr>
        <w:t xml:space="preserve"> </w:t>
      </w:r>
      <w:r w:rsidR="000404D3">
        <w:rPr>
          <w:lang w:val="en-US"/>
        </w:rPr>
        <w:t>the youngest group is more or</w:t>
      </w:r>
      <w:r w:rsidR="000404D3" w:rsidRPr="006D2DB3">
        <w:rPr>
          <w:lang w:val="en-US"/>
        </w:rPr>
        <w:t xml:space="preserve"> less</w:t>
      </w:r>
      <w:r w:rsidR="000404D3">
        <w:rPr>
          <w:lang w:val="en-US"/>
        </w:rPr>
        <w:t xml:space="preserve"> arbitrarily chosen as</w:t>
      </w:r>
      <w:r w:rsidR="000404D3" w:rsidRPr="006D2DB3">
        <w:rPr>
          <w:lang w:val="en-US"/>
        </w:rPr>
        <w:t xml:space="preserve"> the reference category</w:t>
      </w:r>
      <w:r w:rsidR="000404D3">
        <w:rPr>
          <w:lang w:val="en-US"/>
        </w:rPr>
        <w:t>.</w:t>
      </w:r>
      <w:r w:rsidR="000404D3" w:rsidRPr="006D2DB3">
        <w:rPr>
          <w:lang w:val="en-US"/>
        </w:rPr>
        <w:t xml:space="preserve"> </w:t>
      </w:r>
      <w:r w:rsidR="000404D3">
        <w:rPr>
          <w:lang w:val="en-US"/>
        </w:rPr>
        <w:t xml:space="preserve">This means that the coefficient of the youngest group </w:t>
      </w:r>
      <w:r w:rsidR="007349DD" w:rsidRPr="006D2DB3">
        <w:rPr>
          <w:lang w:val="en-US"/>
        </w:rPr>
        <w:t>is assumed to be zero</w:t>
      </w:r>
      <w:r w:rsidR="000404D3" w:rsidRPr="000404D3">
        <w:rPr>
          <w:lang w:val="en-US"/>
        </w:rPr>
        <w:t xml:space="preserve"> </w:t>
      </w:r>
      <w:r w:rsidR="000404D3" w:rsidRPr="006D2DB3">
        <w:rPr>
          <w:lang w:val="en-US"/>
        </w:rPr>
        <w:t>to estimate an effect for the remaining categories</w:t>
      </w:r>
      <w:r w:rsidR="007349DD" w:rsidRPr="006D2DB3">
        <w:rPr>
          <w:lang w:val="en-US"/>
        </w:rPr>
        <w:t xml:space="preserve">. </w:t>
      </w:r>
      <w:r w:rsidR="006C27BE">
        <w:rPr>
          <w:lang w:val="en-US"/>
        </w:rPr>
        <w:t xml:space="preserve">The effects on BMI </w:t>
      </w:r>
      <w:r w:rsidR="00583203">
        <w:rPr>
          <w:lang w:val="en-US"/>
        </w:rPr>
        <w:t>of the</w:t>
      </w:r>
      <w:r w:rsidR="006C27BE">
        <w:rPr>
          <w:lang w:val="en-US"/>
        </w:rPr>
        <w:t xml:space="preserve"> youngest age groups, together with the effect of all other reference categories and the error term are captured in the constant. </w:t>
      </w:r>
      <w:r w:rsidR="00171576">
        <w:rPr>
          <w:lang w:val="en-US"/>
        </w:rPr>
        <w:t xml:space="preserve">This means that the effects estimated refer to an individual with the </w:t>
      </w:r>
      <w:r w:rsidR="00171576">
        <w:rPr>
          <w:lang w:val="en-US"/>
        </w:rPr>
        <w:lastRenderedPageBreak/>
        <w:t xml:space="preserve">characteristics aged 50 to 64 in 2004, low educated and male ceteris paribus. </w:t>
      </w:r>
      <w:r w:rsidR="006C27BE">
        <w:rPr>
          <w:lang w:val="en-US"/>
        </w:rPr>
        <w:t>It can be seen that for almost all countries the</w:t>
      </w:r>
      <w:r w:rsidR="00583203">
        <w:rPr>
          <w:lang w:val="en-US"/>
        </w:rPr>
        <w:t xml:space="preserve"> change of the</w:t>
      </w:r>
      <w:r w:rsidR="006C27BE">
        <w:rPr>
          <w:lang w:val="en-US"/>
        </w:rPr>
        <w:t xml:space="preserve"> constant</w:t>
      </w:r>
      <w:r w:rsidR="00583203">
        <w:rPr>
          <w:lang w:val="en-US"/>
        </w:rPr>
        <w:t xml:space="preserve"> contributed positively to BMI. The large positive contribution of the constant implies that the you</w:t>
      </w:r>
      <w:r w:rsidR="00171576">
        <w:rPr>
          <w:lang w:val="en-US"/>
        </w:rPr>
        <w:t>ng and low educated males in almost all</w:t>
      </w:r>
      <w:r w:rsidR="00583203">
        <w:rPr>
          <w:lang w:val="en-US"/>
        </w:rPr>
        <w:t xml:space="preserve"> countries experienced a BMI increase between 2004 and 2010 ceteris paribus.</w:t>
      </w:r>
      <w:r w:rsidR="006C27BE">
        <w:rPr>
          <w:lang w:val="en-US"/>
        </w:rPr>
        <w:t xml:space="preserve"> </w:t>
      </w:r>
      <w:r w:rsidR="000404D3">
        <w:rPr>
          <w:lang w:val="en-US"/>
        </w:rPr>
        <w:t xml:space="preserve">When decomposing the effect </w:t>
      </w:r>
      <w:r w:rsidR="00171576">
        <w:rPr>
          <w:lang w:val="en-US"/>
        </w:rPr>
        <w:t>of age on BMI it</w:t>
      </w:r>
      <w:r w:rsidR="008B16B6">
        <w:rPr>
          <w:lang w:val="en-US"/>
        </w:rPr>
        <w:t xml:space="preserve"> leads to</w:t>
      </w:r>
      <w:r w:rsidR="000404D3">
        <w:rPr>
          <w:lang w:val="en-US"/>
        </w:rPr>
        <w:t xml:space="preserve"> the </w:t>
      </w:r>
      <w:r w:rsidR="0090281B" w:rsidRPr="006D2DB3">
        <w:rPr>
          <w:lang w:val="en-US"/>
        </w:rPr>
        <w:t>conclu</w:t>
      </w:r>
      <w:r w:rsidR="000404D3">
        <w:rPr>
          <w:lang w:val="en-US"/>
        </w:rPr>
        <w:t>sion</w:t>
      </w:r>
      <w:r w:rsidR="0090281B" w:rsidRPr="006D2DB3">
        <w:rPr>
          <w:lang w:val="en-US"/>
        </w:rPr>
        <w:t xml:space="preserve"> that aging six years in the oldest age category has a strong </w:t>
      </w:r>
      <w:r w:rsidR="003163B6" w:rsidRPr="006D2DB3">
        <w:rPr>
          <w:lang w:val="en-US"/>
        </w:rPr>
        <w:t>nega</w:t>
      </w:r>
      <w:r w:rsidR="008E1FE1" w:rsidRPr="006D2DB3">
        <w:rPr>
          <w:lang w:val="en-US"/>
        </w:rPr>
        <w:t>tive</w:t>
      </w:r>
      <w:r w:rsidR="0090281B" w:rsidRPr="006D2DB3">
        <w:rPr>
          <w:lang w:val="en-US"/>
        </w:rPr>
        <w:t xml:space="preserve"> </w:t>
      </w:r>
      <w:r w:rsidR="008E1FE1" w:rsidRPr="006D2DB3">
        <w:rPr>
          <w:lang w:val="en-US"/>
        </w:rPr>
        <w:t xml:space="preserve">effect </w:t>
      </w:r>
      <w:r w:rsidR="0090281B" w:rsidRPr="006D2DB3">
        <w:rPr>
          <w:lang w:val="en-US"/>
        </w:rPr>
        <w:t>on BMI</w:t>
      </w:r>
      <w:r w:rsidR="008B16B6">
        <w:rPr>
          <w:lang w:val="en-US"/>
        </w:rPr>
        <w:t>, but this is only relative to the evolution of BMI for the youngest people</w:t>
      </w:r>
      <w:r w:rsidR="00171576">
        <w:rPr>
          <w:lang w:val="en-US"/>
        </w:rPr>
        <w:t xml:space="preserve"> while keeping all other factors unchanged</w:t>
      </w:r>
      <w:r w:rsidR="0090281B" w:rsidRPr="006D2DB3">
        <w:rPr>
          <w:lang w:val="en-US"/>
        </w:rPr>
        <w:t xml:space="preserve">. </w:t>
      </w:r>
      <w:r w:rsidR="008B16B6">
        <w:rPr>
          <w:lang w:val="en-US"/>
        </w:rPr>
        <w:t>These results only mean that the BMI gap betw</w:t>
      </w:r>
      <w:r w:rsidR="00835FB7">
        <w:rPr>
          <w:lang w:val="en-US"/>
        </w:rPr>
        <w:t>een the age groups increased, they</w:t>
      </w:r>
      <w:r w:rsidR="008B16B6">
        <w:rPr>
          <w:lang w:val="en-US"/>
        </w:rPr>
        <w:t xml:space="preserve"> d</w:t>
      </w:r>
      <w:r w:rsidR="00835FB7">
        <w:rPr>
          <w:lang w:val="en-US"/>
        </w:rPr>
        <w:t>o not per definition tell</w:t>
      </w:r>
      <w:r w:rsidR="00C00D4F">
        <w:rPr>
          <w:lang w:val="en-US"/>
        </w:rPr>
        <w:t xml:space="preserve"> if the older</w:t>
      </w:r>
      <w:r w:rsidR="006C27BE">
        <w:rPr>
          <w:lang w:val="en-US"/>
        </w:rPr>
        <w:t xml:space="preserve"> </w:t>
      </w:r>
      <w:r w:rsidR="00171576">
        <w:rPr>
          <w:lang w:val="en-US"/>
        </w:rPr>
        <w:t xml:space="preserve">age </w:t>
      </w:r>
      <w:r w:rsidR="006C27BE">
        <w:rPr>
          <w:lang w:val="en-US"/>
        </w:rPr>
        <w:t xml:space="preserve">groups gained or lost weight and how big this change was. </w:t>
      </w:r>
      <w:r w:rsidR="00055D3B" w:rsidRPr="006D2DB3">
        <w:rPr>
          <w:lang w:val="en-US"/>
        </w:rPr>
        <w:t xml:space="preserve">To identify </w:t>
      </w:r>
      <w:r w:rsidR="006C27BE">
        <w:rPr>
          <w:lang w:val="en-US"/>
        </w:rPr>
        <w:t>how</w:t>
      </w:r>
      <w:r w:rsidR="006C27BE" w:rsidRPr="006D2DB3">
        <w:rPr>
          <w:lang w:val="en-US"/>
        </w:rPr>
        <w:t xml:space="preserve"> </w:t>
      </w:r>
      <w:r w:rsidR="00C00D4F">
        <w:rPr>
          <w:lang w:val="en-US"/>
        </w:rPr>
        <w:t xml:space="preserve">BMI evolved for people of different </w:t>
      </w:r>
      <w:r w:rsidR="00171576">
        <w:rPr>
          <w:lang w:val="en-US"/>
        </w:rPr>
        <w:t>age</w:t>
      </w:r>
      <w:r w:rsidR="006C27BE">
        <w:rPr>
          <w:lang w:val="en-US"/>
        </w:rPr>
        <w:t xml:space="preserve">, </w:t>
      </w:r>
      <w:r w:rsidR="00055D3B" w:rsidRPr="006D2DB3">
        <w:rPr>
          <w:lang w:val="en-US"/>
        </w:rPr>
        <w:t>a closer look has to be taken at the BMI means</w:t>
      </w:r>
      <w:r w:rsidR="00C00D4F">
        <w:rPr>
          <w:lang w:val="en-US"/>
        </w:rPr>
        <w:t xml:space="preserve"> for 2004 and 2010</w:t>
      </w:r>
      <w:r w:rsidR="00055D3B" w:rsidRPr="006D2DB3">
        <w:rPr>
          <w:lang w:val="en-US"/>
        </w:rPr>
        <w:t xml:space="preserve"> of the </w:t>
      </w:r>
      <w:r w:rsidR="00055D3B" w:rsidRPr="009B2D1C">
        <w:rPr>
          <w:lang w:val="en-US"/>
        </w:rPr>
        <w:t>country specific age categories.</w:t>
      </w:r>
      <w:r w:rsidR="003163B6" w:rsidRPr="009B2D1C">
        <w:rPr>
          <w:lang w:val="en-US"/>
        </w:rPr>
        <w:t xml:space="preserve"> Results of the </w:t>
      </w:r>
      <w:r w:rsidR="003163B6" w:rsidRPr="009B2D1C">
        <w:rPr>
          <w:lang w:val="en-US"/>
        </w:rPr>
        <w:lastRenderedPageBreak/>
        <w:t>evolution of</w:t>
      </w:r>
      <w:r w:rsidR="006C27BE" w:rsidRPr="009B2D1C">
        <w:rPr>
          <w:lang w:val="en-US"/>
        </w:rPr>
        <w:t xml:space="preserve"> mean</w:t>
      </w:r>
      <w:r w:rsidR="003163B6" w:rsidRPr="009B2D1C">
        <w:rPr>
          <w:lang w:val="en-US"/>
        </w:rPr>
        <w:t xml:space="preserve"> BMI for the three age categories</w:t>
      </w:r>
      <w:r w:rsidR="006C27BE" w:rsidRPr="009B2D1C">
        <w:rPr>
          <w:lang w:val="en-US"/>
        </w:rPr>
        <w:t xml:space="preserve"> per country</w:t>
      </w:r>
      <w:r w:rsidR="003163B6" w:rsidRPr="009B2D1C">
        <w:rPr>
          <w:lang w:val="en-US"/>
        </w:rPr>
        <w:t xml:space="preserve"> are depicted in </w:t>
      </w:r>
      <w:r w:rsidR="00C92119" w:rsidRPr="009B2D1C">
        <w:rPr>
          <w:lang w:val="en-US"/>
        </w:rPr>
        <w:t xml:space="preserve">table </w:t>
      </w:r>
      <w:r w:rsidR="002E3723">
        <w:rPr>
          <w:lang w:val="en-US"/>
        </w:rPr>
        <w:t>4</w:t>
      </w:r>
      <w:r w:rsidR="00C02540" w:rsidRPr="009B2D1C">
        <w:rPr>
          <w:lang w:val="en-US"/>
        </w:rPr>
        <w:t>.</w:t>
      </w:r>
      <w:r w:rsidR="00985366" w:rsidRPr="009B2D1C">
        <w:rPr>
          <w:lang w:val="en-US"/>
        </w:rPr>
        <w:t xml:space="preserve"> </w:t>
      </w:r>
    </w:p>
    <w:p w14:paraId="20F8F5B1" w14:textId="3C4541BE" w:rsidR="00735B55" w:rsidRPr="000C440D" w:rsidRDefault="00C92119" w:rsidP="00D05744">
      <w:pPr>
        <w:spacing w:line="360" w:lineRule="auto"/>
        <w:jc w:val="both"/>
        <w:rPr>
          <w:b/>
          <w:color w:val="000000"/>
          <w:lang w:val="en-US"/>
        </w:rPr>
      </w:pPr>
      <w:r w:rsidRPr="000C440D">
        <w:rPr>
          <w:b/>
          <w:color w:val="000000"/>
          <w:lang w:val="en-US"/>
        </w:rPr>
        <w:t>Table</w:t>
      </w:r>
      <w:r w:rsidR="002E3723">
        <w:rPr>
          <w:b/>
          <w:color w:val="000000"/>
          <w:lang w:val="en-US"/>
        </w:rPr>
        <w:t xml:space="preserve"> 4</w:t>
      </w:r>
      <w:r w:rsidRPr="000C440D">
        <w:rPr>
          <w:b/>
          <w:color w:val="000000"/>
          <w:lang w:val="en-US"/>
        </w:rPr>
        <w:t>: evolution of BMI per age group</w:t>
      </w:r>
    </w:p>
    <w:p w14:paraId="09F64CFD" w14:textId="77777777" w:rsidR="00C92119" w:rsidRPr="000C440D" w:rsidRDefault="00735B55" w:rsidP="00D05744">
      <w:pPr>
        <w:spacing w:line="360" w:lineRule="auto"/>
        <w:jc w:val="both"/>
        <w:rPr>
          <w:b/>
          <w:color w:val="000000"/>
          <w:lang w:val="en-US"/>
        </w:rPr>
      </w:pPr>
      <w:r w:rsidRPr="00735B55">
        <w:rPr>
          <w:noProof/>
          <w:lang w:val="en-GB" w:eastAsia="en-GB"/>
        </w:rPr>
        <w:drawing>
          <wp:inline distT="0" distB="0" distL="0" distR="0" wp14:anchorId="11E204D8" wp14:editId="26E08725">
            <wp:extent cx="5760720" cy="3012524"/>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3012524"/>
                    </a:xfrm>
                    <a:prstGeom prst="rect">
                      <a:avLst/>
                    </a:prstGeom>
                    <a:noFill/>
                    <a:ln>
                      <a:noFill/>
                    </a:ln>
                  </pic:spPr>
                </pic:pic>
              </a:graphicData>
            </a:graphic>
          </wp:inline>
        </w:drawing>
      </w:r>
    </w:p>
    <w:p w14:paraId="48F4368A" w14:textId="6BD3B721" w:rsidR="006E37CB" w:rsidRPr="00D05744" w:rsidRDefault="00985366" w:rsidP="009B2D1C">
      <w:pPr>
        <w:spacing w:line="360" w:lineRule="auto"/>
        <w:ind w:firstLine="360"/>
        <w:jc w:val="both"/>
        <w:rPr>
          <w:lang w:val="en-US"/>
        </w:rPr>
      </w:pPr>
      <w:r w:rsidRPr="006D2DB3">
        <w:rPr>
          <w:lang w:val="en-US"/>
        </w:rPr>
        <w:t>The youngest group off people gained weight between 2004 and 2010 in all countries except Austria, where</w:t>
      </w:r>
      <w:r w:rsidR="00760A49" w:rsidRPr="006D2DB3">
        <w:rPr>
          <w:lang w:val="en-US"/>
        </w:rPr>
        <w:t xml:space="preserve"> mean weight was maintained at the same level. The oldest group of people lost weight for all countries except Spain</w:t>
      </w:r>
      <w:r w:rsidR="00F55FDA">
        <w:rPr>
          <w:lang w:val="en-US"/>
        </w:rPr>
        <w:t xml:space="preserve">. It can be seen in the table that there </w:t>
      </w:r>
      <w:r w:rsidR="00F55FDA">
        <w:rPr>
          <w:lang w:val="en-US"/>
        </w:rPr>
        <w:lastRenderedPageBreak/>
        <w:t>were quite sizeable weight gains and losses for the respectively youngest and oldest age groups.</w:t>
      </w:r>
      <w:r w:rsidR="00F55FDA" w:rsidRPr="00003CB0">
        <w:rPr>
          <w:rStyle w:val="FootnoteReference"/>
          <w:rFonts w:cs="AdvPED1282"/>
          <w:lang w:val="en-US"/>
        </w:rPr>
        <w:footnoteReference w:id="8"/>
      </w:r>
      <w:r w:rsidR="00F55FDA">
        <w:rPr>
          <w:lang w:val="en-US"/>
        </w:rPr>
        <w:t xml:space="preserve"> </w:t>
      </w:r>
      <w:r w:rsidR="00760A49" w:rsidRPr="006D2DB3">
        <w:rPr>
          <w:lang w:val="en-US"/>
        </w:rPr>
        <w:t>Therefor</w:t>
      </w:r>
      <w:r w:rsidR="00F55FDA">
        <w:rPr>
          <w:lang w:val="en-US"/>
        </w:rPr>
        <w:t>e</w:t>
      </w:r>
      <w:r w:rsidR="00760A49" w:rsidRPr="006D2DB3">
        <w:rPr>
          <w:lang w:val="en-US"/>
        </w:rPr>
        <w:t xml:space="preserve"> the </w:t>
      </w:r>
      <w:r w:rsidR="006C27BE">
        <w:rPr>
          <w:lang w:val="en-US"/>
        </w:rPr>
        <w:t>n</w:t>
      </w:r>
      <w:r w:rsidR="00F55FDA">
        <w:rPr>
          <w:lang w:val="en-US"/>
        </w:rPr>
        <w:t>egative</w:t>
      </w:r>
      <w:r w:rsidR="00760A49" w:rsidRPr="006D2DB3">
        <w:rPr>
          <w:lang w:val="en-US"/>
        </w:rPr>
        <w:t xml:space="preserve"> contribution of the </w:t>
      </w:r>
      <w:r w:rsidR="00F55FDA">
        <w:rPr>
          <w:lang w:val="en-US"/>
        </w:rPr>
        <w:t>oldest</w:t>
      </w:r>
      <w:r w:rsidR="00760A49" w:rsidRPr="006D2DB3">
        <w:rPr>
          <w:lang w:val="en-US"/>
        </w:rPr>
        <w:t xml:space="preserve"> age group in the decomposition has to be caused by a combination of both a weight gaining effect for the youngest group and a weight losing effect for the oldest group.</w:t>
      </w:r>
      <w:r w:rsidRPr="006D2DB3">
        <w:rPr>
          <w:lang w:val="en-US"/>
        </w:rPr>
        <w:t xml:space="preserve"> </w:t>
      </w:r>
      <w:r w:rsidR="00E24E98" w:rsidRPr="006D2DB3">
        <w:rPr>
          <w:lang w:val="en-US"/>
        </w:rPr>
        <w:t>By</w:t>
      </w:r>
      <w:r w:rsidRPr="006D2DB3">
        <w:rPr>
          <w:lang w:val="en-US"/>
        </w:rPr>
        <w:t xml:space="preserve"> </w:t>
      </w:r>
      <w:r w:rsidR="00E24E98" w:rsidRPr="006D2DB3">
        <w:rPr>
          <w:lang w:val="en-US"/>
        </w:rPr>
        <w:t>comparing</w:t>
      </w:r>
      <w:r w:rsidRPr="006D2DB3">
        <w:rPr>
          <w:lang w:val="en-US"/>
        </w:rPr>
        <w:t xml:space="preserve"> the </w:t>
      </w:r>
      <w:r w:rsidR="00E24E98" w:rsidRPr="006D2DB3">
        <w:rPr>
          <w:lang w:val="en-US"/>
        </w:rPr>
        <w:t>change in mean BMI for the oldest and the youngest people it can be seen which</w:t>
      </w:r>
      <w:r w:rsidR="00C00D4F">
        <w:rPr>
          <w:lang w:val="en-US"/>
        </w:rPr>
        <w:t xml:space="preserve"> age group has driven the increase in the BMI gap most</w:t>
      </w:r>
      <w:r w:rsidR="00B400E3" w:rsidRPr="006D2DB3">
        <w:rPr>
          <w:lang w:val="en-US"/>
        </w:rPr>
        <w:t>.</w:t>
      </w:r>
      <w:r w:rsidR="00E24E98" w:rsidRPr="006D2DB3">
        <w:rPr>
          <w:lang w:val="en-US"/>
        </w:rPr>
        <w:t xml:space="preserve"> </w:t>
      </w:r>
      <w:r w:rsidR="00B400E3" w:rsidRPr="006D2DB3">
        <w:rPr>
          <w:lang w:val="en-US"/>
        </w:rPr>
        <w:t>When looking at the</w:t>
      </w:r>
      <w:r w:rsidR="00E24E98" w:rsidRPr="006D2DB3">
        <w:rPr>
          <w:lang w:val="en-US"/>
        </w:rPr>
        <w:t xml:space="preserve"> </w:t>
      </w:r>
      <w:r w:rsidR="00B400E3" w:rsidRPr="006D2DB3">
        <w:rPr>
          <w:lang w:val="en-US"/>
        </w:rPr>
        <w:t xml:space="preserve">partial contribution of </w:t>
      </w:r>
      <w:r w:rsidRPr="006D2DB3">
        <w:rPr>
          <w:lang w:val="en-US"/>
        </w:rPr>
        <w:t xml:space="preserve">the oldest and youngest </w:t>
      </w:r>
      <w:r w:rsidR="00760A49" w:rsidRPr="006D2DB3">
        <w:rPr>
          <w:lang w:val="en-US"/>
        </w:rPr>
        <w:t>people</w:t>
      </w:r>
      <w:r w:rsidRPr="006D2DB3">
        <w:rPr>
          <w:lang w:val="en-US"/>
        </w:rPr>
        <w:t xml:space="preserve"> in the evolution of the </w:t>
      </w:r>
      <w:r w:rsidR="00E24E98" w:rsidRPr="006D2DB3">
        <w:rPr>
          <w:lang w:val="en-US"/>
        </w:rPr>
        <w:t xml:space="preserve">total </w:t>
      </w:r>
      <w:r w:rsidR="00B400E3" w:rsidRPr="006D2DB3">
        <w:rPr>
          <w:lang w:val="en-US"/>
        </w:rPr>
        <w:t>BMI</w:t>
      </w:r>
      <w:r w:rsidRPr="006D2DB3">
        <w:rPr>
          <w:lang w:val="en-US"/>
        </w:rPr>
        <w:t xml:space="preserve"> </w:t>
      </w:r>
      <w:r w:rsidR="00C00D4F">
        <w:rPr>
          <w:lang w:val="en-US"/>
        </w:rPr>
        <w:t xml:space="preserve">gap, </w:t>
      </w:r>
      <w:r w:rsidR="00760A49" w:rsidRPr="006D2DB3">
        <w:rPr>
          <w:lang w:val="en-US"/>
        </w:rPr>
        <w:t xml:space="preserve">it can be seen that the </w:t>
      </w:r>
      <w:r w:rsidR="00D05744">
        <w:rPr>
          <w:lang w:val="en-US"/>
        </w:rPr>
        <w:t>youngest</w:t>
      </w:r>
      <w:r w:rsidR="00760A49" w:rsidRPr="006D2DB3">
        <w:rPr>
          <w:lang w:val="en-US"/>
        </w:rPr>
        <w:t xml:space="preserve"> group contri</w:t>
      </w:r>
      <w:r w:rsidR="0080040A" w:rsidRPr="006D2DB3">
        <w:rPr>
          <w:lang w:val="en-US"/>
        </w:rPr>
        <w:t>buted for</w:t>
      </w:r>
      <w:r w:rsidR="003163B6" w:rsidRPr="006D2DB3">
        <w:rPr>
          <w:lang w:val="en-US"/>
        </w:rPr>
        <w:t xml:space="preserve"> </w:t>
      </w:r>
      <w:r w:rsidR="00D05744">
        <w:rPr>
          <w:lang w:val="en-US"/>
        </w:rPr>
        <w:t>approximately 30</w:t>
      </w:r>
      <w:r w:rsidR="00C00D4F">
        <w:rPr>
          <w:lang w:val="en-US"/>
        </w:rPr>
        <w:t>%</w:t>
      </w:r>
      <w:r w:rsidR="00D05744">
        <w:rPr>
          <w:lang w:val="en-US"/>
        </w:rPr>
        <w:t xml:space="preserve"> to 5</w:t>
      </w:r>
      <w:r w:rsidR="003163B6" w:rsidRPr="006D2DB3">
        <w:rPr>
          <w:lang w:val="en-US"/>
        </w:rPr>
        <w:t xml:space="preserve">0% to this gap </w:t>
      </w:r>
      <w:r w:rsidR="0080040A" w:rsidRPr="006D2DB3">
        <w:rPr>
          <w:lang w:val="en-US"/>
        </w:rPr>
        <w:t>and the re</w:t>
      </w:r>
      <w:r w:rsidR="00D05744">
        <w:rPr>
          <w:lang w:val="en-US"/>
        </w:rPr>
        <w:t xml:space="preserve">mainder </w:t>
      </w:r>
      <w:r w:rsidR="0080040A" w:rsidRPr="006D2DB3">
        <w:rPr>
          <w:lang w:val="en-US"/>
        </w:rPr>
        <w:t xml:space="preserve">of the gap is explained through the </w:t>
      </w:r>
      <w:r w:rsidR="00D05744">
        <w:rPr>
          <w:lang w:val="en-US"/>
        </w:rPr>
        <w:t xml:space="preserve">declining </w:t>
      </w:r>
      <w:r w:rsidR="0080040A" w:rsidRPr="006D2DB3">
        <w:rPr>
          <w:lang w:val="en-US"/>
        </w:rPr>
        <w:t xml:space="preserve">BMI of the </w:t>
      </w:r>
      <w:r w:rsidR="00D05744">
        <w:rPr>
          <w:lang w:val="en-US"/>
        </w:rPr>
        <w:t>old</w:t>
      </w:r>
      <w:r w:rsidR="0080040A" w:rsidRPr="006D2DB3">
        <w:rPr>
          <w:lang w:val="en-US"/>
        </w:rPr>
        <w:t>est people</w:t>
      </w:r>
      <w:r w:rsidR="00760A49" w:rsidRPr="006D2DB3">
        <w:rPr>
          <w:lang w:val="en-US"/>
        </w:rPr>
        <w:t>.</w:t>
      </w:r>
    </w:p>
    <w:p w14:paraId="5BDD218D" w14:textId="1A1FEB08" w:rsidR="00D05744" w:rsidRDefault="0055383E" w:rsidP="009B2D1C">
      <w:pPr>
        <w:spacing w:line="360" w:lineRule="auto"/>
        <w:ind w:firstLine="360"/>
        <w:jc w:val="both"/>
        <w:rPr>
          <w:lang w:val="en-US"/>
        </w:rPr>
      </w:pPr>
      <w:r w:rsidRPr="006D2DB3">
        <w:rPr>
          <w:lang w:val="en-US"/>
        </w:rPr>
        <w:lastRenderedPageBreak/>
        <w:t xml:space="preserve">When reflecting these results to the previously ran regression model, the large </w:t>
      </w:r>
      <w:r w:rsidR="0080040A" w:rsidRPr="006D2DB3">
        <w:rPr>
          <w:lang w:val="en-US"/>
        </w:rPr>
        <w:t>negative</w:t>
      </w:r>
      <w:r w:rsidRPr="006D2DB3">
        <w:rPr>
          <w:lang w:val="en-US"/>
        </w:rPr>
        <w:t xml:space="preserve"> increase in </w:t>
      </w:r>
      <w:r w:rsidR="006E37CB" w:rsidRPr="006D2DB3">
        <w:rPr>
          <w:lang w:val="en-US"/>
        </w:rPr>
        <w:t>the coeffi</w:t>
      </w:r>
      <w:r w:rsidR="0080040A" w:rsidRPr="006D2DB3">
        <w:rPr>
          <w:lang w:val="en-US"/>
        </w:rPr>
        <w:t>cients in of the old</w:t>
      </w:r>
      <w:r w:rsidR="006E37CB" w:rsidRPr="006D2DB3">
        <w:rPr>
          <w:lang w:val="en-US"/>
        </w:rPr>
        <w:t xml:space="preserve">est </w:t>
      </w:r>
      <w:r w:rsidRPr="006D2DB3">
        <w:rPr>
          <w:lang w:val="en-US"/>
        </w:rPr>
        <w:t>age groups in 2010 compared to 2004 can be explained. It is</w:t>
      </w:r>
      <w:r w:rsidR="00007F63" w:rsidRPr="006D2DB3">
        <w:rPr>
          <w:lang w:val="en-US"/>
        </w:rPr>
        <w:t xml:space="preserve"> not</w:t>
      </w:r>
      <w:r w:rsidR="00A402B8" w:rsidRPr="006D2DB3">
        <w:rPr>
          <w:lang w:val="en-US"/>
        </w:rPr>
        <w:t xml:space="preserve"> </w:t>
      </w:r>
      <w:r w:rsidR="0038142E" w:rsidRPr="006D2DB3">
        <w:rPr>
          <w:lang w:val="en-US"/>
        </w:rPr>
        <w:t>only</w:t>
      </w:r>
      <w:r w:rsidR="00007F63" w:rsidRPr="006D2DB3">
        <w:rPr>
          <w:lang w:val="en-US"/>
        </w:rPr>
        <w:t xml:space="preserve"> that the </w:t>
      </w:r>
      <w:r w:rsidR="00A402B8" w:rsidRPr="006D2DB3">
        <w:rPr>
          <w:lang w:val="en-US"/>
        </w:rPr>
        <w:t>association</w:t>
      </w:r>
      <w:r w:rsidR="00007F63" w:rsidRPr="006D2DB3">
        <w:rPr>
          <w:lang w:val="en-US"/>
        </w:rPr>
        <w:t xml:space="preserve"> of aging</w:t>
      </w:r>
      <w:r w:rsidRPr="006D2DB3">
        <w:rPr>
          <w:lang w:val="en-US"/>
        </w:rPr>
        <w:t xml:space="preserve"> and BMI has become more </w:t>
      </w:r>
      <w:r w:rsidR="0080040A" w:rsidRPr="006D2DB3">
        <w:rPr>
          <w:lang w:val="en-US"/>
        </w:rPr>
        <w:t>negative</w:t>
      </w:r>
      <w:r w:rsidR="00461E3E" w:rsidRPr="006D2DB3">
        <w:rPr>
          <w:lang w:val="en-US"/>
        </w:rPr>
        <w:t xml:space="preserve"> in these six years</w:t>
      </w:r>
      <w:r w:rsidR="00A402B8" w:rsidRPr="006D2DB3">
        <w:rPr>
          <w:lang w:val="en-US"/>
        </w:rPr>
        <w:t xml:space="preserve"> for the </w:t>
      </w:r>
      <w:r w:rsidR="0080040A" w:rsidRPr="006D2DB3">
        <w:rPr>
          <w:lang w:val="en-US"/>
        </w:rPr>
        <w:t>oldest</w:t>
      </w:r>
      <w:r w:rsidR="00A402B8" w:rsidRPr="006D2DB3">
        <w:rPr>
          <w:lang w:val="en-US"/>
        </w:rPr>
        <w:t xml:space="preserve"> people, but also that this a</w:t>
      </w:r>
      <w:r w:rsidR="0080040A" w:rsidRPr="006D2DB3">
        <w:rPr>
          <w:lang w:val="en-US"/>
        </w:rPr>
        <w:t>ssociation has become more posit</w:t>
      </w:r>
      <w:r w:rsidR="00A402B8" w:rsidRPr="006D2DB3">
        <w:rPr>
          <w:lang w:val="en-US"/>
        </w:rPr>
        <w:t>iv</w:t>
      </w:r>
      <w:r w:rsidR="0080040A" w:rsidRPr="006D2DB3">
        <w:rPr>
          <w:lang w:val="en-US"/>
        </w:rPr>
        <w:t>e for the young</w:t>
      </w:r>
      <w:r w:rsidR="00A402B8" w:rsidRPr="006D2DB3">
        <w:rPr>
          <w:lang w:val="en-US"/>
        </w:rPr>
        <w:t>est catego</w:t>
      </w:r>
      <w:r w:rsidR="0080040A" w:rsidRPr="006D2DB3">
        <w:rPr>
          <w:lang w:val="en-US"/>
        </w:rPr>
        <w:t xml:space="preserve">ry in our sample, who have gained </w:t>
      </w:r>
      <w:r w:rsidR="00A402B8" w:rsidRPr="006D2DB3">
        <w:rPr>
          <w:lang w:val="en-US"/>
        </w:rPr>
        <w:t>weight</w:t>
      </w:r>
      <w:r w:rsidR="00461E3E" w:rsidRPr="006D2DB3">
        <w:rPr>
          <w:lang w:val="en-US"/>
        </w:rPr>
        <w:t xml:space="preserve"> on average during these six years which resulted in a </w:t>
      </w:r>
      <w:r w:rsidR="0080040A" w:rsidRPr="006D2DB3">
        <w:rPr>
          <w:lang w:val="en-US"/>
        </w:rPr>
        <w:t>higher</w:t>
      </w:r>
      <w:r w:rsidR="00A402B8" w:rsidRPr="006D2DB3">
        <w:rPr>
          <w:lang w:val="en-US"/>
        </w:rPr>
        <w:t xml:space="preserve"> </w:t>
      </w:r>
      <w:r w:rsidR="00461E3E" w:rsidRPr="006D2DB3">
        <w:rPr>
          <w:lang w:val="en-US"/>
        </w:rPr>
        <w:t xml:space="preserve">BMI. </w:t>
      </w:r>
      <w:r w:rsidR="006D2DB3">
        <w:rPr>
          <w:lang w:val="en-US"/>
        </w:rPr>
        <w:t xml:space="preserve"> </w:t>
      </w:r>
      <w:r w:rsidR="0080040A" w:rsidRPr="006D2DB3">
        <w:rPr>
          <w:lang w:val="en-US"/>
        </w:rPr>
        <w:t xml:space="preserve">Clarification of the increasing negative association of aging and BMI may be sought in </w:t>
      </w:r>
      <w:r w:rsidR="009E0D86" w:rsidRPr="006D2DB3">
        <w:rPr>
          <w:lang w:val="en-US"/>
        </w:rPr>
        <w:t xml:space="preserve">biological </w:t>
      </w:r>
      <w:r w:rsidR="0080040A" w:rsidRPr="006D2DB3">
        <w:rPr>
          <w:lang w:val="en-US"/>
        </w:rPr>
        <w:t>changes</w:t>
      </w:r>
      <w:r w:rsidR="009E0D86" w:rsidRPr="006D2DB3">
        <w:rPr>
          <w:lang w:val="en-US"/>
        </w:rPr>
        <w:t xml:space="preserve"> that are associated with aging and body degeneration.</w:t>
      </w:r>
      <w:r w:rsidR="0080040A" w:rsidRPr="006D2DB3">
        <w:rPr>
          <w:lang w:val="en-US"/>
        </w:rPr>
        <w:t xml:space="preserve"> </w:t>
      </w:r>
      <w:r w:rsidR="001E7C7C">
        <w:rPr>
          <w:lang w:val="en-US"/>
        </w:rPr>
        <w:t>In old age, weight loss for old people appears to be a predictor of mortality</w:t>
      </w:r>
      <w:r w:rsidR="0038142E" w:rsidRPr="006D2DB3">
        <w:rPr>
          <w:lang w:val="en-US"/>
        </w:rPr>
        <w:t xml:space="preserve"> and this association </w:t>
      </w:r>
      <w:r w:rsidR="001E7C7C">
        <w:rPr>
          <w:lang w:val="en-US"/>
        </w:rPr>
        <w:t>is independent of disease</w:t>
      </w:r>
      <w:r w:rsidR="00AD16BB">
        <w:rPr>
          <w:lang w:val="en-US"/>
        </w:rPr>
        <w:t xml:space="preserve"> (Newman et al</w:t>
      </w:r>
      <w:r w:rsidR="00AD16BB" w:rsidRPr="001E7C7C">
        <w:rPr>
          <w:lang w:val="en-US"/>
        </w:rPr>
        <w:t>, 2005)</w:t>
      </w:r>
      <w:r w:rsidR="00AD16BB">
        <w:rPr>
          <w:lang w:val="en-US"/>
        </w:rPr>
        <w:t xml:space="preserve">. </w:t>
      </w:r>
      <w:r w:rsidR="0038142E" w:rsidRPr="006D2DB3">
        <w:rPr>
          <w:lang w:val="en-US"/>
        </w:rPr>
        <w:t xml:space="preserve">Older persons facing end of life are </w:t>
      </w:r>
      <w:r w:rsidR="0038142E" w:rsidRPr="00AD16BB">
        <w:rPr>
          <w:lang w:val="en-US"/>
        </w:rPr>
        <w:t>expected to l</w:t>
      </w:r>
      <w:r w:rsidR="00AD16BB" w:rsidRPr="00AD16BB">
        <w:rPr>
          <w:lang w:val="en-US"/>
        </w:rPr>
        <w:t>ose both lean mass and fat mass t</w:t>
      </w:r>
      <w:r w:rsidR="0038142E" w:rsidRPr="00AD16BB">
        <w:rPr>
          <w:lang w:val="en-US"/>
        </w:rPr>
        <w:t xml:space="preserve">he degenerative loss of skeletal muscle mass, quality, and strength associated </w:t>
      </w:r>
      <w:r w:rsidR="00AD16BB" w:rsidRPr="00AD16BB">
        <w:rPr>
          <w:lang w:val="en-US"/>
        </w:rPr>
        <w:t xml:space="preserve">with aging is called sarcopenia. </w:t>
      </w:r>
      <w:r w:rsidR="006F7A52" w:rsidRPr="00AD16BB">
        <w:rPr>
          <w:lang w:val="en-US"/>
        </w:rPr>
        <w:t xml:space="preserve">Sarcopenia is common in adults over the age of 65 years </w:t>
      </w:r>
      <w:r w:rsidR="006F7A52" w:rsidRPr="00AD16BB">
        <w:rPr>
          <w:lang w:val="en-US"/>
        </w:rPr>
        <w:lastRenderedPageBreak/>
        <w:t xml:space="preserve">and increases with age. BMI appears to be a very strong predictor of muscle mass in both men and women </w:t>
      </w:r>
      <w:r w:rsidR="001E7C7C" w:rsidRPr="00AD16BB">
        <w:rPr>
          <w:lang w:val="en-US"/>
        </w:rPr>
        <w:t>(Iannuzzi-Sucich et al, 2002).</w:t>
      </w:r>
      <w:r w:rsidR="006F7A52" w:rsidRPr="00AD16BB">
        <w:rPr>
          <w:lang w:val="en-US"/>
        </w:rPr>
        <w:t xml:space="preserve"> This can explain the reason BMI levels decreased on </w:t>
      </w:r>
      <w:r w:rsidR="006F7A52" w:rsidRPr="006D2DB3">
        <w:rPr>
          <w:lang w:val="en-US"/>
        </w:rPr>
        <w:t>average with 1.21</w:t>
      </w:r>
      <w:r w:rsidR="00C00D4F">
        <w:rPr>
          <w:lang w:val="en-US"/>
        </w:rPr>
        <w:t xml:space="preserve"> points</w:t>
      </w:r>
      <w:r w:rsidR="006F7A52" w:rsidRPr="006D2DB3">
        <w:rPr>
          <w:lang w:val="en-US"/>
        </w:rPr>
        <w:t xml:space="preserve"> for </w:t>
      </w:r>
      <w:r w:rsidR="00C00D4F">
        <w:rPr>
          <w:lang w:val="en-US"/>
        </w:rPr>
        <w:t>the</w:t>
      </w:r>
      <w:r w:rsidR="006F7A52" w:rsidRPr="006D2DB3">
        <w:rPr>
          <w:lang w:val="en-US"/>
        </w:rPr>
        <w:t xml:space="preserve"> countries </w:t>
      </w:r>
      <w:r w:rsidR="00290327">
        <w:rPr>
          <w:lang w:val="en-US"/>
        </w:rPr>
        <w:t>were the oldest people started off with a higher BMI in 2004.</w:t>
      </w:r>
      <w:r w:rsidR="006F7A52" w:rsidRPr="006D2DB3">
        <w:rPr>
          <w:lang w:val="en-US"/>
        </w:rPr>
        <w:t xml:space="preserve"> </w:t>
      </w:r>
    </w:p>
    <w:p w14:paraId="030CCAD5" w14:textId="5C844231" w:rsidR="00FA6567" w:rsidRPr="006829D3" w:rsidRDefault="006F7A52" w:rsidP="009B2D1C">
      <w:pPr>
        <w:spacing w:line="360" w:lineRule="auto"/>
        <w:ind w:firstLine="360"/>
        <w:jc w:val="both"/>
        <w:rPr>
          <w:lang w:val="en-US"/>
        </w:rPr>
      </w:pPr>
      <w:r w:rsidRPr="006D2DB3">
        <w:rPr>
          <w:lang w:val="en-US"/>
        </w:rPr>
        <w:t>On</w:t>
      </w:r>
      <w:r w:rsidR="00C1775A" w:rsidRPr="006D2DB3">
        <w:rPr>
          <w:lang w:val="en-US"/>
        </w:rPr>
        <w:t xml:space="preserve"> the other hand</w:t>
      </w:r>
      <w:r w:rsidR="00461E3E" w:rsidRPr="006D2DB3">
        <w:rPr>
          <w:lang w:val="en-US"/>
        </w:rPr>
        <w:t xml:space="preserve"> it may not seem very plausible that gaining </w:t>
      </w:r>
      <w:r w:rsidR="00A402B8" w:rsidRPr="006D2DB3">
        <w:rPr>
          <w:lang w:val="en-US"/>
        </w:rPr>
        <w:t xml:space="preserve">or losing </w:t>
      </w:r>
      <w:r w:rsidR="00461E3E" w:rsidRPr="006D2DB3">
        <w:rPr>
          <w:lang w:val="en-US"/>
        </w:rPr>
        <w:t>weight is provoked by aging six years</w:t>
      </w:r>
      <w:r w:rsidR="00FC76A2">
        <w:rPr>
          <w:lang w:val="en-US"/>
        </w:rPr>
        <w:t xml:space="preserve"> only. </w:t>
      </w:r>
      <w:r w:rsidR="00461E3E" w:rsidRPr="006D2DB3">
        <w:rPr>
          <w:lang w:val="en-US"/>
        </w:rPr>
        <w:t xml:space="preserve">Biological factors </w:t>
      </w:r>
      <w:r w:rsidR="001E7C7C">
        <w:rPr>
          <w:lang w:val="en-US"/>
        </w:rPr>
        <w:t xml:space="preserve">alone </w:t>
      </w:r>
      <w:r w:rsidR="00461E3E" w:rsidRPr="006D2DB3">
        <w:rPr>
          <w:lang w:val="en-US"/>
        </w:rPr>
        <w:t xml:space="preserve">like </w:t>
      </w:r>
      <w:r w:rsidR="001E7C7C">
        <w:rPr>
          <w:lang w:val="en-US"/>
        </w:rPr>
        <w:t xml:space="preserve">aging are </w:t>
      </w:r>
      <w:r w:rsidR="00461E3E" w:rsidRPr="006D2DB3">
        <w:rPr>
          <w:lang w:val="en-US"/>
        </w:rPr>
        <w:t xml:space="preserve">unlikely to show their effect on bodyweight (or height) </w:t>
      </w:r>
      <w:r w:rsidR="00A402B8" w:rsidRPr="006D2DB3">
        <w:rPr>
          <w:lang w:val="en-US"/>
        </w:rPr>
        <w:t>that</w:t>
      </w:r>
      <w:r w:rsidR="00461E3E" w:rsidRPr="006D2DB3">
        <w:rPr>
          <w:lang w:val="en-US"/>
        </w:rPr>
        <w:t xml:space="preserve"> quickly. </w:t>
      </w:r>
      <w:r w:rsidR="00FC76A2">
        <w:rPr>
          <w:lang w:val="en-US"/>
        </w:rPr>
        <w:t>It must not be forgotten that this model with only three different characteristics included is an extreme simplification of real life. If not obvious this can already be concluded from th</w:t>
      </w:r>
      <w:r w:rsidR="00FC76A2" w:rsidRPr="006D2DB3">
        <w:rPr>
          <w:lang w:val="en-US"/>
        </w:rPr>
        <w:t>e predicti</w:t>
      </w:r>
      <w:r w:rsidR="00FC76A2">
        <w:rPr>
          <w:lang w:val="en-US"/>
        </w:rPr>
        <w:t xml:space="preserve">ve </w:t>
      </w:r>
      <w:r w:rsidR="00FC76A2" w:rsidRPr="006D2DB3">
        <w:rPr>
          <w:lang w:val="en-US"/>
        </w:rPr>
        <w:t>power of the models.</w:t>
      </w:r>
      <w:r w:rsidR="00FC76A2">
        <w:rPr>
          <w:lang w:val="en-US"/>
        </w:rPr>
        <w:t xml:space="preserve"> In practice it will not be age that influence BMI, but various other factors that are both associated with age and also BMI. These factors are not included</w:t>
      </w:r>
      <w:r w:rsidR="00986BAB">
        <w:rPr>
          <w:lang w:val="en-US"/>
        </w:rPr>
        <w:t xml:space="preserve"> in the model and their</w:t>
      </w:r>
      <w:r w:rsidR="00FC76A2">
        <w:rPr>
          <w:lang w:val="en-US"/>
        </w:rPr>
        <w:t xml:space="preserve"> evolution</w:t>
      </w:r>
      <w:r w:rsidR="00986BAB">
        <w:rPr>
          <w:lang w:val="en-US"/>
        </w:rPr>
        <w:t xml:space="preserve"> over time will be represented all together in the contribution of the constant of the decomposition. As </w:t>
      </w:r>
      <w:r w:rsidR="00986BAB">
        <w:rPr>
          <w:lang w:val="en-US"/>
        </w:rPr>
        <w:lastRenderedPageBreak/>
        <w:t xml:space="preserve">a matter of fact this model is not very helpful to identify drivers of BMI in order to get a better grip on the rising BMI problem worldwide. Where this model does shed light on is that BMI is rising for middle aged people in these countries and declines for the older ones. </w:t>
      </w:r>
      <w:r w:rsidR="00F245D5">
        <w:rPr>
          <w:lang w:val="en-US"/>
        </w:rPr>
        <w:t>Thus</w:t>
      </w:r>
      <w:r w:rsidR="00835FB7">
        <w:rPr>
          <w:lang w:val="en-US"/>
        </w:rPr>
        <w:t xml:space="preserve"> the</w:t>
      </w:r>
      <w:r w:rsidR="00F245D5">
        <w:rPr>
          <w:lang w:val="en-US"/>
        </w:rPr>
        <w:t xml:space="preserve"> model identifies that the younger are getting fatter and the older getting slimmer, but the reasons for this c</w:t>
      </w:r>
      <w:r w:rsidR="00986BAB">
        <w:rPr>
          <w:lang w:val="en-US"/>
        </w:rPr>
        <w:t xml:space="preserve">annot be well </w:t>
      </w:r>
      <w:r w:rsidR="00F245D5">
        <w:rPr>
          <w:lang w:val="en-US"/>
        </w:rPr>
        <w:t>explained.</w:t>
      </w:r>
      <w:r w:rsidR="00986BAB">
        <w:rPr>
          <w:lang w:val="en-US"/>
        </w:rPr>
        <w:t xml:space="preserve"> </w:t>
      </w:r>
      <w:r w:rsidR="00F245D5">
        <w:rPr>
          <w:lang w:val="en-US"/>
        </w:rPr>
        <w:t xml:space="preserve">There </w:t>
      </w:r>
      <w:r w:rsidR="00986BAB">
        <w:rPr>
          <w:lang w:val="en-US"/>
        </w:rPr>
        <w:t>must be third factors at stake</w:t>
      </w:r>
      <w:r w:rsidR="00F245D5">
        <w:rPr>
          <w:lang w:val="en-US"/>
        </w:rPr>
        <w:t xml:space="preserve"> and the data suggests these factors may be very different for young than for old people, given the opposite direction</w:t>
      </w:r>
      <w:r w:rsidR="00AA0C06">
        <w:rPr>
          <w:lang w:val="en-US"/>
        </w:rPr>
        <w:t>s</w:t>
      </w:r>
      <w:r w:rsidR="00F245D5">
        <w:rPr>
          <w:lang w:val="en-US"/>
        </w:rPr>
        <w:t xml:space="preserve"> of the BMI evolution. </w:t>
      </w:r>
      <w:r w:rsidR="00AA0C06">
        <w:rPr>
          <w:lang w:val="en-US"/>
        </w:rPr>
        <w:t xml:space="preserve">This underlines that there one should approach with caution when proposing policy focused on the battle against BMI rise based on BMI studies. Measures may not be effective for the whole population if </w:t>
      </w:r>
      <w:r w:rsidR="00CB1F15">
        <w:rPr>
          <w:lang w:val="en-US"/>
        </w:rPr>
        <w:t>drivers of BMI are very different for sub-groups in the population.</w:t>
      </w:r>
    </w:p>
    <w:p w14:paraId="1CCE0581" w14:textId="1BF48D00" w:rsidR="005838D8" w:rsidRPr="00AD590F" w:rsidRDefault="00FA6567" w:rsidP="009B2D1C">
      <w:pPr>
        <w:spacing w:line="360" w:lineRule="auto"/>
        <w:ind w:firstLine="360"/>
        <w:jc w:val="both"/>
        <w:rPr>
          <w:lang w:val="en-US"/>
        </w:rPr>
      </w:pPr>
      <w:r w:rsidRPr="006D2DB3">
        <w:rPr>
          <w:lang w:val="en-US"/>
        </w:rPr>
        <w:t>Education does not seem to change its effect on BMI between the two time periods</w:t>
      </w:r>
      <w:r w:rsidR="00931390">
        <w:rPr>
          <w:lang w:val="en-US"/>
        </w:rPr>
        <w:t xml:space="preserve"> much and in a uniform way as age does</w:t>
      </w:r>
      <w:r w:rsidRPr="006D2DB3">
        <w:rPr>
          <w:lang w:val="en-US"/>
        </w:rPr>
        <w:t xml:space="preserve"> </w:t>
      </w:r>
      <w:r w:rsidR="00931390">
        <w:rPr>
          <w:lang w:val="en-US"/>
        </w:rPr>
        <w:t xml:space="preserve">for </w:t>
      </w:r>
      <w:r w:rsidR="00931390">
        <w:rPr>
          <w:lang w:val="en-US"/>
        </w:rPr>
        <w:lastRenderedPageBreak/>
        <w:t>these countries</w:t>
      </w:r>
      <w:r w:rsidRPr="006D2DB3">
        <w:rPr>
          <w:lang w:val="en-US"/>
        </w:rPr>
        <w:t xml:space="preserve">. This is confirmed by the earlier estimated regression results for the basic model, where the country coefficients for the ISCED scores do not vary much between 2004 and 2010. It is not expected that the effect of education would change dramatically over time, since it is an early required asset which is related to an individual’s capacity to maintain a healthy lifestyle throughout his or her life. Given the decomposition results </w:t>
      </w:r>
      <w:r w:rsidR="00AA0C06">
        <w:rPr>
          <w:lang w:val="en-US"/>
        </w:rPr>
        <w:t>t</w:t>
      </w:r>
      <w:r w:rsidRPr="006D2DB3">
        <w:rPr>
          <w:lang w:val="en-US"/>
        </w:rPr>
        <w:t xml:space="preserve">here is </w:t>
      </w:r>
      <w:r w:rsidR="00B85F4B" w:rsidRPr="006D2DB3">
        <w:rPr>
          <w:lang w:val="en-US"/>
        </w:rPr>
        <w:t xml:space="preserve">no sign that educational achievement </w:t>
      </w:r>
      <w:r w:rsidR="00AA0C06">
        <w:rPr>
          <w:lang w:val="en-US"/>
        </w:rPr>
        <w:t>and</w:t>
      </w:r>
      <w:r w:rsidR="00B85F4B" w:rsidRPr="006D2DB3">
        <w:rPr>
          <w:lang w:val="en-US"/>
        </w:rPr>
        <w:t xml:space="preserve"> the resulting</w:t>
      </w:r>
      <w:r w:rsidRPr="006D2DB3">
        <w:rPr>
          <w:lang w:val="en-US"/>
        </w:rPr>
        <w:t xml:space="preserve"> capacity of living a healthy lifestyle increases or degenerates over time. This leads to the conclusion that the main effect of education on BMI results from the amount of education attained rather than a changing relation between education and BMI</w:t>
      </w:r>
      <w:r w:rsidR="00B85F4B" w:rsidRPr="006D2DB3">
        <w:rPr>
          <w:lang w:val="en-US"/>
        </w:rPr>
        <w:t>.</w:t>
      </w:r>
      <w:r w:rsidR="00300100" w:rsidRPr="006D2DB3">
        <w:rPr>
          <w:lang w:val="en-US"/>
        </w:rPr>
        <w:t xml:space="preserve"> However, for some countries there is a rather large effect for education. </w:t>
      </w:r>
      <w:r w:rsidR="00931390">
        <w:rPr>
          <w:lang w:val="en-US"/>
        </w:rPr>
        <w:t>The Netherlands and Denmark show an</w:t>
      </w:r>
      <w:r w:rsidR="00300100" w:rsidRPr="006D2DB3">
        <w:rPr>
          <w:lang w:val="en-US"/>
        </w:rPr>
        <w:t xml:space="preserve"> i</w:t>
      </w:r>
      <w:r w:rsidR="00742F7D" w:rsidRPr="006D2DB3">
        <w:rPr>
          <w:lang w:val="en-US"/>
        </w:rPr>
        <w:t>n</w:t>
      </w:r>
      <w:r w:rsidR="00300100" w:rsidRPr="006D2DB3">
        <w:rPr>
          <w:lang w:val="en-US"/>
        </w:rPr>
        <w:t>creased negative effect</w:t>
      </w:r>
      <w:r w:rsidR="00DA4B4D" w:rsidRPr="006D2DB3">
        <w:rPr>
          <w:lang w:val="en-US"/>
        </w:rPr>
        <w:t xml:space="preserve"> on BMI</w:t>
      </w:r>
      <w:r w:rsidR="00300100" w:rsidRPr="006D2DB3">
        <w:rPr>
          <w:lang w:val="en-US"/>
        </w:rPr>
        <w:t xml:space="preserve"> of having a higher education in period two compare</w:t>
      </w:r>
      <w:r w:rsidR="00DA4B4D" w:rsidRPr="006D2DB3">
        <w:rPr>
          <w:lang w:val="en-US"/>
        </w:rPr>
        <w:t>d to period one</w:t>
      </w:r>
      <w:r w:rsidR="00931390">
        <w:rPr>
          <w:lang w:val="en-US"/>
        </w:rPr>
        <w:t xml:space="preserve"> while education coefficients were significant in both periods. </w:t>
      </w:r>
      <w:r w:rsidR="00AA0C06">
        <w:rPr>
          <w:lang w:val="en-US"/>
        </w:rPr>
        <w:t>T</w:t>
      </w:r>
      <w:r w:rsidR="005838D8">
        <w:rPr>
          <w:lang w:val="en-US"/>
        </w:rPr>
        <w:t xml:space="preserve">here is no clear </w:t>
      </w:r>
      <w:r w:rsidR="005838D8">
        <w:rPr>
          <w:lang w:val="en-US"/>
        </w:rPr>
        <w:lastRenderedPageBreak/>
        <w:t>explanation why the association of education would change in a period of six</w:t>
      </w:r>
      <w:r w:rsidR="00685A8C">
        <w:rPr>
          <w:lang w:val="en-US"/>
        </w:rPr>
        <w:t xml:space="preserve"> </w:t>
      </w:r>
      <w:r w:rsidR="005838D8">
        <w:rPr>
          <w:lang w:val="en-US"/>
        </w:rPr>
        <w:t>years. Given the large contribution of the constant, suggesting omitted variable bias, it may well be that association of BMI and education is partly a rendition of a variable that is currently not included and is associated with education and BMI.</w:t>
      </w:r>
    </w:p>
    <w:p w14:paraId="26B5DB37" w14:textId="77777777" w:rsidR="004573A4" w:rsidRDefault="00B70783" w:rsidP="00B70783">
      <w:pPr>
        <w:pStyle w:val="Heading2"/>
        <w:numPr>
          <w:ilvl w:val="1"/>
          <w:numId w:val="32"/>
        </w:numPr>
        <w:rPr>
          <w:rFonts w:cs="Calibri"/>
          <w:sz w:val="24"/>
          <w:szCs w:val="24"/>
          <w:lang w:val="en-US" w:eastAsia="ja-JP"/>
        </w:rPr>
      </w:pPr>
      <w:bookmarkStart w:id="20" w:name="_Toc432114512"/>
      <w:r w:rsidRPr="00B70783">
        <w:rPr>
          <w:lang w:val="en-US"/>
        </w:rPr>
        <w:t>OB d</w:t>
      </w:r>
      <w:r w:rsidR="00440004" w:rsidRPr="00B70783">
        <w:rPr>
          <w:lang w:val="en-US"/>
        </w:rPr>
        <w:t xml:space="preserve">ecomposition </w:t>
      </w:r>
      <w:r w:rsidRPr="00B70783">
        <w:rPr>
          <w:lang w:val="en-US"/>
        </w:rPr>
        <w:t xml:space="preserve">results </w:t>
      </w:r>
      <w:r w:rsidR="00440004" w:rsidRPr="00B70783">
        <w:rPr>
          <w:lang w:val="en-US"/>
        </w:rPr>
        <w:t>extended model</w:t>
      </w:r>
      <w:bookmarkEnd w:id="20"/>
      <w:r w:rsidRPr="00B70783">
        <w:rPr>
          <w:rFonts w:cs="Calibri"/>
          <w:sz w:val="24"/>
          <w:szCs w:val="24"/>
          <w:lang w:val="en-US" w:eastAsia="ja-JP"/>
        </w:rPr>
        <w:t xml:space="preserve"> </w:t>
      </w:r>
    </w:p>
    <w:p w14:paraId="1F4D3CC0" w14:textId="77777777" w:rsidR="005A298F" w:rsidRPr="00B70783" w:rsidRDefault="005A298F" w:rsidP="00B70783">
      <w:pPr>
        <w:rPr>
          <w:lang w:val="en-US" w:eastAsia="ja-JP"/>
        </w:rPr>
      </w:pPr>
    </w:p>
    <w:p w14:paraId="68B26839" w14:textId="159F97C6" w:rsidR="007C1DB3" w:rsidRPr="007C1DB3" w:rsidRDefault="005A298F" w:rsidP="007C1DB3">
      <w:pPr>
        <w:spacing w:line="360" w:lineRule="auto"/>
        <w:ind w:firstLine="360"/>
        <w:jc w:val="both"/>
        <w:rPr>
          <w:lang w:val="en-US"/>
        </w:rPr>
      </w:pPr>
      <w:r>
        <w:rPr>
          <w:lang w:val="en-US"/>
        </w:rPr>
        <w:t>I</w:t>
      </w:r>
      <w:r w:rsidR="00C92119">
        <w:rPr>
          <w:lang w:val="en-US"/>
        </w:rPr>
        <w:t xml:space="preserve">n </w:t>
      </w:r>
      <w:r w:rsidR="002E3723">
        <w:rPr>
          <w:lang w:val="en-US"/>
        </w:rPr>
        <w:t>figures 10</w:t>
      </w:r>
      <w:r w:rsidR="00231509">
        <w:rPr>
          <w:lang w:val="en-US"/>
        </w:rPr>
        <w:t xml:space="preserve"> to </w:t>
      </w:r>
      <w:r w:rsidR="002E3723">
        <w:rPr>
          <w:lang w:val="en-US"/>
        </w:rPr>
        <w:t>18</w:t>
      </w:r>
      <w:r w:rsidR="00C92119">
        <w:rPr>
          <w:lang w:val="en-US"/>
        </w:rPr>
        <w:t xml:space="preserve"> </w:t>
      </w:r>
      <w:r w:rsidR="00685A8C">
        <w:rPr>
          <w:lang w:val="en-US"/>
        </w:rPr>
        <w:t xml:space="preserve">on the next page </w:t>
      </w:r>
      <w:r w:rsidR="00C92119">
        <w:rPr>
          <w:lang w:val="en-US"/>
        </w:rPr>
        <w:t>the</w:t>
      </w:r>
      <w:r w:rsidR="00685A8C">
        <w:rPr>
          <w:lang w:val="en-US"/>
        </w:rPr>
        <w:t xml:space="preserve"> decomposition</w:t>
      </w:r>
      <w:r w:rsidR="00C92119">
        <w:rPr>
          <w:lang w:val="en-US"/>
        </w:rPr>
        <w:t xml:space="preserve"> </w:t>
      </w:r>
      <w:r w:rsidR="00991DDB" w:rsidRPr="006D2DB3">
        <w:rPr>
          <w:lang w:val="en-US"/>
        </w:rPr>
        <w:t xml:space="preserve">results are shown for all nine countries following </w:t>
      </w:r>
      <w:r w:rsidR="00B70F26" w:rsidRPr="006D2DB3">
        <w:rPr>
          <w:lang w:val="en-US"/>
        </w:rPr>
        <w:t xml:space="preserve">from </w:t>
      </w:r>
      <w:r w:rsidR="00991DDB" w:rsidRPr="006D2DB3">
        <w:rPr>
          <w:lang w:val="en-US"/>
        </w:rPr>
        <w:t>the extended</w:t>
      </w:r>
      <w:r w:rsidR="00C60342">
        <w:rPr>
          <w:lang w:val="en-US"/>
        </w:rPr>
        <w:t xml:space="preserve"> regression</w:t>
      </w:r>
      <w:r w:rsidR="00991DDB" w:rsidRPr="006D2DB3">
        <w:rPr>
          <w:lang w:val="en-US"/>
        </w:rPr>
        <w:t xml:space="preserve"> model. </w:t>
      </w:r>
    </w:p>
    <w:p w14:paraId="4A0AD1D3" w14:textId="2F3301B3" w:rsidR="00DD37A7" w:rsidRDefault="00DD37A7" w:rsidP="009274CE">
      <w:pPr>
        <w:spacing w:line="360" w:lineRule="auto"/>
        <w:jc w:val="both"/>
        <w:rPr>
          <w:b/>
          <w:lang w:val="en-US"/>
        </w:rPr>
      </w:pPr>
    </w:p>
    <w:p w14:paraId="3BEAE2AF" w14:textId="4E5E4E5B" w:rsidR="00C328A0" w:rsidRDefault="00C328A0" w:rsidP="00C328A0">
      <w:pPr>
        <w:spacing w:line="360" w:lineRule="auto"/>
        <w:jc w:val="both"/>
        <w:rPr>
          <w:b/>
          <w:lang w:val="en-US"/>
        </w:rPr>
      </w:pPr>
      <w:r>
        <w:rPr>
          <w:noProof/>
          <w:lang w:val="en-GB" w:eastAsia="en-GB"/>
        </w:rPr>
        <mc:AlternateContent>
          <mc:Choice Requires="wpg">
            <w:drawing>
              <wp:anchor distT="0" distB="0" distL="114300" distR="114300" simplePos="0" relativeHeight="251667968" behindDoc="0" locked="0" layoutInCell="1" allowOverlap="1" wp14:anchorId="1A2CDA22" wp14:editId="050F3660">
                <wp:simplePos x="0" y="0"/>
                <wp:positionH relativeFrom="margin">
                  <wp:align>center</wp:align>
                </wp:positionH>
                <wp:positionV relativeFrom="paragraph">
                  <wp:posOffset>189536</wp:posOffset>
                </wp:positionV>
                <wp:extent cx="6888480" cy="5676900"/>
                <wp:effectExtent l="0" t="0" r="7620" b="0"/>
                <wp:wrapNone/>
                <wp:docPr id="12" name="Group 1"/>
                <wp:cNvGraphicFramePr/>
                <a:graphic xmlns:a="http://schemas.openxmlformats.org/drawingml/2006/main">
                  <a:graphicData uri="http://schemas.microsoft.com/office/word/2010/wordprocessingGroup">
                    <wpg:wgp>
                      <wpg:cNvGrpSpPr/>
                      <wpg:grpSpPr bwMode="auto">
                        <a:xfrm>
                          <a:off x="0" y="0"/>
                          <a:ext cx="6888480" cy="5676900"/>
                          <a:chOff x="0" y="0"/>
                          <a:chExt cx="7810501" cy="5680075"/>
                        </a:xfrm>
                      </wpg:grpSpPr>
                      <wpg:grpSp>
                        <wpg:cNvPr id="14" name="Group 14"/>
                        <wpg:cNvGrpSpPr>
                          <a:grpSpLocks/>
                        </wpg:cNvGrpSpPr>
                        <wpg:grpSpPr bwMode="auto">
                          <a:xfrm>
                            <a:off x="0" y="0"/>
                            <a:ext cx="7810500" cy="2733675"/>
                            <a:chOff x="0" y="0"/>
                            <a:chExt cx="7681598" cy="2768600"/>
                          </a:xfrm>
                        </wpg:grpSpPr>
                        <wpg:graphicFrame>
                          <wpg:cNvPr id="15" name="Chart 15"/>
                          <wpg:cNvFrPr>
                            <a:graphicFrameLocks/>
                          </wpg:cNvFrPr>
                          <wpg:xfrm>
                            <a:off x="0" y="0"/>
                            <a:ext cx="4567238" cy="2768600"/>
                          </wpg:xfrm>
                          <a:graphic>
                            <a:graphicData uri="http://schemas.openxmlformats.org/drawingml/2006/chart">
                              <c:chart xmlns:c="http://schemas.openxmlformats.org/drawingml/2006/chart" xmlns:r="http://schemas.openxmlformats.org/officeDocument/2006/relationships" r:id="rId20"/>
                            </a:graphicData>
                          </a:graphic>
                        </wpg:graphicFrame>
                        <wpg:graphicFrame>
                          <wpg:cNvPr id="16" name="Chart 16"/>
                          <wpg:cNvFrPr>
                            <a:graphicFrameLocks/>
                          </wpg:cNvFrPr>
                          <wpg:xfrm>
                            <a:off x="4567238" y="1587"/>
                            <a:ext cx="3114360" cy="2767013"/>
                          </wpg:xfrm>
                          <a:graphic>
                            <a:graphicData uri="http://schemas.openxmlformats.org/drawingml/2006/chart">
                              <c:chart xmlns:c="http://schemas.openxmlformats.org/drawingml/2006/chart" xmlns:r="http://schemas.openxmlformats.org/officeDocument/2006/relationships" r:id="rId21"/>
                            </a:graphicData>
                          </a:graphic>
                        </wpg:graphicFrame>
                      </wpg:grpSp>
                      <wpg:grpSp>
                        <wpg:cNvPr id="17" name="Group 17"/>
                        <wpg:cNvGrpSpPr>
                          <a:grpSpLocks/>
                        </wpg:cNvGrpSpPr>
                        <wpg:grpSpPr bwMode="auto">
                          <a:xfrm>
                            <a:off x="0" y="2984500"/>
                            <a:ext cx="7810501" cy="2695575"/>
                            <a:chOff x="0" y="2984500"/>
                            <a:chExt cx="7568215" cy="2765425"/>
                          </a:xfrm>
                        </wpg:grpSpPr>
                        <wpg:graphicFrame>
                          <wpg:cNvPr id="18" name="Chart 18"/>
                          <wpg:cNvFrPr>
                            <a:graphicFrameLocks/>
                          </wpg:cNvFrPr>
                          <wpg:xfrm>
                            <a:off x="0" y="2984500"/>
                            <a:ext cx="4588367" cy="2765425"/>
                          </wpg:xfrm>
                          <a:graphic>
                            <a:graphicData uri="http://schemas.openxmlformats.org/drawingml/2006/chart">
                              <c:chart xmlns:c="http://schemas.openxmlformats.org/drawingml/2006/chart" xmlns:r="http://schemas.openxmlformats.org/officeDocument/2006/relationships" r:id="rId22"/>
                            </a:graphicData>
                          </a:graphic>
                        </wpg:graphicFrame>
                        <wpg:graphicFrame>
                          <wpg:cNvPr id="19" name="Chart 19"/>
                          <wpg:cNvFrPr>
                            <a:graphicFrameLocks/>
                          </wpg:cNvFrPr>
                          <wpg:xfrm>
                            <a:off x="4491705" y="2987675"/>
                            <a:ext cx="3076510" cy="2762250"/>
                          </wpg:xfrm>
                          <a:graphic>
                            <a:graphicData uri="http://schemas.openxmlformats.org/drawingml/2006/chart">
                              <c:chart xmlns:c="http://schemas.openxmlformats.org/drawingml/2006/chart" xmlns:r="http://schemas.openxmlformats.org/officeDocument/2006/relationships" r:id="rId23"/>
                            </a:graphicData>
                          </a:graphic>
                        </wpg:graphicFrame>
                      </wpg:grpSp>
                    </wpg:wgp>
                  </a:graphicData>
                </a:graphic>
                <wp14:sizeRelH relativeFrom="margin">
                  <wp14:pctWidth>0</wp14:pctWidth>
                </wp14:sizeRelH>
                <wp14:sizeRelV relativeFrom="margin">
                  <wp14:pctHeight>0</wp14:pctHeight>
                </wp14:sizeRelV>
              </wp:anchor>
            </w:drawing>
          </mc:Choice>
          <mc:Fallback>
            <w:pict>
              <v:group w14:anchorId="51FE7BB0" id="Group 1" o:spid="_x0000_s1026" style="position:absolute;margin-left:0;margin-top:14.9pt;width:542.4pt;height:447pt;z-index:251667968;mso-position-horizontal:center;mso-position-horizontal-relative:margin;mso-width-relative:margin;mso-height-relative:margin" coordsize="78105,56800" o:gfxdata="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">
                <v:group id="Group 14" o:spid="_x0000_s1027" style="position:absolute;width:78105;height:27336" coordsize="76815,276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5" o:spid="_x0000_s1028" type="#_x0000_t75" style="position:absolute;left:-67;top:-61;width:45816;height:2779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">
                    <v:imagedata r:id="rId24" o:title=""/>
                    <o:lock v:ext="edit" aspectratio="f"/>
                  </v:shape>
                  <v:shape id="Chart 16" o:spid="_x0000_s1029" type="#_x0000_t75" style="position:absolute;left:45613;top:-61;width:31270;height:2779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">
                    <v:imagedata r:id="rId25" o:title=""/>
                    <o:lock v:ext="edit" aspectratio="f"/>
                  </v:shape>
                </v:group>
                <v:group id="Group 17" o:spid="_x0000_s1030" style="position:absolute;top:29845;width:78105;height:26955" coordorigin=",29845" coordsize="75682,276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Chart 18" o:spid="_x0000_s1031" type="#_x0000_t75" style="position:absolute;left:-66;top:29763;width:46011;height:277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">
                    <v:imagedata r:id="rId26" o:title=""/>
                    <o:lock v:ext="edit" aspectratio="f"/>
                  </v:shape>
                  <v:shape id="Chart 19" o:spid="_x0000_s1032" type="#_x0000_t75" style="position:absolute;left:44873;top:29825;width:30876;height:2772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">
                    <v:imagedata r:id="rId27" o:title=""/>
                    <o:lock v:ext="edit" aspectratio="f"/>
                  </v:shape>
                </v:group>
                <w10:wrap anchorx="margin"/>
              </v:group>
            </w:pict>
          </mc:Fallback>
        </mc:AlternateContent>
      </w:r>
      <w:r>
        <w:rPr>
          <w:b/>
          <w:lang w:val="en-US"/>
        </w:rPr>
        <w:t>Figures</w:t>
      </w:r>
      <w:r w:rsidRPr="00C92119">
        <w:rPr>
          <w:b/>
          <w:lang w:val="en-US"/>
        </w:rPr>
        <w:t xml:space="preserve"> </w:t>
      </w:r>
      <w:r>
        <w:rPr>
          <w:b/>
          <w:lang w:val="en-US"/>
        </w:rPr>
        <w:t xml:space="preserve">10 </w:t>
      </w:r>
      <w:r w:rsidRPr="00C92119">
        <w:rPr>
          <w:b/>
          <w:lang w:val="en-US"/>
        </w:rPr>
        <w:t>-</w:t>
      </w:r>
      <w:r>
        <w:rPr>
          <w:b/>
          <w:lang w:val="en-US"/>
        </w:rPr>
        <w:t xml:space="preserve"> 18</w:t>
      </w:r>
      <w:r w:rsidRPr="00C92119">
        <w:rPr>
          <w:b/>
          <w:lang w:val="en-US"/>
        </w:rPr>
        <w:t>: Decomposition results of the extended regression model</w:t>
      </w:r>
    </w:p>
    <w:p w14:paraId="1C2076CD" w14:textId="7828C018" w:rsidR="00DD37A7" w:rsidRDefault="00DD37A7" w:rsidP="009274CE">
      <w:pPr>
        <w:spacing w:line="360" w:lineRule="auto"/>
        <w:jc w:val="both"/>
        <w:rPr>
          <w:b/>
          <w:lang w:val="en-US"/>
        </w:rPr>
      </w:pPr>
    </w:p>
    <w:p w14:paraId="247A6693" w14:textId="34904C64" w:rsidR="00DD37A7" w:rsidRDefault="00DD37A7" w:rsidP="009274CE">
      <w:pPr>
        <w:spacing w:line="360" w:lineRule="auto"/>
        <w:jc w:val="both"/>
        <w:rPr>
          <w:b/>
          <w:lang w:val="en-US"/>
        </w:rPr>
      </w:pPr>
    </w:p>
    <w:p w14:paraId="06BDCF8D" w14:textId="0DDBD661" w:rsidR="00DD37A7" w:rsidRDefault="00DD37A7" w:rsidP="009274CE">
      <w:pPr>
        <w:spacing w:line="360" w:lineRule="auto"/>
        <w:jc w:val="both"/>
        <w:rPr>
          <w:b/>
          <w:lang w:val="en-US"/>
        </w:rPr>
      </w:pPr>
    </w:p>
    <w:p w14:paraId="3AD005E7" w14:textId="39207AF1" w:rsidR="00DD37A7" w:rsidRDefault="00DD37A7" w:rsidP="009274CE">
      <w:pPr>
        <w:spacing w:line="360" w:lineRule="auto"/>
        <w:jc w:val="both"/>
        <w:rPr>
          <w:b/>
          <w:lang w:val="en-US"/>
        </w:rPr>
      </w:pPr>
    </w:p>
    <w:p w14:paraId="597F32CD" w14:textId="70C225A6" w:rsidR="00DD37A7" w:rsidRDefault="00DD37A7" w:rsidP="009274CE">
      <w:pPr>
        <w:spacing w:line="360" w:lineRule="auto"/>
        <w:jc w:val="both"/>
        <w:rPr>
          <w:b/>
          <w:lang w:val="en-US"/>
        </w:rPr>
      </w:pPr>
    </w:p>
    <w:p w14:paraId="7FCCD20A" w14:textId="6877C5EE" w:rsidR="00DD37A7" w:rsidRDefault="00DD37A7" w:rsidP="009274CE">
      <w:pPr>
        <w:spacing w:line="360" w:lineRule="auto"/>
        <w:jc w:val="both"/>
        <w:rPr>
          <w:b/>
          <w:lang w:val="en-US"/>
        </w:rPr>
      </w:pPr>
    </w:p>
    <w:p w14:paraId="6FA2B53A" w14:textId="0B5B71E0" w:rsidR="00DD37A7" w:rsidRDefault="00DD37A7" w:rsidP="009274CE">
      <w:pPr>
        <w:spacing w:line="360" w:lineRule="auto"/>
        <w:jc w:val="both"/>
        <w:rPr>
          <w:b/>
          <w:lang w:val="en-US"/>
        </w:rPr>
      </w:pPr>
    </w:p>
    <w:p w14:paraId="500F6BFA" w14:textId="4D64F110" w:rsidR="00DD37A7" w:rsidRDefault="00DD37A7" w:rsidP="009274CE">
      <w:pPr>
        <w:spacing w:line="360" w:lineRule="auto"/>
        <w:jc w:val="both"/>
        <w:rPr>
          <w:b/>
          <w:lang w:val="en-US"/>
        </w:rPr>
      </w:pPr>
    </w:p>
    <w:p w14:paraId="7AAE4409" w14:textId="28F0A408" w:rsidR="00DD37A7" w:rsidRDefault="00DD37A7" w:rsidP="009274CE">
      <w:pPr>
        <w:spacing w:line="360" w:lineRule="auto"/>
        <w:jc w:val="both"/>
        <w:rPr>
          <w:b/>
          <w:lang w:val="en-US"/>
        </w:rPr>
      </w:pPr>
    </w:p>
    <w:p w14:paraId="0A7514E5" w14:textId="3532A08A" w:rsidR="00DD37A7" w:rsidRDefault="00DD37A7" w:rsidP="009274CE">
      <w:pPr>
        <w:spacing w:line="360" w:lineRule="auto"/>
        <w:jc w:val="both"/>
        <w:rPr>
          <w:b/>
          <w:lang w:val="en-US"/>
        </w:rPr>
      </w:pPr>
    </w:p>
    <w:p w14:paraId="48AF3FFA" w14:textId="4DCAE74E" w:rsidR="00DD37A7" w:rsidRDefault="00DD37A7" w:rsidP="009274CE">
      <w:pPr>
        <w:spacing w:line="360" w:lineRule="auto"/>
        <w:jc w:val="both"/>
        <w:rPr>
          <w:b/>
          <w:lang w:val="en-US"/>
        </w:rPr>
      </w:pPr>
    </w:p>
    <w:p w14:paraId="063628CC" w14:textId="26DBC1F6" w:rsidR="00DD37A7" w:rsidRDefault="00DD37A7" w:rsidP="009274CE">
      <w:pPr>
        <w:spacing w:line="360" w:lineRule="auto"/>
        <w:jc w:val="both"/>
        <w:rPr>
          <w:b/>
          <w:lang w:val="en-US"/>
        </w:rPr>
      </w:pPr>
    </w:p>
    <w:p w14:paraId="66C7DED1" w14:textId="076CA456" w:rsidR="00DD37A7" w:rsidRDefault="00DD37A7" w:rsidP="009274CE">
      <w:pPr>
        <w:spacing w:line="360" w:lineRule="auto"/>
        <w:jc w:val="both"/>
        <w:rPr>
          <w:b/>
          <w:lang w:val="en-US"/>
        </w:rPr>
      </w:pPr>
    </w:p>
    <w:p w14:paraId="1CBBE76C" w14:textId="53BA3834" w:rsidR="00DD37A7" w:rsidRDefault="00DD37A7" w:rsidP="009274CE">
      <w:pPr>
        <w:spacing w:line="360" w:lineRule="auto"/>
        <w:jc w:val="both"/>
        <w:rPr>
          <w:b/>
          <w:lang w:val="en-US"/>
        </w:rPr>
      </w:pPr>
    </w:p>
    <w:p w14:paraId="6FA9D87F" w14:textId="2A595C6B" w:rsidR="00DD37A7" w:rsidRDefault="00DD37A7" w:rsidP="009274CE">
      <w:pPr>
        <w:spacing w:line="360" w:lineRule="auto"/>
        <w:jc w:val="both"/>
        <w:rPr>
          <w:b/>
          <w:lang w:val="en-US"/>
        </w:rPr>
      </w:pPr>
    </w:p>
    <w:p w14:paraId="61E37E2A" w14:textId="5002F7C3" w:rsidR="00DD37A7" w:rsidRDefault="00DD37A7" w:rsidP="009274CE">
      <w:pPr>
        <w:spacing w:line="360" w:lineRule="auto"/>
        <w:jc w:val="both"/>
        <w:rPr>
          <w:b/>
          <w:lang w:val="en-US"/>
        </w:rPr>
      </w:pPr>
    </w:p>
    <w:p w14:paraId="6F6BFF2D" w14:textId="622A05AA" w:rsidR="00DD37A7" w:rsidRDefault="00DD37A7" w:rsidP="009274CE">
      <w:pPr>
        <w:spacing w:line="360" w:lineRule="auto"/>
        <w:jc w:val="both"/>
        <w:rPr>
          <w:b/>
          <w:lang w:val="en-US"/>
        </w:rPr>
      </w:pPr>
    </w:p>
    <w:p w14:paraId="1D294D19" w14:textId="4E4A6F9B" w:rsidR="00DD37A7" w:rsidRDefault="00C328A0" w:rsidP="009274CE">
      <w:pPr>
        <w:spacing w:line="360" w:lineRule="auto"/>
        <w:jc w:val="both"/>
        <w:rPr>
          <w:b/>
          <w:lang w:val="en-US"/>
        </w:rPr>
      </w:pPr>
      <w:r>
        <w:rPr>
          <w:noProof/>
          <w:lang w:val="en-GB" w:eastAsia="en-GB"/>
        </w:rPr>
        <mc:AlternateContent>
          <mc:Choice Requires="wpg">
            <w:drawing>
              <wp:anchor distT="0" distB="0" distL="114300" distR="114300" simplePos="0" relativeHeight="251670016" behindDoc="0" locked="0" layoutInCell="1" allowOverlap="1" wp14:anchorId="18A86D4B" wp14:editId="20ABFB4E">
                <wp:simplePos x="0" y="0"/>
                <wp:positionH relativeFrom="margin">
                  <wp:align>center</wp:align>
                </wp:positionH>
                <wp:positionV relativeFrom="paragraph">
                  <wp:posOffset>0</wp:posOffset>
                </wp:positionV>
                <wp:extent cx="6872096" cy="8448674"/>
                <wp:effectExtent l="0" t="0" r="5080" b="10160"/>
                <wp:wrapNone/>
                <wp:docPr id="20" name="Group 2"/>
                <wp:cNvGraphicFramePr/>
                <a:graphic xmlns:a="http://schemas.openxmlformats.org/drawingml/2006/main">
                  <a:graphicData uri="http://schemas.microsoft.com/office/word/2010/wordprocessingGroup">
                    <wpg:wgp>
                      <wpg:cNvGrpSpPr/>
                      <wpg:grpSpPr bwMode="auto">
                        <a:xfrm>
                          <a:off x="0" y="0"/>
                          <a:ext cx="6872096" cy="8448674"/>
                          <a:chOff x="0" y="0"/>
                          <a:chExt cx="7810287" cy="8446606"/>
                        </a:xfrm>
                      </wpg:grpSpPr>
                      <wpg:grpSp>
                        <wpg:cNvPr id="21" name="Group 21"/>
                        <wpg:cNvGrpSpPr>
                          <a:grpSpLocks/>
                        </wpg:cNvGrpSpPr>
                        <wpg:grpSpPr bwMode="auto">
                          <a:xfrm>
                            <a:off x="0" y="0"/>
                            <a:ext cx="7810287" cy="2667000"/>
                            <a:chOff x="0" y="0"/>
                            <a:chExt cx="7693280" cy="2754539"/>
                          </a:xfrm>
                        </wpg:grpSpPr>
                        <wpg:graphicFrame>
                          <wpg:cNvPr id="22" name="Chart 22"/>
                          <wpg:cNvFrPr>
                            <a:graphicFrameLocks/>
                          </wpg:cNvFrPr>
                          <wpg:xfrm>
                            <a:off x="0" y="3175"/>
                            <a:ext cx="4619171" cy="2751364"/>
                          </wpg:xfrm>
                          <a:graphic>
                            <a:graphicData uri="http://schemas.openxmlformats.org/drawingml/2006/chart">
                              <c:chart xmlns:c="http://schemas.openxmlformats.org/drawingml/2006/chart" xmlns:r="http://schemas.openxmlformats.org/officeDocument/2006/relationships" r:id="rId28"/>
                            </a:graphicData>
                          </a:graphic>
                        </wpg:graphicFrame>
                        <wpg:graphicFrame>
                          <wpg:cNvPr id="23" name="Chart 23"/>
                          <wpg:cNvFrPr>
                            <a:graphicFrameLocks/>
                          </wpg:cNvFrPr>
                          <wpg:xfrm>
                            <a:off x="4581483" y="0"/>
                            <a:ext cx="3111797" cy="2754332"/>
                          </wpg:xfrm>
                          <a:graphic>
                            <a:graphicData uri="http://schemas.openxmlformats.org/drawingml/2006/chart">
                              <c:chart xmlns:c="http://schemas.openxmlformats.org/drawingml/2006/chart" xmlns:r="http://schemas.openxmlformats.org/officeDocument/2006/relationships" r:id="rId29"/>
                            </a:graphicData>
                          </a:graphic>
                        </wpg:graphicFrame>
                      </wpg:grpSp>
                      <wpg:grpSp>
                        <wpg:cNvPr id="24" name="Group 24"/>
                        <wpg:cNvGrpSpPr>
                          <a:grpSpLocks/>
                        </wpg:cNvGrpSpPr>
                        <wpg:grpSpPr bwMode="auto">
                          <a:xfrm>
                            <a:off x="1" y="2857500"/>
                            <a:ext cx="7806916" cy="2666014"/>
                            <a:chOff x="1" y="2857500"/>
                            <a:chExt cx="7742163" cy="2755446"/>
                          </a:xfrm>
                        </wpg:grpSpPr>
                        <wpg:graphicFrame>
                          <wpg:cNvPr id="25" name="Chart 25"/>
                          <wpg:cNvFrPr>
                            <a:graphicFrameLocks/>
                          </wpg:cNvFrPr>
                          <wpg:xfrm>
                            <a:off x="1" y="2857500"/>
                            <a:ext cx="4593771" cy="2751364"/>
                          </wpg:xfrm>
                          <a:graphic>
                            <a:graphicData uri="http://schemas.openxmlformats.org/drawingml/2006/chart">
                              <c:chart xmlns:c="http://schemas.openxmlformats.org/drawingml/2006/chart" xmlns:r="http://schemas.openxmlformats.org/officeDocument/2006/relationships" r:id="rId30"/>
                            </a:graphicData>
                          </a:graphic>
                        </wpg:graphicFrame>
                        <wpg:graphicFrame>
                          <wpg:cNvPr id="26" name="Chart 26"/>
                          <wpg:cNvFrPr>
                            <a:graphicFrameLocks/>
                          </wpg:cNvFrPr>
                          <wpg:xfrm>
                            <a:off x="4593352" y="2857500"/>
                            <a:ext cx="3148812" cy="2755446"/>
                          </wpg:xfrm>
                          <a:graphic>
                            <a:graphicData uri="http://schemas.openxmlformats.org/drawingml/2006/chart">
                              <c:chart xmlns:c="http://schemas.openxmlformats.org/drawingml/2006/chart" xmlns:r="http://schemas.openxmlformats.org/officeDocument/2006/relationships" r:id="rId31"/>
                            </a:graphicData>
                          </a:graphic>
                        </wpg:graphicFrame>
                      </wpg:grpSp>
                      <wpg:grpSp>
                        <wpg:cNvPr id="27" name="Group 27"/>
                        <wpg:cNvGrpSpPr>
                          <a:grpSpLocks/>
                        </wpg:cNvGrpSpPr>
                        <wpg:grpSpPr bwMode="auto">
                          <a:xfrm>
                            <a:off x="1" y="5720288"/>
                            <a:ext cx="7804016" cy="2726318"/>
                            <a:chOff x="1" y="5720316"/>
                            <a:chExt cx="7709780" cy="2738187"/>
                          </a:xfrm>
                        </wpg:grpSpPr>
                        <wpg:graphicFrame>
                          <wpg:cNvPr id="28" name="Chart 28"/>
                          <wpg:cNvFrPr>
                            <a:graphicFrameLocks/>
                          </wpg:cNvFrPr>
                          <wpg:xfrm>
                            <a:off x="1" y="5720746"/>
                            <a:ext cx="4593771" cy="2737757"/>
                          </wpg:xfrm>
                          <a:graphic>
                            <a:graphicData uri="http://schemas.openxmlformats.org/drawingml/2006/chart">
                              <c:chart xmlns:c="http://schemas.openxmlformats.org/drawingml/2006/chart" xmlns:r="http://schemas.openxmlformats.org/officeDocument/2006/relationships" r:id="rId32"/>
                            </a:graphicData>
                          </a:graphic>
                        </wpg:graphicFrame>
                        <wpg:graphicFrame>
                          <wpg:cNvPr id="29" name="Chart 29"/>
                          <wpg:cNvFrPr>
                            <a:graphicFrameLocks/>
                          </wpg:cNvFrPr>
                          <wpg:xfrm>
                            <a:off x="4590847" y="5720316"/>
                            <a:ext cx="3118934" cy="2736280"/>
                          </wpg:xfrm>
                          <a:graphic>
                            <a:graphicData uri="http://schemas.openxmlformats.org/drawingml/2006/chart">
                              <c:chart xmlns:c="http://schemas.openxmlformats.org/drawingml/2006/chart" xmlns:r="http://schemas.openxmlformats.org/officeDocument/2006/relationships" r:id="rId33"/>
                            </a:graphicData>
                          </a:graphic>
                        </wpg:graphicFrame>
                      </wpg:grpSp>
                    </wpg:wgp>
                  </a:graphicData>
                </a:graphic>
                <wp14:sizeRelH relativeFrom="margin">
                  <wp14:pctWidth>0</wp14:pctWidth>
                </wp14:sizeRelH>
              </wp:anchor>
            </w:drawing>
          </mc:Choice>
          <mc:Fallback>
            <w:pict>
              <v:group w14:anchorId="7C2BB5BF" id="Group 2" o:spid="_x0000_s1026" style="position:absolute;margin-left:0;margin-top:0;width:541.1pt;height:665.25pt;z-index:251670016;mso-position-horizontal:center;mso-position-horizontal-relative:margin;mso-width-relative:margin" coordsize="78102,84466" o:gfxdata="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">
                <v:group id="Group 21" o:spid="_x0000_s1027" style="position:absolute;width:78102;height:26670" coordsize="76932,275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shape id="Chart 22" o:spid="_x0000_s1028" type="#_x0000_t75" style="position:absolute;left:-68;width:46337;height:2763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">
                    <v:imagedata r:id="rId34" o:title=""/>
                    <o:lock v:ext="edit" aspectratio="f"/>
                  </v:shape>
                  <v:shape id="Chart 23" o:spid="_x0000_s1029" type="#_x0000_t75" style="position:absolute;left:45723;top:-62;width:31256;height:2769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">
                    <v:imagedata r:id="rId35" o:title=""/>
                    <o:lock v:ext="edit" aspectratio="f"/>
                  </v:shape>
                </v:group>
                <v:group id="Group 24" o:spid="_x0000_s1030" style="position:absolute;top:28575;width:78069;height:26660" coordorigin=",28575" coordsize="77421,275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shape id="Chart 25" o:spid="_x0000_s1031" type="#_x0000_t75" style="position:absolute;left:-68;top:28520;width:46102;height:276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">
                    <v:imagedata r:id="rId36" o:title=""/>
                    <o:lock v:ext="edit" aspectratio="f"/>
                  </v:shape>
                  <v:shape id="Chart 26" o:spid="_x0000_s1032" type="#_x0000_t75" style="position:absolute;left:45896;top:28520;width:31606;height:276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">
                    <v:imagedata r:id="rId37" o:title=""/>
                    <o:lock v:ext="edit" aspectratio="f"/>
                  </v:shape>
                </v:group>
                <v:group id="Group 27" o:spid="_x0000_s1033" style="position:absolute;top:57202;width:78040;height:27264" coordorigin=",57203" coordsize="77097,273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shape id="Chart 28" o:spid="_x0000_s1034" type="#_x0000_t75" style="position:absolute;left:-68;top:57166;width:46063;height:274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">
                    <v:imagedata r:id="rId38" o:title=""/>
                    <o:lock v:ext="edit" aspectratio="f"/>
                  </v:shape>
                  <v:shape id="Chart 29" o:spid="_x0000_s1035" type="#_x0000_t75" style="position:absolute;left:45858;top:57166;width:31280;height:274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">
                    <v:imagedata r:id="rId39" o:title=""/>
                    <o:lock v:ext="edit" aspectratio="f"/>
                  </v:shape>
                </v:group>
                <w10:wrap anchorx="margin"/>
              </v:group>
            </w:pict>
          </mc:Fallback>
        </mc:AlternateContent>
      </w:r>
    </w:p>
    <w:p w14:paraId="547F7359" w14:textId="77777777" w:rsidR="00DD37A7" w:rsidRDefault="00DD37A7" w:rsidP="009274CE">
      <w:pPr>
        <w:spacing w:line="360" w:lineRule="auto"/>
        <w:jc w:val="both"/>
        <w:rPr>
          <w:b/>
          <w:lang w:val="en-US"/>
        </w:rPr>
      </w:pPr>
    </w:p>
    <w:p w14:paraId="3879112C" w14:textId="77777777" w:rsidR="00DD37A7" w:rsidRDefault="00DD37A7" w:rsidP="009274CE">
      <w:pPr>
        <w:spacing w:line="360" w:lineRule="auto"/>
        <w:jc w:val="both"/>
        <w:rPr>
          <w:b/>
          <w:lang w:val="en-US"/>
        </w:rPr>
      </w:pPr>
    </w:p>
    <w:p w14:paraId="179497C8" w14:textId="77777777" w:rsidR="00DD37A7" w:rsidRDefault="00DD37A7" w:rsidP="009274CE">
      <w:pPr>
        <w:spacing w:line="360" w:lineRule="auto"/>
        <w:jc w:val="both"/>
        <w:rPr>
          <w:b/>
          <w:lang w:val="en-US"/>
        </w:rPr>
      </w:pPr>
    </w:p>
    <w:p w14:paraId="3A8FA27B" w14:textId="77777777" w:rsidR="00DD37A7" w:rsidRDefault="00DD37A7" w:rsidP="009274CE">
      <w:pPr>
        <w:spacing w:line="360" w:lineRule="auto"/>
        <w:jc w:val="both"/>
        <w:rPr>
          <w:b/>
          <w:lang w:val="en-US"/>
        </w:rPr>
      </w:pPr>
    </w:p>
    <w:p w14:paraId="335925D2" w14:textId="77777777" w:rsidR="00DD37A7" w:rsidRDefault="00DD37A7" w:rsidP="009274CE">
      <w:pPr>
        <w:spacing w:line="360" w:lineRule="auto"/>
        <w:jc w:val="both"/>
        <w:rPr>
          <w:b/>
          <w:lang w:val="en-US"/>
        </w:rPr>
      </w:pPr>
    </w:p>
    <w:p w14:paraId="7E0CBAA8" w14:textId="77777777" w:rsidR="00DD37A7" w:rsidRDefault="00DD37A7" w:rsidP="009274CE">
      <w:pPr>
        <w:spacing w:line="360" w:lineRule="auto"/>
        <w:jc w:val="both"/>
        <w:rPr>
          <w:b/>
          <w:lang w:val="en-US"/>
        </w:rPr>
      </w:pPr>
    </w:p>
    <w:p w14:paraId="4961C946" w14:textId="77777777" w:rsidR="00DD37A7" w:rsidRDefault="00DD37A7" w:rsidP="009274CE">
      <w:pPr>
        <w:spacing w:line="360" w:lineRule="auto"/>
        <w:jc w:val="both"/>
        <w:rPr>
          <w:b/>
          <w:lang w:val="en-US"/>
        </w:rPr>
      </w:pPr>
    </w:p>
    <w:p w14:paraId="47736137" w14:textId="77777777" w:rsidR="00DD37A7" w:rsidRDefault="00DD37A7" w:rsidP="009274CE">
      <w:pPr>
        <w:spacing w:line="360" w:lineRule="auto"/>
        <w:jc w:val="both"/>
        <w:rPr>
          <w:b/>
          <w:lang w:val="en-US"/>
        </w:rPr>
      </w:pPr>
    </w:p>
    <w:p w14:paraId="30654C34" w14:textId="77777777" w:rsidR="00DD37A7" w:rsidRDefault="00DD37A7" w:rsidP="009274CE">
      <w:pPr>
        <w:spacing w:line="360" w:lineRule="auto"/>
        <w:jc w:val="both"/>
        <w:rPr>
          <w:b/>
          <w:lang w:val="en-US"/>
        </w:rPr>
      </w:pPr>
    </w:p>
    <w:p w14:paraId="39293CD6" w14:textId="77777777" w:rsidR="00DD37A7" w:rsidRDefault="00DD37A7" w:rsidP="009274CE">
      <w:pPr>
        <w:spacing w:line="360" w:lineRule="auto"/>
        <w:jc w:val="both"/>
        <w:rPr>
          <w:b/>
          <w:lang w:val="en-US"/>
        </w:rPr>
      </w:pPr>
    </w:p>
    <w:p w14:paraId="7E0F9E54" w14:textId="77777777" w:rsidR="00DD37A7" w:rsidRDefault="00DD37A7" w:rsidP="009274CE">
      <w:pPr>
        <w:spacing w:line="360" w:lineRule="auto"/>
        <w:jc w:val="both"/>
        <w:rPr>
          <w:b/>
          <w:lang w:val="en-US"/>
        </w:rPr>
      </w:pPr>
    </w:p>
    <w:p w14:paraId="3839EC62" w14:textId="77777777" w:rsidR="00DD37A7" w:rsidRDefault="00DD37A7" w:rsidP="009274CE">
      <w:pPr>
        <w:spacing w:line="360" w:lineRule="auto"/>
        <w:jc w:val="both"/>
        <w:rPr>
          <w:b/>
          <w:lang w:val="en-US"/>
        </w:rPr>
      </w:pPr>
    </w:p>
    <w:p w14:paraId="212E4CC9" w14:textId="77777777" w:rsidR="00DD37A7" w:rsidRDefault="00DD37A7" w:rsidP="009274CE">
      <w:pPr>
        <w:spacing w:line="360" w:lineRule="auto"/>
        <w:jc w:val="both"/>
        <w:rPr>
          <w:b/>
          <w:lang w:val="en-US"/>
        </w:rPr>
      </w:pPr>
    </w:p>
    <w:p w14:paraId="0844850D" w14:textId="77777777" w:rsidR="00DD37A7" w:rsidRDefault="00DD37A7" w:rsidP="009274CE">
      <w:pPr>
        <w:spacing w:line="360" w:lineRule="auto"/>
        <w:jc w:val="both"/>
        <w:rPr>
          <w:b/>
          <w:lang w:val="en-US"/>
        </w:rPr>
      </w:pPr>
    </w:p>
    <w:p w14:paraId="47B108E2" w14:textId="77777777" w:rsidR="00DD37A7" w:rsidRDefault="00DD37A7" w:rsidP="009274CE">
      <w:pPr>
        <w:spacing w:line="360" w:lineRule="auto"/>
        <w:jc w:val="both"/>
        <w:rPr>
          <w:b/>
          <w:lang w:val="en-US"/>
        </w:rPr>
      </w:pPr>
    </w:p>
    <w:p w14:paraId="6DAE92AD" w14:textId="3480CA08" w:rsidR="00DD37A7" w:rsidRDefault="00DD37A7" w:rsidP="009274CE">
      <w:pPr>
        <w:spacing w:line="360" w:lineRule="auto"/>
        <w:jc w:val="both"/>
        <w:rPr>
          <w:b/>
          <w:lang w:val="en-US"/>
        </w:rPr>
      </w:pPr>
    </w:p>
    <w:p w14:paraId="5D3DE91D" w14:textId="22A45ACE" w:rsidR="00DD37A7" w:rsidRDefault="00DD37A7" w:rsidP="009274CE">
      <w:pPr>
        <w:spacing w:line="360" w:lineRule="auto"/>
        <w:jc w:val="both"/>
        <w:rPr>
          <w:b/>
          <w:lang w:val="en-US"/>
        </w:rPr>
      </w:pPr>
    </w:p>
    <w:p w14:paraId="2B24D787" w14:textId="7FA08414" w:rsidR="00DD37A7" w:rsidRDefault="00DD37A7" w:rsidP="009274CE">
      <w:pPr>
        <w:spacing w:line="360" w:lineRule="auto"/>
        <w:jc w:val="both"/>
        <w:rPr>
          <w:b/>
          <w:lang w:val="en-US"/>
        </w:rPr>
      </w:pPr>
    </w:p>
    <w:p w14:paraId="3F6D0F4A" w14:textId="4E2A5CAF" w:rsidR="00DD37A7" w:rsidRDefault="00DD37A7" w:rsidP="009274CE">
      <w:pPr>
        <w:spacing w:line="360" w:lineRule="auto"/>
        <w:jc w:val="both"/>
        <w:rPr>
          <w:b/>
          <w:lang w:val="en-US"/>
        </w:rPr>
      </w:pPr>
    </w:p>
    <w:p w14:paraId="55F05B07" w14:textId="77777777" w:rsidR="00DD37A7" w:rsidRDefault="00DD37A7" w:rsidP="009274CE">
      <w:pPr>
        <w:spacing w:line="360" w:lineRule="auto"/>
        <w:jc w:val="both"/>
        <w:rPr>
          <w:b/>
          <w:lang w:val="en-US"/>
        </w:rPr>
      </w:pPr>
    </w:p>
    <w:p w14:paraId="00E110E3" w14:textId="1AD34450" w:rsidR="00DD37A7" w:rsidRDefault="00DD37A7" w:rsidP="009274CE">
      <w:pPr>
        <w:spacing w:line="360" w:lineRule="auto"/>
        <w:jc w:val="both"/>
        <w:rPr>
          <w:b/>
          <w:lang w:val="en-US"/>
        </w:rPr>
      </w:pPr>
    </w:p>
    <w:p w14:paraId="555172CF" w14:textId="77777777" w:rsidR="00DD37A7" w:rsidRDefault="00DD37A7" w:rsidP="009274CE">
      <w:pPr>
        <w:spacing w:line="360" w:lineRule="auto"/>
        <w:jc w:val="both"/>
        <w:rPr>
          <w:b/>
          <w:lang w:val="en-US"/>
        </w:rPr>
      </w:pPr>
    </w:p>
    <w:p w14:paraId="30AE5EB2" w14:textId="1FFFF063" w:rsidR="00DD37A7" w:rsidRDefault="00DD37A7" w:rsidP="009274CE">
      <w:pPr>
        <w:spacing w:line="360" w:lineRule="auto"/>
        <w:jc w:val="both"/>
        <w:rPr>
          <w:b/>
          <w:lang w:val="en-US"/>
        </w:rPr>
      </w:pPr>
    </w:p>
    <w:p w14:paraId="2C739C65" w14:textId="1D7D60CB" w:rsidR="00DD37A7" w:rsidRDefault="00DD37A7" w:rsidP="009274CE">
      <w:pPr>
        <w:spacing w:line="360" w:lineRule="auto"/>
        <w:jc w:val="both"/>
        <w:rPr>
          <w:b/>
          <w:lang w:val="en-US"/>
        </w:rPr>
      </w:pPr>
    </w:p>
    <w:p w14:paraId="6A439E57" w14:textId="5F409506" w:rsidR="00DD37A7" w:rsidRDefault="00C328A0" w:rsidP="009274CE">
      <w:pPr>
        <w:spacing w:line="360" w:lineRule="auto"/>
        <w:jc w:val="both"/>
        <w:rPr>
          <w:b/>
          <w:lang w:val="en-US"/>
        </w:rPr>
      </w:pPr>
      <w:r>
        <w:rPr>
          <w:noProof/>
          <w:lang w:val="en-GB" w:eastAsia="en-GB"/>
        </w:rPr>
        <mc:AlternateContent>
          <mc:Choice Requires="wpg">
            <w:drawing>
              <wp:anchor distT="0" distB="0" distL="114300" distR="114300" simplePos="0" relativeHeight="251672064" behindDoc="0" locked="0" layoutInCell="1" allowOverlap="1" wp14:anchorId="26119BB3" wp14:editId="2FFD8027">
                <wp:simplePos x="0" y="0"/>
                <wp:positionH relativeFrom="margin">
                  <wp:align>center</wp:align>
                </wp:positionH>
                <wp:positionV relativeFrom="paragraph">
                  <wp:posOffset>-153</wp:posOffset>
                </wp:positionV>
                <wp:extent cx="6915861" cy="8629650"/>
                <wp:effectExtent l="0" t="0" r="18415" b="0"/>
                <wp:wrapNone/>
                <wp:docPr id="30" name="Group 3"/>
                <wp:cNvGraphicFramePr/>
                <a:graphic xmlns:a="http://schemas.openxmlformats.org/drawingml/2006/main">
                  <a:graphicData uri="http://schemas.microsoft.com/office/word/2010/wordprocessingGroup">
                    <wpg:wgp>
                      <wpg:cNvGrpSpPr/>
                      <wpg:grpSpPr bwMode="auto">
                        <a:xfrm>
                          <a:off x="0" y="0"/>
                          <a:ext cx="6915861" cy="8629650"/>
                          <a:chOff x="0" y="0"/>
                          <a:chExt cx="7842121" cy="8631811"/>
                        </a:xfrm>
                      </wpg:grpSpPr>
                      <wpg:grpSp>
                        <wpg:cNvPr id="31" name="Group 31"/>
                        <wpg:cNvGrpSpPr>
                          <a:grpSpLocks/>
                        </wpg:cNvGrpSpPr>
                        <wpg:grpSpPr bwMode="auto">
                          <a:xfrm>
                            <a:off x="0" y="0"/>
                            <a:ext cx="7838816" cy="2723275"/>
                            <a:chOff x="0" y="0"/>
                            <a:chExt cx="7851956" cy="2743201"/>
                          </a:xfrm>
                        </wpg:grpSpPr>
                        <wpg:graphicFrame>
                          <wpg:cNvPr id="32" name="Chart 32"/>
                          <wpg:cNvFrPr>
                            <a:graphicFrameLocks/>
                          </wpg:cNvFrPr>
                          <wpg:xfrm>
                            <a:off x="0" y="0"/>
                            <a:ext cx="4673180" cy="2743200"/>
                          </wpg:xfrm>
                          <a:graphic>
                            <a:graphicData uri="http://schemas.openxmlformats.org/drawingml/2006/chart">
                              <c:chart xmlns:c="http://schemas.openxmlformats.org/drawingml/2006/chart" xmlns:r="http://schemas.openxmlformats.org/officeDocument/2006/relationships" r:id="rId40"/>
                            </a:graphicData>
                          </a:graphic>
                        </wpg:graphicFrame>
                        <wpg:graphicFrame>
                          <wpg:cNvPr id="33" name="Chart 33"/>
                          <wpg:cNvFrPr>
                            <a:graphicFrameLocks/>
                          </wpg:cNvFrPr>
                          <wpg:xfrm>
                            <a:off x="4672921" y="1"/>
                            <a:ext cx="3179035" cy="2743200"/>
                          </wpg:xfrm>
                          <a:graphic>
                            <a:graphicData uri="http://schemas.openxmlformats.org/drawingml/2006/chart">
                              <c:chart xmlns:c="http://schemas.openxmlformats.org/drawingml/2006/chart" xmlns:r="http://schemas.openxmlformats.org/officeDocument/2006/relationships" r:id="rId41"/>
                            </a:graphicData>
                          </a:graphic>
                        </wpg:graphicFrame>
                      </wpg:grpSp>
                      <wpg:grpSp>
                        <wpg:cNvPr id="34" name="Group 34"/>
                        <wpg:cNvGrpSpPr>
                          <a:grpSpLocks/>
                        </wpg:cNvGrpSpPr>
                        <wpg:grpSpPr bwMode="auto">
                          <a:xfrm>
                            <a:off x="0" y="2923161"/>
                            <a:ext cx="7842121" cy="2724151"/>
                            <a:chOff x="0" y="2923161"/>
                            <a:chExt cx="7852061" cy="2762251"/>
                          </a:xfrm>
                        </wpg:grpSpPr>
                        <wpg:graphicFrame>
                          <wpg:cNvPr id="35" name="Chart 35"/>
                          <wpg:cNvFrPr>
                            <a:graphicFrameLocks/>
                          </wpg:cNvFrPr>
                          <wpg:xfrm>
                            <a:off x="0" y="2923161"/>
                            <a:ext cx="4704955" cy="2762250"/>
                          </wpg:xfrm>
                          <a:graphic>
                            <a:graphicData uri="http://schemas.openxmlformats.org/drawingml/2006/chart">
                              <c:chart xmlns:c="http://schemas.openxmlformats.org/drawingml/2006/chart" xmlns:r="http://schemas.openxmlformats.org/officeDocument/2006/relationships" r:id="rId42"/>
                            </a:graphicData>
                          </a:graphic>
                        </wpg:graphicFrame>
                        <wpg:graphicFrame>
                          <wpg:cNvPr id="36" name="Chart 36"/>
                          <wpg:cNvFrPr>
                            <a:graphicFrameLocks/>
                          </wpg:cNvFrPr>
                          <wpg:xfrm>
                            <a:off x="4673037" y="2923162"/>
                            <a:ext cx="3179024" cy="2762250"/>
                          </wpg:xfrm>
                          <a:graphic>
                            <a:graphicData uri="http://schemas.openxmlformats.org/drawingml/2006/chart">
                              <c:chart xmlns:c="http://schemas.openxmlformats.org/drawingml/2006/chart" xmlns:r="http://schemas.openxmlformats.org/officeDocument/2006/relationships" r:id="rId43"/>
                            </a:graphicData>
                          </a:graphic>
                        </wpg:graphicFrame>
                      </wpg:grpSp>
                      <wpg:grpSp>
                        <wpg:cNvPr id="37" name="Group 37"/>
                        <wpg:cNvGrpSpPr>
                          <a:grpSpLocks/>
                        </wpg:cNvGrpSpPr>
                        <wpg:grpSpPr bwMode="auto">
                          <a:xfrm>
                            <a:off x="0" y="5907661"/>
                            <a:ext cx="7842035" cy="2724150"/>
                            <a:chOff x="0" y="5907661"/>
                            <a:chExt cx="7486445" cy="2762250"/>
                          </a:xfrm>
                        </wpg:grpSpPr>
                        <wpg:graphicFrame>
                          <wpg:cNvPr id="38" name="Chart 38"/>
                          <wpg:cNvFrPr>
                            <a:graphicFrameLocks/>
                          </wpg:cNvFrPr>
                          <wpg:xfrm>
                            <a:off x="0" y="5907661"/>
                            <a:ext cx="4476750" cy="2762250"/>
                          </wpg:xfrm>
                          <a:graphic>
                            <a:graphicData uri="http://schemas.openxmlformats.org/drawingml/2006/chart">
                              <c:chart xmlns:c="http://schemas.openxmlformats.org/drawingml/2006/chart" xmlns:r="http://schemas.openxmlformats.org/officeDocument/2006/relationships" r:id="rId44"/>
                            </a:graphicData>
                          </a:graphic>
                        </wpg:graphicFrame>
                        <wpg:graphicFrame>
                          <wpg:cNvPr id="39" name="Chart 39"/>
                          <wpg:cNvFrPr>
                            <a:graphicFrameLocks/>
                          </wpg:cNvFrPr>
                          <wpg:xfrm>
                            <a:off x="4476701" y="5907661"/>
                            <a:ext cx="3009744" cy="2762250"/>
                          </wpg:xfrm>
                          <a:graphic>
                            <a:graphicData uri="http://schemas.openxmlformats.org/drawingml/2006/chart">
                              <c:chart xmlns:c="http://schemas.openxmlformats.org/drawingml/2006/chart" xmlns:r="http://schemas.openxmlformats.org/officeDocument/2006/relationships" r:id="rId45"/>
                            </a:graphicData>
                          </a:graphic>
                        </wpg:graphicFrame>
                      </wpg:grpSp>
                    </wpg:wgp>
                  </a:graphicData>
                </a:graphic>
                <wp14:sizeRelH relativeFrom="margin">
                  <wp14:pctWidth>0</wp14:pctWidth>
                </wp14:sizeRelH>
              </wp:anchor>
            </w:drawing>
          </mc:Choice>
          <mc:Fallback>
            <w:pict>
              <v:group w14:anchorId="71737682" id="Group 3" o:spid="_x0000_s1026" style="position:absolute;margin-left:0;margin-top:0;width:544.55pt;height:679.5pt;z-index:251672064;mso-position-horizontal:center;mso-position-horizontal-relative:margin;mso-width-relative:margin" coordsize="78421,86318" o:gfxdata="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">
                <v:group id="Group 31" o:spid="_x0000_s1027" style="position:absolute;width:78388;height:27232" coordsize="78519,274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 id="Chart 32" o:spid="_x0000_s1028" type="#_x0000_t75" style="position:absolute;left:-69;top:-61;width:46875;height:275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">
                    <v:imagedata r:id="rId46" o:title=""/>
                    <o:lock v:ext="edit" aspectratio="f"/>
                  </v:shape>
                  <v:shape id="Chart 33" o:spid="_x0000_s1029" type="#_x0000_t75" style="position:absolute;left:46668;top:-61;width:31919;height:2757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">
                    <v:imagedata r:id="rId47" o:title=""/>
                    <o:lock v:ext="edit" aspectratio="f"/>
                  </v:shape>
                </v:group>
                <v:group id="Group 34" o:spid="_x0000_s1030" style="position:absolute;top:29231;width:78421;height:27242" coordorigin=",29231" coordsize="78520,276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shape id="Chart 35" o:spid="_x0000_s1031" type="#_x0000_t75" style="position:absolute;left:-69;top:29144;width:47202;height:2776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">
                    <v:imagedata r:id="rId48" o:title=""/>
                    <o:lock v:ext="edit" aspectratio="f"/>
                  </v:shape>
                  <v:shape id="Chart 36" o:spid="_x0000_s1032" type="#_x0000_t75" style="position:absolute;left:46648;top:29144;width:31907;height:2776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">
                    <v:imagedata r:id="rId49" o:title=""/>
                    <o:lock v:ext="edit" aspectratio="f"/>
                  </v:shape>
                </v:group>
                <v:group id="Group 37" o:spid="_x0000_s1033" style="position:absolute;top:59076;width:78420;height:27242" coordorigin=",59076" coordsize="74864,276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EGDsQAAADbAAAADwAAAGRycy9kb3ducmV2LnhtbESPT4vCMBTE7wt+h/AE&#10;b2taxVWqUURc8SCCf0C8PZpnW2xeSpNt67ffLAh7HGbmN8xi1ZlSNFS7wrKCeBiBIE6tLjhTcL18&#10;f85AOI+ssbRMCl7kYLXsfSww0bblEzVnn4kAYZeggtz7KpHSpTkZdENbEQfvYWuDPsg6k7rGNsBN&#10;KUdR9CUNFhwWcqxok1P6PP8YBbsW2/U43jaH52Pzul8mx9shJqUG/W49B+Gp8//hd3uvFYy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EGDsQAAADbAAAA&#10;DwAAAAAAAAAAAAAAAACqAgAAZHJzL2Rvd25yZXYueG1sUEsFBgAAAAAEAAQA+gAAAJsDAAAAAA==&#10;">
                  <v:shape id="Chart 38" o:spid="_x0000_s1034" type="#_x0000_t75" style="position:absolute;left:-65;top:59023;width:44872;height:2776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">
                    <v:imagedata r:id="rId50" o:title=""/>
                    <o:lock v:ext="edit" aspectratio="f"/>
                  </v:shape>
                  <v:shape id="Chart 39" o:spid="_x0000_s1035" type="#_x0000_t75" style="position:absolute;left:44675;top:59023;width:30223;height:2776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">
                    <v:imagedata r:id="rId51" o:title=""/>
                    <o:lock v:ext="edit" aspectratio="f"/>
                  </v:shape>
                </v:group>
                <w10:wrap anchorx="margin"/>
              </v:group>
            </w:pict>
          </mc:Fallback>
        </mc:AlternateContent>
      </w:r>
    </w:p>
    <w:p w14:paraId="3F1E4CAB" w14:textId="57B89532" w:rsidR="00DD37A7" w:rsidRDefault="00DD37A7" w:rsidP="009274CE">
      <w:pPr>
        <w:spacing w:line="360" w:lineRule="auto"/>
        <w:jc w:val="both"/>
        <w:rPr>
          <w:b/>
          <w:lang w:val="en-US"/>
        </w:rPr>
      </w:pPr>
    </w:p>
    <w:p w14:paraId="08700687" w14:textId="715F26C2" w:rsidR="00DD37A7" w:rsidRDefault="00DD37A7" w:rsidP="009274CE">
      <w:pPr>
        <w:spacing w:line="360" w:lineRule="auto"/>
        <w:jc w:val="both"/>
        <w:rPr>
          <w:b/>
          <w:lang w:val="en-US"/>
        </w:rPr>
      </w:pPr>
    </w:p>
    <w:p w14:paraId="4CB72AAE" w14:textId="486D313C" w:rsidR="00DD37A7" w:rsidRDefault="00DD37A7" w:rsidP="009274CE">
      <w:pPr>
        <w:spacing w:line="360" w:lineRule="auto"/>
        <w:jc w:val="both"/>
        <w:rPr>
          <w:b/>
          <w:lang w:val="en-US"/>
        </w:rPr>
      </w:pPr>
    </w:p>
    <w:p w14:paraId="29ED338C" w14:textId="77777777" w:rsidR="00DD37A7" w:rsidRDefault="00DD37A7" w:rsidP="009274CE">
      <w:pPr>
        <w:spacing w:line="360" w:lineRule="auto"/>
        <w:jc w:val="both"/>
        <w:rPr>
          <w:b/>
          <w:lang w:val="en-US"/>
        </w:rPr>
      </w:pPr>
    </w:p>
    <w:p w14:paraId="0BDF4FA3" w14:textId="1DD6E18C" w:rsidR="00DD37A7" w:rsidRDefault="00DD37A7" w:rsidP="009274CE">
      <w:pPr>
        <w:spacing w:line="360" w:lineRule="auto"/>
        <w:jc w:val="both"/>
        <w:rPr>
          <w:b/>
          <w:lang w:val="en-US"/>
        </w:rPr>
      </w:pPr>
    </w:p>
    <w:p w14:paraId="10FEE886" w14:textId="77777777" w:rsidR="00DD37A7" w:rsidRDefault="00DD37A7" w:rsidP="009274CE">
      <w:pPr>
        <w:spacing w:line="360" w:lineRule="auto"/>
        <w:jc w:val="both"/>
        <w:rPr>
          <w:b/>
          <w:lang w:val="en-US"/>
        </w:rPr>
      </w:pPr>
    </w:p>
    <w:p w14:paraId="1E2B1B06" w14:textId="77777777" w:rsidR="00DD37A7" w:rsidRDefault="00DD37A7" w:rsidP="009274CE">
      <w:pPr>
        <w:spacing w:line="360" w:lineRule="auto"/>
        <w:jc w:val="both"/>
        <w:rPr>
          <w:b/>
          <w:lang w:val="en-US"/>
        </w:rPr>
      </w:pPr>
    </w:p>
    <w:p w14:paraId="76B86D73" w14:textId="6ED521F0" w:rsidR="00DD37A7" w:rsidRDefault="00DD37A7" w:rsidP="009274CE">
      <w:pPr>
        <w:spacing w:line="360" w:lineRule="auto"/>
        <w:jc w:val="both"/>
        <w:rPr>
          <w:b/>
          <w:lang w:val="en-US"/>
        </w:rPr>
      </w:pPr>
    </w:p>
    <w:p w14:paraId="33A5C36A" w14:textId="77777777" w:rsidR="00C328A0" w:rsidRDefault="00C328A0" w:rsidP="009274CE">
      <w:pPr>
        <w:spacing w:line="360" w:lineRule="auto"/>
        <w:jc w:val="both"/>
        <w:rPr>
          <w:b/>
          <w:lang w:val="en-US"/>
        </w:rPr>
      </w:pPr>
    </w:p>
    <w:p w14:paraId="52BB9B15" w14:textId="77777777" w:rsidR="00C328A0" w:rsidRDefault="00C328A0" w:rsidP="009274CE">
      <w:pPr>
        <w:spacing w:line="360" w:lineRule="auto"/>
        <w:jc w:val="both"/>
        <w:rPr>
          <w:b/>
          <w:lang w:val="en-US"/>
        </w:rPr>
      </w:pPr>
    </w:p>
    <w:p w14:paraId="0239604E" w14:textId="77777777" w:rsidR="00C328A0" w:rsidRDefault="00C328A0" w:rsidP="009274CE">
      <w:pPr>
        <w:spacing w:line="360" w:lineRule="auto"/>
        <w:jc w:val="both"/>
        <w:rPr>
          <w:b/>
          <w:lang w:val="en-US"/>
        </w:rPr>
      </w:pPr>
    </w:p>
    <w:p w14:paraId="6E30447C" w14:textId="77777777" w:rsidR="00C328A0" w:rsidRDefault="00C328A0" w:rsidP="009274CE">
      <w:pPr>
        <w:spacing w:line="360" w:lineRule="auto"/>
        <w:jc w:val="both"/>
        <w:rPr>
          <w:b/>
          <w:lang w:val="en-US"/>
        </w:rPr>
      </w:pPr>
    </w:p>
    <w:p w14:paraId="4CC03313" w14:textId="77777777" w:rsidR="00C328A0" w:rsidRDefault="00C328A0" w:rsidP="009274CE">
      <w:pPr>
        <w:spacing w:line="360" w:lineRule="auto"/>
        <w:jc w:val="both"/>
        <w:rPr>
          <w:b/>
          <w:lang w:val="en-US"/>
        </w:rPr>
      </w:pPr>
    </w:p>
    <w:p w14:paraId="04742B36" w14:textId="77777777" w:rsidR="00C328A0" w:rsidRDefault="00C328A0" w:rsidP="009274CE">
      <w:pPr>
        <w:spacing w:line="360" w:lineRule="auto"/>
        <w:jc w:val="both"/>
        <w:rPr>
          <w:b/>
          <w:lang w:val="en-US"/>
        </w:rPr>
      </w:pPr>
    </w:p>
    <w:p w14:paraId="77AA58C8" w14:textId="77777777" w:rsidR="00C328A0" w:rsidRDefault="00C328A0" w:rsidP="009274CE">
      <w:pPr>
        <w:spacing w:line="360" w:lineRule="auto"/>
        <w:jc w:val="both"/>
        <w:rPr>
          <w:b/>
          <w:lang w:val="en-US"/>
        </w:rPr>
      </w:pPr>
    </w:p>
    <w:p w14:paraId="5D1CEA43" w14:textId="77777777" w:rsidR="00C328A0" w:rsidRDefault="00C328A0" w:rsidP="009274CE">
      <w:pPr>
        <w:spacing w:line="360" w:lineRule="auto"/>
        <w:jc w:val="both"/>
        <w:rPr>
          <w:b/>
          <w:lang w:val="en-US"/>
        </w:rPr>
      </w:pPr>
    </w:p>
    <w:p w14:paraId="3954050D" w14:textId="77777777" w:rsidR="00C328A0" w:rsidRDefault="00C328A0" w:rsidP="009274CE">
      <w:pPr>
        <w:spacing w:line="360" w:lineRule="auto"/>
        <w:jc w:val="both"/>
        <w:rPr>
          <w:b/>
          <w:lang w:val="en-US"/>
        </w:rPr>
      </w:pPr>
    </w:p>
    <w:p w14:paraId="67528F19" w14:textId="77777777" w:rsidR="00C328A0" w:rsidRDefault="00C328A0" w:rsidP="009274CE">
      <w:pPr>
        <w:spacing w:line="360" w:lineRule="auto"/>
        <w:jc w:val="both"/>
        <w:rPr>
          <w:b/>
          <w:lang w:val="en-US"/>
        </w:rPr>
      </w:pPr>
    </w:p>
    <w:p w14:paraId="6548A7F1" w14:textId="77777777" w:rsidR="00C328A0" w:rsidRDefault="00C328A0" w:rsidP="009274CE">
      <w:pPr>
        <w:spacing w:line="360" w:lineRule="auto"/>
        <w:jc w:val="both"/>
        <w:rPr>
          <w:b/>
          <w:lang w:val="en-US"/>
        </w:rPr>
      </w:pPr>
    </w:p>
    <w:p w14:paraId="2F5FBE0A" w14:textId="77777777" w:rsidR="00C328A0" w:rsidRDefault="00C328A0" w:rsidP="009274CE">
      <w:pPr>
        <w:spacing w:line="360" w:lineRule="auto"/>
        <w:jc w:val="both"/>
        <w:rPr>
          <w:b/>
          <w:lang w:val="en-US"/>
        </w:rPr>
      </w:pPr>
    </w:p>
    <w:p w14:paraId="070A5848" w14:textId="77777777" w:rsidR="00C328A0" w:rsidRDefault="00C328A0" w:rsidP="009274CE">
      <w:pPr>
        <w:spacing w:line="360" w:lineRule="auto"/>
        <w:jc w:val="both"/>
        <w:rPr>
          <w:b/>
          <w:lang w:val="en-US"/>
        </w:rPr>
      </w:pPr>
    </w:p>
    <w:p w14:paraId="32E9830C" w14:textId="77777777" w:rsidR="00C328A0" w:rsidRDefault="00C328A0" w:rsidP="009274CE">
      <w:pPr>
        <w:spacing w:line="360" w:lineRule="auto"/>
        <w:jc w:val="both"/>
        <w:rPr>
          <w:b/>
          <w:lang w:val="en-US"/>
        </w:rPr>
      </w:pPr>
    </w:p>
    <w:p w14:paraId="43552260" w14:textId="77777777" w:rsidR="00C328A0" w:rsidRDefault="00C328A0" w:rsidP="009274CE">
      <w:pPr>
        <w:spacing w:line="360" w:lineRule="auto"/>
        <w:jc w:val="both"/>
        <w:rPr>
          <w:b/>
          <w:lang w:val="en-US"/>
        </w:rPr>
      </w:pPr>
    </w:p>
    <w:p w14:paraId="1C4BBE6E" w14:textId="77777777" w:rsidR="00DD37A7" w:rsidRDefault="00DD37A7" w:rsidP="009274CE">
      <w:pPr>
        <w:spacing w:line="360" w:lineRule="auto"/>
        <w:jc w:val="both"/>
        <w:rPr>
          <w:b/>
          <w:lang w:val="en-US"/>
        </w:rPr>
      </w:pPr>
    </w:p>
    <w:p w14:paraId="20D539EF" w14:textId="5C17C024" w:rsidR="00DD37A7" w:rsidRDefault="00C328A0" w:rsidP="009274CE">
      <w:pPr>
        <w:spacing w:line="360" w:lineRule="auto"/>
        <w:jc w:val="both"/>
        <w:rPr>
          <w:b/>
          <w:lang w:val="en-US"/>
        </w:rPr>
      </w:pPr>
      <w:r>
        <w:rPr>
          <w:noProof/>
          <w:lang w:val="en-GB" w:eastAsia="en-GB"/>
        </w:rPr>
        <w:lastRenderedPageBreak/>
        <mc:AlternateContent>
          <mc:Choice Requires="wpg">
            <w:drawing>
              <wp:anchor distT="0" distB="0" distL="114300" distR="114300" simplePos="0" relativeHeight="251674112" behindDoc="0" locked="0" layoutInCell="1" allowOverlap="1" wp14:anchorId="16331C84" wp14:editId="036AC12A">
                <wp:simplePos x="0" y="0"/>
                <wp:positionH relativeFrom="margin">
                  <wp:posOffset>-584485</wp:posOffset>
                </wp:positionH>
                <wp:positionV relativeFrom="paragraph">
                  <wp:posOffset>14605</wp:posOffset>
                </wp:positionV>
                <wp:extent cx="6903874" cy="2724150"/>
                <wp:effectExtent l="0" t="0" r="11430" b="0"/>
                <wp:wrapNone/>
                <wp:docPr id="40" name="Group 9"/>
                <wp:cNvGraphicFramePr/>
                <a:graphic xmlns:a="http://schemas.openxmlformats.org/drawingml/2006/main">
                  <a:graphicData uri="http://schemas.microsoft.com/office/word/2010/wordprocessingGroup">
                    <wpg:wgp>
                      <wpg:cNvGrpSpPr/>
                      <wpg:grpSpPr bwMode="auto">
                        <a:xfrm>
                          <a:off x="0" y="0"/>
                          <a:ext cx="6903874" cy="2724150"/>
                          <a:chOff x="0" y="0"/>
                          <a:chExt cx="7851933" cy="2762250"/>
                        </a:xfrm>
                      </wpg:grpSpPr>
                      <wpg:graphicFrame>
                        <wpg:cNvPr id="41" name="Chart 41"/>
                        <wpg:cNvFrPr>
                          <a:graphicFrameLocks/>
                        </wpg:cNvFrPr>
                        <wpg:xfrm>
                          <a:off x="0" y="0"/>
                          <a:ext cx="4673164" cy="2762250"/>
                        </wpg:xfrm>
                        <a:graphic>
                          <a:graphicData uri="http://schemas.openxmlformats.org/drawingml/2006/chart">
                            <c:chart xmlns:c="http://schemas.openxmlformats.org/drawingml/2006/chart" xmlns:r="http://schemas.openxmlformats.org/officeDocument/2006/relationships" r:id="rId52"/>
                          </a:graphicData>
                        </a:graphic>
                      </wpg:graphicFrame>
                      <wpg:graphicFrame>
                        <wpg:cNvPr id="42" name="Chart 42"/>
                        <wpg:cNvFrPr>
                          <a:graphicFrameLocks/>
                        </wpg:cNvFrPr>
                        <wpg:xfrm>
                          <a:off x="4672908" y="0"/>
                          <a:ext cx="3179025" cy="2762250"/>
                        </wpg:xfrm>
                        <a:graphic>
                          <a:graphicData uri="http://schemas.openxmlformats.org/drawingml/2006/chart">
                            <c:chart xmlns:c="http://schemas.openxmlformats.org/drawingml/2006/chart" xmlns:r="http://schemas.openxmlformats.org/officeDocument/2006/relationships" r:id="rId53"/>
                          </a:graphicData>
                        </a:graphic>
                      </wpg:graphicFrame>
                    </wpg:wgp>
                  </a:graphicData>
                </a:graphic>
                <wp14:sizeRelH relativeFrom="margin">
                  <wp14:pctWidth>0</wp14:pctWidth>
                </wp14:sizeRelH>
                <wp14:sizeRelV relativeFrom="margin">
                  <wp14:pctHeight>0</wp14:pctHeight>
                </wp14:sizeRelV>
              </wp:anchor>
            </w:drawing>
          </mc:Choice>
          <mc:Fallback>
            <w:pict>
              <v:group w14:anchorId="34591395" id="Group 9" o:spid="_x0000_s1026" style="position:absolute;margin-left:-46pt;margin-top:1.15pt;width:543.6pt;height:214.5pt;z-index:251674112;mso-position-horizontal-relative:margin;mso-width-relative:margin;mso-height-relative:margin" coordsize="78519,27622" o:gfxdata="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">
                <v:shape id="Chart 41" o:spid="_x0000_s1027" type="#_x0000_t75" style="position:absolute;left:-69;top:-61;width:46867;height:2775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">
                  <v:imagedata r:id="rId54" o:title=""/>
                  <o:lock v:ext="edit" aspectratio="f"/>
                </v:shape>
                <v:shape id="Chart 42" o:spid="_x0000_s1028" type="#_x0000_t75" style="position:absolute;left:46659;top:-61;width:31893;height:2775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">
                  <v:imagedata r:id="rId55" o:title=""/>
                  <o:lock v:ext="edit" aspectratio="f"/>
                </v:shape>
                <w10:wrap anchorx="margin"/>
              </v:group>
            </w:pict>
          </mc:Fallback>
        </mc:AlternateContent>
      </w:r>
    </w:p>
    <w:p w14:paraId="2F1C539A" w14:textId="77777777" w:rsidR="00DD37A7" w:rsidRDefault="00DD37A7" w:rsidP="009274CE">
      <w:pPr>
        <w:spacing w:line="360" w:lineRule="auto"/>
        <w:jc w:val="both"/>
        <w:rPr>
          <w:b/>
          <w:lang w:val="en-US"/>
        </w:rPr>
      </w:pPr>
    </w:p>
    <w:p w14:paraId="6CC00340" w14:textId="77777777" w:rsidR="00DD37A7" w:rsidRDefault="00DD37A7" w:rsidP="009274CE">
      <w:pPr>
        <w:spacing w:line="360" w:lineRule="auto"/>
        <w:jc w:val="both"/>
        <w:rPr>
          <w:b/>
          <w:lang w:val="en-US"/>
        </w:rPr>
      </w:pPr>
    </w:p>
    <w:p w14:paraId="58B958AA" w14:textId="77777777" w:rsidR="00C328A0" w:rsidRDefault="00C328A0" w:rsidP="009274CE">
      <w:pPr>
        <w:spacing w:line="360" w:lineRule="auto"/>
        <w:jc w:val="both"/>
        <w:rPr>
          <w:b/>
          <w:lang w:val="en-US"/>
        </w:rPr>
      </w:pPr>
    </w:p>
    <w:p w14:paraId="6AA8DDFE" w14:textId="77777777" w:rsidR="00C328A0" w:rsidRDefault="00C328A0" w:rsidP="009274CE">
      <w:pPr>
        <w:spacing w:line="360" w:lineRule="auto"/>
        <w:jc w:val="both"/>
        <w:rPr>
          <w:b/>
          <w:lang w:val="en-US"/>
        </w:rPr>
      </w:pPr>
    </w:p>
    <w:p w14:paraId="6B594458" w14:textId="77777777" w:rsidR="00C328A0" w:rsidRDefault="00C328A0" w:rsidP="009274CE">
      <w:pPr>
        <w:spacing w:line="360" w:lineRule="auto"/>
        <w:jc w:val="both"/>
        <w:rPr>
          <w:b/>
          <w:lang w:val="en-US"/>
        </w:rPr>
      </w:pPr>
    </w:p>
    <w:p w14:paraId="5A9FD376" w14:textId="77777777" w:rsidR="00C328A0" w:rsidRDefault="00C328A0" w:rsidP="009274CE">
      <w:pPr>
        <w:spacing w:line="360" w:lineRule="auto"/>
        <w:jc w:val="both"/>
        <w:rPr>
          <w:b/>
          <w:lang w:val="en-US"/>
        </w:rPr>
      </w:pPr>
    </w:p>
    <w:p w14:paraId="1D4992F5" w14:textId="77777777" w:rsidR="00DD37A7" w:rsidRDefault="00DD37A7" w:rsidP="009274CE">
      <w:pPr>
        <w:spacing w:line="360" w:lineRule="auto"/>
        <w:jc w:val="both"/>
        <w:rPr>
          <w:b/>
          <w:lang w:val="en-US"/>
        </w:rPr>
      </w:pPr>
    </w:p>
    <w:p w14:paraId="51EF40F5" w14:textId="0E207CB3" w:rsidR="006D10A1" w:rsidRDefault="006D10A1" w:rsidP="007C1DB3">
      <w:pPr>
        <w:spacing w:line="360" w:lineRule="auto"/>
        <w:jc w:val="both"/>
        <w:rPr>
          <w:lang w:val="en-US"/>
        </w:rPr>
      </w:pPr>
    </w:p>
    <w:p w14:paraId="0FF25145" w14:textId="4D2BD863" w:rsidR="00FA0660" w:rsidRDefault="009E2D17" w:rsidP="00072A51">
      <w:pPr>
        <w:spacing w:line="360" w:lineRule="auto"/>
        <w:ind w:firstLine="360"/>
        <w:jc w:val="both"/>
        <w:rPr>
          <w:lang w:val="en-US"/>
        </w:rPr>
      </w:pPr>
      <w:r>
        <w:rPr>
          <w:lang w:val="en-US"/>
        </w:rPr>
        <w:t>The results show that</w:t>
      </w:r>
      <w:r w:rsidR="000802AF">
        <w:rPr>
          <w:lang w:val="en-US"/>
        </w:rPr>
        <w:t xml:space="preserve"> age</w:t>
      </w:r>
      <w:r>
        <w:rPr>
          <w:lang w:val="en-US"/>
        </w:rPr>
        <w:t xml:space="preserve"> still</w:t>
      </w:r>
      <w:r w:rsidR="000802AF">
        <w:rPr>
          <w:lang w:val="en-US"/>
        </w:rPr>
        <w:t xml:space="preserve"> seems to have a systematic</w:t>
      </w:r>
      <w:r w:rsidR="006F4FF0">
        <w:rPr>
          <w:lang w:val="en-US"/>
        </w:rPr>
        <w:t xml:space="preserve"> and relatively strong</w:t>
      </w:r>
      <w:r w:rsidR="000802AF">
        <w:rPr>
          <w:lang w:val="en-US"/>
        </w:rPr>
        <w:t xml:space="preserve"> effect on BMI</w:t>
      </w:r>
      <w:r>
        <w:rPr>
          <w:lang w:val="en-US"/>
        </w:rPr>
        <w:t>, just as in the basic model</w:t>
      </w:r>
      <w:r w:rsidR="000802AF">
        <w:rPr>
          <w:lang w:val="en-US"/>
        </w:rPr>
        <w:t xml:space="preserve">. </w:t>
      </w:r>
      <w:r>
        <w:rPr>
          <w:lang w:val="en-US"/>
        </w:rPr>
        <w:t xml:space="preserve">The </w:t>
      </w:r>
      <w:r w:rsidR="005A3EA5" w:rsidRPr="006D2DB3">
        <w:rPr>
          <w:lang w:val="en-US"/>
        </w:rPr>
        <w:t xml:space="preserve">absolute effect flowing from age to BMI </w:t>
      </w:r>
      <w:r w:rsidR="000802AF">
        <w:rPr>
          <w:lang w:val="en-US"/>
        </w:rPr>
        <w:t>remains the same</w:t>
      </w:r>
      <w:r w:rsidR="005A3EA5" w:rsidRPr="006D2DB3">
        <w:rPr>
          <w:lang w:val="en-US"/>
        </w:rPr>
        <w:t xml:space="preserve"> for most countries. Th</w:t>
      </w:r>
      <w:r w:rsidR="000802AF">
        <w:rPr>
          <w:lang w:val="en-US"/>
        </w:rPr>
        <w:t>ese results suggest that</w:t>
      </w:r>
      <w:r w:rsidR="005A3EA5" w:rsidRPr="006D2DB3">
        <w:rPr>
          <w:lang w:val="en-US"/>
        </w:rPr>
        <w:t xml:space="preserve"> the</w:t>
      </w:r>
      <w:r w:rsidR="00D76499">
        <w:rPr>
          <w:lang w:val="en-US"/>
        </w:rPr>
        <w:t xml:space="preserve"> increased</w:t>
      </w:r>
      <w:r w:rsidR="005A3EA5" w:rsidRPr="006D2DB3">
        <w:rPr>
          <w:lang w:val="en-US"/>
        </w:rPr>
        <w:t xml:space="preserve"> </w:t>
      </w:r>
      <w:r w:rsidR="0098553D">
        <w:rPr>
          <w:lang w:val="en-US"/>
        </w:rPr>
        <w:t>negative</w:t>
      </w:r>
      <w:r w:rsidR="005A3EA5" w:rsidRPr="006D2DB3">
        <w:rPr>
          <w:lang w:val="en-US"/>
        </w:rPr>
        <w:t xml:space="preserve"> </w:t>
      </w:r>
      <w:r w:rsidR="0098553D">
        <w:rPr>
          <w:lang w:val="en-US"/>
        </w:rPr>
        <w:t>association</w:t>
      </w:r>
      <w:r w:rsidR="005A3EA5" w:rsidRPr="006D2DB3">
        <w:rPr>
          <w:lang w:val="en-US"/>
        </w:rPr>
        <w:t xml:space="preserve"> of age</w:t>
      </w:r>
      <w:r w:rsidR="0098553D">
        <w:rPr>
          <w:lang w:val="en-US"/>
        </w:rPr>
        <w:t xml:space="preserve"> and BMI</w:t>
      </w:r>
      <w:r w:rsidR="000802AF">
        <w:rPr>
          <w:lang w:val="en-US"/>
        </w:rPr>
        <w:t xml:space="preserve"> is </w:t>
      </w:r>
      <w:r>
        <w:rPr>
          <w:lang w:val="en-US"/>
        </w:rPr>
        <w:t xml:space="preserve">hardly </w:t>
      </w:r>
      <w:r w:rsidR="000802AF">
        <w:rPr>
          <w:lang w:val="en-US"/>
        </w:rPr>
        <w:t xml:space="preserve">captured </w:t>
      </w:r>
      <w:r>
        <w:rPr>
          <w:lang w:val="en-US"/>
        </w:rPr>
        <w:t>by</w:t>
      </w:r>
      <w:r w:rsidR="000802AF">
        <w:rPr>
          <w:lang w:val="en-US"/>
        </w:rPr>
        <w:t xml:space="preserve"> the added</w:t>
      </w:r>
      <w:r w:rsidR="006F4FF0">
        <w:rPr>
          <w:lang w:val="en-US"/>
        </w:rPr>
        <w:t xml:space="preserve"> variables of </w:t>
      </w:r>
      <w:r w:rsidR="006F4FF0">
        <w:rPr>
          <w:lang w:val="en-US"/>
        </w:rPr>
        <w:lastRenderedPageBreak/>
        <w:t>the extended regression model</w:t>
      </w:r>
      <w:r w:rsidR="000802AF">
        <w:rPr>
          <w:lang w:val="en-US"/>
        </w:rPr>
        <w:t>.</w:t>
      </w:r>
      <w:r>
        <w:rPr>
          <w:lang w:val="en-US"/>
        </w:rPr>
        <w:t xml:space="preserve"> As discussed in section 5 the extra variables appear not to be the ones that can explain the opposing BMI patterns of people with different age sufficiently. </w:t>
      </w:r>
      <w:r w:rsidR="00903FCF">
        <w:rPr>
          <w:lang w:val="en-US"/>
        </w:rPr>
        <w:t xml:space="preserve">The added variables show both positive and negative </w:t>
      </w:r>
      <w:r w:rsidR="002851C7">
        <w:rPr>
          <w:lang w:val="en-US"/>
        </w:rPr>
        <w:t>association change</w:t>
      </w:r>
      <w:r w:rsidR="00903FCF">
        <w:rPr>
          <w:lang w:val="en-US"/>
        </w:rPr>
        <w:t>s with BMI so a uniform pattern cannot be recognized between the countries. Participating in sports or other vigorous activities once a week is the only variable that for most countries shows a negative change in the relation with BMI. Or in other words, the difference in BMI for people that were active once a week and those who were not has become bigger in 2010</w:t>
      </w:r>
      <w:r w:rsidR="00BC32E0">
        <w:rPr>
          <w:lang w:val="en-US"/>
        </w:rPr>
        <w:t xml:space="preserve"> compared to 2004</w:t>
      </w:r>
      <w:r w:rsidR="00903FCF">
        <w:rPr>
          <w:lang w:val="en-US"/>
        </w:rPr>
        <w:t>.</w:t>
      </w:r>
      <w:r w:rsidR="00BC32E0">
        <w:rPr>
          <w:lang w:val="en-US"/>
        </w:rPr>
        <w:t xml:space="preserve"> </w:t>
      </w:r>
      <w:r w:rsidR="00903FCF">
        <w:rPr>
          <w:lang w:val="en-US"/>
        </w:rPr>
        <w:t>As can be seen from the positive contribution of the constant the reference group gained weight between 2004 and 2010.</w:t>
      </w:r>
      <w:r w:rsidR="00BC32E0">
        <w:rPr>
          <w:lang w:val="en-US"/>
        </w:rPr>
        <w:t xml:space="preserve"> Knowing that the active people gained less weight than the reference group, the data suggests that the people who are </w:t>
      </w:r>
      <w:r w:rsidR="00FA0660">
        <w:rPr>
          <w:lang w:val="en-US"/>
        </w:rPr>
        <w:t>active at least were able to</w:t>
      </w:r>
      <w:r w:rsidR="00BC32E0">
        <w:rPr>
          <w:lang w:val="en-US"/>
        </w:rPr>
        <w:t xml:space="preserve"> maintain</w:t>
      </w:r>
      <w:r w:rsidR="00FA0660">
        <w:rPr>
          <w:lang w:val="en-US"/>
        </w:rPr>
        <w:t xml:space="preserve"> their</w:t>
      </w:r>
      <w:r w:rsidR="00BC32E0">
        <w:rPr>
          <w:lang w:val="en-US"/>
        </w:rPr>
        <w:t xml:space="preserve"> weight better, resulting in lower BMI.</w:t>
      </w:r>
      <w:r w:rsidR="00FA0660">
        <w:rPr>
          <w:lang w:val="en-US"/>
        </w:rPr>
        <w:t xml:space="preserve"> Given the high significance in the regression model it could already be concluded that </w:t>
      </w:r>
      <w:r w:rsidR="00FA0660">
        <w:rPr>
          <w:lang w:val="en-US"/>
        </w:rPr>
        <w:lastRenderedPageBreak/>
        <w:t>people who participate in sports have a significantly lower BMI than the ones who do not. The finding that this relation becomes even more negative over time indicates that the people who participate in sport weekly are not only slimmer, but also more capable of maintaining their weight level over time. This leaves interesting policy implications as it appears that sporting not only reduces body fat but also makes someone more aware of personal weight.</w:t>
      </w:r>
    </w:p>
    <w:p w14:paraId="5E248FE4" w14:textId="03681DCC" w:rsidR="00D522FE" w:rsidRPr="009274CE" w:rsidRDefault="00637B06" w:rsidP="00003CB0">
      <w:pPr>
        <w:spacing w:line="360" w:lineRule="auto"/>
        <w:ind w:firstLine="360"/>
        <w:jc w:val="both"/>
        <w:rPr>
          <w:lang w:val="en-US"/>
        </w:rPr>
      </w:pPr>
      <w:r>
        <w:rPr>
          <w:lang w:val="en-US"/>
        </w:rPr>
        <w:t xml:space="preserve">Since many of the variables included in the model are categorical and either fixed (age), determined early in life and therefore do not change in input (education) or measured in a fixed number of deciles (income and food expenditure), there is hardly no </w:t>
      </w:r>
      <w:r w:rsidR="005C08F3">
        <w:rPr>
          <w:lang w:val="en-US"/>
        </w:rPr>
        <w:t>variation in the composition of the</w:t>
      </w:r>
      <w:r>
        <w:rPr>
          <w:lang w:val="en-US"/>
        </w:rPr>
        <w:t xml:space="preserve"> endowment</w:t>
      </w:r>
      <w:r w:rsidR="005C08F3">
        <w:rPr>
          <w:lang w:val="en-US"/>
        </w:rPr>
        <w:t xml:space="preserve"> change</w:t>
      </w:r>
      <w:r>
        <w:rPr>
          <w:lang w:val="en-US"/>
        </w:rPr>
        <w:t xml:space="preserve"> between periods. </w:t>
      </w:r>
      <w:r w:rsidR="005C08F3">
        <w:rPr>
          <w:lang w:val="en-US"/>
        </w:rPr>
        <w:t xml:space="preserve">For all countries activity is the sole variable driving endowment change which contributed positively to the change in BMI. This </w:t>
      </w:r>
      <w:r w:rsidR="00204CFE">
        <w:rPr>
          <w:lang w:val="en-US"/>
        </w:rPr>
        <w:t xml:space="preserve">a logical but meaningful effect, </w:t>
      </w:r>
      <w:r w:rsidR="005C08F3">
        <w:rPr>
          <w:lang w:val="en-US"/>
        </w:rPr>
        <w:t>because</w:t>
      </w:r>
      <w:r w:rsidR="00204CFE">
        <w:rPr>
          <w:lang w:val="en-US"/>
        </w:rPr>
        <w:t xml:space="preserve"> when</w:t>
      </w:r>
      <w:r w:rsidR="005C08F3">
        <w:rPr>
          <w:lang w:val="en-US"/>
        </w:rPr>
        <w:t xml:space="preserve"> people grow older between 2004 and 2010 they are less likely to participate in vigorous activities and </w:t>
      </w:r>
      <w:r w:rsidR="005C08F3">
        <w:rPr>
          <w:lang w:val="en-US"/>
        </w:rPr>
        <w:lastRenderedPageBreak/>
        <w:t xml:space="preserve">this input decrease leads to an increase in BMI. </w:t>
      </w:r>
      <w:r w:rsidR="00204CFE">
        <w:rPr>
          <w:lang w:val="en-US"/>
        </w:rPr>
        <w:t>The changing strength of the relation between the explanatory variables and BMI shows much more variation with also larger contributions than the endowment change. However, there are only few countries where the net effect of the coefficients change is actually telling more about the change in BMI than the endowment changes in activity. This already shows that the relative contribution of changing activity levels is actually a strong element in the change in BMI, which of course feels as very natural reasoning.</w:t>
      </w:r>
    </w:p>
    <w:p w14:paraId="3BB11723" w14:textId="7B805423" w:rsidR="0043561A" w:rsidRDefault="00D522FE" w:rsidP="009B2D1C">
      <w:pPr>
        <w:spacing w:line="360" w:lineRule="auto"/>
        <w:ind w:firstLine="360"/>
        <w:jc w:val="both"/>
        <w:rPr>
          <w:lang w:val="en-US"/>
        </w:rPr>
      </w:pPr>
      <w:r w:rsidRPr="006D2DB3">
        <w:rPr>
          <w:lang w:val="en-US"/>
        </w:rPr>
        <w:t>The results from the decomposition of the extended model are very different across countries and</w:t>
      </w:r>
      <w:r w:rsidR="00FA0660">
        <w:rPr>
          <w:lang w:val="en-US"/>
        </w:rPr>
        <w:t xml:space="preserve">, </w:t>
      </w:r>
      <w:r w:rsidR="00C60342">
        <w:rPr>
          <w:lang w:val="en-US"/>
        </w:rPr>
        <w:t xml:space="preserve">except for age and </w:t>
      </w:r>
      <w:r w:rsidR="00FA0660">
        <w:rPr>
          <w:lang w:val="en-US"/>
        </w:rPr>
        <w:t>to a lesser extend physical activity, t</w:t>
      </w:r>
      <w:r w:rsidRPr="006D2DB3">
        <w:rPr>
          <w:lang w:val="en-US"/>
        </w:rPr>
        <w:t>here does not seem to be a recognizable pattern</w:t>
      </w:r>
      <w:r w:rsidR="00E76D33">
        <w:rPr>
          <w:lang w:val="en-US"/>
        </w:rPr>
        <w:t xml:space="preserve"> in the variables</w:t>
      </w:r>
      <w:r w:rsidRPr="006D2DB3">
        <w:rPr>
          <w:lang w:val="en-US"/>
        </w:rPr>
        <w:t>. This is not very surprising as the extended regression models already showed that except for activity there is little significance and consistency between countries</w:t>
      </w:r>
      <w:r w:rsidR="003E0B3B" w:rsidRPr="006D2DB3">
        <w:rPr>
          <w:lang w:val="en-US"/>
        </w:rPr>
        <w:t xml:space="preserve"> in</w:t>
      </w:r>
      <w:r w:rsidRPr="006D2DB3">
        <w:rPr>
          <w:lang w:val="en-US"/>
        </w:rPr>
        <w:t xml:space="preserve"> the added variables.</w:t>
      </w:r>
      <w:r w:rsidR="00E76D33">
        <w:rPr>
          <w:lang w:val="en-US"/>
        </w:rPr>
        <w:t xml:space="preserve"> One aspect that is uniform for almost all countries is the </w:t>
      </w:r>
      <w:r w:rsidR="00E76D33">
        <w:rPr>
          <w:lang w:val="en-US"/>
        </w:rPr>
        <w:lastRenderedPageBreak/>
        <w:t xml:space="preserve">relative large and positive contribution of the constant. As discussed in section 5 </w:t>
      </w:r>
      <w:r w:rsidR="0001745D">
        <w:rPr>
          <w:lang w:val="en-US"/>
        </w:rPr>
        <w:t>the</w:t>
      </w:r>
      <w:r w:rsidR="00E76D33">
        <w:rPr>
          <w:lang w:val="en-US"/>
        </w:rPr>
        <w:t xml:space="preserve"> constant includes the effect of all reference categories and the error term. It can be stated that keeping all other things constant the reference category gained weight between 2004 and 20</w:t>
      </w:r>
      <w:r w:rsidR="00C24474">
        <w:rPr>
          <w:lang w:val="en-US"/>
        </w:rPr>
        <w:t>10</w:t>
      </w:r>
      <w:r w:rsidR="00E76D33">
        <w:rPr>
          <w:lang w:val="en-US"/>
        </w:rPr>
        <w:t>. However</w:t>
      </w:r>
      <w:r w:rsidR="003510F9">
        <w:rPr>
          <w:lang w:val="en-US"/>
        </w:rPr>
        <w:t xml:space="preserve"> the contribution of the error is most probably quite large in this effect. T</w:t>
      </w:r>
      <w:r w:rsidR="00E76D33">
        <w:rPr>
          <w:lang w:val="en-US"/>
        </w:rPr>
        <w:t xml:space="preserve">here are numerous factors that are almost impossible to capture in a variable that can influence body weight left out of the model. When looking back at the extended regression model the explanatory power is around 5% for most countries. </w:t>
      </w:r>
      <w:r w:rsidR="00835FB7">
        <w:rPr>
          <w:lang w:val="en-US"/>
        </w:rPr>
        <w:t xml:space="preserve">This is not </w:t>
      </w:r>
      <w:r w:rsidR="0001745D">
        <w:rPr>
          <w:lang w:val="en-US"/>
        </w:rPr>
        <w:t xml:space="preserve">surprising, most studies on BMI do not include models that can account for more than 10% of the variation in BMI between individuals. </w:t>
      </w:r>
      <w:r w:rsidR="003510F9">
        <w:rPr>
          <w:lang w:val="en-US"/>
        </w:rPr>
        <w:t>This only shows how much these models are a simplification of reality and that there is no holy grail to the solution of the BMI rising problem. It is just a reminder that there are many pieces in this puzzle of BMI patterning, of which we can only influence some. It can therefor</w:t>
      </w:r>
      <w:r w:rsidR="000B1F3E">
        <w:rPr>
          <w:lang w:val="en-US"/>
        </w:rPr>
        <w:t>e</w:t>
      </w:r>
      <w:r w:rsidR="003510F9">
        <w:rPr>
          <w:lang w:val="en-US"/>
        </w:rPr>
        <w:t xml:space="preserve"> also be very relevant to know </w:t>
      </w:r>
      <w:r w:rsidR="003510F9">
        <w:rPr>
          <w:lang w:val="en-US"/>
        </w:rPr>
        <w:lastRenderedPageBreak/>
        <w:t>which factors barely play a role a role in the explanation</w:t>
      </w:r>
      <w:r w:rsidR="00154C53">
        <w:rPr>
          <w:lang w:val="en-US"/>
        </w:rPr>
        <w:t>,</w:t>
      </w:r>
      <w:r w:rsidR="003510F9">
        <w:rPr>
          <w:lang w:val="en-US"/>
        </w:rPr>
        <w:t xml:space="preserve"> so that policy can be focused </w:t>
      </w:r>
      <w:r w:rsidR="00154C53">
        <w:rPr>
          <w:lang w:val="en-US"/>
        </w:rPr>
        <w:t>on changing the aspects that matter. What is evident from this study is that BMI increase is different for subgroups in the population, thus gaining insight in which people are at risk of weight gaining and should therefore be primarily targeted by policy implications could be very useful.</w:t>
      </w:r>
    </w:p>
    <w:p w14:paraId="7EC32347" w14:textId="77777777" w:rsidR="00DF3AB5" w:rsidRDefault="00DF3AB5" w:rsidP="009B2D1C">
      <w:pPr>
        <w:spacing w:line="360" w:lineRule="auto"/>
        <w:ind w:firstLine="360"/>
        <w:jc w:val="both"/>
        <w:rPr>
          <w:lang w:val="en-US"/>
        </w:rPr>
      </w:pPr>
    </w:p>
    <w:p w14:paraId="1F2D5EF8" w14:textId="77777777" w:rsidR="00DF3AB5" w:rsidRDefault="00DF3AB5" w:rsidP="009B2D1C">
      <w:pPr>
        <w:spacing w:line="360" w:lineRule="auto"/>
        <w:ind w:firstLine="360"/>
        <w:jc w:val="both"/>
        <w:rPr>
          <w:lang w:val="en-US"/>
        </w:rPr>
      </w:pPr>
    </w:p>
    <w:p w14:paraId="2AA11375" w14:textId="77777777" w:rsidR="00DF3AB5" w:rsidRPr="0043561A" w:rsidRDefault="00DF3AB5" w:rsidP="009B2D1C">
      <w:pPr>
        <w:spacing w:line="360" w:lineRule="auto"/>
        <w:ind w:firstLine="360"/>
        <w:jc w:val="both"/>
        <w:rPr>
          <w:lang w:val="en-US"/>
        </w:rPr>
      </w:pPr>
    </w:p>
    <w:p w14:paraId="13D1767B" w14:textId="77777777" w:rsidR="00952488" w:rsidRPr="000A1F20" w:rsidRDefault="00617487" w:rsidP="000A1F20">
      <w:pPr>
        <w:pStyle w:val="Heading1"/>
      </w:pPr>
      <w:bookmarkStart w:id="21" w:name="_Toc432114513"/>
      <w:r w:rsidRPr="000A1F20">
        <w:t>The absolute Gini index</w:t>
      </w:r>
      <w:bookmarkEnd w:id="21"/>
    </w:p>
    <w:p w14:paraId="65BAFB36" w14:textId="77777777" w:rsidR="004573A4" w:rsidRDefault="004573A4" w:rsidP="004573A4">
      <w:pPr>
        <w:rPr>
          <w:lang w:eastAsia="ja-JP"/>
        </w:rPr>
      </w:pPr>
    </w:p>
    <w:p w14:paraId="51443F1A" w14:textId="77777777" w:rsidR="00B70783" w:rsidRDefault="00B70783" w:rsidP="00B70783">
      <w:pPr>
        <w:pStyle w:val="Heading2"/>
        <w:numPr>
          <w:ilvl w:val="1"/>
          <w:numId w:val="33"/>
        </w:numPr>
        <w:rPr>
          <w:rFonts w:cs="Calibri"/>
          <w:sz w:val="24"/>
          <w:szCs w:val="24"/>
          <w:lang w:val="en-US" w:eastAsia="ja-JP"/>
        </w:rPr>
      </w:pPr>
      <w:bookmarkStart w:id="22" w:name="_Toc432114514"/>
      <w:r>
        <w:rPr>
          <w:rFonts w:cs="Calibri"/>
          <w:sz w:val="24"/>
          <w:szCs w:val="24"/>
          <w:lang w:val="en-US" w:eastAsia="ja-JP"/>
        </w:rPr>
        <w:t>Decomposition of the AG with individual BMI</w:t>
      </w:r>
      <w:bookmarkEnd w:id="22"/>
    </w:p>
    <w:p w14:paraId="4235A548" w14:textId="77777777" w:rsidR="00B70783" w:rsidRPr="00B70783" w:rsidRDefault="00B70783" w:rsidP="004573A4">
      <w:pPr>
        <w:rPr>
          <w:lang w:val="en-US" w:eastAsia="ja-JP"/>
        </w:rPr>
      </w:pPr>
    </w:p>
    <w:p w14:paraId="0F5C8744" w14:textId="00D4B31C" w:rsidR="007C1DB3" w:rsidRDefault="00154C53" w:rsidP="00C328A0">
      <w:pPr>
        <w:spacing w:line="360" w:lineRule="auto"/>
        <w:ind w:firstLine="360"/>
        <w:jc w:val="both"/>
        <w:rPr>
          <w:lang w:val="en-US"/>
        </w:rPr>
      </w:pPr>
      <w:r>
        <w:rPr>
          <w:lang w:val="en-US"/>
        </w:rPr>
        <w:t>This section digs deeper into the evol</w:t>
      </w:r>
      <w:r w:rsidR="00662B0B">
        <w:rPr>
          <w:lang w:val="en-US"/>
        </w:rPr>
        <w:t>ution of the BMI distribution by</w:t>
      </w:r>
      <w:r>
        <w:rPr>
          <w:lang w:val="en-US"/>
        </w:rPr>
        <w:t xml:space="preserve"> focusing on the decomposition of the AG into the initial </w:t>
      </w:r>
      <w:r>
        <w:rPr>
          <w:lang w:val="en-US"/>
        </w:rPr>
        <w:lastRenderedPageBreak/>
        <w:t xml:space="preserve">change of BMI and the so-called re-ranking. </w:t>
      </w:r>
      <w:r w:rsidR="005E36A2">
        <w:rPr>
          <w:lang w:val="en-US"/>
        </w:rPr>
        <w:t>T</w:t>
      </w:r>
      <w:r w:rsidR="00C55625" w:rsidRPr="008904A0">
        <w:rPr>
          <w:lang w:val="en-US"/>
        </w:rPr>
        <w:t>able</w:t>
      </w:r>
      <w:r w:rsidR="00F66EFB">
        <w:rPr>
          <w:lang w:val="en-US"/>
        </w:rPr>
        <w:t xml:space="preserve"> </w:t>
      </w:r>
      <w:r w:rsidR="00BB479C">
        <w:rPr>
          <w:lang w:val="en-US"/>
        </w:rPr>
        <w:t>5</w:t>
      </w:r>
      <w:r w:rsidR="005E36A2">
        <w:rPr>
          <w:lang w:val="en-US"/>
        </w:rPr>
        <w:t xml:space="preserve"> depicted</w:t>
      </w:r>
      <w:r w:rsidR="00C55625" w:rsidRPr="008904A0">
        <w:rPr>
          <w:lang w:val="en-US"/>
        </w:rPr>
        <w:t xml:space="preserve"> below shows in the first column the absolute inequality change for the absolute Gini indices. Looking at the raw differences the numbers indicate that absolute inequality in BMI has increased between 2004 and 2010 for all countries, except Spain where the change is almost zero. The rise in inequality between the periods ranges from approximately 0.1 for Austria and Italy, to 0.19 for The Netherlands. A much more interesting pictur</w:t>
      </w:r>
      <w:r w:rsidR="00E464E7" w:rsidRPr="008904A0">
        <w:rPr>
          <w:lang w:val="en-US"/>
        </w:rPr>
        <w:t xml:space="preserve">e arises when these inequality </w:t>
      </w:r>
      <w:r w:rsidR="00C55625" w:rsidRPr="008904A0">
        <w:rPr>
          <w:lang w:val="en-US"/>
        </w:rPr>
        <w:t>results are decomposed into the extent to which BMI changes are related to initial BMI and the re-ranking component, of which the results are shown in the second and third column of the table below. The changes in 2010 related to initial BMI levels in 2004 have negatively contributed to the evolu</w:t>
      </w:r>
      <w:r w:rsidR="000D3F43" w:rsidRPr="008904A0">
        <w:rPr>
          <w:lang w:val="en-US"/>
        </w:rPr>
        <w:t xml:space="preserve">tion of the absolute Gini index, </w:t>
      </w:r>
      <w:r w:rsidR="00C55625" w:rsidRPr="008904A0">
        <w:rPr>
          <w:lang w:val="en-US"/>
        </w:rPr>
        <w:t>while BMI re-ranki</w:t>
      </w:r>
      <w:r w:rsidR="000D3F43" w:rsidRPr="008904A0">
        <w:rPr>
          <w:lang w:val="en-US"/>
        </w:rPr>
        <w:t>ng was contributing positively. Also these contributions appear to be very strong relative to the observed</w:t>
      </w:r>
      <w:r w:rsidR="00974E78">
        <w:rPr>
          <w:lang w:val="en-US"/>
        </w:rPr>
        <w:t xml:space="preserve"> absolute</w:t>
      </w:r>
      <w:r w:rsidR="000D3F43" w:rsidRPr="008904A0">
        <w:rPr>
          <w:lang w:val="en-US"/>
        </w:rPr>
        <w:t xml:space="preserve"> inequality change depicted in the first column. </w:t>
      </w:r>
    </w:p>
    <w:p w14:paraId="273868D2" w14:textId="764E7B6D" w:rsidR="00F66EFB" w:rsidRDefault="00F66EFB" w:rsidP="0043561A">
      <w:pPr>
        <w:spacing w:line="360" w:lineRule="auto"/>
        <w:jc w:val="both"/>
        <w:rPr>
          <w:b/>
          <w:lang w:val="en-US"/>
        </w:rPr>
      </w:pPr>
      <w:r w:rsidRPr="00F66EFB">
        <w:rPr>
          <w:b/>
          <w:lang w:val="en-US"/>
        </w:rPr>
        <w:lastRenderedPageBreak/>
        <w:t xml:space="preserve">Table </w:t>
      </w:r>
      <w:r w:rsidR="002E3723">
        <w:rPr>
          <w:b/>
          <w:lang w:val="en-US"/>
        </w:rPr>
        <w:t>5</w:t>
      </w:r>
      <w:r w:rsidRPr="00F66EFB">
        <w:rPr>
          <w:b/>
          <w:lang w:val="en-US"/>
        </w:rPr>
        <w:t>: inequality change for the absolute Gini indices</w:t>
      </w:r>
    </w:p>
    <w:tbl>
      <w:tblPr>
        <w:tblW w:w="5000" w:type="pct"/>
        <w:tblLook w:val="04A0" w:firstRow="1" w:lastRow="0" w:firstColumn="1" w:lastColumn="0" w:noHBand="0" w:noVBand="1"/>
      </w:tblPr>
      <w:tblGrid>
        <w:gridCol w:w="1294"/>
        <w:gridCol w:w="3092"/>
        <w:gridCol w:w="2940"/>
        <w:gridCol w:w="1736"/>
      </w:tblGrid>
      <w:tr w:rsidR="007A56B6" w:rsidRPr="00003CB0" w14:paraId="112AD20F" w14:textId="77777777" w:rsidTr="007A56B6">
        <w:trPr>
          <w:trHeight w:val="300"/>
        </w:trPr>
        <w:tc>
          <w:tcPr>
            <w:tcW w:w="5000" w:type="pct"/>
            <w:gridSpan w:val="4"/>
            <w:tcBorders>
              <w:top w:val="single" w:sz="4" w:space="0" w:color="auto"/>
              <w:left w:val="single" w:sz="4" w:space="0" w:color="auto"/>
              <w:bottom w:val="single" w:sz="4" w:space="0" w:color="auto"/>
              <w:right w:val="single" w:sz="4" w:space="0" w:color="auto"/>
            </w:tcBorders>
            <w:shd w:val="clear" w:color="000000" w:fill="D0CECE"/>
            <w:noWrap/>
            <w:vAlign w:val="center"/>
            <w:hideMark/>
          </w:tcPr>
          <w:p w14:paraId="3A19F723" w14:textId="77777777" w:rsidR="007A56B6" w:rsidRPr="007A56B6" w:rsidRDefault="007A56B6" w:rsidP="007A56B6">
            <w:pPr>
              <w:spacing w:after="0" w:line="240" w:lineRule="auto"/>
              <w:jc w:val="center"/>
              <w:rPr>
                <w:rFonts w:eastAsia="Times New Roman"/>
                <w:b/>
                <w:bCs/>
                <w:color w:val="000000"/>
                <w:lang w:val="en-US"/>
              </w:rPr>
            </w:pPr>
            <w:r w:rsidRPr="007A56B6">
              <w:rPr>
                <w:rFonts w:eastAsia="Times New Roman"/>
                <w:b/>
                <w:bCs/>
                <w:color w:val="000000"/>
                <w:lang w:val="en-US"/>
              </w:rPr>
              <w:t>Absolute Gini: Inequality change due to BMI and re-ranking</w:t>
            </w:r>
          </w:p>
        </w:tc>
      </w:tr>
      <w:tr w:rsidR="007A56B6" w:rsidRPr="000C440D" w14:paraId="65E4DD56" w14:textId="77777777" w:rsidTr="007A56B6">
        <w:trPr>
          <w:trHeight w:val="300"/>
        </w:trPr>
        <w:tc>
          <w:tcPr>
            <w:tcW w:w="714" w:type="pct"/>
            <w:tcBorders>
              <w:top w:val="nil"/>
              <w:left w:val="single" w:sz="4" w:space="0" w:color="auto"/>
              <w:bottom w:val="single" w:sz="4" w:space="0" w:color="auto"/>
              <w:right w:val="single" w:sz="4" w:space="0" w:color="auto"/>
            </w:tcBorders>
            <w:shd w:val="clear" w:color="000000" w:fill="BFBFBF"/>
            <w:noWrap/>
            <w:vAlign w:val="bottom"/>
            <w:hideMark/>
          </w:tcPr>
          <w:p w14:paraId="32C942D8" w14:textId="77777777" w:rsidR="007A56B6" w:rsidRPr="007A56B6" w:rsidRDefault="007A56B6" w:rsidP="007A56B6">
            <w:pPr>
              <w:spacing w:after="0" w:line="240" w:lineRule="auto"/>
              <w:rPr>
                <w:rFonts w:eastAsia="Times New Roman"/>
                <w:b/>
                <w:bCs/>
                <w:color w:val="000000"/>
                <w:lang w:val="en-US"/>
              </w:rPr>
            </w:pPr>
            <w:r w:rsidRPr="007A56B6">
              <w:rPr>
                <w:rFonts w:eastAsia="Times New Roman"/>
                <w:b/>
                <w:bCs/>
                <w:color w:val="000000"/>
                <w:lang w:val="en-US"/>
              </w:rPr>
              <w:t>Country</w:t>
            </w:r>
          </w:p>
        </w:tc>
        <w:tc>
          <w:tcPr>
            <w:tcW w:w="1706" w:type="pct"/>
            <w:tcBorders>
              <w:top w:val="nil"/>
              <w:left w:val="nil"/>
              <w:bottom w:val="single" w:sz="4" w:space="0" w:color="auto"/>
              <w:right w:val="single" w:sz="4" w:space="0" w:color="auto"/>
            </w:tcBorders>
            <w:shd w:val="clear" w:color="000000" w:fill="BFBFBF"/>
            <w:noWrap/>
            <w:vAlign w:val="bottom"/>
            <w:hideMark/>
          </w:tcPr>
          <w:p w14:paraId="6E16378D" w14:textId="77777777" w:rsidR="007A56B6" w:rsidRPr="007A56B6" w:rsidRDefault="007A56B6" w:rsidP="007A56B6">
            <w:pPr>
              <w:spacing w:after="0" w:line="240" w:lineRule="auto"/>
              <w:rPr>
                <w:rFonts w:eastAsia="Times New Roman"/>
                <w:b/>
                <w:bCs/>
                <w:color w:val="000000"/>
                <w:lang w:val="en-US"/>
              </w:rPr>
            </w:pPr>
            <w:r w:rsidRPr="007A56B6">
              <w:rPr>
                <w:rFonts w:eastAsia="Times New Roman"/>
                <w:b/>
                <w:bCs/>
                <w:color w:val="000000"/>
                <w:lang w:val="en-US"/>
              </w:rPr>
              <w:t>Absolute Inequality</w:t>
            </w:r>
          </w:p>
        </w:tc>
        <w:tc>
          <w:tcPr>
            <w:tcW w:w="1622" w:type="pct"/>
            <w:tcBorders>
              <w:top w:val="nil"/>
              <w:left w:val="nil"/>
              <w:bottom w:val="single" w:sz="4" w:space="0" w:color="auto"/>
              <w:right w:val="single" w:sz="4" w:space="0" w:color="auto"/>
            </w:tcBorders>
            <w:shd w:val="clear" w:color="000000" w:fill="BFBFBF"/>
            <w:vAlign w:val="bottom"/>
            <w:hideMark/>
          </w:tcPr>
          <w:p w14:paraId="655E0951" w14:textId="77777777" w:rsidR="007A56B6" w:rsidRPr="007A56B6" w:rsidRDefault="007A56B6" w:rsidP="007A56B6">
            <w:pPr>
              <w:spacing w:after="0" w:line="240" w:lineRule="auto"/>
              <w:jc w:val="center"/>
              <w:rPr>
                <w:rFonts w:eastAsia="Times New Roman"/>
                <w:b/>
                <w:bCs/>
                <w:color w:val="000000"/>
                <w:lang w:val="en-US"/>
              </w:rPr>
            </w:pPr>
            <w:r w:rsidRPr="007A56B6">
              <w:rPr>
                <w:rFonts w:eastAsia="Times New Roman"/>
                <w:b/>
                <w:bCs/>
                <w:color w:val="000000"/>
                <w:lang w:val="en-US"/>
              </w:rPr>
              <w:t>Changes initial BMI</w:t>
            </w:r>
          </w:p>
        </w:tc>
        <w:tc>
          <w:tcPr>
            <w:tcW w:w="957" w:type="pct"/>
            <w:tcBorders>
              <w:top w:val="nil"/>
              <w:left w:val="nil"/>
              <w:bottom w:val="single" w:sz="4" w:space="0" w:color="auto"/>
              <w:right w:val="single" w:sz="4" w:space="0" w:color="auto"/>
            </w:tcBorders>
            <w:shd w:val="clear" w:color="000000" w:fill="BFBFBF"/>
            <w:noWrap/>
            <w:vAlign w:val="bottom"/>
            <w:hideMark/>
          </w:tcPr>
          <w:p w14:paraId="6398543F" w14:textId="77777777" w:rsidR="007A56B6" w:rsidRPr="007A56B6" w:rsidRDefault="007A56B6" w:rsidP="007A56B6">
            <w:pPr>
              <w:spacing w:after="0" w:line="240" w:lineRule="auto"/>
              <w:rPr>
                <w:rFonts w:eastAsia="Times New Roman"/>
                <w:b/>
                <w:bCs/>
                <w:color w:val="000000"/>
                <w:lang w:val="en-US"/>
              </w:rPr>
            </w:pPr>
            <w:r w:rsidRPr="007A56B6">
              <w:rPr>
                <w:rFonts w:eastAsia="Times New Roman"/>
                <w:b/>
                <w:bCs/>
                <w:color w:val="000000"/>
                <w:lang w:val="en-US"/>
              </w:rPr>
              <w:t>Re-ranking</w:t>
            </w:r>
          </w:p>
        </w:tc>
      </w:tr>
      <w:tr w:rsidR="007A56B6" w:rsidRPr="000C440D" w14:paraId="1C50E5F5" w14:textId="77777777" w:rsidTr="007A56B6">
        <w:trPr>
          <w:trHeight w:val="300"/>
        </w:trPr>
        <w:tc>
          <w:tcPr>
            <w:tcW w:w="714" w:type="pct"/>
            <w:tcBorders>
              <w:top w:val="nil"/>
              <w:left w:val="single" w:sz="4" w:space="0" w:color="auto"/>
              <w:bottom w:val="single" w:sz="4" w:space="0" w:color="auto"/>
              <w:right w:val="single" w:sz="4" w:space="0" w:color="auto"/>
            </w:tcBorders>
            <w:shd w:val="clear" w:color="000000" w:fill="DDEBF7"/>
            <w:noWrap/>
            <w:vAlign w:val="center"/>
            <w:hideMark/>
          </w:tcPr>
          <w:p w14:paraId="180C0E07"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AT</w:t>
            </w:r>
          </w:p>
        </w:tc>
        <w:tc>
          <w:tcPr>
            <w:tcW w:w="1706" w:type="pct"/>
            <w:tcBorders>
              <w:top w:val="nil"/>
              <w:left w:val="nil"/>
              <w:bottom w:val="single" w:sz="4" w:space="0" w:color="auto"/>
              <w:right w:val="single" w:sz="4" w:space="0" w:color="auto"/>
            </w:tcBorders>
            <w:shd w:val="clear" w:color="auto" w:fill="auto"/>
            <w:noWrap/>
            <w:hideMark/>
          </w:tcPr>
          <w:p w14:paraId="2182D798"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0.091</w:t>
            </w:r>
          </w:p>
        </w:tc>
        <w:tc>
          <w:tcPr>
            <w:tcW w:w="1622" w:type="pct"/>
            <w:tcBorders>
              <w:top w:val="nil"/>
              <w:left w:val="nil"/>
              <w:bottom w:val="single" w:sz="4" w:space="0" w:color="auto"/>
              <w:right w:val="single" w:sz="4" w:space="0" w:color="auto"/>
            </w:tcBorders>
            <w:shd w:val="clear" w:color="auto" w:fill="auto"/>
            <w:noWrap/>
            <w:hideMark/>
          </w:tcPr>
          <w:p w14:paraId="3395ACC6"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-0.298</w:t>
            </w:r>
          </w:p>
        </w:tc>
        <w:tc>
          <w:tcPr>
            <w:tcW w:w="957" w:type="pct"/>
            <w:tcBorders>
              <w:top w:val="nil"/>
              <w:left w:val="nil"/>
              <w:bottom w:val="single" w:sz="4" w:space="0" w:color="auto"/>
              <w:right w:val="single" w:sz="4" w:space="0" w:color="auto"/>
            </w:tcBorders>
            <w:shd w:val="clear" w:color="auto" w:fill="auto"/>
            <w:noWrap/>
            <w:hideMark/>
          </w:tcPr>
          <w:p w14:paraId="1011F782"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0.389</w:t>
            </w:r>
          </w:p>
        </w:tc>
      </w:tr>
      <w:tr w:rsidR="007A56B6" w:rsidRPr="000C440D" w14:paraId="68436F52" w14:textId="77777777" w:rsidTr="007A56B6">
        <w:trPr>
          <w:trHeight w:val="300"/>
        </w:trPr>
        <w:tc>
          <w:tcPr>
            <w:tcW w:w="714" w:type="pct"/>
            <w:tcBorders>
              <w:top w:val="nil"/>
              <w:left w:val="single" w:sz="4" w:space="0" w:color="auto"/>
              <w:bottom w:val="single" w:sz="4" w:space="0" w:color="auto"/>
              <w:right w:val="single" w:sz="4" w:space="0" w:color="auto"/>
            </w:tcBorders>
            <w:shd w:val="clear" w:color="000000" w:fill="DDEBF7"/>
            <w:noWrap/>
            <w:vAlign w:val="center"/>
            <w:hideMark/>
          </w:tcPr>
          <w:p w14:paraId="6692B687"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DE</w:t>
            </w:r>
          </w:p>
        </w:tc>
        <w:tc>
          <w:tcPr>
            <w:tcW w:w="1706" w:type="pct"/>
            <w:tcBorders>
              <w:top w:val="nil"/>
              <w:left w:val="nil"/>
              <w:bottom w:val="single" w:sz="4" w:space="0" w:color="auto"/>
              <w:right w:val="single" w:sz="4" w:space="0" w:color="auto"/>
            </w:tcBorders>
            <w:shd w:val="clear" w:color="auto" w:fill="auto"/>
            <w:noWrap/>
            <w:hideMark/>
          </w:tcPr>
          <w:p w14:paraId="257140AC"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0.154</w:t>
            </w:r>
          </w:p>
        </w:tc>
        <w:tc>
          <w:tcPr>
            <w:tcW w:w="1622" w:type="pct"/>
            <w:tcBorders>
              <w:top w:val="nil"/>
              <w:left w:val="nil"/>
              <w:bottom w:val="single" w:sz="4" w:space="0" w:color="auto"/>
              <w:right w:val="single" w:sz="4" w:space="0" w:color="auto"/>
            </w:tcBorders>
            <w:shd w:val="clear" w:color="auto" w:fill="auto"/>
            <w:noWrap/>
            <w:vAlign w:val="bottom"/>
            <w:hideMark/>
          </w:tcPr>
          <w:p w14:paraId="04CAC1FB"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-0.201</w:t>
            </w:r>
          </w:p>
        </w:tc>
        <w:tc>
          <w:tcPr>
            <w:tcW w:w="957" w:type="pct"/>
            <w:tcBorders>
              <w:top w:val="nil"/>
              <w:left w:val="nil"/>
              <w:bottom w:val="single" w:sz="4" w:space="0" w:color="auto"/>
              <w:right w:val="single" w:sz="4" w:space="0" w:color="auto"/>
            </w:tcBorders>
            <w:shd w:val="clear" w:color="auto" w:fill="auto"/>
            <w:noWrap/>
            <w:vAlign w:val="bottom"/>
            <w:hideMark/>
          </w:tcPr>
          <w:p w14:paraId="71807633"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0.355</w:t>
            </w:r>
          </w:p>
        </w:tc>
      </w:tr>
      <w:tr w:rsidR="007A56B6" w:rsidRPr="000C440D" w14:paraId="6B0E7323" w14:textId="77777777" w:rsidTr="007A56B6">
        <w:trPr>
          <w:trHeight w:val="300"/>
        </w:trPr>
        <w:tc>
          <w:tcPr>
            <w:tcW w:w="714" w:type="pct"/>
            <w:tcBorders>
              <w:top w:val="nil"/>
              <w:left w:val="single" w:sz="4" w:space="0" w:color="auto"/>
              <w:bottom w:val="single" w:sz="4" w:space="0" w:color="auto"/>
              <w:right w:val="single" w:sz="4" w:space="0" w:color="auto"/>
            </w:tcBorders>
            <w:shd w:val="clear" w:color="000000" w:fill="DDEBF7"/>
            <w:noWrap/>
            <w:vAlign w:val="center"/>
            <w:hideMark/>
          </w:tcPr>
          <w:p w14:paraId="7E129319"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SE</w:t>
            </w:r>
          </w:p>
        </w:tc>
        <w:tc>
          <w:tcPr>
            <w:tcW w:w="1706" w:type="pct"/>
            <w:tcBorders>
              <w:top w:val="nil"/>
              <w:left w:val="nil"/>
              <w:bottom w:val="single" w:sz="4" w:space="0" w:color="auto"/>
              <w:right w:val="single" w:sz="4" w:space="0" w:color="auto"/>
            </w:tcBorders>
            <w:shd w:val="clear" w:color="auto" w:fill="auto"/>
            <w:noWrap/>
            <w:hideMark/>
          </w:tcPr>
          <w:p w14:paraId="29A21F05"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0.162</w:t>
            </w:r>
          </w:p>
        </w:tc>
        <w:tc>
          <w:tcPr>
            <w:tcW w:w="1622" w:type="pct"/>
            <w:tcBorders>
              <w:top w:val="nil"/>
              <w:left w:val="nil"/>
              <w:bottom w:val="single" w:sz="4" w:space="0" w:color="auto"/>
              <w:right w:val="single" w:sz="4" w:space="0" w:color="auto"/>
            </w:tcBorders>
            <w:shd w:val="clear" w:color="auto" w:fill="auto"/>
            <w:noWrap/>
            <w:vAlign w:val="bottom"/>
            <w:hideMark/>
          </w:tcPr>
          <w:p w14:paraId="4B8CBCE3"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-0.059</w:t>
            </w:r>
          </w:p>
        </w:tc>
        <w:tc>
          <w:tcPr>
            <w:tcW w:w="957" w:type="pct"/>
            <w:tcBorders>
              <w:top w:val="nil"/>
              <w:left w:val="nil"/>
              <w:bottom w:val="single" w:sz="4" w:space="0" w:color="auto"/>
              <w:right w:val="single" w:sz="4" w:space="0" w:color="auto"/>
            </w:tcBorders>
            <w:shd w:val="clear" w:color="auto" w:fill="auto"/>
            <w:noWrap/>
            <w:vAlign w:val="bottom"/>
            <w:hideMark/>
          </w:tcPr>
          <w:p w14:paraId="71372189"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0.222</w:t>
            </w:r>
          </w:p>
        </w:tc>
      </w:tr>
      <w:tr w:rsidR="007A56B6" w:rsidRPr="000C440D" w14:paraId="788CDF5C" w14:textId="77777777" w:rsidTr="007A56B6">
        <w:trPr>
          <w:trHeight w:val="300"/>
        </w:trPr>
        <w:tc>
          <w:tcPr>
            <w:tcW w:w="714" w:type="pct"/>
            <w:tcBorders>
              <w:top w:val="nil"/>
              <w:left w:val="single" w:sz="4" w:space="0" w:color="auto"/>
              <w:bottom w:val="single" w:sz="4" w:space="0" w:color="auto"/>
              <w:right w:val="single" w:sz="4" w:space="0" w:color="auto"/>
            </w:tcBorders>
            <w:shd w:val="clear" w:color="000000" w:fill="DDEBF7"/>
            <w:noWrap/>
            <w:vAlign w:val="center"/>
            <w:hideMark/>
          </w:tcPr>
          <w:p w14:paraId="2463F4FC"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NL</w:t>
            </w:r>
          </w:p>
        </w:tc>
        <w:tc>
          <w:tcPr>
            <w:tcW w:w="1706" w:type="pct"/>
            <w:tcBorders>
              <w:top w:val="nil"/>
              <w:left w:val="nil"/>
              <w:bottom w:val="single" w:sz="4" w:space="0" w:color="auto"/>
              <w:right w:val="single" w:sz="4" w:space="0" w:color="auto"/>
            </w:tcBorders>
            <w:shd w:val="clear" w:color="auto" w:fill="auto"/>
            <w:noWrap/>
            <w:hideMark/>
          </w:tcPr>
          <w:p w14:paraId="29BA3759"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0.189</w:t>
            </w:r>
          </w:p>
        </w:tc>
        <w:tc>
          <w:tcPr>
            <w:tcW w:w="1622" w:type="pct"/>
            <w:tcBorders>
              <w:top w:val="nil"/>
              <w:left w:val="nil"/>
              <w:bottom w:val="single" w:sz="4" w:space="0" w:color="auto"/>
              <w:right w:val="single" w:sz="4" w:space="0" w:color="auto"/>
            </w:tcBorders>
            <w:shd w:val="clear" w:color="auto" w:fill="auto"/>
            <w:noWrap/>
            <w:vAlign w:val="bottom"/>
            <w:hideMark/>
          </w:tcPr>
          <w:p w14:paraId="67EA15F7"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-0.090</w:t>
            </w:r>
          </w:p>
        </w:tc>
        <w:tc>
          <w:tcPr>
            <w:tcW w:w="957" w:type="pct"/>
            <w:tcBorders>
              <w:top w:val="nil"/>
              <w:left w:val="nil"/>
              <w:bottom w:val="single" w:sz="4" w:space="0" w:color="auto"/>
              <w:right w:val="single" w:sz="4" w:space="0" w:color="auto"/>
            </w:tcBorders>
            <w:shd w:val="clear" w:color="auto" w:fill="auto"/>
            <w:noWrap/>
            <w:vAlign w:val="bottom"/>
            <w:hideMark/>
          </w:tcPr>
          <w:p w14:paraId="1A598D42"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0.280</w:t>
            </w:r>
          </w:p>
        </w:tc>
      </w:tr>
      <w:tr w:rsidR="007A56B6" w:rsidRPr="000C440D" w14:paraId="4E7072FB" w14:textId="77777777" w:rsidTr="007A56B6">
        <w:trPr>
          <w:trHeight w:val="300"/>
        </w:trPr>
        <w:tc>
          <w:tcPr>
            <w:tcW w:w="714" w:type="pct"/>
            <w:tcBorders>
              <w:top w:val="nil"/>
              <w:left w:val="single" w:sz="4" w:space="0" w:color="auto"/>
              <w:bottom w:val="single" w:sz="4" w:space="0" w:color="auto"/>
              <w:right w:val="single" w:sz="4" w:space="0" w:color="auto"/>
            </w:tcBorders>
            <w:shd w:val="clear" w:color="000000" w:fill="DDEBF7"/>
            <w:noWrap/>
            <w:vAlign w:val="center"/>
            <w:hideMark/>
          </w:tcPr>
          <w:p w14:paraId="4F61CA13"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ES</w:t>
            </w:r>
          </w:p>
        </w:tc>
        <w:tc>
          <w:tcPr>
            <w:tcW w:w="1706" w:type="pct"/>
            <w:tcBorders>
              <w:top w:val="nil"/>
              <w:left w:val="nil"/>
              <w:bottom w:val="single" w:sz="4" w:space="0" w:color="auto"/>
              <w:right w:val="single" w:sz="4" w:space="0" w:color="auto"/>
            </w:tcBorders>
            <w:shd w:val="clear" w:color="auto" w:fill="auto"/>
            <w:noWrap/>
            <w:hideMark/>
          </w:tcPr>
          <w:p w14:paraId="75922C44"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-0.001</w:t>
            </w:r>
          </w:p>
        </w:tc>
        <w:tc>
          <w:tcPr>
            <w:tcW w:w="1622" w:type="pct"/>
            <w:tcBorders>
              <w:top w:val="nil"/>
              <w:left w:val="nil"/>
              <w:bottom w:val="single" w:sz="4" w:space="0" w:color="auto"/>
              <w:right w:val="single" w:sz="4" w:space="0" w:color="auto"/>
            </w:tcBorders>
            <w:shd w:val="clear" w:color="auto" w:fill="auto"/>
            <w:noWrap/>
            <w:vAlign w:val="bottom"/>
            <w:hideMark/>
          </w:tcPr>
          <w:p w14:paraId="03B92617"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-0.530</w:t>
            </w:r>
          </w:p>
        </w:tc>
        <w:tc>
          <w:tcPr>
            <w:tcW w:w="957" w:type="pct"/>
            <w:tcBorders>
              <w:top w:val="nil"/>
              <w:left w:val="nil"/>
              <w:bottom w:val="single" w:sz="4" w:space="0" w:color="auto"/>
              <w:right w:val="single" w:sz="4" w:space="0" w:color="auto"/>
            </w:tcBorders>
            <w:shd w:val="clear" w:color="auto" w:fill="auto"/>
            <w:noWrap/>
            <w:vAlign w:val="bottom"/>
            <w:hideMark/>
          </w:tcPr>
          <w:p w14:paraId="70F6FDB8"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0.530</w:t>
            </w:r>
          </w:p>
        </w:tc>
      </w:tr>
      <w:tr w:rsidR="007A56B6" w:rsidRPr="000C440D" w14:paraId="47ABAB2C" w14:textId="77777777" w:rsidTr="007A56B6">
        <w:trPr>
          <w:trHeight w:val="300"/>
        </w:trPr>
        <w:tc>
          <w:tcPr>
            <w:tcW w:w="714" w:type="pct"/>
            <w:tcBorders>
              <w:top w:val="nil"/>
              <w:left w:val="single" w:sz="4" w:space="0" w:color="auto"/>
              <w:bottom w:val="single" w:sz="4" w:space="0" w:color="auto"/>
              <w:right w:val="single" w:sz="4" w:space="0" w:color="auto"/>
            </w:tcBorders>
            <w:shd w:val="clear" w:color="000000" w:fill="DDEBF7"/>
            <w:noWrap/>
            <w:vAlign w:val="center"/>
            <w:hideMark/>
          </w:tcPr>
          <w:p w14:paraId="4AF7D9D4"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IT</w:t>
            </w:r>
          </w:p>
        </w:tc>
        <w:tc>
          <w:tcPr>
            <w:tcW w:w="1706" w:type="pct"/>
            <w:tcBorders>
              <w:top w:val="nil"/>
              <w:left w:val="nil"/>
              <w:bottom w:val="single" w:sz="4" w:space="0" w:color="auto"/>
              <w:right w:val="single" w:sz="4" w:space="0" w:color="auto"/>
            </w:tcBorders>
            <w:shd w:val="clear" w:color="auto" w:fill="auto"/>
            <w:noWrap/>
            <w:hideMark/>
          </w:tcPr>
          <w:p w14:paraId="216C8145"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0.101</w:t>
            </w:r>
          </w:p>
        </w:tc>
        <w:tc>
          <w:tcPr>
            <w:tcW w:w="1622" w:type="pct"/>
            <w:tcBorders>
              <w:top w:val="nil"/>
              <w:left w:val="nil"/>
              <w:bottom w:val="single" w:sz="4" w:space="0" w:color="auto"/>
              <w:right w:val="single" w:sz="4" w:space="0" w:color="auto"/>
            </w:tcBorders>
            <w:shd w:val="clear" w:color="auto" w:fill="auto"/>
            <w:noWrap/>
            <w:vAlign w:val="bottom"/>
            <w:hideMark/>
          </w:tcPr>
          <w:p w14:paraId="5AA7F314"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-0.352</w:t>
            </w:r>
          </w:p>
        </w:tc>
        <w:tc>
          <w:tcPr>
            <w:tcW w:w="957" w:type="pct"/>
            <w:tcBorders>
              <w:top w:val="nil"/>
              <w:left w:val="nil"/>
              <w:bottom w:val="single" w:sz="4" w:space="0" w:color="auto"/>
              <w:right w:val="single" w:sz="4" w:space="0" w:color="auto"/>
            </w:tcBorders>
            <w:shd w:val="clear" w:color="auto" w:fill="auto"/>
            <w:noWrap/>
            <w:vAlign w:val="bottom"/>
            <w:hideMark/>
          </w:tcPr>
          <w:p w14:paraId="78253D40"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0.453</w:t>
            </w:r>
          </w:p>
        </w:tc>
      </w:tr>
      <w:tr w:rsidR="007A56B6" w:rsidRPr="000C440D" w14:paraId="50BBCE34" w14:textId="77777777" w:rsidTr="007A56B6">
        <w:trPr>
          <w:trHeight w:val="300"/>
        </w:trPr>
        <w:tc>
          <w:tcPr>
            <w:tcW w:w="714" w:type="pct"/>
            <w:tcBorders>
              <w:top w:val="nil"/>
              <w:left w:val="single" w:sz="4" w:space="0" w:color="auto"/>
              <w:bottom w:val="single" w:sz="4" w:space="0" w:color="auto"/>
              <w:right w:val="single" w:sz="4" w:space="0" w:color="auto"/>
            </w:tcBorders>
            <w:shd w:val="clear" w:color="000000" w:fill="DDEBF7"/>
            <w:noWrap/>
            <w:vAlign w:val="center"/>
            <w:hideMark/>
          </w:tcPr>
          <w:p w14:paraId="1FD2989E"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FR</w:t>
            </w:r>
          </w:p>
        </w:tc>
        <w:tc>
          <w:tcPr>
            <w:tcW w:w="1706" w:type="pct"/>
            <w:tcBorders>
              <w:top w:val="nil"/>
              <w:left w:val="nil"/>
              <w:bottom w:val="single" w:sz="4" w:space="0" w:color="auto"/>
              <w:right w:val="single" w:sz="4" w:space="0" w:color="auto"/>
            </w:tcBorders>
            <w:shd w:val="clear" w:color="auto" w:fill="auto"/>
            <w:noWrap/>
            <w:hideMark/>
          </w:tcPr>
          <w:p w14:paraId="6D35B2DF"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0.112</w:t>
            </w:r>
          </w:p>
        </w:tc>
        <w:tc>
          <w:tcPr>
            <w:tcW w:w="1622" w:type="pct"/>
            <w:tcBorders>
              <w:top w:val="nil"/>
              <w:left w:val="nil"/>
              <w:bottom w:val="single" w:sz="4" w:space="0" w:color="auto"/>
              <w:right w:val="single" w:sz="4" w:space="0" w:color="auto"/>
            </w:tcBorders>
            <w:shd w:val="clear" w:color="auto" w:fill="auto"/>
            <w:noWrap/>
            <w:vAlign w:val="bottom"/>
            <w:hideMark/>
          </w:tcPr>
          <w:p w14:paraId="401C0E2C"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-0.165</w:t>
            </w:r>
          </w:p>
        </w:tc>
        <w:tc>
          <w:tcPr>
            <w:tcW w:w="957" w:type="pct"/>
            <w:tcBorders>
              <w:top w:val="nil"/>
              <w:left w:val="nil"/>
              <w:bottom w:val="single" w:sz="4" w:space="0" w:color="auto"/>
              <w:right w:val="single" w:sz="4" w:space="0" w:color="auto"/>
            </w:tcBorders>
            <w:shd w:val="clear" w:color="auto" w:fill="auto"/>
            <w:noWrap/>
            <w:vAlign w:val="bottom"/>
            <w:hideMark/>
          </w:tcPr>
          <w:p w14:paraId="0F587CE3"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0.277</w:t>
            </w:r>
          </w:p>
        </w:tc>
      </w:tr>
      <w:tr w:rsidR="007A56B6" w:rsidRPr="000C440D" w14:paraId="1C9D254E" w14:textId="77777777" w:rsidTr="007A56B6">
        <w:trPr>
          <w:trHeight w:val="300"/>
        </w:trPr>
        <w:tc>
          <w:tcPr>
            <w:tcW w:w="714" w:type="pct"/>
            <w:tcBorders>
              <w:top w:val="nil"/>
              <w:left w:val="single" w:sz="4" w:space="0" w:color="auto"/>
              <w:bottom w:val="single" w:sz="4" w:space="0" w:color="auto"/>
              <w:right w:val="single" w:sz="4" w:space="0" w:color="auto"/>
            </w:tcBorders>
            <w:shd w:val="clear" w:color="000000" w:fill="DDEBF7"/>
            <w:noWrap/>
            <w:vAlign w:val="center"/>
            <w:hideMark/>
          </w:tcPr>
          <w:p w14:paraId="4FE29481"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DK</w:t>
            </w:r>
          </w:p>
        </w:tc>
        <w:tc>
          <w:tcPr>
            <w:tcW w:w="1706" w:type="pct"/>
            <w:tcBorders>
              <w:top w:val="nil"/>
              <w:left w:val="nil"/>
              <w:bottom w:val="single" w:sz="4" w:space="0" w:color="auto"/>
              <w:right w:val="single" w:sz="4" w:space="0" w:color="auto"/>
            </w:tcBorders>
            <w:shd w:val="clear" w:color="auto" w:fill="auto"/>
            <w:noWrap/>
            <w:hideMark/>
          </w:tcPr>
          <w:p w14:paraId="4267FD1E"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0.145</w:t>
            </w:r>
          </w:p>
        </w:tc>
        <w:tc>
          <w:tcPr>
            <w:tcW w:w="1622" w:type="pct"/>
            <w:tcBorders>
              <w:top w:val="nil"/>
              <w:left w:val="nil"/>
              <w:bottom w:val="single" w:sz="4" w:space="0" w:color="auto"/>
              <w:right w:val="single" w:sz="4" w:space="0" w:color="auto"/>
            </w:tcBorders>
            <w:shd w:val="clear" w:color="auto" w:fill="auto"/>
            <w:noWrap/>
            <w:vAlign w:val="bottom"/>
            <w:hideMark/>
          </w:tcPr>
          <w:p w14:paraId="2A664316"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-0.113</w:t>
            </w:r>
          </w:p>
        </w:tc>
        <w:tc>
          <w:tcPr>
            <w:tcW w:w="957" w:type="pct"/>
            <w:tcBorders>
              <w:top w:val="nil"/>
              <w:left w:val="nil"/>
              <w:bottom w:val="single" w:sz="4" w:space="0" w:color="auto"/>
              <w:right w:val="single" w:sz="4" w:space="0" w:color="auto"/>
            </w:tcBorders>
            <w:shd w:val="clear" w:color="auto" w:fill="auto"/>
            <w:noWrap/>
            <w:vAlign w:val="bottom"/>
            <w:hideMark/>
          </w:tcPr>
          <w:p w14:paraId="30287F01"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0.258</w:t>
            </w:r>
          </w:p>
        </w:tc>
      </w:tr>
      <w:tr w:rsidR="007A56B6" w:rsidRPr="000C440D" w14:paraId="4D370D9A" w14:textId="77777777" w:rsidTr="007A56B6">
        <w:trPr>
          <w:trHeight w:val="300"/>
        </w:trPr>
        <w:tc>
          <w:tcPr>
            <w:tcW w:w="714" w:type="pct"/>
            <w:tcBorders>
              <w:top w:val="nil"/>
              <w:left w:val="single" w:sz="4" w:space="0" w:color="auto"/>
              <w:bottom w:val="single" w:sz="4" w:space="0" w:color="auto"/>
              <w:right w:val="single" w:sz="4" w:space="0" w:color="auto"/>
            </w:tcBorders>
            <w:shd w:val="clear" w:color="000000" w:fill="DDEBF7"/>
            <w:noWrap/>
            <w:vAlign w:val="center"/>
            <w:hideMark/>
          </w:tcPr>
          <w:p w14:paraId="53ACCFF1"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CH</w:t>
            </w:r>
          </w:p>
        </w:tc>
        <w:tc>
          <w:tcPr>
            <w:tcW w:w="1706" w:type="pct"/>
            <w:tcBorders>
              <w:top w:val="nil"/>
              <w:left w:val="nil"/>
              <w:bottom w:val="single" w:sz="4" w:space="0" w:color="auto"/>
              <w:right w:val="single" w:sz="4" w:space="0" w:color="auto"/>
            </w:tcBorders>
            <w:shd w:val="clear" w:color="auto" w:fill="auto"/>
            <w:noWrap/>
            <w:hideMark/>
          </w:tcPr>
          <w:p w14:paraId="27B229A4"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0.148</w:t>
            </w:r>
          </w:p>
        </w:tc>
        <w:tc>
          <w:tcPr>
            <w:tcW w:w="1622" w:type="pct"/>
            <w:tcBorders>
              <w:top w:val="nil"/>
              <w:left w:val="nil"/>
              <w:bottom w:val="single" w:sz="4" w:space="0" w:color="auto"/>
              <w:right w:val="single" w:sz="4" w:space="0" w:color="auto"/>
            </w:tcBorders>
            <w:shd w:val="clear" w:color="auto" w:fill="auto"/>
            <w:noWrap/>
            <w:vAlign w:val="bottom"/>
            <w:hideMark/>
          </w:tcPr>
          <w:p w14:paraId="78F4514A"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-0.094</w:t>
            </w:r>
          </w:p>
        </w:tc>
        <w:tc>
          <w:tcPr>
            <w:tcW w:w="957" w:type="pct"/>
            <w:tcBorders>
              <w:top w:val="nil"/>
              <w:left w:val="nil"/>
              <w:bottom w:val="single" w:sz="4" w:space="0" w:color="auto"/>
              <w:right w:val="single" w:sz="4" w:space="0" w:color="auto"/>
            </w:tcBorders>
            <w:shd w:val="clear" w:color="auto" w:fill="auto"/>
            <w:noWrap/>
            <w:vAlign w:val="bottom"/>
            <w:hideMark/>
          </w:tcPr>
          <w:p w14:paraId="4FDF867B" w14:textId="77777777" w:rsidR="007A56B6" w:rsidRPr="007A56B6" w:rsidRDefault="007A56B6" w:rsidP="007A56B6">
            <w:pPr>
              <w:spacing w:after="0" w:line="240" w:lineRule="auto"/>
              <w:jc w:val="center"/>
              <w:rPr>
                <w:rFonts w:eastAsia="Times New Roman"/>
                <w:color w:val="000000"/>
                <w:lang w:val="en-US"/>
              </w:rPr>
            </w:pPr>
            <w:r w:rsidRPr="007A56B6">
              <w:rPr>
                <w:rFonts w:eastAsia="Times New Roman"/>
                <w:color w:val="000000"/>
                <w:lang w:val="en-US"/>
              </w:rPr>
              <w:t>0.242</w:t>
            </w:r>
          </w:p>
        </w:tc>
      </w:tr>
    </w:tbl>
    <w:p w14:paraId="54119C85" w14:textId="77777777" w:rsidR="00F66EFB" w:rsidRPr="00F66EFB" w:rsidRDefault="00F66EFB" w:rsidP="0043561A">
      <w:pPr>
        <w:spacing w:line="360" w:lineRule="auto"/>
        <w:jc w:val="both"/>
        <w:rPr>
          <w:b/>
          <w:lang w:val="en-US"/>
        </w:rPr>
      </w:pPr>
    </w:p>
    <w:p w14:paraId="42AE7069" w14:textId="3F323BC9" w:rsidR="00F07D41" w:rsidRDefault="00C55625" w:rsidP="009B2D1C">
      <w:pPr>
        <w:spacing w:line="360" w:lineRule="auto"/>
        <w:ind w:firstLine="360"/>
        <w:jc w:val="both"/>
        <w:rPr>
          <w:lang w:val="en-US"/>
        </w:rPr>
      </w:pPr>
      <w:r w:rsidRPr="008904A0">
        <w:rPr>
          <w:lang w:val="en-US"/>
        </w:rPr>
        <w:t>This</w:t>
      </w:r>
      <w:r w:rsidR="00952488" w:rsidRPr="008904A0">
        <w:rPr>
          <w:lang w:val="en-US"/>
        </w:rPr>
        <w:t xml:space="preserve"> is an interesting finding: Given that</w:t>
      </w:r>
      <w:r w:rsidRPr="008904A0">
        <w:rPr>
          <w:lang w:val="en-US"/>
        </w:rPr>
        <w:t xml:space="preserve"> contribution in the second column</w:t>
      </w:r>
      <w:r w:rsidR="00952488" w:rsidRPr="008904A0">
        <w:rPr>
          <w:lang w:val="en-US"/>
        </w:rPr>
        <w:t xml:space="preserve"> is negative, it can be concluded </w:t>
      </w:r>
      <w:r w:rsidRPr="008904A0">
        <w:rPr>
          <w:lang w:val="en-US"/>
        </w:rPr>
        <w:t>that</w:t>
      </w:r>
      <w:r w:rsidR="00472F52">
        <w:rPr>
          <w:lang w:val="en-US"/>
        </w:rPr>
        <w:t xml:space="preserve"> on average</w:t>
      </w:r>
      <w:r w:rsidRPr="008904A0">
        <w:rPr>
          <w:lang w:val="en-US"/>
        </w:rPr>
        <w:t xml:space="preserve"> </w:t>
      </w:r>
      <w:r w:rsidR="00952488" w:rsidRPr="008904A0">
        <w:rPr>
          <w:lang w:val="en-US"/>
        </w:rPr>
        <w:t>people who were in the lower tale</w:t>
      </w:r>
      <w:r w:rsidR="00974E78">
        <w:rPr>
          <w:lang w:val="en-US"/>
        </w:rPr>
        <w:t>s</w:t>
      </w:r>
      <w:r w:rsidR="00952488" w:rsidRPr="008904A0">
        <w:rPr>
          <w:lang w:val="en-US"/>
        </w:rPr>
        <w:t xml:space="preserve"> of </w:t>
      </w:r>
      <w:r w:rsidR="00974E78">
        <w:rPr>
          <w:lang w:val="en-US"/>
        </w:rPr>
        <w:t xml:space="preserve">the </w:t>
      </w:r>
      <w:r w:rsidR="00952488" w:rsidRPr="008904A0">
        <w:rPr>
          <w:lang w:val="en-US"/>
        </w:rPr>
        <w:t>BMI</w:t>
      </w:r>
      <w:r w:rsidR="00974E78">
        <w:rPr>
          <w:lang w:val="en-US"/>
        </w:rPr>
        <w:t xml:space="preserve"> distribution</w:t>
      </w:r>
      <w:r w:rsidR="00952488" w:rsidRPr="008904A0">
        <w:rPr>
          <w:lang w:val="en-US"/>
        </w:rPr>
        <w:t xml:space="preserve"> in 2004 have catched up with the fatter ones</w:t>
      </w:r>
      <w:r w:rsidR="000F4986">
        <w:rPr>
          <w:lang w:val="en-US"/>
        </w:rPr>
        <w:t xml:space="preserve"> for the countries where</w:t>
      </w:r>
      <w:r w:rsidR="00472F52">
        <w:rPr>
          <w:lang w:val="en-US"/>
        </w:rPr>
        <w:t xml:space="preserve"> mean BMI</w:t>
      </w:r>
      <w:r w:rsidR="000F4986">
        <w:rPr>
          <w:lang w:val="en-US"/>
        </w:rPr>
        <w:t xml:space="preserve"> has risen between 2004 and 2010.</w:t>
      </w:r>
      <w:r w:rsidR="000F4986" w:rsidRPr="00003CB0">
        <w:rPr>
          <w:rStyle w:val="FootnoteReference"/>
          <w:rFonts w:cs="AdvPED1282"/>
          <w:lang w:val="en-US"/>
        </w:rPr>
        <w:footnoteReference w:id="9"/>
      </w:r>
      <w:r w:rsidR="00952488" w:rsidRPr="008904A0">
        <w:rPr>
          <w:lang w:val="en-US"/>
        </w:rPr>
        <w:t xml:space="preserve"> </w:t>
      </w:r>
      <w:r w:rsidR="00F850D2">
        <w:rPr>
          <w:lang w:val="en-US"/>
        </w:rPr>
        <w:t>This is the case because</w:t>
      </w:r>
      <w:r w:rsidR="00974E78">
        <w:rPr>
          <w:lang w:val="en-US"/>
        </w:rPr>
        <w:t xml:space="preserve"> </w:t>
      </w:r>
      <w:r w:rsidR="007E6C4C">
        <w:rPr>
          <w:lang w:val="en-US"/>
        </w:rPr>
        <w:t xml:space="preserve">when </w:t>
      </w:r>
      <w:r w:rsidR="001751F2">
        <w:rPr>
          <w:lang w:val="en-US"/>
        </w:rPr>
        <w:t xml:space="preserve">average </w:t>
      </w:r>
      <w:r w:rsidR="007E6C4C">
        <w:rPr>
          <w:lang w:val="en-US"/>
        </w:rPr>
        <w:t>BMI</w:t>
      </w:r>
      <w:r w:rsidR="001751F2">
        <w:rPr>
          <w:lang w:val="en-US"/>
        </w:rPr>
        <w:t xml:space="preserve"> is rising and this</w:t>
      </w:r>
      <w:r w:rsidR="007E6C4C">
        <w:rPr>
          <w:lang w:val="en-US"/>
        </w:rPr>
        <w:t xml:space="preserve"> reduces</w:t>
      </w:r>
      <w:r w:rsidR="001751F2">
        <w:rPr>
          <w:lang w:val="en-US"/>
        </w:rPr>
        <w:t xml:space="preserve"> inequality,</w:t>
      </w:r>
      <w:r w:rsidR="00F850D2">
        <w:rPr>
          <w:lang w:val="en-US"/>
        </w:rPr>
        <w:t xml:space="preserve"> </w:t>
      </w:r>
      <w:r w:rsidR="001751F2">
        <w:rPr>
          <w:lang w:val="en-US"/>
        </w:rPr>
        <w:t>the</w:t>
      </w:r>
      <w:r w:rsidR="00F850D2">
        <w:rPr>
          <w:lang w:val="en-US"/>
        </w:rPr>
        <w:t xml:space="preserve"> people below </w:t>
      </w:r>
      <w:r w:rsidR="00F850D2">
        <w:rPr>
          <w:lang w:val="en-US"/>
        </w:rPr>
        <w:lastRenderedPageBreak/>
        <w:t>the median gain</w:t>
      </w:r>
      <w:r w:rsidR="001751F2">
        <w:rPr>
          <w:lang w:val="en-US"/>
        </w:rPr>
        <w:t>ed on average more</w:t>
      </w:r>
      <w:r w:rsidR="00F850D2">
        <w:rPr>
          <w:lang w:val="en-US"/>
        </w:rPr>
        <w:t xml:space="preserve"> weight, </w:t>
      </w:r>
      <w:r w:rsidR="001751F2">
        <w:rPr>
          <w:lang w:val="en-US"/>
        </w:rPr>
        <w:t>than the people above the median.</w:t>
      </w:r>
      <w:r w:rsidR="00472F52">
        <w:rPr>
          <w:lang w:val="en-US"/>
        </w:rPr>
        <w:t xml:space="preserve"> </w:t>
      </w:r>
      <w:r w:rsidR="00F07D41">
        <w:rPr>
          <w:lang w:val="en-US"/>
        </w:rPr>
        <w:t xml:space="preserve">This </w:t>
      </w:r>
      <w:r w:rsidR="00FE3F06">
        <w:rPr>
          <w:lang w:val="en-US"/>
        </w:rPr>
        <w:t xml:space="preserve">indicates </w:t>
      </w:r>
      <w:r w:rsidR="00F07D41">
        <w:rPr>
          <w:lang w:val="en-US"/>
        </w:rPr>
        <w:t xml:space="preserve">that on average </w:t>
      </w:r>
      <w:r w:rsidR="00F07D41" w:rsidRPr="008904A0">
        <w:rPr>
          <w:lang w:val="en-US"/>
        </w:rPr>
        <w:t xml:space="preserve">the </w:t>
      </w:r>
      <w:r w:rsidR="00F07D41">
        <w:rPr>
          <w:lang w:val="en-US"/>
        </w:rPr>
        <w:t xml:space="preserve">rise in mean BMI levels of </w:t>
      </w:r>
      <w:r w:rsidR="00F07D41" w:rsidRPr="008904A0">
        <w:rPr>
          <w:lang w:val="en-US"/>
        </w:rPr>
        <w:t>these eight countries is derived mainly from males and females that started off with a lower BMI value in 2004, something whic</w:t>
      </w:r>
      <w:r w:rsidR="0043561A">
        <w:rPr>
          <w:lang w:val="en-US"/>
        </w:rPr>
        <w:t>h could not have been inferred f</w:t>
      </w:r>
      <w:r w:rsidR="00F07D41" w:rsidRPr="008904A0">
        <w:rPr>
          <w:lang w:val="en-US"/>
        </w:rPr>
        <w:t xml:space="preserve">rom looking at the evolution of mean BMI only. </w:t>
      </w:r>
    </w:p>
    <w:p w14:paraId="38321E1F" w14:textId="75BA6E64" w:rsidR="00C328A0" w:rsidRDefault="00DB469A" w:rsidP="00C328A0">
      <w:pPr>
        <w:spacing w:line="360" w:lineRule="auto"/>
        <w:ind w:firstLine="360"/>
        <w:jc w:val="both"/>
        <w:rPr>
          <w:lang w:val="en-US"/>
        </w:rPr>
      </w:pPr>
      <w:r>
        <w:rPr>
          <w:lang w:val="en-US"/>
        </w:rPr>
        <w:t xml:space="preserve">The re-ranking component measures the association between the outcome </w:t>
      </w:r>
      <w:r w:rsidRPr="00DB469A">
        <w:rPr>
          <w:lang w:val="en-US"/>
        </w:rPr>
        <w:t xml:space="preserve">level </w:t>
      </w:r>
      <w:r>
        <w:rPr>
          <w:lang w:val="en-US"/>
        </w:rPr>
        <w:t xml:space="preserve">of BMI </w:t>
      </w:r>
      <w:r w:rsidRPr="00DB469A">
        <w:rPr>
          <w:lang w:val="en-US"/>
        </w:rPr>
        <w:t>in th</w:t>
      </w:r>
      <w:r w:rsidR="00DD39E1">
        <w:rPr>
          <w:lang w:val="en-US"/>
        </w:rPr>
        <w:t>e last period and changes in all individual</w:t>
      </w:r>
      <w:r w:rsidRPr="00DB469A">
        <w:rPr>
          <w:lang w:val="en-US"/>
        </w:rPr>
        <w:t xml:space="preserve"> rank</w:t>
      </w:r>
      <w:r w:rsidR="00DD39E1">
        <w:rPr>
          <w:lang w:val="en-US"/>
        </w:rPr>
        <w:t>s</w:t>
      </w:r>
      <w:r w:rsidRPr="00DB469A">
        <w:rPr>
          <w:lang w:val="en-US"/>
        </w:rPr>
        <w:t xml:space="preserve"> between the first and last period.</w:t>
      </w:r>
      <w:r>
        <w:rPr>
          <w:lang w:val="en-US"/>
        </w:rPr>
        <w:t xml:space="preserve"> </w:t>
      </w:r>
      <w:r w:rsidR="00FE3F06">
        <w:rPr>
          <w:lang w:val="en-US"/>
        </w:rPr>
        <w:t xml:space="preserve">Given that re-ranking is positive it can be concluded that individuals have switched position in the distribution, individuals gained weight and moved up in the BMI distribution at the cost of others. The relative share of re-ranking in the AG is actually quite large, meaning that there have been many position changes in the distribution. Despite that the changes of initial BMI have created a more equal total distribution, </w:t>
      </w:r>
      <w:r w:rsidR="00FE3F06">
        <w:rPr>
          <w:lang w:val="en-US"/>
        </w:rPr>
        <w:lastRenderedPageBreak/>
        <w:t>the changes in rank were of such degree that t</w:t>
      </w:r>
      <w:r w:rsidR="00797B76">
        <w:rPr>
          <w:lang w:val="en-US"/>
        </w:rPr>
        <w:t>he process of rearranging</w:t>
      </w:r>
      <w:r w:rsidR="00FE3F06">
        <w:rPr>
          <w:lang w:val="en-US"/>
        </w:rPr>
        <w:t xml:space="preserve"> people’s places in the distribution was relatively unfair.</w:t>
      </w:r>
      <w:r w:rsidR="00797B76">
        <w:rPr>
          <w:lang w:val="en-US"/>
        </w:rPr>
        <w:t xml:space="preserve"> The data suggests that some individuals altered their weight much more than others and that the average rise of BMI does not stem from the whole population getting a bit fatter. This finding </w:t>
      </w:r>
      <w:r w:rsidR="00ED531C">
        <w:rPr>
          <w:lang w:val="en-US"/>
        </w:rPr>
        <w:t>is a confirmation of the findings already touched upon by</w:t>
      </w:r>
      <w:r w:rsidR="00797B76">
        <w:rPr>
          <w:lang w:val="en-US"/>
        </w:rPr>
        <w:t xml:space="preserve"> the </w:t>
      </w:r>
      <w:r w:rsidR="00ED531C">
        <w:rPr>
          <w:lang w:val="en-US"/>
        </w:rPr>
        <w:t>decomposition results in section 5.</w:t>
      </w:r>
    </w:p>
    <w:p w14:paraId="6665163E" w14:textId="0E04E6A4" w:rsidR="00B70783" w:rsidRDefault="00B70783" w:rsidP="00C328A0">
      <w:pPr>
        <w:pStyle w:val="Heading2"/>
        <w:numPr>
          <w:ilvl w:val="1"/>
          <w:numId w:val="32"/>
        </w:numPr>
        <w:rPr>
          <w:rFonts w:cs="Calibri"/>
          <w:sz w:val="24"/>
          <w:szCs w:val="24"/>
          <w:lang w:val="en-US" w:eastAsia="ja-JP"/>
        </w:rPr>
      </w:pPr>
      <w:bookmarkStart w:id="23" w:name="_Toc432114515"/>
      <w:r>
        <w:rPr>
          <w:rFonts w:cs="Calibri"/>
          <w:sz w:val="24"/>
          <w:szCs w:val="24"/>
          <w:lang w:val="en-US" w:eastAsia="ja-JP"/>
        </w:rPr>
        <w:t>Decomposition of the AG with BMI categories</w:t>
      </w:r>
      <w:bookmarkEnd w:id="23"/>
    </w:p>
    <w:p w14:paraId="6D10CA69" w14:textId="77777777" w:rsidR="00C328A0" w:rsidRPr="00C328A0" w:rsidRDefault="00C328A0" w:rsidP="00C328A0">
      <w:pPr>
        <w:rPr>
          <w:lang w:val="en-US" w:eastAsia="ja-JP"/>
        </w:rPr>
      </w:pPr>
    </w:p>
    <w:p w14:paraId="2D61CCB7" w14:textId="7194C1A2" w:rsidR="00B60CC2" w:rsidRDefault="00ED531C" w:rsidP="009B2D1C">
      <w:pPr>
        <w:spacing w:line="360" w:lineRule="auto"/>
        <w:ind w:firstLine="360"/>
        <w:jc w:val="both"/>
        <w:rPr>
          <w:lang w:val="en-US"/>
        </w:rPr>
      </w:pPr>
      <w:r>
        <w:rPr>
          <w:lang w:val="en-US"/>
        </w:rPr>
        <w:t>By creating</w:t>
      </w:r>
      <w:r w:rsidR="00167A02">
        <w:rPr>
          <w:lang w:val="en-US"/>
        </w:rPr>
        <w:t xml:space="preserve"> BMI </w:t>
      </w:r>
      <w:r>
        <w:rPr>
          <w:lang w:val="en-US"/>
        </w:rPr>
        <w:t>categories</w:t>
      </w:r>
      <w:r w:rsidR="00A802F1">
        <w:rPr>
          <w:lang w:val="en-US"/>
        </w:rPr>
        <w:t xml:space="preserve"> based on BMI in 2004</w:t>
      </w:r>
      <w:r>
        <w:rPr>
          <w:lang w:val="en-US"/>
        </w:rPr>
        <w:t xml:space="preserve"> it can be measured</w:t>
      </w:r>
      <w:r w:rsidR="00167A02">
        <w:rPr>
          <w:lang w:val="en-US"/>
        </w:rPr>
        <w:t xml:space="preserve"> if there are certain individuals</w:t>
      </w:r>
      <w:r>
        <w:rPr>
          <w:lang w:val="en-US"/>
        </w:rPr>
        <w:t xml:space="preserve"> grouped by BMI that changes places in the distribution more severely than others</w:t>
      </w:r>
      <w:r w:rsidR="00167A02">
        <w:rPr>
          <w:lang w:val="en-US"/>
        </w:rPr>
        <w:t>. If there are certain BMI groups collectively overtaking others in terms of BMI</w:t>
      </w:r>
      <w:r>
        <w:rPr>
          <w:lang w:val="en-US"/>
        </w:rPr>
        <w:t>, the relative share of</w:t>
      </w:r>
      <w:r w:rsidR="00167A02">
        <w:rPr>
          <w:lang w:val="en-US"/>
        </w:rPr>
        <w:t xml:space="preserve"> re-ranking</w:t>
      </w:r>
      <w:r w:rsidR="00950B4E">
        <w:rPr>
          <w:lang w:val="en-US"/>
        </w:rPr>
        <w:t xml:space="preserve"> in the AG decomposition</w:t>
      </w:r>
      <w:r w:rsidR="00167A02">
        <w:rPr>
          <w:lang w:val="en-US"/>
        </w:rPr>
        <w:t xml:space="preserve"> must </w:t>
      </w:r>
      <w:r w:rsidR="00950B4E">
        <w:rPr>
          <w:lang w:val="en-US"/>
        </w:rPr>
        <w:t>increase</w:t>
      </w:r>
      <w:r w:rsidR="00167A02">
        <w:rPr>
          <w:lang w:val="en-US"/>
        </w:rPr>
        <w:t>.</w:t>
      </w:r>
      <w:r w:rsidR="00950B4E">
        <w:rPr>
          <w:lang w:val="en-US"/>
        </w:rPr>
        <w:t xml:space="preserve"> This follows from the fact that by grouping, the initial BMI change will become more conserved as initial changes of BMI </w:t>
      </w:r>
      <w:r w:rsidR="00950B4E">
        <w:rPr>
          <w:lang w:val="en-US"/>
        </w:rPr>
        <w:lastRenderedPageBreak/>
        <w:t xml:space="preserve">within the category bounds are not picked </w:t>
      </w:r>
      <w:r w:rsidR="00893E9A">
        <w:rPr>
          <w:lang w:val="en-US"/>
        </w:rPr>
        <w:t xml:space="preserve">up </w:t>
      </w:r>
      <w:r w:rsidR="00950B4E">
        <w:rPr>
          <w:lang w:val="en-US"/>
        </w:rPr>
        <w:t>anymore. If the rank changes are mainly derived from movements within the category, re-ranking will also decrease</w:t>
      </w:r>
      <w:r w:rsidR="00A802F1">
        <w:rPr>
          <w:lang w:val="en-US"/>
        </w:rPr>
        <w:t xml:space="preserve">, because the </w:t>
      </w:r>
      <w:r w:rsidR="00DE63AD">
        <w:rPr>
          <w:lang w:val="en-US"/>
        </w:rPr>
        <w:t xml:space="preserve">pecking </w:t>
      </w:r>
      <w:r w:rsidR="00A802F1">
        <w:rPr>
          <w:lang w:val="en-US"/>
        </w:rPr>
        <w:t>order of the mean BMI values for the categories will not change drastically</w:t>
      </w:r>
      <w:r w:rsidR="00950B4E">
        <w:rPr>
          <w:lang w:val="en-US"/>
        </w:rPr>
        <w:t xml:space="preserve">. If however the rank changes are derived from large jumps of </w:t>
      </w:r>
      <w:r w:rsidR="00A802F1">
        <w:rPr>
          <w:lang w:val="en-US"/>
        </w:rPr>
        <w:t xml:space="preserve">an </w:t>
      </w:r>
      <w:r w:rsidR="004A78B0">
        <w:rPr>
          <w:lang w:val="en-US"/>
        </w:rPr>
        <w:t>individual’s</w:t>
      </w:r>
      <w:r w:rsidR="00DE63AD">
        <w:rPr>
          <w:lang w:val="en-US"/>
        </w:rPr>
        <w:t xml:space="preserve"> BMI</w:t>
      </w:r>
      <w:r w:rsidR="00B60CC2">
        <w:rPr>
          <w:lang w:val="en-US"/>
        </w:rPr>
        <w:t>,</w:t>
      </w:r>
      <w:r w:rsidR="00950B4E">
        <w:rPr>
          <w:lang w:val="en-US"/>
        </w:rPr>
        <w:t xml:space="preserve"> re-ranking</w:t>
      </w:r>
      <w:r w:rsidR="00B60CC2">
        <w:rPr>
          <w:lang w:val="en-US"/>
        </w:rPr>
        <w:t xml:space="preserve"> is awarded a larger share in the AG decomposition</w:t>
      </w:r>
      <w:r w:rsidR="00DE63AD">
        <w:rPr>
          <w:lang w:val="en-US"/>
        </w:rPr>
        <w:t xml:space="preserve"> as the mean BMI of the category can overshoot (or undershoot) the mean of other categories and the pecking order will be changed much more.</w:t>
      </w:r>
    </w:p>
    <w:p w14:paraId="1BF7586E" w14:textId="7C782551" w:rsidR="0043561A" w:rsidRPr="009B2D1C" w:rsidRDefault="00167A02" w:rsidP="009B2D1C">
      <w:pPr>
        <w:spacing w:line="360" w:lineRule="auto"/>
        <w:ind w:firstLine="360"/>
        <w:jc w:val="both"/>
        <w:rPr>
          <w:lang w:val="en-US"/>
        </w:rPr>
      </w:pPr>
      <w:r w:rsidRPr="009B2D1C">
        <w:rPr>
          <w:lang w:val="en-US"/>
        </w:rPr>
        <w:t>In table</w:t>
      </w:r>
      <w:r w:rsidR="00BB479C">
        <w:rPr>
          <w:lang w:val="en-US"/>
        </w:rPr>
        <w:t>s</w:t>
      </w:r>
      <w:r w:rsidRPr="009B2D1C">
        <w:rPr>
          <w:lang w:val="en-US"/>
        </w:rPr>
        <w:t xml:space="preserve"> </w:t>
      </w:r>
      <w:r w:rsidR="00BB479C">
        <w:rPr>
          <w:lang w:val="en-US"/>
        </w:rPr>
        <w:t>7</w:t>
      </w:r>
      <w:r w:rsidR="002273E5" w:rsidRPr="009B2D1C">
        <w:rPr>
          <w:lang w:val="en-US"/>
        </w:rPr>
        <w:t xml:space="preserve"> to </w:t>
      </w:r>
      <w:r w:rsidR="00BB479C">
        <w:rPr>
          <w:lang w:val="en-US"/>
        </w:rPr>
        <w:t>9</w:t>
      </w:r>
      <w:r w:rsidRPr="009B2D1C">
        <w:rPr>
          <w:lang w:val="en-US"/>
        </w:rPr>
        <w:t xml:space="preserve"> </w:t>
      </w:r>
      <w:r w:rsidR="007E6C4C" w:rsidRPr="009B2D1C">
        <w:rPr>
          <w:lang w:val="en-US"/>
        </w:rPr>
        <w:t xml:space="preserve">of the appendix </w:t>
      </w:r>
      <w:r w:rsidR="006E59F0">
        <w:rPr>
          <w:lang w:val="en-US"/>
        </w:rPr>
        <w:t>the results of initial BMI</w:t>
      </w:r>
      <w:r w:rsidR="007E6C4C">
        <w:rPr>
          <w:lang w:val="en-US"/>
        </w:rPr>
        <w:t xml:space="preserve">, </w:t>
      </w:r>
      <w:r>
        <w:rPr>
          <w:lang w:val="en-US"/>
        </w:rPr>
        <w:t>re-ranking</w:t>
      </w:r>
      <w:r w:rsidR="007E6C4C">
        <w:rPr>
          <w:lang w:val="en-US"/>
        </w:rPr>
        <w:t xml:space="preserve"> and inequality change</w:t>
      </w:r>
      <w:r>
        <w:rPr>
          <w:lang w:val="en-US"/>
        </w:rPr>
        <w:t xml:space="preserve"> are depicted for </w:t>
      </w:r>
      <w:r w:rsidRPr="009B2D1C">
        <w:rPr>
          <w:lang w:val="en-US"/>
        </w:rPr>
        <w:t xml:space="preserve">BMI </w:t>
      </w:r>
      <w:r w:rsidR="006E59F0" w:rsidRPr="009B2D1C">
        <w:rPr>
          <w:lang w:val="en-US"/>
        </w:rPr>
        <w:t>divided into percentiles, 50</w:t>
      </w:r>
      <w:r w:rsidR="007E6C4C" w:rsidRPr="009B2D1C">
        <w:rPr>
          <w:lang w:val="en-US"/>
        </w:rPr>
        <w:t xml:space="preserve"> groups</w:t>
      </w:r>
      <w:r w:rsidRPr="009B2D1C">
        <w:rPr>
          <w:lang w:val="en-US"/>
        </w:rPr>
        <w:t xml:space="preserve"> and </w:t>
      </w:r>
      <w:r w:rsidR="006E59F0" w:rsidRPr="009B2D1C">
        <w:rPr>
          <w:lang w:val="en-US"/>
        </w:rPr>
        <w:t>deciles</w:t>
      </w:r>
      <w:r w:rsidR="00411F4E" w:rsidRPr="009B2D1C">
        <w:rPr>
          <w:lang w:val="en-US"/>
        </w:rPr>
        <w:t xml:space="preserve">. </w:t>
      </w:r>
      <w:r w:rsidR="00411F4E">
        <w:rPr>
          <w:lang w:val="en-US"/>
        </w:rPr>
        <w:t xml:space="preserve">It can be </w:t>
      </w:r>
      <w:r w:rsidR="00DE63AD">
        <w:rPr>
          <w:lang w:val="en-US"/>
        </w:rPr>
        <w:t xml:space="preserve">clearly </w:t>
      </w:r>
      <w:r w:rsidR="00411F4E">
        <w:rPr>
          <w:lang w:val="en-US"/>
        </w:rPr>
        <w:t>seen that</w:t>
      </w:r>
      <w:r w:rsidR="00DE63AD">
        <w:rPr>
          <w:lang w:val="en-US"/>
        </w:rPr>
        <w:t>,</w:t>
      </w:r>
      <w:r w:rsidR="00411F4E">
        <w:rPr>
          <w:lang w:val="en-US"/>
        </w:rPr>
        <w:t xml:space="preserve"> </w:t>
      </w:r>
      <w:r w:rsidR="00DE63AD">
        <w:rPr>
          <w:lang w:val="en-US"/>
        </w:rPr>
        <w:t xml:space="preserve">while the initial change of BMI stays around the same size, re-ranking drops drastically when using BMI percentiles. </w:t>
      </w:r>
      <w:r w:rsidR="00411F4E">
        <w:rPr>
          <w:lang w:val="en-US"/>
        </w:rPr>
        <w:t>When</w:t>
      </w:r>
      <w:r w:rsidR="00F24A7D">
        <w:rPr>
          <w:lang w:val="en-US"/>
        </w:rPr>
        <w:t xml:space="preserve"> decreasing the number of groups</w:t>
      </w:r>
      <w:r w:rsidR="00DE63AD">
        <w:rPr>
          <w:lang w:val="en-US"/>
        </w:rPr>
        <w:t xml:space="preserve"> even more</w:t>
      </w:r>
      <w:r w:rsidR="00411F4E">
        <w:rPr>
          <w:lang w:val="en-US"/>
        </w:rPr>
        <w:t xml:space="preserve"> the</w:t>
      </w:r>
      <w:r w:rsidR="00DE63AD">
        <w:rPr>
          <w:lang w:val="en-US"/>
        </w:rPr>
        <w:t xml:space="preserve"> relative share of re-ranking diminishes and is zero for all countries when using BMI deciles</w:t>
      </w:r>
      <w:r w:rsidR="002963F6">
        <w:rPr>
          <w:lang w:val="en-US"/>
        </w:rPr>
        <w:t>.</w:t>
      </w:r>
      <w:r w:rsidR="00DE63AD">
        <w:rPr>
          <w:lang w:val="en-US"/>
        </w:rPr>
        <w:t xml:space="preserve"> </w:t>
      </w:r>
      <w:r w:rsidR="00DE63AD" w:rsidRPr="00DE63AD">
        <w:rPr>
          <w:lang w:val="en-US"/>
        </w:rPr>
        <w:t xml:space="preserve">It is </w:t>
      </w:r>
      <w:r w:rsidR="00DE63AD" w:rsidRPr="00DE63AD">
        <w:rPr>
          <w:lang w:val="en-US"/>
        </w:rPr>
        <w:lastRenderedPageBreak/>
        <w:t xml:space="preserve">still true that on average </w:t>
      </w:r>
      <w:r w:rsidR="004A78B0">
        <w:rPr>
          <w:lang w:val="en-US"/>
        </w:rPr>
        <w:t xml:space="preserve">the people </w:t>
      </w:r>
      <w:r w:rsidR="00DE63AD" w:rsidRPr="00DE63AD">
        <w:rPr>
          <w:lang w:val="en-US"/>
        </w:rPr>
        <w:t>starting</w:t>
      </w:r>
      <w:r w:rsidR="004A78B0">
        <w:rPr>
          <w:lang w:val="en-US"/>
        </w:rPr>
        <w:t xml:space="preserve"> </w:t>
      </w:r>
      <w:r w:rsidR="00DE63AD" w:rsidRPr="00DE63AD">
        <w:rPr>
          <w:lang w:val="en-US"/>
        </w:rPr>
        <w:t xml:space="preserve">with low </w:t>
      </w:r>
      <w:r w:rsidR="004A78B0">
        <w:rPr>
          <w:lang w:val="en-US"/>
        </w:rPr>
        <w:t>BMI</w:t>
      </w:r>
      <w:r w:rsidR="00DE63AD" w:rsidRPr="00DE63AD">
        <w:rPr>
          <w:lang w:val="en-US"/>
        </w:rPr>
        <w:t xml:space="preserve"> values</w:t>
      </w:r>
      <w:r w:rsidR="004A78B0">
        <w:rPr>
          <w:lang w:val="en-US"/>
        </w:rPr>
        <w:t xml:space="preserve"> in 2004</w:t>
      </w:r>
      <w:r w:rsidR="00DE63AD" w:rsidRPr="00DE63AD">
        <w:rPr>
          <w:lang w:val="en-US"/>
        </w:rPr>
        <w:t xml:space="preserve"> had an increase</w:t>
      </w:r>
      <w:r w:rsidR="004A78B0">
        <w:rPr>
          <w:lang w:val="en-US"/>
        </w:rPr>
        <w:t xml:space="preserve"> in their BMI </w:t>
      </w:r>
      <w:r w:rsidR="00DE63AD" w:rsidRPr="00DE63AD">
        <w:rPr>
          <w:lang w:val="en-US"/>
        </w:rPr>
        <w:t xml:space="preserve">and the opposite </w:t>
      </w:r>
      <w:r w:rsidR="004A78B0">
        <w:rPr>
          <w:lang w:val="en-US"/>
        </w:rPr>
        <w:t xml:space="preserve">holds </w:t>
      </w:r>
      <w:r w:rsidR="00DE63AD" w:rsidRPr="00DE63AD">
        <w:rPr>
          <w:lang w:val="en-US"/>
        </w:rPr>
        <w:t xml:space="preserve">for </w:t>
      </w:r>
      <w:r w:rsidR="004A78B0">
        <w:rPr>
          <w:lang w:val="en-US"/>
        </w:rPr>
        <w:t>people starting with high BMI</w:t>
      </w:r>
      <w:r w:rsidR="00DE63AD" w:rsidRPr="00DE63AD">
        <w:rPr>
          <w:lang w:val="en-US"/>
        </w:rPr>
        <w:t xml:space="preserve"> va</w:t>
      </w:r>
      <w:r w:rsidR="004A78B0">
        <w:rPr>
          <w:lang w:val="en-US"/>
        </w:rPr>
        <w:t>lues in 2004.</w:t>
      </w:r>
      <w:r w:rsidR="002963F6">
        <w:rPr>
          <w:lang w:val="en-US"/>
        </w:rPr>
        <w:t xml:space="preserve"> </w:t>
      </w:r>
      <w:r w:rsidR="008F46F7">
        <w:rPr>
          <w:lang w:val="en-US"/>
        </w:rPr>
        <w:t>But a</w:t>
      </w:r>
      <w:r w:rsidR="004A78B0">
        <w:rPr>
          <w:lang w:val="en-US"/>
        </w:rPr>
        <w:t>s re-ranking diminishes when grouping BMI</w:t>
      </w:r>
      <w:r w:rsidR="008F46F7">
        <w:rPr>
          <w:lang w:val="en-US"/>
        </w:rPr>
        <w:t>,</w:t>
      </w:r>
      <w:r w:rsidR="004A78B0">
        <w:rPr>
          <w:lang w:val="en-US"/>
        </w:rPr>
        <w:t xml:space="preserve"> t</w:t>
      </w:r>
      <w:r w:rsidR="002963F6">
        <w:rPr>
          <w:lang w:val="en-US"/>
        </w:rPr>
        <w:t>here is no indication that there are groups of people contributing more than others to the rearrangement of the distribution</w:t>
      </w:r>
      <w:r w:rsidR="008F46F7">
        <w:rPr>
          <w:lang w:val="en-US"/>
        </w:rPr>
        <w:t xml:space="preserve"> measured in table 5</w:t>
      </w:r>
      <w:r w:rsidR="002963F6">
        <w:rPr>
          <w:lang w:val="en-US"/>
        </w:rPr>
        <w:t xml:space="preserve">. This leaves the conclusion that there are probably very many individual rank changes, and </w:t>
      </w:r>
      <w:r w:rsidR="008F46F7">
        <w:rPr>
          <w:lang w:val="en-US"/>
        </w:rPr>
        <w:t>re-ranking</w:t>
      </w:r>
      <w:r w:rsidR="002963F6">
        <w:rPr>
          <w:lang w:val="en-US"/>
        </w:rPr>
        <w:t xml:space="preserve"> </w:t>
      </w:r>
      <w:r w:rsidR="008F46F7">
        <w:rPr>
          <w:lang w:val="en-US"/>
        </w:rPr>
        <w:t>is not largely derived from the</w:t>
      </w:r>
      <w:r w:rsidR="002963F6">
        <w:rPr>
          <w:lang w:val="en-US"/>
        </w:rPr>
        <w:t xml:space="preserve"> thinner people collectively overshooting others in the pecking order.</w:t>
      </w:r>
    </w:p>
    <w:p w14:paraId="7B084687" w14:textId="1355D0CA" w:rsidR="002963F6" w:rsidRDefault="00070D43" w:rsidP="009B2D1C">
      <w:pPr>
        <w:spacing w:line="360" w:lineRule="auto"/>
        <w:ind w:firstLine="360"/>
        <w:jc w:val="both"/>
        <w:rPr>
          <w:lang w:val="en-US"/>
        </w:rPr>
      </w:pPr>
      <w:r w:rsidRPr="008904A0">
        <w:rPr>
          <w:lang w:val="en-US"/>
        </w:rPr>
        <w:t xml:space="preserve">This conclusion </w:t>
      </w:r>
      <w:r w:rsidR="004A78B0">
        <w:rPr>
          <w:lang w:val="en-US"/>
        </w:rPr>
        <w:t>holds</w:t>
      </w:r>
      <w:r w:rsidRPr="008904A0">
        <w:rPr>
          <w:lang w:val="en-US"/>
        </w:rPr>
        <w:t xml:space="preserve"> for all European countries</w:t>
      </w:r>
      <w:r w:rsidR="00F07D41">
        <w:rPr>
          <w:lang w:val="en-US"/>
        </w:rPr>
        <w:t xml:space="preserve"> </w:t>
      </w:r>
      <w:r w:rsidRPr="008904A0">
        <w:rPr>
          <w:lang w:val="en-US"/>
        </w:rPr>
        <w:t>in this analysis</w:t>
      </w:r>
      <w:r w:rsidR="002963F6">
        <w:rPr>
          <w:lang w:val="en-US"/>
        </w:rPr>
        <w:t>.</w:t>
      </w:r>
      <w:r w:rsidRPr="008904A0">
        <w:rPr>
          <w:lang w:val="en-US"/>
        </w:rPr>
        <w:t xml:space="preserve"> </w:t>
      </w:r>
      <w:r w:rsidR="002963F6">
        <w:rPr>
          <w:lang w:val="en-US"/>
        </w:rPr>
        <w:t xml:space="preserve">It appears </w:t>
      </w:r>
      <w:r w:rsidRPr="008904A0">
        <w:rPr>
          <w:lang w:val="en-US"/>
        </w:rPr>
        <w:t xml:space="preserve">a similar and strong </w:t>
      </w:r>
      <w:r w:rsidR="00F07D41">
        <w:rPr>
          <w:lang w:val="en-US"/>
        </w:rPr>
        <w:t xml:space="preserve">two folded </w:t>
      </w:r>
      <w:r w:rsidRPr="008904A0">
        <w:rPr>
          <w:lang w:val="en-US"/>
        </w:rPr>
        <w:t>movement</w:t>
      </w:r>
      <w:r w:rsidR="002963F6">
        <w:rPr>
          <w:lang w:val="en-US"/>
        </w:rPr>
        <w:t xml:space="preserve"> has taken place</w:t>
      </w:r>
      <w:r w:rsidRPr="008904A0">
        <w:rPr>
          <w:lang w:val="en-US"/>
        </w:rPr>
        <w:t xml:space="preserve"> in the distribution of BMI</w:t>
      </w:r>
      <w:r w:rsidR="00D14E30">
        <w:rPr>
          <w:lang w:val="en-US"/>
        </w:rPr>
        <w:t xml:space="preserve"> between 2004 and 2010</w:t>
      </w:r>
      <w:r w:rsidRPr="008904A0">
        <w:rPr>
          <w:lang w:val="en-US"/>
        </w:rPr>
        <w:t>.</w:t>
      </w:r>
      <w:r w:rsidR="00F07D41">
        <w:rPr>
          <w:lang w:val="en-US"/>
        </w:rPr>
        <w:t xml:space="preserve"> </w:t>
      </w:r>
      <w:r w:rsidR="004505AC">
        <w:rPr>
          <w:lang w:val="en-US"/>
        </w:rPr>
        <w:t>The relatively thinner people have catched up with the fatter ones</w:t>
      </w:r>
      <w:r w:rsidR="00D14E30">
        <w:rPr>
          <w:lang w:val="en-US"/>
        </w:rPr>
        <w:t xml:space="preserve"> and many individuals have made relatively small steps in the ranking.</w:t>
      </w:r>
      <w:r w:rsidR="008342F5">
        <w:rPr>
          <w:lang w:val="en-US"/>
        </w:rPr>
        <w:t xml:space="preserve"> Given the fact that there are relatively many changes in the distribution but these changes cannot be explained by grouping BMI it </w:t>
      </w:r>
      <w:r w:rsidR="008342F5">
        <w:rPr>
          <w:lang w:val="en-US"/>
        </w:rPr>
        <w:lastRenderedPageBreak/>
        <w:t xml:space="preserve">could be an interesting exercise to see whether other variables can explain the rank changes. One could identify if there are strong BMI movements for people grouped by another variable. The data has already suggested that something similar could be happening with the relation of age and BMI, where the younger people appear to be getting fatter while the older ones are getting slimmer. By searching which characteristic in individuals can explain BMI movement, one could design more specific policy that only target the individuals that may have a bigger risk of weight gaining. </w:t>
      </w:r>
    </w:p>
    <w:p w14:paraId="550EDC83" w14:textId="77777777" w:rsidR="00B70783" w:rsidRPr="000A1F20" w:rsidRDefault="00B70783" w:rsidP="00B70783">
      <w:pPr>
        <w:pStyle w:val="Heading1"/>
      </w:pPr>
      <w:bookmarkStart w:id="24" w:name="_Toc432112407"/>
      <w:bookmarkStart w:id="25" w:name="_Toc432114516"/>
      <w:bookmarkStart w:id="26" w:name="_Toc432114517"/>
      <w:bookmarkEnd w:id="24"/>
      <w:bookmarkEnd w:id="25"/>
      <w:r>
        <w:rPr>
          <w:lang w:val="en-US"/>
        </w:rPr>
        <w:t>Discussion and conclusion</w:t>
      </w:r>
      <w:bookmarkEnd w:id="26"/>
    </w:p>
    <w:p w14:paraId="2CDE1D29" w14:textId="77777777" w:rsidR="002963F6" w:rsidRPr="009B2D1C" w:rsidRDefault="002963F6" w:rsidP="004573A4">
      <w:pPr>
        <w:rPr>
          <w:lang w:val="en-US" w:eastAsia="ja-JP"/>
        </w:rPr>
      </w:pPr>
    </w:p>
    <w:p w14:paraId="60117E11" w14:textId="5CA3D52A" w:rsidR="0026648F" w:rsidRPr="00072A51" w:rsidRDefault="0026648F" w:rsidP="00072A51">
      <w:pPr>
        <w:spacing w:line="360" w:lineRule="auto"/>
        <w:ind w:firstLine="360"/>
        <w:jc w:val="both"/>
        <w:rPr>
          <w:lang w:val="en-US"/>
        </w:rPr>
      </w:pPr>
      <w:r w:rsidRPr="0043561A">
        <w:rPr>
          <w:lang w:val="en-US"/>
        </w:rPr>
        <w:t>The aim of this study was to identify</w:t>
      </w:r>
      <w:r w:rsidR="00973EC1" w:rsidRPr="0043561A">
        <w:rPr>
          <w:lang w:val="en-US"/>
        </w:rPr>
        <w:t xml:space="preserve"> key variables associated with BMI and how the magnitude and strength of these </w:t>
      </w:r>
      <w:r w:rsidR="006D7415">
        <w:rPr>
          <w:lang w:val="en-US"/>
        </w:rPr>
        <w:t xml:space="preserve">associations </w:t>
      </w:r>
      <w:r w:rsidR="00973EC1" w:rsidRPr="0043561A">
        <w:rPr>
          <w:lang w:val="en-US"/>
        </w:rPr>
        <w:t>evolve</w:t>
      </w:r>
      <w:r w:rsidR="00570E8D">
        <w:rPr>
          <w:lang w:val="en-US"/>
        </w:rPr>
        <w:t>d</w:t>
      </w:r>
      <w:r w:rsidR="00973EC1" w:rsidRPr="0043561A">
        <w:rPr>
          <w:lang w:val="en-US"/>
        </w:rPr>
        <w:t xml:space="preserve"> over time</w:t>
      </w:r>
      <w:r w:rsidR="007035B8" w:rsidRPr="0043561A">
        <w:rPr>
          <w:lang w:val="en-US"/>
        </w:rPr>
        <w:t xml:space="preserve"> using a decomposition method of the OB </w:t>
      </w:r>
      <w:r w:rsidR="007035B8" w:rsidRPr="0043561A">
        <w:rPr>
          <w:lang w:val="en-US"/>
        </w:rPr>
        <w:lastRenderedPageBreak/>
        <w:t>framework</w:t>
      </w:r>
      <w:r w:rsidR="00973EC1" w:rsidRPr="00072A51">
        <w:rPr>
          <w:lang w:val="en-US"/>
        </w:rPr>
        <w:t xml:space="preserve">. </w:t>
      </w:r>
      <w:r w:rsidR="007035B8" w:rsidRPr="00072A51">
        <w:rPr>
          <w:lang w:val="en-US"/>
        </w:rPr>
        <w:t xml:space="preserve">Next to that this study attempted to reveal the movements within a BMI distribution of a population by </w:t>
      </w:r>
      <w:r w:rsidR="006D7415" w:rsidRPr="00072A51">
        <w:rPr>
          <w:lang w:val="en-US"/>
        </w:rPr>
        <w:t xml:space="preserve">decomposing </w:t>
      </w:r>
      <w:r w:rsidR="007035B8" w:rsidRPr="00072A51">
        <w:rPr>
          <w:lang w:val="en-US"/>
        </w:rPr>
        <w:t>the</w:t>
      </w:r>
      <w:r w:rsidR="006D7415" w:rsidRPr="00072A51">
        <w:rPr>
          <w:lang w:val="en-US"/>
        </w:rPr>
        <w:t xml:space="preserve"> change of</w:t>
      </w:r>
      <w:r w:rsidR="007035B8" w:rsidRPr="00072A51">
        <w:rPr>
          <w:lang w:val="en-US"/>
        </w:rPr>
        <w:t xml:space="preserve"> absolute Gini indices </w:t>
      </w:r>
      <w:r w:rsidR="006D7415" w:rsidRPr="00072A51">
        <w:rPr>
          <w:lang w:val="en-US"/>
        </w:rPr>
        <w:t xml:space="preserve">between </w:t>
      </w:r>
      <w:r w:rsidR="007035B8" w:rsidRPr="00072A51">
        <w:rPr>
          <w:lang w:val="en-US"/>
        </w:rPr>
        <w:t>two time periods into BMI change and the re-ranking</w:t>
      </w:r>
      <w:r w:rsidR="006D7415" w:rsidRPr="00072A51">
        <w:rPr>
          <w:lang w:val="en-US"/>
        </w:rPr>
        <w:t>.</w:t>
      </w:r>
    </w:p>
    <w:p w14:paraId="1A1E39A8" w14:textId="1B7F6922" w:rsidR="00613F50" w:rsidRPr="00072A51" w:rsidRDefault="0073629D" w:rsidP="00072A51">
      <w:pPr>
        <w:spacing w:line="360" w:lineRule="auto"/>
        <w:ind w:firstLine="360"/>
        <w:jc w:val="both"/>
        <w:rPr>
          <w:lang w:val="en-US"/>
        </w:rPr>
      </w:pPr>
      <w:r w:rsidRPr="00072A51">
        <w:rPr>
          <w:lang w:val="en-US"/>
        </w:rPr>
        <w:t xml:space="preserve">Age, </w:t>
      </w:r>
      <w:r w:rsidR="004506E0" w:rsidRPr="00072A51">
        <w:rPr>
          <w:lang w:val="en-US"/>
        </w:rPr>
        <w:t>gender</w:t>
      </w:r>
      <w:r w:rsidRPr="00072A51">
        <w:rPr>
          <w:lang w:val="en-US"/>
        </w:rPr>
        <w:t>, education and being physically active</w:t>
      </w:r>
      <w:r w:rsidR="004506E0" w:rsidRPr="00072A51">
        <w:rPr>
          <w:lang w:val="en-US"/>
        </w:rPr>
        <w:t xml:space="preserve"> come</w:t>
      </w:r>
      <w:r w:rsidR="00A143D0" w:rsidRPr="00072A51">
        <w:rPr>
          <w:lang w:val="en-US"/>
        </w:rPr>
        <w:t xml:space="preserve"> forward as the most</w:t>
      </w:r>
      <w:r w:rsidR="004506E0" w:rsidRPr="00072A51">
        <w:rPr>
          <w:lang w:val="en-US"/>
        </w:rPr>
        <w:t xml:space="preserve"> significant factors in </w:t>
      </w:r>
      <w:r w:rsidRPr="00072A51">
        <w:rPr>
          <w:lang w:val="en-US"/>
        </w:rPr>
        <w:t>identifying</w:t>
      </w:r>
      <w:r w:rsidR="004506E0" w:rsidRPr="00072A51">
        <w:rPr>
          <w:lang w:val="en-US"/>
        </w:rPr>
        <w:t xml:space="preserve"> BMI patterns</w:t>
      </w:r>
      <w:r w:rsidRPr="00072A51">
        <w:rPr>
          <w:lang w:val="en-US"/>
        </w:rPr>
        <w:t xml:space="preserve">. Aging appears to be </w:t>
      </w:r>
      <w:r w:rsidR="006D7415" w:rsidRPr="00072A51">
        <w:rPr>
          <w:lang w:val="en-US"/>
        </w:rPr>
        <w:t xml:space="preserve">one of the most </w:t>
      </w:r>
      <w:r w:rsidRPr="00072A51">
        <w:rPr>
          <w:lang w:val="en-US"/>
        </w:rPr>
        <w:t>important variable</w:t>
      </w:r>
      <w:r w:rsidR="006D7415" w:rsidRPr="00072A51">
        <w:rPr>
          <w:lang w:val="en-US"/>
        </w:rPr>
        <w:t>s</w:t>
      </w:r>
      <w:r w:rsidRPr="00072A51">
        <w:rPr>
          <w:lang w:val="en-US"/>
        </w:rPr>
        <w:t xml:space="preserve"> regarding changes in its effect on BMI over time. </w:t>
      </w:r>
      <w:r w:rsidR="00570E8D">
        <w:rPr>
          <w:lang w:val="en-US"/>
        </w:rPr>
        <w:t>For e</w:t>
      </w:r>
      <w:r w:rsidRPr="00072A51">
        <w:rPr>
          <w:lang w:val="en-US"/>
        </w:rPr>
        <w:t xml:space="preserve">ight of the nine countries in this study </w:t>
      </w:r>
      <w:r w:rsidR="003240AB" w:rsidRPr="00072A51">
        <w:rPr>
          <w:lang w:val="en-US"/>
        </w:rPr>
        <w:t xml:space="preserve">aging </w:t>
      </w:r>
      <w:r w:rsidRPr="00072A51">
        <w:rPr>
          <w:lang w:val="en-US"/>
        </w:rPr>
        <w:t>slowed down</w:t>
      </w:r>
      <w:r w:rsidR="003240AB" w:rsidRPr="00072A51">
        <w:rPr>
          <w:lang w:val="en-US"/>
        </w:rPr>
        <w:t xml:space="preserve"> BMI increase</w:t>
      </w:r>
      <w:r w:rsidRPr="00072A51">
        <w:rPr>
          <w:lang w:val="en-US"/>
        </w:rPr>
        <w:t xml:space="preserve"> </w:t>
      </w:r>
      <w:r w:rsidR="003240AB" w:rsidRPr="00072A51">
        <w:rPr>
          <w:lang w:val="en-US"/>
        </w:rPr>
        <w:t>or accelerated it’s descend.</w:t>
      </w:r>
      <w:r w:rsidR="00EB7A13" w:rsidRPr="00072A51">
        <w:rPr>
          <w:lang w:val="en-US"/>
        </w:rPr>
        <w:t xml:space="preserve"> This may be </w:t>
      </w:r>
      <w:r w:rsidR="006D7415" w:rsidRPr="00072A51">
        <w:rPr>
          <w:lang w:val="en-US"/>
        </w:rPr>
        <w:t xml:space="preserve">partly </w:t>
      </w:r>
      <w:r w:rsidR="00EB7A13" w:rsidRPr="00072A51">
        <w:rPr>
          <w:lang w:val="en-US"/>
        </w:rPr>
        <w:t>due to the fact that this study examined BMI of seniors and BMI decline is set of by reaching end of life due to metabolism changes and the increase of comorbidities that go hand in hand with aging at higher age.</w:t>
      </w:r>
      <w:r w:rsidR="00570E8D">
        <w:rPr>
          <w:lang w:val="en-US"/>
        </w:rPr>
        <w:t xml:space="preserve"> However</w:t>
      </w:r>
      <w:r w:rsidR="00570E8D" w:rsidRPr="00604573">
        <w:rPr>
          <w:lang w:val="en-US"/>
        </w:rPr>
        <w:t xml:space="preserve"> </w:t>
      </w:r>
      <w:r w:rsidR="00570E8D">
        <w:rPr>
          <w:lang w:val="en-US"/>
        </w:rPr>
        <w:t>part of this relation may a</w:t>
      </w:r>
      <w:r w:rsidR="00570E8D" w:rsidRPr="00570E8D">
        <w:rPr>
          <w:lang w:val="en-US"/>
        </w:rPr>
        <w:t xml:space="preserve">lso </w:t>
      </w:r>
      <w:r w:rsidR="00570E8D">
        <w:rPr>
          <w:lang w:val="en-US"/>
        </w:rPr>
        <w:t xml:space="preserve">stem from the fact that </w:t>
      </w:r>
      <w:r w:rsidR="00570E8D" w:rsidRPr="00570E8D">
        <w:rPr>
          <w:lang w:val="en-US"/>
        </w:rPr>
        <w:t xml:space="preserve">people born in different periods may be exposed to trends and other external factors at different ages. </w:t>
      </w:r>
      <w:r w:rsidR="006D7415" w:rsidRPr="00072A51">
        <w:rPr>
          <w:lang w:val="en-US"/>
        </w:rPr>
        <w:t xml:space="preserve">Nevertheless </w:t>
      </w:r>
      <w:r w:rsidR="00570E8D">
        <w:rPr>
          <w:lang w:val="en-US"/>
        </w:rPr>
        <w:t>t</w:t>
      </w:r>
      <w:r w:rsidR="00EB7A13" w:rsidRPr="00072A51">
        <w:rPr>
          <w:lang w:val="en-US"/>
        </w:rPr>
        <w:t xml:space="preserve">he mean increase of BMI is driven by the </w:t>
      </w:r>
      <w:r w:rsidR="00EB7A13" w:rsidRPr="00072A51">
        <w:rPr>
          <w:lang w:val="en-US"/>
        </w:rPr>
        <w:lastRenderedPageBreak/>
        <w:t xml:space="preserve">people in the </w:t>
      </w:r>
      <w:r w:rsidR="006D7415" w:rsidRPr="00072A51">
        <w:rPr>
          <w:lang w:val="en-US"/>
        </w:rPr>
        <w:t>youngest</w:t>
      </w:r>
      <w:r w:rsidR="00EB7A13" w:rsidRPr="00072A51">
        <w:rPr>
          <w:lang w:val="en-US"/>
        </w:rPr>
        <w:t xml:space="preserve"> age category. Given the opposite movements of BMI in the tails of the age distribution of the sample</w:t>
      </w:r>
      <w:r w:rsidR="006D7415" w:rsidRPr="00072A51">
        <w:rPr>
          <w:lang w:val="en-US"/>
        </w:rPr>
        <w:t>,</w:t>
      </w:r>
      <w:r w:rsidR="00EB7A13" w:rsidRPr="00072A51">
        <w:rPr>
          <w:lang w:val="en-US"/>
        </w:rPr>
        <w:t xml:space="preserve"> creating and inverted U-shaped pattern of BMI and age</w:t>
      </w:r>
      <w:r w:rsidR="006D7415" w:rsidRPr="00072A51">
        <w:rPr>
          <w:lang w:val="en-US"/>
        </w:rPr>
        <w:t>,</w:t>
      </w:r>
      <w:r w:rsidR="00EB7A13" w:rsidRPr="00072A51">
        <w:rPr>
          <w:lang w:val="en-US"/>
        </w:rPr>
        <w:t xml:space="preserve"> it proves to be difficult to estimate significant associations of different factor</w:t>
      </w:r>
      <w:r w:rsidR="00CB33D8" w:rsidRPr="00072A51">
        <w:rPr>
          <w:lang w:val="en-US"/>
        </w:rPr>
        <w:t xml:space="preserve">s and BMI. Variables may play a </w:t>
      </w:r>
      <w:r w:rsidR="006D7415" w:rsidRPr="00072A51">
        <w:rPr>
          <w:lang w:val="en-US"/>
        </w:rPr>
        <w:t xml:space="preserve">different </w:t>
      </w:r>
      <w:r w:rsidR="00CB33D8" w:rsidRPr="00072A51">
        <w:rPr>
          <w:lang w:val="en-US"/>
        </w:rPr>
        <w:t xml:space="preserve">role in explaining the patterning of BMI at different levels of age. </w:t>
      </w:r>
    </w:p>
    <w:p w14:paraId="14968F97" w14:textId="25A4A2CC" w:rsidR="00CB33D8" w:rsidRPr="00072A51" w:rsidRDefault="00CB33D8" w:rsidP="00072A51">
      <w:pPr>
        <w:spacing w:line="360" w:lineRule="auto"/>
        <w:ind w:firstLine="360"/>
        <w:jc w:val="both"/>
        <w:rPr>
          <w:lang w:val="en-US"/>
        </w:rPr>
      </w:pPr>
      <w:r w:rsidRPr="00072A51">
        <w:rPr>
          <w:lang w:val="en-US"/>
        </w:rPr>
        <w:t>The analysis of the absolute Gini indicated that overall inequality in the BMI distribution increased for eight countries. However</w:t>
      </w:r>
      <w:r w:rsidR="006D7415" w:rsidRPr="00072A51">
        <w:rPr>
          <w:lang w:val="en-US"/>
        </w:rPr>
        <w:t xml:space="preserve"> </w:t>
      </w:r>
      <w:r w:rsidRPr="00072A51">
        <w:rPr>
          <w:lang w:val="en-US"/>
        </w:rPr>
        <w:t>the initial changes of BMI between 2004 and 2010</w:t>
      </w:r>
      <w:r w:rsidR="006D7415" w:rsidRPr="00072A51">
        <w:rPr>
          <w:lang w:val="en-US"/>
        </w:rPr>
        <w:t xml:space="preserve"> realized a more equal distribution</w:t>
      </w:r>
      <w:r w:rsidR="00C15716">
        <w:rPr>
          <w:lang w:val="en-US"/>
        </w:rPr>
        <w:t xml:space="preserve"> of</w:t>
      </w:r>
      <w:r w:rsidRPr="00072A51">
        <w:rPr>
          <w:lang w:val="en-US"/>
        </w:rPr>
        <w:t xml:space="preserve"> BMI</w:t>
      </w:r>
      <w:r w:rsidR="006D7415" w:rsidRPr="00072A51">
        <w:rPr>
          <w:lang w:val="en-US"/>
        </w:rPr>
        <w:t>, the rise in inequality was set off by</w:t>
      </w:r>
      <w:r w:rsidR="006D7415" w:rsidRPr="00072A51" w:rsidDel="006D7415">
        <w:rPr>
          <w:lang w:val="en-US"/>
        </w:rPr>
        <w:t xml:space="preserve"> </w:t>
      </w:r>
      <w:r w:rsidRPr="00072A51">
        <w:rPr>
          <w:lang w:val="en-US"/>
        </w:rPr>
        <w:t xml:space="preserve">the re-ranking effect. </w:t>
      </w:r>
      <w:r w:rsidR="006D7415" w:rsidRPr="00072A51">
        <w:rPr>
          <w:lang w:val="en-US"/>
        </w:rPr>
        <w:t xml:space="preserve">The thinner half of the people are closing in on the fatter ones. But there are also a lot of </w:t>
      </w:r>
      <w:r w:rsidR="00216F5E">
        <w:rPr>
          <w:lang w:val="en-US"/>
        </w:rPr>
        <w:t xml:space="preserve">individual </w:t>
      </w:r>
      <w:r w:rsidR="006D7415" w:rsidRPr="00072A51">
        <w:rPr>
          <w:lang w:val="en-US"/>
        </w:rPr>
        <w:t xml:space="preserve">changes when comparing the BMI distribution between 2004 and 2010. Identifying other variables that can explain these changes </w:t>
      </w:r>
      <w:r w:rsidR="00C15716">
        <w:rPr>
          <w:lang w:val="en-US"/>
        </w:rPr>
        <w:t>of BMI</w:t>
      </w:r>
      <w:r w:rsidR="006D7415" w:rsidRPr="00072A51">
        <w:rPr>
          <w:lang w:val="en-US"/>
        </w:rPr>
        <w:t xml:space="preserve"> could be an interesting subject for further research. </w:t>
      </w:r>
      <w:r w:rsidR="00A7234A" w:rsidRPr="00072A51">
        <w:rPr>
          <w:lang w:val="en-US"/>
        </w:rPr>
        <w:t xml:space="preserve">This study suggests that applying interventions to an entire population, like Geoffrey Rose’s </w:t>
      </w:r>
      <w:r w:rsidR="00A7234A" w:rsidRPr="00072A51">
        <w:rPr>
          <w:lang w:val="en-US"/>
        </w:rPr>
        <w:lastRenderedPageBreak/>
        <w:t>population-based prevention concept, may not be the most suited track to tackle the rise of BMI. There is enough reason to believe that the distribution of BMI can grow skewed over time and not the whole population is getting collectively a little bit fatter each year. Future research should focus on the identifying which sub-groups are more at risk than others when it comes to weight gaining. By revealing these drivers of BMI for different subgroups governments could design policy that is much more focused on these risk groups. This strategy would therefore have the capability of being much more effective than a uniform intervention for the whole population. However when the</w:t>
      </w:r>
      <w:r w:rsidR="00DB24EA" w:rsidRPr="00072A51">
        <w:rPr>
          <w:lang w:val="en-US"/>
        </w:rPr>
        <w:t xml:space="preserve"> desired</w:t>
      </w:r>
      <w:r w:rsidR="00A7234A" w:rsidRPr="00072A51">
        <w:rPr>
          <w:lang w:val="en-US"/>
        </w:rPr>
        <w:t xml:space="preserve"> appr</w:t>
      </w:r>
      <w:r w:rsidR="00DB24EA" w:rsidRPr="00072A51">
        <w:rPr>
          <w:lang w:val="en-US"/>
        </w:rPr>
        <w:t>oach is to target</w:t>
      </w:r>
      <w:r w:rsidR="00A7234A" w:rsidRPr="00072A51">
        <w:rPr>
          <w:lang w:val="en-US"/>
        </w:rPr>
        <w:t xml:space="preserve"> the whole population</w:t>
      </w:r>
      <w:r w:rsidR="00DB24EA" w:rsidRPr="00072A51">
        <w:rPr>
          <w:lang w:val="en-US"/>
        </w:rPr>
        <w:t xml:space="preserve"> this could better be focused on activity and sports, as the data suggests that people who are </w:t>
      </w:r>
      <w:r w:rsidR="00570E8D" w:rsidRPr="00072A51">
        <w:rPr>
          <w:lang w:val="en-US"/>
        </w:rPr>
        <w:t>active</w:t>
      </w:r>
      <w:r w:rsidR="00DB24EA" w:rsidRPr="00072A51">
        <w:rPr>
          <w:lang w:val="en-US"/>
        </w:rPr>
        <w:t xml:space="preserve"> on a weekly basis are not only healthier in terms of BMI, but also appear to maintain their weight better than people who do not.</w:t>
      </w:r>
    </w:p>
    <w:p w14:paraId="3AB43C95" w14:textId="4C7D5B7E" w:rsidR="00C86075" w:rsidRPr="00072A51" w:rsidRDefault="007B112B" w:rsidP="00072A51">
      <w:pPr>
        <w:spacing w:line="360" w:lineRule="auto"/>
        <w:ind w:firstLine="360"/>
        <w:jc w:val="both"/>
        <w:rPr>
          <w:lang w:val="en-US"/>
        </w:rPr>
      </w:pPr>
      <w:r w:rsidRPr="00072A51">
        <w:rPr>
          <w:lang w:val="en-US"/>
        </w:rPr>
        <w:lastRenderedPageBreak/>
        <w:t>It appears to be very difficult to find causational variables of BMI</w:t>
      </w:r>
      <w:r w:rsidR="00DB24EA" w:rsidRPr="00072A51">
        <w:rPr>
          <w:lang w:val="en-US"/>
        </w:rPr>
        <w:t xml:space="preserve"> </w:t>
      </w:r>
      <w:r w:rsidR="00885B6E" w:rsidRPr="00072A51">
        <w:rPr>
          <w:lang w:val="en-US"/>
        </w:rPr>
        <w:t xml:space="preserve">when </w:t>
      </w:r>
      <w:r w:rsidR="00DB24EA" w:rsidRPr="00072A51">
        <w:rPr>
          <w:lang w:val="en-US"/>
        </w:rPr>
        <w:t>weight</w:t>
      </w:r>
      <w:r w:rsidR="00885B6E" w:rsidRPr="00072A51">
        <w:rPr>
          <w:lang w:val="en-US"/>
        </w:rPr>
        <w:t xml:space="preserve"> is a factor of interest</w:t>
      </w:r>
      <w:r w:rsidR="00DB24EA" w:rsidRPr="00072A51">
        <w:rPr>
          <w:lang w:val="en-US"/>
        </w:rPr>
        <w:t xml:space="preserve">, </w:t>
      </w:r>
      <w:r w:rsidR="00885B6E" w:rsidRPr="00072A51">
        <w:rPr>
          <w:lang w:val="en-US"/>
        </w:rPr>
        <w:t>because it</w:t>
      </w:r>
      <w:r w:rsidR="00DB24EA" w:rsidRPr="00072A51">
        <w:rPr>
          <w:lang w:val="en-US"/>
        </w:rPr>
        <w:t xml:space="preserve"> is by nature a very </w:t>
      </w:r>
      <w:r w:rsidRPr="00072A51">
        <w:rPr>
          <w:lang w:val="en-US"/>
        </w:rPr>
        <w:t xml:space="preserve">endogenous </w:t>
      </w:r>
      <w:r w:rsidR="00DB24EA" w:rsidRPr="00072A51">
        <w:rPr>
          <w:lang w:val="en-US"/>
        </w:rPr>
        <w:t>component</w:t>
      </w:r>
      <w:r w:rsidRPr="00072A51">
        <w:rPr>
          <w:lang w:val="en-US"/>
        </w:rPr>
        <w:t>. When conducting research on BMI one should also be aware of the possible difficulties that may arise from the complex interactions of age and BMI. Impact of variables on BMI may be very diverse for people of different age.</w:t>
      </w:r>
      <w:r w:rsidR="00885B6E" w:rsidRPr="00072A51">
        <w:rPr>
          <w:lang w:val="en-US"/>
        </w:rPr>
        <w:t xml:space="preserve"> This implies that one should not only consider gender neutral models, but also </w:t>
      </w:r>
      <w:r w:rsidR="00DD37A7" w:rsidRPr="00072A51">
        <w:rPr>
          <w:lang w:val="en-US"/>
        </w:rPr>
        <w:t>designing models with low age variation.</w:t>
      </w:r>
      <w:r w:rsidR="00537A73" w:rsidRPr="00072A51">
        <w:rPr>
          <w:lang w:val="en-US"/>
        </w:rPr>
        <w:t xml:space="preserve"> The </w:t>
      </w:r>
      <w:r w:rsidR="00F910AD" w:rsidRPr="00072A51">
        <w:rPr>
          <w:lang w:val="en-US"/>
        </w:rPr>
        <w:t>worldwide</w:t>
      </w:r>
      <w:r w:rsidR="00537A73" w:rsidRPr="00072A51">
        <w:rPr>
          <w:lang w:val="en-US"/>
        </w:rPr>
        <w:t xml:space="preserve"> debate on BMI increase and the way in how it should be addressed is ongoing. This study shows that one should be prudent when pinpointing variables that are associated with BMI increase and keep in mind that a large part of the equation is explained by genetic disposition.</w:t>
      </w:r>
    </w:p>
    <w:p w14:paraId="2F84F746" w14:textId="77777777" w:rsidR="00C86075" w:rsidRPr="00072A51" w:rsidRDefault="00C86075" w:rsidP="00072A51">
      <w:pPr>
        <w:spacing w:line="360" w:lineRule="auto"/>
        <w:ind w:firstLine="360"/>
        <w:jc w:val="both"/>
        <w:rPr>
          <w:lang w:val="en-US"/>
        </w:rPr>
      </w:pPr>
    </w:p>
    <w:p w14:paraId="1B0EF56D" w14:textId="77777777" w:rsidR="00C86075" w:rsidRDefault="00C86075" w:rsidP="007B112B">
      <w:pPr>
        <w:spacing w:line="360" w:lineRule="auto"/>
        <w:jc w:val="both"/>
        <w:rPr>
          <w:rFonts w:cs="AdvPED1282"/>
          <w:color w:val="000000"/>
          <w:lang w:val="en-US"/>
        </w:rPr>
      </w:pPr>
    </w:p>
    <w:p w14:paraId="27EA0488" w14:textId="77777777" w:rsidR="00C86075" w:rsidRDefault="00C86075" w:rsidP="007B112B">
      <w:pPr>
        <w:spacing w:line="360" w:lineRule="auto"/>
        <w:jc w:val="both"/>
        <w:rPr>
          <w:rFonts w:cs="AdvPED1282"/>
          <w:color w:val="000000"/>
          <w:lang w:val="en-US"/>
        </w:rPr>
      </w:pPr>
    </w:p>
    <w:p w14:paraId="6ECDA542" w14:textId="77777777" w:rsidR="00C86075" w:rsidRDefault="00C86075" w:rsidP="007B112B">
      <w:pPr>
        <w:spacing w:line="360" w:lineRule="auto"/>
        <w:jc w:val="both"/>
        <w:rPr>
          <w:rFonts w:cs="AdvPED1282"/>
          <w:color w:val="000000"/>
          <w:lang w:val="en-US"/>
        </w:rPr>
      </w:pPr>
    </w:p>
    <w:p w14:paraId="640DFAF7" w14:textId="77777777" w:rsidR="0061503F" w:rsidRPr="006C09A3" w:rsidRDefault="0061503F" w:rsidP="00072A51">
      <w:pPr>
        <w:spacing w:line="360" w:lineRule="auto"/>
        <w:jc w:val="both"/>
        <w:rPr>
          <w:b/>
          <w:lang w:val="en-US"/>
        </w:rPr>
      </w:pPr>
    </w:p>
    <w:p w14:paraId="0761B39F" w14:textId="77777777" w:rsidR="004856F6" w:rsidRDefault="00434257" w:rsidP="00994430">
      <w:pPr>
        <w:pStyle w:val="Heading1"/>
      </w:pPr>
      <w:bookmarkStart w:id="27" w:name="_Toc432114518"/>
      <w:r w:rsidRPr="00994430">
        <w:t>References</w:t>
      </w:r>
      <w:bookmarkEnd w:id="27"/>
    </w:p>
    <w:p w14:paraId="4A347EBA" w14:textId="77777777" w:rsidR="00B16B10" w:rsidRPr="00D31503" w:rsidRDefault="00B16B10" w:rsidP="009F3306"/>
    <w:p w14:paraId="0BAEA468" w14:textId="77777777" w:rsidR="00984E93" w:rsidRPr="00984E93" w:rsidRDefault="00984E93" w:rsidP="00984E93">
      <w:pPr>
        <w:rPr>
          <w:noProof/>
          <w:lang w:val="en-US"/>
        </w:rPr>
      </w:pPr>
      <w:r w:rsidRPr="00984E93">
        <w:rPr>
          <w:noProof/>
          <w:lang w:val="en-US"/>
        </w:rPr>
        <w:t>Blinder. (1973). Wage Discrimination: Reduced Form and Structural Estimates. The Journal of Human Resources, 436-455.</w:t>
      </w:r>
    </w:p>
    <w:p w14:paraId="45E5D0D2" w14:textId="77777777" w:rsidR="00984E93" w:rsidRPr="00984E93" w:rsidRDefault="00984E93" w:rsidP="00984E93">
      <w:pPr>
        <w:rPr>
          <w:noProof/>
          <w:lang w:val="en-US"/>
        </w:rPr>
      </w:pPr>
      <w:r w:rsidRPr="00984E93">
        <w:rPr>
          <w:noProof/>
          <w:lang w:val="en-US"/>
        </w:rPr>
        <w:t>Cawley, J. (2011). The Oxford handbook of the social science of obesity. Oxford: Oxford University Press.</w:t>
      </w:r>
    </w:p>
    <w:p w14:paraId="1C88D41E" w14:textId="77777777" w:rsidR="00984E93" w:rsidRPr="00984E93" w:rsidRDefault="00984E93" w:rsidP="00984E93">
      <w:pPr>
        <w:rPr>
          <w:noProof/>
          <w:lang w:val="en-US"/>
        </w:rPr>
      </w:pPr>
      <w:r w:rsidRPr="00984E93">
        <w:rPr>
          <w:noProof/>
          <w:lang w:val="en-US"/>
        </w:rPr>
        <w:t>Chou, S., Grossman, M., &amp; Saffer, H. (2004). An economic analysis of adult obesity: results from the Behavioral Risk Factor Surveillance System. Journal of Health Economics, 565-587.</w:t>
      </w:r>
    </w:p>
    <w:p w14:paraId="483E55D8" w14:textId="77777777" w:rsidR="00984E93" w:rsidRPr="00984E93" w:rsidRDefault="00984E93" w:rsidP="00984E93">
      <w:pPr>
        <w:rPr>
          <w:noProof/>
          <w:lang w:val="en-US"/>
        </w:rPr>
      </w:pPr>
      <w:r w:rsidRPr="00984E93">
        <w:rPr>
          <w:noProof/>
          <w:lang w:val="en-US"/>
        </w:rPr>
        <w:t>Clark, Gerdtham, Johannesson, Bingefors, &amp; Smith. (2002). On the measurement of relative and absolute income-related health inequality. Social Science &amp; Medicine, 1923-1928.</w:t>
      </w:r>
    </w:p>
    <w:p w14:paraId="1A701C3C" w14:textId="77777777" w:rsidR="00984E93" w:rsidRPr="00984E93" w:rsidRDefault="00984E93" w:rsidP="00984E93">
      <w:pPr>
        <w:rPr>
          <w:noProof/>
          <w:lang w:val="en-US"/>
        </w:rPr>
      </w:pPr>
      <w:r w:rsidRPr="00984E93">
        <w:rPr>
          <w:noProof/>
          <w:lang w:val="en-US"/>
        </w:rPr>
        <w:t>Conley, &amp; Glauber. (2006). Parental Educational Investment and Children’s Academic Risk. Journal of Human Resources, 722-737.</w:t>
      </w:r>
    </w:p>
    <w:p w14:paraId="59F7D853" w14:textId="77777777" w:rsidR="00984E93" w:rsidRPr="00984E93" w:rsidRDefault="00984E93" w:rsidP="00984E93">
      <w:pPr>
        <w:rPr>
          <w:noProof/>
          <w:lang w:val="en-US"/>
        </w:rPr>
      </w:pPr>
      <w:r w:rsidRPr="00984E93">
        <w:rPr>
          <w:noProof/>
          <w:lang w:val="en-US"/>
        </w:rPr>
        <w:lastRenderedPageBreak/>
        <w:t>Cutler, G. S. (2003). Why Have Americans Become More Obese? Journal of Economic Perspectives, 93-118.</w:t>
      </w:r>
    </w:p>
    <w:p w14:paraId="1432E0A4" w14:textId="77777777" w:rsidR="00984E93" w:rsidRPr="00984E93" w:rsidRDefault="00984E93" w:rsidP="00984E93">
      <w:pPr>
        <w:rPr>
          <w:noProof/>
          <w:lang w:val="en-US"/>
        </w:rPr>
      </w:pPr>
      <w:r w:rsidRPr="00984E93">
        <w:rPr>
          <w:noProof/>
          <w:lang w:val="en-US"/>
        </w:rPr>
        <w:t>Drewnowski, &amp; Monsivais. (2007). The Rising Cost of Low-Energy-Density Foods. Journal of the American Dietetic Association, 2071-2076.</w:t>
      </w:r>
    </w:p>
    <w:p w14:paraId="7EE0AA0C" w14:textId="77777777" w:rsidR="00984E93" w:rsidRPr="00984E93" w:rsidRDefault="00984E93" w:rsidP="00984E93">
      <w:pPr>
        <w:rPr>
          <w:noProof/>
          <w:lang w:val="en-US"/>
        </w:rPr>
      </w:pPr>
      <w:r w:rsidRPr="00984E93">
        <w:rPr>
          <w:noProof/>
          <w:lang w:val="en-US"/>
        </w:rPr>
        <w:t>Dzewaltowski, &amp; Ford. (2008). Disparities in obesity prevalence due to variation in the retail food environment: three testable hypotheses. Nutrition Reviews, 216-228.</w:t>
      </w:r>
    </w:p>
    <w:p w14:paraId="0BE89097" w14:textId="77777777" w:rsidR="00984E93" w:rsidRPr="00984E93" w:rsidRDefault="00984E93" w:rsidP="00984E93">
      <w:pPr>
        <w:rPr>
          <w:noProof/>
          <w:lang w:val="en-US"/>
        </w:rPr>
      </w:pPr>
      <w:r w:rsidRPr="00984E93">
        <w:rPr>
          <w:noProof/>
          <w:lang w:val="en-US"/>
        </w:rPr>
        <w:t>Flegal, &amp; Troiano. (2000). Changes in the distribution of body mass index of adults and children in the US population. International Journal of Obesity, 807-818.</w:t>
      </w:r>
    </w:p>
    <w:p w14:paraId="73FF98A4" w14:textId="77777777" w:rsidR="00984E93" w:rsidRPr="00984E93" w:rsidRDefault="00984E93" w:rsidP="00984E93">
      <w:pPr>
        <w:rPr>
          <w:noProof/>
          <w:lang w:val="en-US"/>
        </w:rPr>
      </w:pPr>
      <w:r w:rsidRPr="00984E93">
        <w:rPr>
          <w:noProof/>
          <w:lang w:val="en-US"/>
        </w:rPr>
        <w:t>Fogelholm, &amp; Nuutinen. (1999). Parent-child relationship of physical activity patterns and obesity. International Journal of Obesity, 1262-1268.</w:t>
      </w:r>
    </w:p>
    <w:p w14:paraId="2F8FB6BA" w14:textId="77777777" w:rsidR="00984E93" w:rsidRPr="00984E93" w:rsidRDefault="00984E93" w:rsidP="00984E93">
      <w:pPr>
        <w:rPr>
          <w:noProof/>
          <w:lang w:val="en-US"/>
        </w:rPr>
      </w:pPr>
      <w:r w:rsidRPr="00984E93">
        <w:rPr>
          <w:noProof/>
          <w:lang w:val="en-US"/>
        </w:rPr>
        <w:t>Fortin, Lemieux, &amp; Firpo. (2011). Decomposition Methods in Economics. Amsterdam: Elsevier.</w:t>
      </w:r>
    </w:p>
    <w:p w14:paraId="3761CDD2" w14:textId="77777777" w:rsidR="00984E93" w:rsidRPr="00984E93" w:rsidRDefault="00984E93" w:rsidP="00984E93">
      <w:pPr>
        <w:rPr>
          <w:noProof/>
          <w:lang w:val="en-US"/>
        </w:rPr>
      </w:pPr>
      <w:r w:rsidRPr="00984E93">
        <w:rPr>
          <w:noProof/>
          <w:lang w:val="en-US"/>
        </w:rPr>
        <w:t>Gallagher, V. S. (1996). How Useful Is Body Mass Index for Comparison of Body Fatness across Age, Sex, and Ethnic Groups? American Journal of Epidemiology, 228-239.</w:t>
      </w:r>
    </w:p>
    <w:p w14:paraId="3E21B95F" w14:textId="77777777" w:rsidR="00984E93" w:rsidRPr="00984E93" w:rsidRDefault="00984E93" w:rsidP="00984E93">
      <w:pPr>
        <w:rPr>
          <w:noProof/>
          <w:lang w:val="en-US"/>
        </w:rPr>
      </w:pPr>
      <w:r w:rsidRPr="00984E93">
        <w:rPr>
          <w:noProof/>
          <w:lang w:val="en-US"/>
        </w:rPr>
        <w:lastRenderedPageBreak/>
        <w:t>Goldman, Lakdawalla, &amp; Zheng. (2009). Food Prices and the Dynamics of Body Weight. NBER Working Paper No. 15096.</w:t>
      </w:r>
    </w:p>
    <w:p w14:paraId="2ED14150" w14:textId="77777777" w:rsidR="00984E93" w:rsidRPr="00984E93" w:rsidRDefault="00984E93" w:rsidP="00984E93">
      <w:pPr>
        <w:rPr>
          <w:noProof/>
          <w:lang w:val="en-US"/>
        </w:rPr>
      </w:pPr>
      <w:r w:rsidRPr="00984E93">
        <w:rPr>
          <w:noProof/>
          <w:lang w:val="en-US"/>
        </w:rPr>
        <w:t>Huang, Maynard, Demerath, Towne, Chumlea, &amp; Siervogel. (2000). Body mass index during childhood, adolescence and young adulthood in relation to adult overweight and adiposity: the Fels Longitudinal Study. International Journal of Obesity and Related Metabolic Disorders, 1628-1635.</w:t>
      </w:r>
    </w:p>
    <w:p w14:paraId="2CC35EB3" w14:textId="77777777" w:rsidR="00984E93" w:rsidRPr="00984E93" w:rsidRDefault="00984E93" w:rsidP="00984E93">
      <w:pPr>
        <w:rPr>
          <w:noProof/>
          <w:lang w:val="en-US"/>
        </w:rPr>
      </w:pPr>
      <w:r w:rsidRPr="00984E93">
        <w:rPr>
          <w:noProof/>
          <w:lang w:val="en-US"/>
        </w:rPr>
        <w:t>Iannuzzi-Sucich, Prestwood, &amp; Kenny. (2002). Prevalence of Sarcopenia and Predictors of Skeletal Muscle Mass in Healthy, Older Men and Women. Journal of Gerontology, 772-777.</w:t>
      </w:r>
    </w:p>
    <w:p w14:paraId="5E14BB30" w14:textId="77777777" w:rsidR="00984E93" w:rsidRPr="00984E93" w:rsidRDefault="00984E93" w:rsidP="00984E93">
      <w:pPr>
        <w:rPr>
          <w:noProof/>
          <w:lang w:val="en-US"/>
        </w:rPr>
      </w:pPr>
      <w:r w:rsidRPr="00984E93">
        <w:rPr>
          <w:noProof/>
          <w:lang w:val="en-US"/>
        </w:rPr>
        <w:t>Jackson, S. G. (2002). The effect of sex, age and race on estimating percentage body fat from body mass index: The Heritage Family Study. International Journal of Obesity and Related Metabolic Disorders, 789-796.</w:t>
      </w:r>
    </w:p>
    <w:p w14:paraId="5C5E0930" w14:textId="77777777" w:rsidR="00984E93" w:rsidRPr="00984E93" w:rsidRDefault="00984E93" w:rsidP="00984E93">
      <w:pPr>
        <w:rPr>
          <w:noProof/>
          <w:lang w:val="en-US"/>
        </w:rPr>
      </w:pPr>
      <w:r w:rsidRPr="00984E93">
        <w:rPr>
          <w:noProof/>
          <w:lang w:val="en-US"/>
        </w:rPr>
        <w:t>Jenkins, &amp; Kerm, v. (2006). Trends in income inequality, pro-poor income growth, and income mobility. Oxford Economic Papers, 531-548.</w:t>
      </w:r>
    </w:p>
    <w:p w14:paraId="1E934DBB" w14:textId="77777777" w:rsidR="00984E93" w:rsidRPr="00984E93" w:rsidRDefault="00984E93" w:rsidP="00984E93">
      <w:pPr>
        <w:rPr>
          <w:noProof/>
          <w:lang w:val="en-US"/>
        </w:rPr>
      </w:pPr>
      <w:r w:rsidRPr="00984E93">
        <w:rPr>
          <w:noProof/>
          <w:lang w:val="en-US"/>
        </w:rPr>
        <w:t>Jolliffe, D. (2007). The Income Gradient and Distribution-Sensitive Measures of Overweight in the U.S. Gold Coast: Economic Research Service, U.S. Department of Agriculture.</w:t>
      </w:r>
    </w:p>
    <w:p w14:paraId="1419C9DD" w14:textId="77777777" w:rsidR="00984E93" w:rsidRPr="00984E93" w:rsidRDefault="00984E93" w:rsidP="00984E93">
      <w:pPr>
        <w:rPr>
          <w:noProof/>
          <w:lang w:val="en-US"/>
        </w:rPr>
      </w:pPr>
      <w:r w:rsidRPr="00984E93">
        <w:rPr>
          <w:noProof/>
          <w:lang w:val="en-US"/>
        </w:rPr>
        <w:lastRenderedPageBreak/>
        <w:t>Jones. (1983). On Decomposing the Wage Gap: A Critical Comment on Blinder's Method. Journal of Human Resources, 126-130.</w:t>
      </w:r>
    </w:p>
    <w:p w14:paraId="3C61EF57" w14:textId="77777777" w:rsidR="00984E93" w:rsidRPr="00984E93" w:rsidRDefault="00984E93" w:rsidP="00984E93">
      <w:pPr>
        <w:rPr>
          <w:noProof/>
          <w:lang w:val="en-US"/>
        </w:rPr>
      </w:pPr>
      <w:r w:rsidRPr="00984E93">
        <w:rPr>
          <w:noProof/>
          <w:lang w:val="en-US"/>
        </w:rPr>
        <w:t>Kakwani, Wagstaff, &amp; Doorslaer, V. (1997). Socioeconomic inequalities in health: Measurement, computation, and statistical inference. Journal of Econometrics, 87-103.</w:t>
      </w:r>
    </w:p>
    <w:p w14:paraId="14279E19" w14:textId="77777777" w:rsidR="00984E93" w:rsidRPr="00984E93" w:rsidRDefault="00984E93" w:rsidP="00984E93">
      <w:pPr>
        <w:rPr>
          <w:noProof/>
          <w:lang w:val="en-US"/>
        </w:rPr>
      </w:pPr>
      <w:r w:rsidRPr="00984E93">
        <w:rPr>
          <w:noProof/>
          <w:lang w:val="en-US"/>
        </w:rPr>
        <w:t>Lakdawalla, &amp; Philipson. (2002). The Growth of Obesity and Technological Change: A Theoretical and Empirical Examination. NBER Working Paper No. 8946.</w:t>
      </w:r>
    </w:p>
    <w:p w14:paraId="4EE8CF1E" w14:textId="77777777" w:rsidR="00984E93" w:rsidRPr="00984E93" w:rsidRDefault="00984E93" w:rsidP="00984E93">
      <w:pPr>
        <w:rPr>
          <w:noProof/>
          <w:lang w:val="en-US"/>
        </w:rPr>
      </w:pPr>
      <w:r w:rsidRPr="00984E93">
        <w:rPr>
          <w:noProof/>
          <w:lang w:val="en-US"/>
        </w:rPr>
        <w:t>Lakdawalla, D., &amp; Philipson, T. (2009). The growth of obesity and technological change. Economics &amp; Human Biology, 283–293.</w:t>
      </w:r>
    </w:p>
    <w:p w14:paraId="545E87EA" w14:textId="77777777" w:rsidR="00984E93" w:rsidRPr="00984E93" w:rsidRDefault="00984E93" w:rsidP="00984E93">
      <w:pPr>
        <w:rPr>
          <w:noProof/>
          <w:lang w:val="en-US"/>
        </w:rPr>
      </w:pPr>
      <w:r w:rsidRPr="00984E93">
        <w:rPr>
          <w:noProof/>
          <w:lang w:val="en-US"/>
        </w:rPr>
        <w:t>Maes, Neale, &amp; Eaves. (1997). Genetic and Environmental Factors in Relative Body Weight and Human Adiposity. Behavior Genetics, 325-351.</w:t>
      </w:r>
    </w:p>
    <w:p w14:paraId="499109ED" w14:textId="77777777" w:rsidR="00984E93" w:rsidRPr="00984E93" w:rsidRDefault="00984E93" w:rsidP="00984E93">
      <w:pPr>
        <w:rPr>
          <w:noProof/>
          <w:lang w:val="en-US"/>
        </w:rPr>
      </w:pPr>
      <w:r w:rsidRPr="00984E93">
        <w:rPr>
          <w:noProof/>
          <w:lang w:val="en-US"/>
        </w:rPr>
        <w:t>McLaren. (2007). Socioeconomic Status and Obesity. Epidemiologic Reviews, 29-48.</w:t>
      </w:r>
    </w:p>
    <w:p w14:paraId="5C36B4D8" w14:textId="77777777" w:rsidR="00984E93" w:rsidRPr="00984E93" w:rsidRDefault="00984E93" w:rsidP="00984E93">
      <w:pPr>
        <w:rPr>
          <w:noProof/>
          <w:lang w:val="en-US"/>
        </w:rPr>
      </w:pPr>
      <w:r w:rsidRPr="00984E93">
        <w:rPr>
          <w:noProof/>
          <w:lang w:val="en-US"/>
        </w:rPr>
        <w:t>Michael, Green, &amp; Farquhar. (2006). Neighborhood design and active aging. Health &amp; Place, 734-740.</w:t>
      </w:r>
    </w:p>
    <w:p w14:paraId="39C4A3F3" w14:textId="77777777" w:rsidR="00984E93" w:rsidRPr="00984E93" w:rsidRDefault="00984E93" w:rsidP="00984E93">
      <w:pPr>
        <w:rPr>
          <w:noProof/>
          <w:lang w:val="en-US"/>
        </w:rPr>
      </w:pPr>
      <w:r w:rsidRPr="00984E93">
        <w:rPr>
          <w:noProof/>
          <w:lang w:val="en-US"/>
        </w:rPr>
        <w:lastRenderedPageBreak/>
        <w:t>Midthjell, Kruger, Holmen, Tverdal, Claudi, &amp; Bjorndal. (1999). Rapid changes in the prevalence of obesity and known diabetes in an adult Norwegian population. . Diabetes Care, 1813-1820.</w:t>
      </w:r>
    </w:p>
    <w:p w14:paraId="47D2872E" w14:textId="77777777" w:rsidR="00984E93" w:rsidRPr="00984E93" w:rsidRDefault="00984E93" w:rsidP="00984E93">
      <w:pPr>
        <w:rPr>
          <w:noProof/>
          <w:lang w:val="en-US"/>
        </w:rPr>
      </w:pPr>
      <w:r w:rsidRPr="00984E93">
        <w:rPr>
          <w:noProof/>
          <w:lang w:val="en-US"/>
        </w:rPr>
        <w:t>Molarius, Seidell, Sans, Tuomilehto, &amp; Kuulasmaa. (2000). Educational level, relative body weight, and changes in their association over 10 years: an international perspective from the WHO MONICA Project. American Journal of Public Health, 1260-1268.</w:t>
      </w:r>
    </w:p>
    <w:p w14:paraId="7298CABF" w14:textId="77777777" w:rsidR="00984E93" w:rsidRPr="00984E93" w:rsidRDefault="00984E93" w:rsidP="00984E93">
      <w:pPr>
        <w:rPr>
          <w:noProof/>
          <w:lang w:val="en-US"/>
        </w:rPr>
      </w:pPr>
      <w:r w:rsidRPr="00984E93">
        <w:rPr>
          <w:noProof/>
          <w:lang w:val="en-US"/>
        </w:rPr>
        <w:t>Monteiro, Conde, &amp; Popkin. (2001). Independent Effects of Income and Education on the Risk of Obesity in the Brazilian Adult Population. Journal of Nutrition, 8815-8865.</w:t>
      </w:r>
    </w:p>
    <w:p w14:paraId="6AA6F5D3" w14:textId="77777777" w:rsidR="00984E93" w:rsidRDefault="00984E93" w:rsidP="00984E93">
      <w:pPr>
        <w:rPr>
          <w:noProof/>
          <w:lang w:val="en-US"/>
        </w:rPr>
      </w:pPr>
      <w:r w:rsidRPr="00984E93">
        <w:rPr>
          <w:noProof/>
          <w:lang w:val="en-US"/>
        </w:rPr>
        <w:t>Newman, Lee, Visser, Goodpaster, Kritchevsky, Tylavsky, . . . Harris. (2005). Weight change and the conservation of lean mass in old age: the Health, Aging and Body Composition Study. American Journal of Clinical Nutrition, 872-878.</w:t>
      </w:r>
    </w:p>
    <w:p w14:paraId="56CCC656" w14:textId="5BC86E14" w:rsidR="00835FB7" w:rsidRPr="00984E93" w:rsidRDefault="00835FB7" w:rsidP="00984E93">
      <w:pPr>
        <w:rPr>
          <w:noProof/>
          <w:lang w:val="en-US"/>
        </w:rPr>
      </w:pPr>
      <w:r>
        <w:rPr>
          <w:noProof/>
          <w:lang w:val="en-US"/>
        </w:rPr>
        <w:t>NICE</w:t>
      </w:r>
      <w:r w:rsidRPr="00984E93">
        <w:rPr>
          <w:noProof/>
          <w:lang w:val="en-US"/>
        </w:rPr>
        <w:t>. (2006). Nutrition Support for Adults: Oral Nutrition Support, Enteral Tube Feeding and Parenteral Nutrition. UK: NI</w:t>
      </w:r>
      <w:r>
        <w:rPr>
          <w:noProof/>
          <w:lang w:val="en-US"/>
        </w:rPr>
        <w:t>CE Clinical Guidelines. No. 32.</w:t>
      </w:r>
    </w:p>
    <w:p w14:paraId="223183FC" w14:textId="77777777" w:rsidR="00984E93" w:rsidRPr="00984E93" w:rsidRDefault="00984E93" w:rsidP="00984E93">
      <w:pPr>
        <w:rPr>
          <w:noProof/>
          <w:lang w:val="en-US"/>
        </w:rPr>
      </w:pPr>
      <w:r w:rsidRPr="00984E93">
        <w:rPr>
          <w:noProof/>
          <w:lang w:val="en-US"/>
        </w:rPr>
        <w:lastRenderedPageBreak/>
        <w:t>Nielsen, &amp; Andersen. (2003). The association between high blood pressure, physical fitness, and body mass index in adolescents. Preventive Medicine, 229-234.</w:t>
      </w:r>
    </w:p>
    <w:p w14:paraId="60A11657" w14:textId="77777777" w:rsidR="00984E93" w:rsidRPr="00984E93" w:rsidRDefault="00984E93" w:rsidP="00984E93">
      <w:pPr>
        <w:rPr>
          <w:noProof/>
          <w:lang w:val="en-US"/>
        </w:rPr>
      </w:pPr>
      <w:r w:rsidRPr="00072A51">
        <w:rPr>
          <w:noProof/>
          <w:lang w:val="en-US"/>
        </w:rPr>
        <w:t xml:space="preserve">Nooyens, Visscher, Schuit, Rossum, Verschuren, Mechelen, &amp; Seidell. </w:t>
      </w:r>
      <w:r w:rsidRPr="00984E93">
        <w:rPr>
          <w:noProof/>
          <w:lang w:val="en-US"/>
        </w:rPr>
        <w:t>(2005). Effects of retirement on lifestyle in relation to changes in weight and waist circumference in Dutch men: a prospective study. Public Health Nutrition, 1266-1274.</w:t>
      </w:r>
    </w:p>
    <w:p w14:paraId="1EE2DF80" w14:textId="77777777" w:rsidR="00984E93" w:rsidRPr="00984E93" w:rsidRDefault="00984E93" w:rsidP="00984E93">
      <w:pPr>
        <w:rPr>
          <w:noProof/>
          <w:lang w:val="en-US"/>
        </w:rPr>
      </w:pPr>
      <w:r w:rsidRPr="00984E93">
        <w:rPr>
          <w:noProof/>
          <w:lang w:val="en-US"/>
        </w:rPr>
        <w:t>Oaxaca. (1973). Male-Female Wage Differentials in Urban Labor Markets. International Economic Review, 693-709.</w:t>
      </w:r>
    </w:p>
    <w:p w14:paraId="00A4E774" w14:textId="77777777" w:rsidR="00984E93" w:rsidRPr="00984E93" w:rsidRDefault="00984E93" w:rsidP="00984E93">
      <w:pPr>
        <w:rPr>
          <w:noProof/>
          <w:lang w:val="en-US"/>
        </w:rPr>
      </w:pPr>
      <w:r w:rsidRPr="00984E93">
        <w:rPr>
          <w:noProof/>
          <w:lang w:val="en-US"/>
        </w:rPr>
        <w:t>O'Donnell, Doorslaer, v., Wagstaff, &amp; Lindelow. (2007). Analyzing Health Equity Using Household Survey Data. Washington: The World Bank.</w:t>
      </w:r>
    </w:p>
    <w:p w14:paraId="514FF839" w14:textId="77777777" w:rsidR="00984E93" w:rsidRPr="00984E93" w:rsidRDefault="00984E93" w:rsidP="00984E93">
      <w:pPr>
        <w:rPr>
          <w:noProof/>
          <w:lang w:val="en-US"/>
        </w:rPr>
      </w:pPr>
      <w:r w:rsidRPr="00072A51">
        <w:rPr>
          <w:noProof/>
          <w:lang w:val="en-US"/>
        </w:rPr>
        <w:t xml:space="preserve">Ourti, V., Doorslaer, V., &amp; Koolman. </w:t>
      </w:r>
      <w:r w:rsidRPr="00984E93">
        <w:rPr>
          <w:noProof/>
          <w:lang w:val="en-US"/>
        </w:rPr>
        <w:t>(2009). The effect of income growth and inequality on health inequality: Theory and empirical evidence from the European Panel. Journal of Health Economics, 525-539.</w:t>
      </w:r>
    </w:p>
    <w:p w14:paraId="03F28D8F" w14:textId="77777777" w:rsidR="00984E93" w:rsidRPr="00984E93" w:rsidRDefault="00984E93" w:rsidP="00984E93">
      <w:pPr>
        <w:rPr>
          <w:noProof/>
          <w:lang w:val="en-US"/>
        </w:rPr>
      </w:pPr>
      <w:r w:rsidRPr="00984E93">
        <w:rPr>
          <w:noProof/>
          <w:lang w:val="en-US"/>
        </w:rPr>
        <w:t>Penman, &amp; Johnson. (2006). The Changing Shape of the Body Mass Index Distribution Curve in the Population: Implications for Public Health Policy to Reduce the Prevalence of Adult Obesity. Preventing Chronic Disease.</w:t>
      </w:r>
    </w:p>
    <w:p w14:paraId="0B2D66A4" w14:textId="77777777" w:rsidR="00984E93" w:rsidRPr="00984E93" w:rsidRDefault="00984E93" w:rsidP="00984E93">
      <w:pPr>
        <w:rPr>
          <w:noProof/>
          <w:lang w:val="en-US"/>
        </w:rPr>
      </w:pPr>
      <w:r w:rsidRPr="00984E93">
        <w:rPr>
          <w:noProof/>
          <w:lang w:val="en-US"/>
        </w:rPr>
        <w:lastRenderedPageBreak/>
        <w:t>Powell, Slater, Chaloupka, &amp; Harper. (2006). Availability of Physical Activity–Related Facilities and Neighborhood Demographic and Socioeconomic Characteristics: A National Study. American Journal of Public Health , 1676-1680.</w:t>
      </w:r>
    </w:p>
    <w:p w14:paraId="67C76430" w14:textId="77777777" w:rsidR="00984E93" w:rsidRPr="00984E93" w:rsidRDefault="00984E93" w:rsidP="00984E93">
      <w:pPr>
        <w:rPr>
          <w:noProof/>
          <w:lang w:val="en-US"/>
        </w:rPr>
      </w:pPr>
      <w:r w:rsidRPr="00984E93">
        <w:rPr>
          <w:noProof/>
          <w:lang w:val="en-US"/>
        </w:rPr>
        <w:t xml:space="preserve">Rose. (1992). The strategy of preventive medicine. </w:t>
      </w:r>
    </w:p>
    <w:p w14:paraId="675B71A2" w14:textId="77777777" w:rsidR="00984E93" w:rsidRPr="00984E93" w:rsidRDefault="00984E93" w:rsidP="00984E93">
      <w:pPr>
        <w:rPr>
          <w:noProof/>
          <w:lang w:val="en-US"/>
        </w:rPr>
      </w:pPr>
      <w:r w:rsidRPr="00072A51">
        <w:rPr>
          <w:noProof/>
        </w:rPr>
        <w:t xml:space="preserve">Roseboom, Muelen, v. d., Ravelli, Osmond, Barker, &amp; Bleker. </w:t>
      </w:r>
      <w:r w:rsidRPr="00984E93">
        <w:rPr>
          <w:noProof/>
          <w:lang w:val="en-US"/>
        </w:rPr>
        <w:t>(2001). Effects of prenatal exposure to the Dutch famine on adult disease in later life: an overview. Elsevier, 93-98.</w:t>
      </w:r>
    </w:p>
    <w:p w14:paraId="3A2338C8" w14:textId="77777777" w:rsidR="00984E93" w:rsidRPr="00984E93" w:rsidRDefault="00984E93" w:rsidP="00984E93">
      <w:pPr>
        <w:rPr>
          <w:noProof/>
          <w:lang w:val="en-US"/>
        </w:rPr>
      </w:pPr>
      <w:r w:rsidRPr="00984E93">
        <w:rPr>
          <w:noProof/>
          <w:lang w:val="en-US"/>
        </w:rPr>
        <w:t>Rosin. (2008). The Economic Causes of Obesity: A Survey. Journal of Economic Surveys, 617-647.</w:t>
      </w:r>
    </w:p>
    <w:p w14:paraId="74461DD4" w14:textId="77777777" w:rsidR="00984E93" w:rsidRPr="00984E93" w:rsidRDefault="00984E93" w:rsidP="00984E93">
      <w:pPr>
        <w:rPr>
          <w:noProof/>
          <w:lang w:val="en-US"/>
        </w:rPr>
      </w:pPr>
      <w:r w:rsidRPr="00984E93">
        <w:rPr>
          <w:noProof/>
          <w:lang w:val="en-US"/>
        </w:rPr>
        <w:t>Shah, Hannan, &amp; Jeffery. (1991). Secular trend in body mass index in the adult population of three communities from the upper mid-western part of the USA: the Minnesota Heart Health Program. International Journal of Obesity, 499-503.</w:t>
      </w:r>
    </w:p>
    <w:p w14:paraId="40F351AA" w14:textId="77777777" w:rsidR="00984E93" w:rsidRPr="00984E93" w:rsidRDefault="00984E93" w:rsidP="00984E93">
      <w:pPr>
        <w:rPr>
          <w:noProof/>
          <w:lang w:val="en-US"/>
        </w:rPr>
      </w:pPr>
      <w:r w:rsidRPr="00984E93">
        <w:rPr>
          <w:noProof/>
          <w:lang w:val="en-US"/>
        </w:rPr>
        <w:t>Shorrocks. (1983). Ranking Income Distributions. Economica, 3-17.</w:t>
      </w:r>
    </w:p>
    <w:p w14:paraId="5190C624" w14:textId="77777777" w:rsidR="00984E93" w:rsidRPr="00984E93" w:rsidRDefault="00984E93" w:rsidP="00984E93">
      <w:pPr>
        <w:rPr>
          <w:noProof/>
          <w:lang w:val="en-US"/>
        </w:rPr>
      </w:pPr>
      <w:r w:rsidRPr="00984E93">
        <w:rPr>
          <w:noProof/>
          <w:lang w:val="en-US"/>
        </w:rPr>
        <w:t>Silventoinen. (2003). Determinants of variation in adult body height. Journal of Biosocial Science, 263-285.</w:t>
      </w:r>
    </w:p>
    <w:p w14:paraId="3A0E35AF" w14:textId="77777777" w:rsidR="00984E93" w:rsidRPr="00984E93" w:rsidRDefault="00984E93" w:rsidP="00984E93">
      <w:pPr>
        <w:rPr>
          <w:noProof/>
          <w:lang w:val="en-US"/>
        </w:rPr>
      </w:pPr>
      <w:r w:rsidRPr="00984E93">
        <w:rPr>
          <w:noProof/>
          <w:lang w:val="en-US"/>
        </w:rPr>
        <w:lastRenderedPageBreak/>
        <w:t>Tsai, K. (2004). Obesity and risk knowledge. Journal of Health Economics , 907-934.</w:t>
      </w:r>
    </w:p>
    <w:p w14:paraId="4E2E55E9" w14:textId="77777777" w:rsidR="00984E93" w:rsidRPr="00984E93" w:rsidRDefault="00984E93" w:rsidP="00984E93">
      <w:pPr>
        <w:rPr>
          <w:noProof/>
          <w:lang w:val="en-US"/>
        </w:rPr>
      </w:pPr>
      <w:r w:rsidRPr="00984E93">
        <w:rPr>
          <w:noProof/>
          <w:lang w:val="en-US"/>
        </w:rPr>
        <w:t>UNESCO. (2006). International Standard Classification of Education. UNESCO.</w:t>
      </w:r>
    </w:p>
    <w:p w14:paraId="62A2B597" w14:textId="77777777" w:rsidR="00984E93" w:rsidRPr="00984E93" w:rsidRDefault="00984E93" w:rsidP="00984E93">
      <w:pPr>
        <w:rPr>
          <w:noProof/>
          <w:lang w:val="en-US"/>
        </w:rPr>
      </w:pPr>
      <w:r w:rsidRPr="00984E93">
        <w:rPr>
          <w:noProof/>
          <w:lang w:val="en-US"/>
        </w:rPr>
        <w:t>Wagstaff, &amp; Doorslaer, V. (2000). Equity in health care finance and delivery. Amsterdam: Elsevier.</w:t>
      </w:r>
    </w:p>
    <w:p w14:paraId="171D5BEB" w14:textId="77777777" w:rsidR="00984E93" w:rsidRPr="00984E93" w:rsidRDefault="00984E93" w:rsidP="00984E93">
      <w:pPr>
        <w:rPr>
          <w:noProof/>
          <w:lang w:val="en-US"/>
        </w:rPr>
      </w:pPr>
      <w:r w:rsidRPr="00984E93">
        <w:rPr>
          <w:noProof/>
          <w:lang w:val="en-US"/>
        </w:rPr>
        <w:t>Wagstaff, Doorslaer, v., &amp; Watanabe. (2003). On decomposing the causes of health sector inequalities with an application to malnutrition inequalities in Vietnam. Journal of Econometrics, 207-223.</w:t>
      </w:r>
    </w:p>
    <w:p w14:paraId="5C5BF5B9" w14:textId="77777777" w:rsidR="00984E93" w:rsidRPr="00984E93" w:rsidRDefault="00984E93" w:rsidP="00984E93">
      <w:pPr>
        <w:rPr>
          <w:noProof/>
          <w:lang w:val="en-US"/>
        </w:rPr>
      </w:pPr>
      <w:r w:rsidRPr="00984E93">
        <w:rPr>
          <w:noProof/>
          <w:lang w:val="en-US"/>
        </w:rPr>
        <w:t>Wagstaff, Paci, &amp; Doorslaer, V. (1991). On the measurement of inequalities in health. Social Science &amp; Medicine, 545-557.</w:t>
      </w:r>
    </w:p>
    <w:p w14:paraId="4EEEB29E" w14:textId="77777777" w:rsidR="00984E93" w:rsidRPr="00984E93" w:rsidRDefault="00984E93" w:rsidP="00984E93">
      <w:pPr>
        <w:rPr>
          <w:noProof/>
          <w:lang w:val="en-US"/>
        </w:rPr>
      </w:pPr>
      <w:r w:rsidRPr="00984E93">
        <w:rPr>
          <w:noProof/>
          <w:lang w:val="en-US"/>
        </w:rPr>
        <w:t>Wang, &amp; Beydoun. (2007). The Obesity Epidemic in the United States—Gender, Age, Socioeconomic, Racial/Ethnic, and Geographic Characteristics: A Systematic Review and Meta-Regression Analysis. Epidemiologic Reviews, 6-28.</w:t>
      </w:r>
    </w:p>
    <w:p w14:paraId="36472D44" w14:textId="77777777" w:rsidR="00984E93" w:rsidRPr="00984E93" w:rsidRDefault="00984E93" w:rsidP="00984E93">
      <w:pPr>
        <w:rPr>
          <w:noProof/>
          <w:lang w:val="en-US"/>
        </w:rPr>
      </w:pPr>
      <w:r w:rsidRPr="00984E93">
        <w:rPr>
          <w:noProof/>
          <w:lang w:val="en-US"/>
        </w:rPr>
        <w:t>White. (1980). A Heteroskedasticity-Consistent Covariance Matrix Estimator and a Direct Test for Heteroskedasticity. Econometrica, 817-838.</w:t>
      </w:r>
    </w:p>
    <w:p w14:paraId="63A069AF" w14:textId="77777777" w:rsidR="00984E93" w:rsidRPr="00984E93" w:rsidRDefault="00984E93" w:rsidP="00984E93">
      <w:pPr>
        <w:rPr>
          <w:noProof/>
          <w:lang w:val="en-US"/>
        </w:rPr>
      </w:pPr>
      <w:r w:rsidRPr="00984E93">
        <w:rPr>
          <w:noProof/>
          <w:lang w:val="en-US"/>
        </w:rPr>
        <w:lastRenderedPageBreak/>
        <w:t>Yitzhaki. (1983). On an Extension of the Gini Inequality Index. International Economic Review, 617-628.</w:t>
      </w:r>
    </w:p>
    <w:p w14:paraId="1C035291" w14:textId="77777777" w:rsidR="00B16B10" w:rsidRPr="009F3306" w:rsidRDefault="00B16B10" w:rsidP="00C86075">
      <w:pPr>
        <w:pStyle w:val="Bibliography"/>
        <w:rPr>
          <w:noProof/>
          <w:lang w:val="en-US"/>
        </w:rPr>
      </w:pPr>
      <w:r w:rsidRPr="009F3306">
        <w:rPr>
          <w:noProof/>
          <w:lang w:val="en-US"/>
        </w:rPr>
        <w:t>Wang, &amp; Beydoun. (2007). The Obesity Epidemic in the United States—Gender, Age, Socioeconomic,</w:t>
      </w:r>
      <w:r w:rsidR="00C86075">
        <w:rPr>
          <w:noProof/>
          <w:lang w:val="en-US"/>
        </w:rPr>
        <w:t xml:space="preserve"> </w:t>
      </w:r>
      <w:r w:rsidRPr="009F3306">
        <w:rPr>
          <w:noProof/>
          <w:lang w:val="en-US"/>
        </w:rPr>
        <w:t xml:space="preserve">Racial/Ethnic, and Geographic Characteristics: A Systematic Review and Meta-Regression Analysis. </w:t>
      </w:r>
      <w:r w:rsidRPr="009F3306">
        <w:rPr>
          <w:i/>
          <w:iCs/>
          <w:noProof/>
          <w:lang w:val="en-US"/>
        </w:rPr>
        <w:t>Epidemiologic Reviews</w:t>
      </w:r>
      <w:r w:rsidRPr="009F3306">
        <w:rPr>
          <w:noProof/>
          <w:lang w:val="en-US"/>
        </w:rPr>
        <w:t>, 6-28.</w:t>
      </w:r>
    </w:p>
    <w:p w14:paraId="46833F0B" w14:textId="77777777" w:rsidR="00B16B10" w:rsidRPr="009F3306" w:rsidRDefault="00B16B10" w:rsidP="00C86075">
      <w:pPr>
        <w:pStyle w:val="Bibliography"/>
        <w:rPr>
          <w:noProof/>
          <w:lang w:val="en-US"/>
        </w:rPr>
      </w:pPr>
      <w:r w:rsidRPr="009F3306">
        <w:rPr>
          <w:noProof/>
          <w:lang w:val="en-US"/>
        </w:rPr>
        <w:t xml:space="preserve">Yitzhaki. (1983). On an Extension of the Gini Inequality Index. </w:t>
      </w:r>
      <w:r w:rsidRPr="009F3306">
        <w:rPr>
          <w:i/>
          <w:iCs/>
          <w:noProof/>
          <w:lang w:val="en-US"/>
        </w:rPr>
        <w:t>International Economic Review</w:t>
      </w:r>
      <w:r w:rsidRPr="009F3306">
        <w:rPr>
          <w:noProof/>
          <w:lang w:val="en-US"/>
        </w:rPr>
        <w:t>, 617-628.</w:t>
      </w:r>
    </w:p>
    <w:p w14:paraId="341675F1" w14:textId="77777777" w:rsidR="0080171E" w:rsidRPr="00072A51" w:rsidRDefault="00C86075" w:rsidP="00604573">
      <w:pPr>
        <w:pStyle w:val="NoSpacing"/>
        <w:rPr>
          <w:b/>
        </w:rPr>
      </w:pPr>
      <w:r>
        <w:rPr>
          <w:noProof/>
          <w:lang w:val="en-US"/>
        </w:rPr>
        <w:t>World Health Organisation</w:t>
      </w:r>
      <w:r w:rsidRPr="00984E93">
        <w:rPr>
          <w:noProof/>
          <w:lang w:val="en-US"/>
        </w:rPr>
        <w:t xml:space="preserve"> (2015, 09 10). Obesity and overweight. </w:t>
      </w:r>
      <w:r w:rsidRPr="00072A51">
        <w:rPr>
          <w:noProof/>
        </w:rPr>
        <w:t>Opgehaald van WHO: http://www.who.int/mediacentre/factsheets/fs311/en/</w:t>
      </w:r>
    </w:p>
    <w:p w14:paraId="5CB77C6F" w14:textId="77777777" w:rsidR="00AA385D" w:rsidRPr="00994430" w:rsidRDefault="00AA385D" w:rsidP="00994430">
      <w:pPr>
        <w:pStyle w:val="Heading1"/>
      </w:pPr>
      <w:bookmarkStart w:id="28" w:name="_Toc432114519"/>
      <w:r w:rsidRPr="00994430">
        <w:t>Appendix</w:t>
      </w:r>
      <w:bookmarkEnd w:id="28"/>
    </w:p>
    <w:p w14:paraId="062D9F05" w14:textId="77777777" w:rsidR="00655BA8" w:rsidRPr="00655BA8" w:rsidRDefault="00655BA8" w:rsidP="00655BA8">
      <w:pPr>
        <w:rPr>
          <w:lang w:eastAsia="ja-JP"/>
        </w:rPr>
      </w:pPr>
    </w:p>
    <w:p w14:paraId="1F3A3D7D" w14:textId="7E934B13" w:rsidR="00AA385D" w:rsidRPr="009F3306" w:rsidRDefault="002E3723" w:rsidP="00AA385D">
      <w:pPr>
        <w:rPr>
          <w:b/>
          <w:lang w:val="en-US"/>
        </w:rPr>
      </w:pPr>
      <w:r>
        <w:rPr>
          <w:b/>
          <w:lang w:val="en-US"/>
        </w:rPr>
        <w:t xml:space="preserve">Figure </w:t>
      </w:r>
      <w:r w:rsidR="00AA385D" w:rsidRPr="009F3306">
        <w:rPr>
          <w:b/>
          <w:lang w:val="en-US"/>
        </w:rPr>
        <w:t>1: Overweight and obesity prevalence worldwide</w:t>
      </w:r>
    </w:p>
    <w:p w14:paraId="1855A081" w14:textId="77777777" w:rsidR="00AA385D" w:rsidRPr="009F3306" w:rsidRDefault="00EB0B13" w:rsidP="00AA385D">
      <w:pPr>
        <w:rPr>
          <w:b/>
          <w:lang w:val="en-US"/>
        </w:rPr>
      </w:pPr>
      <w:r>
        <w:rPr>
          <w:noProof/>
          <w:lang w:val="en-GB" w:eastAsia="en-GB"/>
        </w:rPr>
        <w:drawing>
          <wp:anchor distT="0" distB="0" distL="114300" distR="114300" simplePos="0" relativeHeight="251658752" behindDoc="1" locked="0" layoutInCell="1" allowOverlap="1" wp14:anchorId="4075DC9F" wp14:editId="049D9F39">
            <wp:simplePos x="0" y="0"/>
            <wp:positionH relativeFrom="margin">
              <wp:align>left</wp:align>
            </wp:positionH>
            <wp:positionV relativeFrom="paragraph">
              <wp:posOffset>17145</wp:posOffset>
            </wp:positionV>
            <wp:extent cx="4144010" cy="2401570"/>
            <wp:effectExtent l="0" t="0" r="8890" b="0"/>
            <wp:wrapTight wrapText="bothSides">
              <wp:wrapPolygon edited="0">
                <wp:start x="0" y="0"/>
                <wp:lineTo x="0" y="21417"/>
                <wp:lineTo x="21547" y="21417"/>
                <wp:lineTo x="21547" y="0"/>
                <wp:lineTo x="0" y="0"/>
              </wp:wrapPolygon>
            </wp:wrapTight>
            <wp:docPr id="2"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4144010" cy="2401570"/>
                    </a:xfrm>
                    <a:prstGeom prst="rect">
                      <a:avLst/>
                    </a:prstGeom>
                    <a:noFill/>
                    <a:ln>
                      <a:noFill/>
                    </a:ln>
                  </pic:spPr>
                </pic:pic>
              </a:graphicData>
            </a:graphic>
          </wp:anchor>
        </w:drawing>
      </w:r>
    </w:p>
    <w:p w14:paraId="27FB4244" w14:textId="77777777" w:rsidR="00AA385D" w:rsidRPr="009F3306" w:rsidRDefault="00AA385D" w:rsidP="00AA385D">
      <w:pPr>
        <w:rPr>
          <w:b/>
          <w:lang w:val="en-US"/>
        </w:rPr>
      </w:pPr>
    </w:p>
    <w:p w14:paraId="6D29F687" w14:textId="77777777" w:rsidR="00AA385D" w:rsidRPr="009F3306" w:rsidRDefault="00AA385D" w:rsidP="00AA385D">
      <w:pPr>
        <w:rPr>
          <w:b/>
          <w:lang w:val="en-US"/>
        </w:rPr>
      </w:pPr>
    </w:p>
    <w:p w14:paraId="7DE39259" w14:textId="77777777" w:rsidR="00AA385D" w:rsidRDefault="00AA385D" w:rsidP="00AA385D">
      <w:pPr>
        <w:rPr>
          <w:lang w:val="en-US"/>
        </w:rPr>
      </w:pPr>
    </w:p>
    <w:p w14:paraId="1E726389" w14:textId="77777777" w:rsidR="00AA385D" w:rsidRDefault="00AA385D" w:rsidP="00AA385D">
      <w:pPr>
        <w:rPr>
          <w:lang w:val="en-US"/>
        </w:rPr>
      </w:pPr>
    </w:p>
    <w:p w14:paraId="25613458" w14:textId="77777777" w:rsidR="00AA385D" w:rsidRDefault="00AA385D" w:rsidP="00AA385D">
      <w:pPr>
        <w:rPr>
          <w:lang w:val="en-US"/>
        </w:rPr>
      </w:pPr>
    </w:p>
    <w:p w14:paraId="1D21E8F1" w14:textId="77777777" w:rsidR="00AA385D" w:rsidRDefault="00AA385D" w:rsidP="00AA385D">
      <w:pPr>
        <w:rPr>
          <w:lang w:val="en-US"/>
        </w:rPr>
      </w:pPr>
    </w:p>
    <w:p w14:paraId="38F21847" w14:textId="77777777" w:rsidR="00AA385D" w:rsidRDefault="00AA385D" w:rsidP="00AA385D">
      <w:pPr>
        <w:rPr>
          <w:lang w:val="en-US"/>
        </w:rPr>
      </w:pPr>
    </w:p>
    <w:p w14:paraId="3A9A3482" w14:textId="77777777" w:rsidR="00AA385D" w:rsidRDefault="00AA385D" w:rsidP="00AA385D">
      <w:pPr>
        <w:rPr>
          <w:lang w:val="en-US"/>
        </w:rPr>
      </w:pPr>
    </w:p>
    <w:p w14:paraId="48DD3B77" w14:textId="73B40ED0" w:rsidR="00AA385D" w:rsidRDefault="002E3723" w:rsidP="00AA385D">
      <w:pPr>
        <w:rPr>
          <w:b/>
          <w:lang w:val="en-US"/>
        </w:rPr>
      </w:pPr>
      <w:r>
        <w:rPr>
          <w:b/>
          <w:lang w:val="en-US"/>
        </w:rPr>
        <w:t>Figure</w:t>
      </w:r>
      <w:r w:rsidR="00AA385D" w:rsidRPr="00814556">
        <w:rPr>
          <w:b/>
          <w:lang w:val="en-US"/>
        </w:rPr>
        <w:t xml:space="preserve"> 2</w:t>
      </w:r>
      <w:r w:rsidR="00AA385D">
        <w:rPr>
          <w:b/>
          <w:lang w:val="en-US"/>
        </w:rPr>
        <w:t>: Start and duration of collecting the SHARE data waves</w:t>
      </w:r>
    </w:p>
    <w:p w14:paraId="6A3F0EB5" w14:textId="77777777" w:rsidR="00AA385D" w:rsidRDefault="00EB0B13" w:rsidP="00AA385D">
      <w:pPr>
        <w:rPr>
          <w:b/>
          <w:lang w:val="en-US"/>
        </w:rPr>
      </w:pPr>
      <w:r>
        <w:rPr>
          <w:noProof/>
          <w:lang w:val="en-GB" w:eastAsia="en-GB"/>
        </w:rPr>
        <w:drawing>
          <wp:anchor distT="0" distB="0" distL="114300" distR="114300" simplePos="0" relativeHeight="251659776" behindDoc="1" locked="0" layoutInCell="1" allowOverlap="1" wp14:anchorId="2DF210EB" wp14:editId="3A7FDE97">
            <wp:simplePos x="0" y="0"/>
            <wp:positionH relativeFrom="margin">
              <wp:align>left</wp:align>
            </wp:positionH>
            <wp:positionV relativeFrom="paragraph">
              <wp:posOffset>6985</wp:posOffset>
            </wp:positionV>
            <wp:extent cx="3942080" cy="2573020"/>
            <wp:effectExtent l="0" t="0" r="1270" b="0"/>
            <wp:wrapTight wrapText="bothSides">
              <wp:wrapPolygon edited="0">
                <wp:start x="0" y="0"/>
                <wp:lineTo x="0" y="21429"/>
                <wp:lineTo x="21503" y="21429"/>
                <wp:lineTo x="21503" y="0"/>
                <wp:lineTo x="0" y="0"/>
              </wp:wrapPolygon>
            </wp:wrapTight>
            <wp:docPr id="1"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57" cstate="print">
                      <a:extLst>
                        <a:ext uri="{28A0092B-C50C-407E-A947-70E740481C1C}">
                          <a14:useLocalDpi xmlns:a14="http://schemas.microsoft.com/office/drawing/2010/main" val="0"/>
                        </a:ext>
                      </a:extLst>
                    </a:blip>
                    <a:srcRect t="1782"/>
                    <a:stretch>
                      <a:fillRect/>
                    </a:stretch>
                  </pic:blipFill>
                  <pic:spPr bwMode="auto">
                    <a:xfrm>
                      <a:off x="0" y="0"/>
                      <a:ext cx="3942080" cy="2573020"/>
                    </a:xfrm>
                    <a:prstGeom prst="rect">
                      <a:avLst/>
                    </a:prstGeom>
                    <a:noFill/>
                    <a:ln>
                      <a:noFill/>
                    </a:ln>
                  </pic:spPr>
                </pic:pic>
              </a:graphicData>
            </a:graphic>
          </wp:anchor>
        </w:drawing>
      </w:r>
    </w:p>
    <w:p w14:paraId="102424BA" w14:textId="77777777" w:rsidR="00AA385D" w:rsidRDefault="00AA385D" w:rsidP="00AA385D">
      <w:pPr>
        <w:rPr>
          <w:b/>
          <w:lang w:val="en-US"/>
        </w:rPr>
      </w:pPr>
    </w:p>
    <w:p w14:paraId="55A1A76B" w14:textId="77777777" w:rsidR="00AA385D" w:rsidRDefault="00AA385D" w:rsidP="00AA385D">
      <w:pPr>
        <w:rPr>
          <w:b/>
          <w:lang w:val="en-US"/>
        </w:rPr>
      </w:pPr>
    </w:p>
    <w:p w14:paraId="35A0A863" w14:textId="77777777" w:rsidR="00AA385D" w:rsidRDefault="00AA385D" w:rsidP="00AA385D">
      <w:pPr>
        <w:rPr>
          <w:b/>
          <w:lang w:val="en-US"/>
        </w:rPr>
      </w:pPr>
    </w:p>
    <w:p w14:paraId="6F68A2BF" w14:textId="77777777" w:rsidR="00AA385D" w:rsidRDefault="00AA385D" w:rsidP="00AA385D">
      <w:pPr>
        <w:rPr>
          <w:b/>
          <w:lang w:val="en-US"/>
        </w:rPr>
      </w:pPr>
    </w:p>
    <w:p w14:paraId="1C386FDA" w14:textId="77777777" w:rsidR="00AA385D" w:rsidRDefault="00AA385D" w:rsidP="00AA385D">
      <w:pPr>
        <w:rPr>
          <w:b/>
          <w:lang w:val="en-US"/>
        </w:rPr>
      </w:pPr>
    </w:p>
    <w:p w14:paraId="3C27B86A" w14:textId="77777777" w:rsidR="00AA385D" w:rsidRDefault="00AA385D" w:rsidP="00AA385D">
      <w:pPr>
        <w:rPr>
          <w:b/>
          <w:lang w:val="en-US"/>
        </w:rPr>
      </w:pPr>
    </w:p>
    <w:p w14:paraId="5ADA9984" w14:textId="77777777" w:rsidR="00AA385D" w:rsidRDefault="00AA385D" w:rsidP="00AA385D">
      <w:pPr>
        <w:rPr>
          <w:b/>
          <w:lang w:val="en-US"/>
        </w:rPr>
      </w:pPr>
    </w:p>
    <w:p w14:paraId="0F404315" w14:textId="77777777" w:rsidR="00AA385D" w:rsidRDefault="00AA385D" w:rsidP="00AA385D">
      <w:pPr>
        <w:rPr>
          <w:b/>
          <w:lang w:val="en-US"/>
        </w:rPr>
      </w:pPr>
    </w:p>
    <w:p w14:paraId="2F5A4636" w14:textId="77777777" w:rsidR="00AA385D" w:rsidRDefault="00AA385D" w:rsidP="00AA385D">
      <w:pPr>
        <w:rPr>
          <w:b/>
          <w:lang w:val="en-US"/>
        </w:rPr>
      </w:pPr>
    </w:p>
    <w:p w14:paraId="35444755" w14:textId="5DA92597" w:rsidR="00AA385D" w:rsidRDefault="00AA385D" w:rsidP="00AA385D">
      <w:pPr>
        <w:rPr>
          <w:b/>
          <w:lang w:val="en-US"/>
        </w:rPr>
      </w:pPr>
      <w:r>
        <w:rPr>
          <w:b/>
          <w:lang w:val="en-US"/>
        </w:rPr>
        <w:lastRenderedPageBreak/>
        <w:t xml:space="preserve">Table </w:t>
      </w:r>
      <w:r w:rsidR="002E3723">
        <w:rPr>
          <w:b/>
          <w:lang w:val="en-US"/>
        </w:rPr>
        <w:t>1</w:t>
      </w:r>
      <w:r>
        <w:rPr>
          <w:b/>
          <w:lang w:val="en-US"/>
        </w:rPr>
        <w:t xml:space="preserve">: </w:t>
      </w:r>
      <w:r w:rsidR="00302E25">
        <w:rPr>
          <w:b/>
          <w:lang w:val="en-US"/>
        </w:rPr>
        <w:t>Observations</w:t>
      </w:r>
      <w:r>
        <w:rPr>
          <w:b/>
          <w:lang w:val="en-US"/>
        </w:rPr>
        <w:t xml:space="preserve"> of BMI in both waves</w:t>
      </w:r>
    </w:p>
    <w:tbl>
      <w:tblPr>
        <w:tblW w:w="9153" w:type="dxa"/>
        <w:tblLook w:val="04A0" w:firstRow="1" w:lastRow="0" w:firstColumn="1" w:lastColumn="0" w:noHBand="0" w:noVBand="1"/>
      </w:tblPr>
      <w:tblGrid>
        <w:gridCol w:w="2400"/>
        <w:gridCol w:w="663"/>
        <w:gridCol w:w="760"/>
        <w:gridCol w:w="960"/>
        <w:gridCol w:w="760"/>
        <w:gridCol w:w="820"/>
        <w:gridCol w:w="760"/>
        <w:gridCol w:w="760"/>
        <w:gridCol w:w="760"/>
        <w:gridCol w:w="760"/>
      </w:tblGrid>
      <w:tr w:rsidR="00AA385D" w:rsidRPr="000C440D" w14:paraId="44439006" w14:textId="77777777" w:rsidTr="003952F6">
        <w:trPr>
          <w:trHeight w:val="315"/>
        </w:trPr>
        <w:tc>
          <w:tcPr>
            <w:tcW w:w="2400" w:type="dxa"/>
            <w:tcBorders>
              <w:top w:val="single" w:sz="8" w:space="0" w:color="auto"/>
              <w:left w:val="single" w:sz="8" w:space="0" w:color="auto"/>
              <w:bottom w:val="nil"/>
              <w:right w:val="single" w:sz="4" w:space="0" w:color="auto"/>
            </w:tcBorders>
            <w:shd w:val="clear" w:color="000000" w:fill="D0CECE"/>
            <w:noWrap/>
            <w:vAlign w:val="center"/>
            <w:hideMark/>
          </w:tcPr>
          <w:p w14:paraId="177146D2" w14:textId="77777777" w:rsidR="00AA385D" w:rsidRPr="0055597F" w:rsidRDefault="00AA385D" w:rsidP="0021493E">
            <w:pPr>
              <w:spacing w:after="0" w:line="240" w:lineRule="auto"/>
              <w:rPr>
                <w:rFonts w:eastAsia="Times New Roman"/>
                <w:b/>
                <w:bCs/>
                <w:color w:val="000000"/>
                <w:lang w:val="en-US"/>
              </w:rPr>
            </w:pPr>
            <w:r w:rsidRPr="0055597F">
              <w:rPr>
                <w:rFonts w:eastAsia="Times New Roman"/>
                <w:b/>
                <w:bCs/>
                <w:color w:val="000000"/>
                <w:lang w:val="en-US"/>
              </w:rPr>
              <w:t>Observations BMI</w:t>
            </w:r>
          </w:p>
        </w:tc>
        <w:tc>
          <w:tcPr>
            <w:tcW w:w="413" w:type="dxa"/>
            <w:tcBorders>
              <w:top w:val="single" w:sz="8" w:space="0" w:color="auto"/>
              <w:left w:val="nil"/>
              <w:bottom w:val="nil"/>
              <w:right w:val="single" w:sz="4" w:space="0" w:color="auto"/>
            </w:tcBorders>
            <w:shd w:val="clear" w:color="000000" w:fill="D0CECE"/>
            <w:noWrap/>
            <w:vAlign w:val="center"/>
            <w:hideMark/>
          </w:tcPr>
          <w:p w14:paraId="6FB6AFF1" w14:textId="77777777" w:rsidR="00AA385D" w:rsidRPr="0055597F" w:rsidRDefault="00AA385D" w:rsidP="0021493E">
            <w:pPr>
              <w:spacing w:after="0" w:line="240" w:lineRule="auto"/>
              <w:rPr>
                <w:rFonts w:eastAsia="Times New Roman"/>
                <w:b/>
                <w:bCs/>
                <w:color w:val="000000"/>
                <w:lang w:val="en-US"/>
              </w:rPr>
            </w:pPr>
            <w:r w:rsidRPr="0055597F">
              <w:rPr>
                <w:rFonts w:eastAsia="Times New Roman"/>
                <w:b/>
                <w:bCs/>
                <w:color w:val="000000"/>
                <w:lang w:val="en-US"/>
              </w:rPr>
              <w:t>AT</w:t>
            </w:r>
          </w:p>
        </w:tc>
        <w:tc>
          <w:tcPr>
            <w:tcW w:w="760" w:type="dxa"/>
            <w:tcBorders>
              <w:top w:val="single" w:sz="8" w:space="0" w:color="auto"/>
              <w:left w:val="nil"/>
              <w:bottom w:val="nil"/>
              <w:right w:val="single" w:sz="4" w:space="0" w:color="auto"/>
            </w:tcBorders>
            <w:shd w:val="clear" w:color="000000" w:fill="D0CECE"/>
            <w:noWrap/>
            <w:vAlign w:val="center"/>
            <w:hideMark/>
          </w:tcPr>
          <w:p w14:paraId="4E889F98" w14:textId="77777777" w:rsidR="00AA385D" w:rsidRPr="0055597F" w:rsidRDefault="00AA385D" w:rsidP="0021493E">
            <w:pPr>
              <w:spacing w:after="0" w:line="240" w:lineRule="auto"/>
              <w:rPr>
                <w:rFonts w:eastAsia="Times New Roman"/>
                <w:b/>
                <w:bCs/>
                <w:color w:val="000000"/>
                <w:lang w:val="en-US"/>
              </w:rPr>
            </w:pPr>
            <w:r w:rsidRPr="0055597F">
              <w:rPr>
                <w:rFonts w:eastAsia="Times New Roman"/>
                <w:b/>
                <w:bCs/>
                <w:color w:val="000000"/>
                <w:lang w:val="en-US"/>
              </w:rPr>
              <w:t>DE</w:t>
            </w:r>
          </w:p>
        </w:tc>
        <w:tc>
          <w:tcPr>
            <w:tcW w:w="960" w:type="dxa"/>
            <w:tcBorders>
              <w:top w:val="single" w:sz="8" w:space="0" w:color="auto"/>
              <w:left w:val="nil"/>
              <w:bottom w:val="nil"/>
              <w:right w:val="single" w:sz="4" w:space="0" w:color="auto"/>
            </w:tcBorders>
            <w:shd w:val="clear" w:color="000000" w:fill="D0CECE"/>
            <w:noWrap/>
            <w:vAlign w:val="center"/>
            <w:hideMark/>
          </w:tcPr>
          <w:p w14:paraId="6A5F6B8C" w14:textId="77777777" w:rsidR="00AA385D" w:rsidRPr="0055597F" w:rsidRDefault="00AA385D" w:rsidP="0021493E">
            <w:pPr>
              <w:spacing w:after="0" w:line="240" w:lineRule="auto"/>
              <w:rPr>
                <w:rFonts w:eastAsia="Times New Roman"/>
                <w:b/>
                <w:bCs/>
                <w:color w:val="000000"/>
                <w:lang w:val="en-US"/>
              </w:rPr>
            </w:pPr>
            <w:r w:rsidRPr="0055597F">
              <w:rPr>
                <w:rFonts w:eastAsia="Times New Roman"/>
                <w:b/>
                <w:bCs/>
                <w:color w:val="000000"/>
                <w:lang w:val="en-US"/>
              </w:rPr>
              <w:t>SE</w:t>
            </w:r>
          </w:p>
        </w:tc>
        <w:tc>
          <w:tcPr>
            <w:tcW w:w="760" w:type="dxa"/>
            <w:tcBorders>
              <w:top w:val="single" w:sz="8" w:space="0" w:color="auto"/>
              <w:left w:val="nil"/>
              <w:bottom w:val="nil"/>
              <w:right w:val="single" w:sz="4" w:space="0" w:color="auto"/>
            </w:tcBorders>
            <w:shd w:val="clear" w:color="000000" w:fill="D0CECE"/>
            <w:noWrap/>
            <w:vAlign w:val="center"/>
            <w:hideMark/>
          </w:tcPr>
          <w:p w14:paraId="69ADD830" w14:textId="77777777" w:rsidR="00AA385D" w:rsidRPr="0055597F" w:rsidRDefault="00AA385D" w:rsidP="0021493E">
            <w:pPr>
              <w:spacing w:after="0" w:line="240" w:lineRule="auto"/>
              <w:rPr>
                <w:rFonts w:eastAsia="Times New Roman"/>
                <w:b/>
                <w:bCs/>
                <w:color w:val="000000"/>
                <w:lang w:val="en-US"/>
              </w:rPr>
            </w:pPr>
            <w:r w:rsidRPr="0055597F">
              <w:rPr>
                <w:rFonts w:eastAsia="Times New Roman"/>
                <w:b/>
                <w:bCs/>
                <w:color w:val="000000"/>
                <w:lang w:val="en-US"/>
              </w:rPr>
              <w:t>NL</w:t>
            </w:r>
          </w:p>
        </w:tc>
        <w:tc>
          <w:tcPr>
            <w:tcW w:w="820" w:type="dxa"/>
            <w:tcBorders>
              <w:top w:val="single" w:sz="8" w:space="0" w:color="auto"/>
              <w:left w:val="nil"/>
              <w:bottom w:val="nil"/>
              <w:right w:val="single" w:sz="4" w:space="0" w:color="auto"/>
            </w:tcBorders>
            <w:shd w:val="clear" w:color="000000" w:fill="D0CECE"/>
            <w:noWrap/>
            <w:vAlign w:val="center"/>
            <w:hideMark/>
          </w:tcPr>
          <w:p w14:paraId="4D4B8CB8" w14:textId="77777777" w:rsidR="00AA385D" w:rsidRPr="0055597F" w:rsidRDefault="00AA385D" w:rsidP="0021493E">
            <w:pPr>
              <w:spacing w:after="0" w:line="240" w:lineRule="auto"/>
              <w:rPr>
                <w:rFonts w:eastAsia="Times New Roman"/>
                <w:b/>
                <w:bCs/>
                <w:color w:val="000000"/>
                <w:lang w:val="en-US"/>
              </w:rPr>
            </w:pPr>
            <w:r w:rsidRPr="0055597F">
              <w:rPr>
                <w:rFonts w:eastAsia="Times New Roman"/>
                <w:b/>
                <w:bCs/>
                <w:color w:val="000000"/>
                <w:lang w:val="en-US"/>
              </w:rPr>
              <w:t>ES</w:t>
            </w:r>
          </w:p>
        </w:tc>
        <w:tc>
          <w:tcPr>
            <w:tcW w:w="760" w:type="dxa"/>
            <w:tcBorders>
              <w:top w:val="single" w:sz="8" w:space="0" w:color="auto"/>
              <w:left w:val="nil"/>
              <w:bottom w:val="nil"/>
              <w:right w:val="single" w:sz="4" w:space="0" w:color="auto"/>
            </w:tcBorders>
            <w:shd w:val="clear" w:color="000000" w:fill="D0CECE"/>
            <w:noWrap/>
            <w:vAlign w:val="center"/>
            <w:hideMark/>
          </w:tcPr>
          <w:p w14:paraId="66623C2B" w14:textId="77777777" w:rsidR="00AA385D" w:rsidRPr="0055597F" w:rsidRDefault="00AA385D" w:rsidP="0021493E">
            <w:pPr>
              <w:spacing w:after="0" w:line="240" w:lineRule="auto"/>
              <w:rPr>
                <w:rFonts w:eastAsia="Times New Roman"/>
                <w:b/>
                <w:bCs/>
                <w:color w:val="000000"/>
                <w:lang w:val="en-US"/>
              </w:rPr>
            </w:pPr>
            <w:r w:rsidRPr="0055597F">
              <w:rPr>
                <w:rFonts w:eastAsia="Times New Roman"/>
                <w:b/>
                <w:bCs/>
                <w:color w:val="000000"/>
                <w:lang w:val="en-US"/>
              </w:rPr>
              <w:t>IT</w:t>
            </w:r>
          </w:p>
        </w:tc>
        <w:tc>
          <w:tcPr>
            <w:tcW w:w="760" w:type="dxa"/>
            <w:tcBorders>
              <w:top w:val="single" w:sz="8" w:space="0" w:color="auto"/>
              <w:left w:val="nil"/>
              <w:bottom w:val="nil"/>
              <w:right w:val="single" w:sz="4" w:space="0" w:color="auto"/>
            </w:tcBorders>
            <w:shd w:val="clear" w:color="000000" w:fill="D0CECE"/>
            <w:noWrap/>
            <w:vAlign w:val="center"/>
            <w:hideMark/>
          </w:tcPr>
          <w:p w14:paraId="61AB28D7" w14:textId="77777777" w:rsidR="00AA385D" w:rsidRPr="0055597F" w:rsidRDefault="00AA385D" w:rsidP="0021493E">
            <w:pPr>
              <w:spacing w:after="0" w:line="240" w:lineRule="auto"/>
              <w:rPr>
                <w:rFonts w:eastAsia="Times New Roman"/>
                <w:b/>
                <w:bCs/>
                <w:color w:val="000000"/>
                <w:lang w:val="en-US"/>
              </w:rPr>
            </w:pPr>
            <w:r w:rsidRPr="0055597F">
              <w:rPr>
                <w:rFonts w:eastAsia="Times New Roman"/>
                <w:b/>
                <w:bCs/>
                <w:color w:val="000000"/>
                <w:lang w:val="en-US"/>
              </w:rPr>
              <w:t>FR</w:t>
            </w:r>
          </w:p>
        </w:tc>
        <w:tc>
          <w:tcPr>
            <w:tcW w:w="760" w:type="dxa"/>
            <w:tcBorders>
              <w:top w:val="single" w:sz="8" w:space="0" w:color="auto"/>
              <w:left w:val="nil"/>
              <w:bottom w:val="nil"/>
              <w:right w:val="single" w:sz="4" w:space="0" w:color="auto"/>
            </w:tcBorders>
            <w:shd w:val="clear" w:color="000000" w:fill="D0CECE"/>
            <w:noWrap/>
            <w:vAlign w:val="center"/>
            <w:hideMark/>
          </w:tcPr>
          <w:p w14:paraId="7E4ABD88" w14:textId="77777777" w:rsidR="00AA385D" w:rsidRPr="0055597F" w:rsidRDefault="00AA385D" w:rsidP="0021493E">
            <w:pPr>
              <w:spacing w:after="0" w:line="240" w:lineRule="auto"/>
              <w:rPr>
                <w:rFonts w:eastAsia="Times New Roman"/>
                <w:b/>
                <w:bCs/>
                <w:color w:val="000000"/>
                <w:lang w:val="en-US"/>
              </w:rPr>
            </w:pPr>
            <w:r w:rsidRPr="0055597F">
              <w:rPr>
                <w:rFonts w:eastAsia="Times New Roman"/>
                <w:b/>
                <w:bCs/>
                <w:color w:val="000000"/>
                <w:lang w:val="en-US"/>
              </w:rPr>
              <w:t>DK</w:t>
            </w:r>
          </w:p>
        </w:tc>
        <w:tc>
          <w:tcPr>
            <w:tcW w:w="760" w:type="dxa"/>
            <w:tcBorders>
              <w:top w:val="single" w:sz="8" w:space="0" w:color="auto"/>
              <w:left w:val="nil"/>
              <w:bottom w:val="nil"/>
              <w:right w:val="single" w:sz="8" w:space="0" w:color="auto"/>
            </w:tcBorders>
            <w:shd w:val="clear" w:color="000000" w:fill="D0CECE"/>
            <w:noWrap/>
            <w:vAlign w:val="center"/>
            <w:hideMark/>
          </w:tcPr>
          <w:p w14:paraId="14560D29" w14:textId="77777777" w:rsidR="00AA385D" w:rsidRPr="0055597F" w:rsidRDefault="00AA385D" w:rsidP="0021493E">
            <w:pPr>
              <w:spacing w:after="0" w:line="240" w:lineRule="auto"/>
              <w:rPr>
                <w:rFonts w:eastAsia="Times New Roman"/>
                <w:b/>
                <w:bCs/>
                <w:color w:val="000000"/>
                <w:lang w:val="en-US"/>
              </w:rPr>
            </w:pPr>
            <w:r w:rsidRPr="0055597F">
              <w:rPr>
                <w:rFonts w:eastAsia="Times New Roman"/>
                <w:b/>
                <w:bCs/>
                <w:color w:val="000000"/>
                <w:lang w:val="en-US"/>
              </w:rPr>
              <w:t>CH</w:t>
            </w:r>
          </w:p>
        </w:tc>
      </w:tr>
      <w:tr w:rsidR="00AA385D" w:rsidRPr="000C440D" w14:paraId="2A34E74B" w14:textId="77777777" w:rsidTr="003952F6">
        <w:trPr>
          <w:trHeight w:val="300"/>
        </w:trPr>
        <w:tc>
          <w:tcPr>
            <w:tcW w:w="2400" w:type="dxa"/>
            <w:tcBorders>
              <w:top w:val="single" w:sz="8" w:space="0" w:color="auto"/>
              <w:left w:val="single" w:sz="8" w:space="0" w:color="auto"/>
              <w:bottom w:val="single" w:sz="4" w:space="0" w:color="auto"/>
              <w:right w:val="single" w:sz="4" w:space="0" w:color="auto"/>
            </w:tcBorders>
            <w:shd w:val="clear" w:color="000000" w:fill="DDEBF7"/>
            <w:noWrap/>
            <w:vAlign w:val="center"/>
            <w:hideMark/>
          </w:tcPr>
          <w:p w14:paraId="6EF8FD82" w14:textId="77777777" w:rsidR="00AA385D" w:rsidRPr="0055597F" w:rsidRDefault="003952F6" w:rsidP="0021493E">
            <w:pPr>
              <w:spacing w:after="0" w:line="240" w:lineRule="auto"/>
              <w:rPr>
                <w:rFonts w:eastAsia="Times New Roman"/>
                <w:color w:val="000000"/>
                <w:lang w:val="en-US"/>
              </w:rPr>
            </w:pPr>
            <w:r>
              <w:rPr>
                <w:rFonts w:eastAsia="Times New Roman"/>
                <w:color w:val="000000"/>
                <w:lang w:val="en-US"/>
              </w:rPr>
              <w:t>observations BMI 2004</w:t>
            </w:r>
          </w:p>
        </w:tc>
        <w:tc>
          <w:tcPr>
            <w:tcW w:w="413" w:type="dxa"/>
            <w:tcBorders>
              <w:top w:val="single" w:sz="8" w:space="0" w:color="auto"/>
              <w:left w:val="nil"/>
              <w:bottom w:val="single" w:sz="4" w:space="0" w:color="auto"/>
              <w:right w:val="single" w:sz="4" w:space="0" w:color="auto"/>
            </w:tcBorders>
            <w:shd w:val="clear" w:color="auto" w:fill="auto"/>
            <w:noWrap/>
            <w:vAlign w:val="center"/>
            <w:hideMark/>
          </w:tcPr>
          <w:p w14:paraId="6122616E"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1556</w:t>
            </w:r>
          </w:p>
        </w:tc>
        <w:tc>
          <w:tcPr>
            <w:tcW w:w="760" w:type="dxa"/>
            <w:tcBorders>
              <w:top w:val="single" w:sz="8" w:space="0" w:color="auto"/>
              <w:left w:val="nil"/>
              <w:bottom w:val="single" w:sz="4" w:space="0" w:color="auto"/>
              <w:right w:val="single" w:sz="4" w:space="0" w:color="auto"/>
            </w:tcBorders>
            <w:shd w:val="clear" w:color="auto" w:fill="auto"/>
            <w:noWrap/>
            <w:vAlign w:val="center"/>
            <w:hideMark/>
          </w:tcPr>
          <w:p w14:paraId="7F00A6E1"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2968</w:t>
            </w:r>
          </w:p>
        </w:tc>
        <w:tc>
          <w:tcPr>
            <w:tcW w:w="960" w:type="dxa"/>
            <w:tcBorders>
              <w:top w:val="single" w:sz="8" w:space="0" w:color="auto"/>
              <w:left w:val="nil"/>
              <w:bottom w:val="single" w:sz="4" w:space="0" w:color="auto"/>
              <w:right w:val="single" w:sz="4" w:space="0" w:color="auto"/>
            </w:tcBorders>
            <w:shd w:val="clear" w:color="auto" w:fill="auto"/>
            <w:noWrap/>
            <w:vAlign w:val="center"/>
            <w:hideMark/>
          </w:tcPr>
          <w:p w14:paraId="570EF17C"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2995</w:t>
            </w:r>
          </w:p>
        </w:tc>
        <w:tc>
          <w:tcPr>
            <w:tcW w:w="760" w:type="dxa"/>
            <w:tcBorders>
              <w:top w:val="single" w:sz="8" w:space="0" w:color="auto"/>
              <w:left w:val="nil"/>
              <w:bottom w:val="single" w:sz="4" w:space="0" w:color="auto"/>
              <w:right w:val="single" w:sz="4" w:space="0" w:color="auto"/>
            </w:tcBorders>
            <w:shd w:val="clear" w:color="auto" w:fill="auto"/>
            <w:noWrap/>
            <w:vAlign w:val="center"/>
            <w:hideMark/>
          </w:tcPr>
          <w:p w14:paraId="735303AD"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2887</w:t>
            </w:r>
          </w:p>
        </w:tc>
        <w:tc>
          <w:tcPr>
            <w:tcW w:w="820" w:type="dxa"/>
            <w:tcBorders>
              <w:top w:val="single" w:sz="8" w:space="0" w:color="auto"/>
              <w:left w:val="nil"/>
              <w:bottom w:val="single" w:sz="4" w:space="0" w:color="auto"/>
              <w:right w:val="single" w:sz="4" w:space="0" w:color="auto"/>
            </w:tcBorders>
            <w:shd w:val="clear" w:color="auto" w:fill="auto"/>
            <w:noWrap/>
            <w:vAlign w:val="center"/>
            <w:hideMark/>
          </w:tcPr>
          <w:p w14:paraId="52C0F7B0"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2190</w:t>
            </w:r>
          </w:p>
        </w:tc>
        <w:tc>
          <w:tcPr>
            <w:tcW w:w="760" w:type="dxa"/>
            <w:tcBorders>
              <w:top w:val="single" w:sz="8" w:space="0" w:color="auto"/>
              <w:left w:val="nil"/>
              <w:bottom w:val="single" w:sz="4" w:space="0" w:color="auto"/>
              <w:right w:val="single" w:sz="4" w:space="0" w:color="auto"/>
            </w:tcBorders>
            <w:shd w:val="clear" w:color="auto" w:fill="auto"/>
            <w:noWrap/>
            <w:vAlign w:val="center"/>
            <w:hideMark/>
          </w:tcPr>
          <w:p w14:paraId="4FEAEDE2"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2503</w:t>
            </w:r>
          </w:p>
        </w:tc>
        <w:tc>
          <w:tcPr>
            <w:tcW w:w="760" w:type="dxa"/>
            <w:tcBorders>
              <w:top w:val="single" w:sz="8" w:space="0" w:color="auto"/>
              <w:left w:val="nil"/>
              <w:bottom w:val="single" w:sz="4" w:space="0" w:color="auto"/>
              <w:right w:val="single" w:sz="4" w:space="0" w:color="auto"/>
            </w:tcBorders>
            <w:shd w:val="clear" w:color="auto" w:fill="auto"/>
            <w:noWrap/>
            <w:vAlign w:val="center"/>
            <w:hideMark/>
          </w:tcPr>
          <w:p w14:paraId="02B4D3DE"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3049</w:t>
            </w:r>
          </w:p>
        </w:tc>
        <w:tc>
          <w:tcPr>
            <w:tcW w:w="760" w:type="dxa"/>
            <w:tcBorders>
              <w:top w:val="single" w:sz="8" w:space="0" w:color="auto"/>
              <w:left w:val="nil"/>
              <w:bottom w:val="single" w:sz="4" w:space="0" w:color="auto"/>
              <w:right w:val="single" w:sz="4" w:space="0" w:color="auto"/>
            </w:tcBorders>
            <w:shd w:val="clear" w:color="auto" w:fill="auto"/>
            <w:noWrap/>
            <w:vAlign w:val="center"/>
            <w:hideMark/>
          </w:tcPr>
          <w:p w14:paraId="6E309A2D"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1672</w:t>
            </w:r>
          </w:p>
        </w:tc>
        <w:tc>
          <w:tcPr>
            <w:tcW w:w="760" w:type="dxa"/>
            <w:tcBorders>
              <w:top w:val="single" w:sz="8" w:space="0" w:color="auto"/>
              <w:left w:val="nil"/>
              <w:bottom w:val="single" w:sz="4" w:space="0" w:color="auto"/>
              <w:right w:val="single" w:sz="8" w:space="0" w:color="auto"/>
            </w:tcBorders>
            <w:shd w:val="clear" w:color="auto" w:fill="auto"/>
            <w:noWrap/>
            <w:vAlign w:val="center"/>
            <w:hideMark/>
          </w:tcPr>
          <w:p w14:paraId="5997A8D5"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978</w:t>
            </w:r>
          </w:p>
        </w:tc>
      </w:tr>
      <w:tr w:rsidR="00AA385D" w:rsidRPr="003952F6" w14:paraId="75A5AEDA" w14:textId="77777777" w:rsidTr="003952F6">
        <w:trPr>
          <w:trHeight w:val="315"/>
        </w:trPr>
        <w:tc>
          <w:tcPr>
            <w:tcW w:w="2400" w:type="dxa"/>
            <w:tcBorders>
              <w:top w:val="nil"/>
              <w:left w:val="single" w:sz="8" w:space="0" w:color="auto"/>
              <w:bottom w:val="single" w:sz="8" w:space="0" w:color="auto"/>
              <w:right w:val="single" w:sz="4" w:space="0" w:color="auto"/>
            </w:tcBorders>
            <w:shd w:val="clear" w:color="000000" w:fill="DDEBF7"/>
            <w:noWrap/>
            <w:vAlign w:val="center"/>
            <w:hideMark/>
          </w:tcPr>
          <w:p w14:paraId="4A9A0203" w14:textId="77777777" w:rsidR="00AA385D" w:rsidRPr="0055597F" w:rsidRDefault="003952F6" w:rsidP="0021493E">
            <w:pPr>
              <w:spacing w:after="0" w:line="240" w:lineRule="auto"/>
              <w:rPr>
                <w:rFonts w:eastAsia="Times New Roman"/>
                <w:color w:val="000000"/>
                <w:lang w:val="en-US"/>
              </w:rPr>
            </w:pPr>
            <w:r>
              <w:rPr>
                <w:rFonts w:eastAsia="Times New Roman"/>
                <w:color w:val="000000"/>
                <w:lang w:val="en-US"/>
              </w:rPr>
              <w:t>observations BMI 2010</w:t>
            </w:r>
          </w:p>
        </w:tc>
        <w:tc>
          <w:tcPr>
            <w:tcW w:w="413" w:type="dxa"/>
            <w:tcBorders>
              <w:top w:val="nil"/>
              <w:left w:val="nil"/>
              <w:bottom w:val="single" w:sz="8" w:space="0" w:color="auto"/>
              <w:right w:val="single" w:sz="4" w:space="0" w:color="auto"/>
            </w:tcBorders>
            <w:shd w:val="clear" w:color="auto" w:fill="auto"/>
            <w:noWrap/>
            <w:vAlign w:val="center"/>
            <w:hideMark/>
          </w:tcPr>
          <w:p w14:paraId="114BF7CC"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5094</w:t>
            </w:r>
          </w:p>
        </w:tc>
        <w:tc>
          <w:tcPr>
            <w:tcW w:w="760" w:type="dxa"/>
            <w:tcBorders>
              <w:top w:val="nil"/>
              <w:left w:val="nil"/>
              <w:bottom w:val="single" w:sz="8" w:space="0" w:color="auto"/>
              <w:right w:val="single" w:sz="4" w:space="0" w:color="auto"/>
            </w:tcBorders>
            <w:shd w:val="clear" w:color="auto" w:fill="auto"/>
            <w:noWrap/>
            <w:vAlign w:val="center"/>
            <w:hideMark/>
          </w:tcPr>
          <w:p w14:paraId="2A6E0442"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1500</w:t>
            </w:r>
          </w:p>
        </w:tc>
        <w:tc>
          <w:tcPr>
            <w:tcW w:w="960" w:type="dxa"/>
            <w:tcBorders>
              <w:top w:val="nil"/>
              <w:left w:val="nil"/>
              <w:bottom w:val="single" w:sz="8" w:space="0" w:color="auto"/>
              <w:right w:val="single" w:sz="4" w:space="0" w:color="auto"/>
            </w:tcBorders>
            <w:shd w:val="clear" w:color="auto" w:fill="auto"/>
            <w:noWrap/>
            <w:vAlign w:val="center"/>
            <w:hideMark/>
          </w:tcPr>
          <w:p w14:paraId="59A625D3"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1867</w:t>
            </w:r>
          </w:p>
        </w:tc>
        <w:tc>
          <w:tcPr>
            <w:tcW w:w="760" w:type="dxa"/>
            <w:tcBorders>
              <w:top w:val="nil"/>
              <w:left w:val="nil"/>
              <w:bottom w:val="single" w:sz="8" w:space="0" w:color="auto"/>
              <w:right w:val="single" w:sz="4" w:space="0" w:color="auto"/>
            </w:tcBorders>
            <w:shd w:val="clear" w:color="auto" w:fill="auto"/>
            <w:noWrap/>
            <w:vAlign w:val="center"/>
            <w:hideMark/>
          </w:tcPr>
          <w:p w14:paraId="5606054A"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2607</w:t>
            </w:r>
          </w:p>
        </w:tc>
        <w:tc>
          <w:tcPr>
            <w:tcW w:w="820" w:type="dxa"/>
            <w:tcBorders>
              <w:top w:val="nil"/>
              <w:left w:val="nil"/>
              <w:bottom w:val="single" w:sz="8" w:space="0" w:color="auto"/>
              <w:right w:val="single" w:sz="4" w:space="0" w:color="auto"/>
            </w:tcBorders>
            <w:shd w:val="clear" w:color="auto" w:fill="auto"/>
            <w:noWrap/>
            <w:vAlign w:val="center"/>
            <w:hideMark/>
          </w:tcPr>
          <w:p w14:paraId="4005C877"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3107</w:t>
            </w:r>
          </w:p>
        </w:tc>
        <w:tc>
          <w:tcPr>
            <w:tcW w:w="760" w:type="dxa"/>
            <w:tcBorders>
              <w:top w:val="nil"/>
              <w:left w:val="nil"/>
              <w:bottom w:val="single" w:sz="8" w:space="0" w:color="auto"/>
              <w:right w:val="single" w:sz="4" w:space="0" w:color="auto"/>
            </w:tcBorders>
            <w:shd w:val="clear" w:color="auto" w:fill="auto"/>
            <w:noWrap/>
            <w:vAlign w:val="center"/>
            <w:hideMark/>
          </w:tcPr>
          <w:p w14:paraId="38E85C3E"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3476</w:t>
            </w:r>
          </w:p>
        </w:tc>
        <w:tc>
          <w:tcPr>
            <w:tcW w:w="760" w:type="dxa"/>
            <w:tcBorders>
              <w:top w:val="nil"/>
              <w:left w:val="nil"/>
              <w:bottom w:val="single" w:sz="8" w:space="0" w:color="auto"/>
              <w:right w:val="single" w:sz="4" w:space="0" w:color="auto"/>
            </w:tcBorders>
            <w:shd w:val="clear" w:color="auto" w:fill="auto"/>
            <w:noWrap/>
            <w:vAlign w:val="center"/>
            <w:hideMark/>
          </w:tcPr>
          <w:p w14:paraId="4527764A"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5548</w:t>
            </w:r>
          </w:p>
        </w:tc>
        <w:tc>
          <w:tcPr>
            <w:tcW w:w="760" w:type="dxa"/>
            <w:tcBorders>
              <w:top w:val="nil"/>
              <w:left w:val="nil"/>
              <w:bottom w:val="single" w:sz="8" w:space="0" w:color="auto"/>
              <w:right w:val="single" w:sz="4" w:space="0" w:color="auto"/>
            </w:tcBorders>
            <w:shd w:val="clear" w:color="auto" w:fill="auto"/>
            <w:noWrap/>
            <w:vAlign w:val="center"/>
            <w:hideMark/>
          </w:tcPr>
          <w:p w14:paraId="15F1BE77"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2198</w:t>
            </w:r>
          </w:p>
        </w:tc>
        <w:tc>
          <w:tcPr>
            <w:tcW w:w="760" w:type="dxa"/>
            <w:tcBorders>
              <w:top w:val="nil"/>
              <w:left w:val="nil"/>
              <w:bottom w:val="single" w:sz="8" w:space="0" w:color="auto"/>
              <w:right w:val="single" w:sz="8" w:space="0" w:color="auto"/>
            </w:tcBorders>
            <w:shd w:val="clear" w:color="auto" w:fill="auto"/>
            <w:noWrap/>
            <w:vAlign w:val="center"/>
            <w:hideMark/>
          </w:tcPr>
          <w:p w14:paraId="76249CF1"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3637</w:t>
            </w:r>
          </w:p>
        </w:tc>
      </w:tr>
      <w:tr w:rsidR="00AA385D" w:rsidRPr="003952F6" w14:paraId="7E0EFC66" w14:textId="77777777" w:rsidTr="003952F6">
        <w:trPr>
          <w:trHeight w:val="300"/>
        </w:trPr>
        <w:tc>
          <w:tcPr>
            <w:tcW w:w="2400" w:type="dxa"/>
            <w:tcBorders>
              <w:top w:val="nil"/>
              <w:left w:val="single" w:sz="8" w:space="0" w:color="auto"/>
              <w:bottom w:val="single" w:sz="4" w:space="0" w:color="auto"/>
              <w:right w:val="single" w:sz="4" w:space="0" w:color="auto"/>
            </w:tcBorders>
            <w:shd w:val="clear" w:color="000000" w:fill="DDEBF7"/>
            <w:noWrap/>
            <w:vAlign w:val="center"/>
            <w:hideMark/>
          </w:tcPr>
          <w:p w14:paraId="7031D136" w14:textId="77777777" w:rsidR="00AA385D" w:rsidRPr="0055597F" w:rsidRDefault="00AA385D" w:rsidP="0021493E">
            <w:pPr>
              <w:spacing w:after="0" w:line="240" w:lineRule="auto"/>
              <w:rPr>
                <w:rFonts w:eastAsia="Times New Roman"/>
                <w:color w:val="000000"/>
                <w:lang w:val="en-US"/>
              </w:rPr>
            </w:pPr>
            <w:r w:rsidRPr="0055597F">
              <w:rPr>
                <w:rFonts w:eastAsia="Times New Roman"/>
                <w:color w:val="000000"/>
                <w:lang w:val="en-US"/>
              </w:rPr>
              <w:t>observed both waves</w:t>
            </w:r>
          </w:p>
        </w:tc>
        <w:tc>
          <w:tcPr>
            <w:tcW w:w="413" w:type="dxa"/>
            <w:tcBorders>
              <w:top w:val="nil"/>
              <w:left w:val="nil"/>
              <w:bottom w:val="single" w:sz="4" w:space="0" w:color="auto"/>
              <w:right w:val="single" w:sz="4" w:space="0" w:color="auto"/>
            </w:tcBorders>
            <w:shd w:val="clear" w:color="auto" w:fill="auto"/>
            <w:noWrap/>
            <w:vAlign w:val="center"/>
            <w:hideMark/>
          </w:tcPr>
          <w:p w14:paraId="4233F3BC"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656</w:t>
            </w:r>
          </w:p>
        </w:tc>
        <w:tc>
          <w:tcPr>
            <w:tcW w:w="760" w:type="dxa"/>
            <w:tcBorders>
              <w:top w:val="nil"/>
              <w:left w:val="nil"/>
              <w:bottom w:val="single" w:sz="4" w:space="0" w:color="auto"/>
              <w:right w:val="single" w:sz="4" w:space="0" w:color="auto"/>
            </w:tcBorders>
            <w:shd w:val="clear" w:color="auto" w:fill="auto"/>
            <w:noWrap/>
            <w:vAlign w:val="center"/>
            <w:hideMark/>
          </w:tcPr>
          <w:p w14:paraId="5E1A5B85"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1023</w:t>
            </w:r>
          </w:p>
        </w:tc>
        <w:tc>
          <w:tcPr>
            <w:tcW w:w="960" w:type="dxa"/>
            <w:tcBorders>
              <w:top w:val="nil"/>
              <w:left w:val="nil"/>
              <w:bottom w:val="single" w:sz="4" w:space="0" w:color="auto"/>
              <w:right w:val="single" w:sz="4" w:space="0" w:color="auto"/>
            </w:tcBorders>
            <w:shd w:val="clear" w:color="auto" w:fill="auto"/>
            <w:noWrap/>
            <w:vAlign w:val="center"/>
            <w:hideMark/>
          </w:tcPr>
          <w:p w14:paraId="3435F08F"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1409</w:t>
            </w:r>
          </w:p>
        </w:tc>
        <w:tc>
          <w:tcPr>
            <w:tcW w:w="760" w:type="dxa"/>
            <w:tcBorders>
              <w:top w:val="nil"/>
              <w:left w:val="nil"/>
              <w:bottom w:val="single" w:sz="4" w:space="0" w:color="auto"/>
              <w:right w:val="single" w:sz="4" w:space="0" w:color="auto"/>
            </w:tcBorders>
            <w:shd w:val="clear" w:color="auto" w:fill="auto"/>
            <w:noWrap/>
            <w:vAlign w:val="center"/>
            <w:hideMark/>
          </w:tcPr>
          <w:p w14:paraId="145A5F5D"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1335</w:t>
            </w:r>
          </w:p>
        </w:tc>
        <w:tc>
          <w:tcPr>
            <w:tcW w:w="820" w:type="dxa"/>
            <w:tcBorders>
              <w:top w:val="nil"/>
              <w:left w:val="nil"/>
              <w:bottom w:val="single" w:sz="4" w:space="0" w:color="auto"/>
              <w:right w:val="single" w:sz="4" w:space="0" w:color="auto"/>
            </w:tcBorders>
            <w:shd w:val="clear" w:color="auto" w:fill="auto"/>
            <w:noWrap/>
            <w:vAlign w:val="center"/>
            <w:hideMark/>
          </w:tcPr>
          <w:p w14:paraId="6A093C36"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1014</w:t>
            </w:r>
          </w:p>
        </w:tc>
        <w:tc>
          <w:tcPr>
            <w:tcW w:w="760" w:type="dxa"/>
            <w:tcBorders>
              <w:top w:val="nil"/>
              <w:left w:val="nil"/>
              <w:bottom w:val="single" w:sz="4" w:space="0" w:color="auto"/>
              <w:right w:val="single" w:sz="4" w:space="0" w:color="auto"/>
            </w:tcBorders>
            <w:shd w:val="clear" w:color="auto" w:fill="auto"/>
            <w:noWrap/>
            <w:vAlign w:val="center"/>
            <w:hideMark/>
          </w:tcPr>
          <w:p w14:paraId="7F57E41E"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1315</w:t>
            </w:r>
          </w:p>
        </w:tc>
        <w:tc>
          <w:tcPr>
            <w:tcW w:w="760" w:type="dxa"/>
            <w:tcBorders>
              <w:top w:val="nil"/>
              <w:left w:val="nil"/>
              <w:bottom w:val="single" w:sz="4" w:space="0" w:color="auto"/>
              <w:right w:val="single" w:sz="4" w:space="0" w:color="auto"/>
            </w:tcBorders>
            <w:shd w:val="clear" w:color="auto" w:fill="auto"/>
            <w:noWrap/>
            <w:vAlign w:val="center"/>
            <w:hideMark/>
          </w:tcPr>
          <w:p w14:paraId="69D74071"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1490</w:t>
            </w:r>
          </w:p>
        </w:tc>
        <w:tc>
          <w:tcPr>
            <w:tcW w:w="760" w:type="dxa"/>
            <w:tcBorders>
              <w:top w:val="nil"/>
              <w:left w:val="nil"/>
              <w:bottom w:val="single" w:sz="4" w:space="0" w:color="auto"/>
              <w:right w:val="single" w:sz="4" w:space="0" w:color="auto"/>
            </w:tcBorders>
            <w:shd w:val="clear" w:color="auto" w:fill="auto"/>
            <w:noWrap/>
            <w:vAlign w:val="center"/>
            <w:hideMark/>
          </w:tcPr>
          <w:p w14:paraId="01D01E79"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904</w:t>
            </w:r>
          </w:p>
        </w:tc>
        <w:tc>
          <w:tcPr>
            <w:tcW w:w="760" w:type="dxa"/>
            <w:tcBorders>
              <w:top w:val="nil"/>
              <w:left w:val="nil"/>
              <w:bottom w:val="single" w:sz="4" w:space="0" w:color="auto"/>
              <w:right w:val="single" w:sz="8" w:space="0" w:color="auto"/>
            </w:tcBorders>
            <w:shd w:val="clear" w:color="auto" w:fill="auto"/>
            <w:noWrap/>
            <w:vAlign w:val="center"/>
            <w:hideMark/>
          </w:tcPr>
          <w:p w14:paraId="282DBF42" w14:textId="77777777" w:rsidR="00AA385D" w:rsidRPr="0055597F" w:rsidRDefault="00AA385D" w:rsidP="0021493E">
            <w:pPr>
              <w:spacing w:after="0" w:line="240" w:lineRule="auto"/>
              <w:jc w:val="right"/>
              <w:rPr>
                <w:rFonts w:eastAsia="Times New Roman"/>
                <w:color w:val="000000"/>
                <w:lang w:val="en-US"/>
              </w:rPr>
            </w:pPr>
            <w:r w:rsidRPr="0055597F">
              <w:rPr>
                <w:rFonts w:eastAsia="Times New Roman"/>
                <w:color w:val="000000"/>
                <w:lang w:val="en-US"/>
              </w:rPr>
              <w:t>510</w:t>
            </w:r>
          </w:p>
        </w:tc>
      </w:tr>
    </w:tbl>
    <w:p w14:paraId="1FF5D975" w14:textId="77777777" w:rsidR="00AA385D" w:rsidRDefault="00AA385D" w:rsidP="00AA385D">
      <w:pPr>
        <w:rPr>
          <w:b/>
          <w:lang w:val="en-US"/>
        </w:rPr>
      </w:pPr>
    </w:p>
    <w:p w14:paraId="35A40F7B" w14:textId="77777777" w:rsidR="00AA385D" w:rsidRDefault="00AA385D" w:rsidP="00AA385D">
      <w:pPr>
        <w:rPr>
          <w:b/>
          <w:lang w:val="en-US"/>
        </w:rPr>
      </w:pPr>
    </w:p>
    <w:p w14:paraId="71F2C170" w14:textId="77777777" w:rsidR="009D06C0" w:rsidRDefault="009D06C0" w:rsidP="00AA385D">
      <w:pPr>
        <w:rPr>
          <w:b/>
          <w:lang w:val="en-US"/>
        </w:rPr>
      </w:pPr>
    </w:p>
    <w:p w14:paraId="08F3EB23" w14:textId="77777777" w:rsidR="00AA385D" w:rsidRDefault="00AA385D" w:rsidP="00AA385D">
      <w:pPr>
        <w:rPr>
          <w:b/>
          <w:lang w:val="en-US"/>
        </w:rPr>
      </w:pPr>
    </w:p>
    <w:p w14:paraId="10906486" w14:textId="3D13FE94" w:rsidR="00AA385D" w:rsidRDefault="00AA385D" w:rsidP="00AA385D">
      <w:pPr>
        <w:rPr>
          <w:b/>
          <w:lang w:val="en-US"/>
        </w:rPr>
      </w:pPr>
      <w:r>
        <w:rPr>
          <w:b/>
          <w:lang w:val="en-US"/>
        </w:rPr>
        <w:t xml:space="preserve">Table </w:t>
      </w:r>
      <w:r w:rsidR="002E3723">
        <w:rPr>
          <w:b/>
          <w:lang w:val="en-US"/>
        </w:rPr>
        <w:t>2</w:t>
      </w:r>
      <w:r>
        <w:rPr>
          <w:b/>
          <w:lang w:val="en-US"/>
        </w:rPr>
        <w:t xml:space="preserve">: Mean BMI and obesity in 2004 and 2010, * significant at a 10% significance level </w:t>
      </w:r>
    </w:p>
    <w:tbl>
      <w:tblPr>
        <w:tblW w:w="5000" w:type="pct"/>
        <w:tblLook w:val="04A0" w:firstRow="1" w:lastRow="0" w:firstColumn="1" w:lastColumn="0" w:noHBand="0" w:noVBand="1"/>
      </w:tblPr>
      <w:tblGrid>
        <w:gridCol w:w="2317"/>
        <w:gridCol w:w="762"/>
        <w:gridCol w:w="762"/>
        <w:gridCol w:w="761"/>
        <w:gridCol w:w="761"/>
        <w:gridCol w:w="718"/>
        <w:gridCol w:w="736"/>
        <w:gridCol w:w="761"/>
        <w:gridCol w:w="739"/>
        <w:gridCol w:w="745"/>
      </w:tblGrid>
      <w:tr w:rsidR="00AA385D" w:rsidRPr="000C440D" w14:paraId="21BD5672" w14:textId="77777777" w:rsidTr="00072A51">
        <w:trPr>
          <w:trHeight w:val="300"/>
        </w:trPr>
        <w:tc>
          <w:tcPr>
            <w:tcW w:w="1277" w:type="pct"/>
            <w:tcBorders>
              <w:top w:val="single" w:sz="4" w:space="0" w:color="auto"/>
              <w:left w:val="single" w:sz="4" w:space="0" w:color="auto"/>
              <w:bottom w:val="single" w:sz="4" w:space="0" w:color="auto"/>
              <w:right w:val="single" w:sz="4" w:space="0" w:color="auto"/>
            </w:tcBorders>
            <w:shd w:val="clear" w:color="000000" w:fill="D0CECE"/>
            <w:noWrap/>
            <w:vAlign w:val="center"/>
            <w:hideMark/>
          </w:tcPr>
          <w:p w14:paraId="0E6D351C" w14:textId="77777777" w:rsidR="00AA385D" w:rsidRPr="001624A5" w:rsidRDefault="00AA385D" w:rsidP="0021493E">
            <w:pPr>
              <w:spacing w:after="0" w:line="240" w:lineRule="auto"/>
              <w:rPr>
                <w:rFonts w:eastAsia="Times New Roman"/>
                <w:b/>
                <w:bCs/>
                <w:color w:val="000000"/>
                <w:lang w:val="en-US"/>
              </w:rPr>
            </w:pPr>
            <w:r w:rsidRPr="001624A5">
              <w:rPr>
                <w:rFonts w:eastAsia="Times New Roman"/>
                <w:b/>
                <w:bCs/>
                <w:color w:val="000000"/>
                <w:lang w:val="en-US"/>
              </w:rPr>
              <w:t>Mean BMI</w:t>
            </w:r>
          </w:p>
        </w:tc>
        <w:tc>
          <w:tcPr>
            <w:tcW w:w="420" w:type="pct"/>
            <w:tcBorders>
              <w:top w:val="single" w:sz="4" w:space="0" w:color="auto"/>
              <w:left w:val="nil"/>
              <w:bottom w:val="single" w:sz="4" w:space="0" w:color="auto"/>
              <w:right w:val="single" w:sz="4" w:space="0" w:color="auto"/>
            </w:tcBorders>
            <w:shd w:val="clear" w:color="000000" w:fill="D0CECE"/>
            <w:noWrap/>
            <w:vAlign w:val="center"/>
            <w:hideMark/>
          </w:tcPr>
          <w:p w14:paraId="0E9B3124" w14:textId="77777777" w:rsidR="00AA385D" w:rsidRPr="001624A5" w:rsidRDefault="00AA385D" w:rsidP="0021493E">
            <w:pPr>
              <w:spacing w:after="0" w:line="240" w:lineRule="auto"/>
              <w:jc w:val="right"/>
              <w:rPr>
                <w:rFonts w:eastAsia="Times New Roman"/>
                <w:b/>
                <w:bCs/>
                <w:color w:val="000000"/>
                <w:lang w:val="en-US"/>
              </w:rPr>
            </w:pPr>
            <w:r w:rsidRPr="001624A5">
              <w:rPr>
                <w:rFonts w:eastAsia="Times New Roman"/>
                <w:b/>
                <w:bCs/>
                <w:color w:val="000000"/>
                <w:lang w:val="en-US"/>
              </w:rPr>
              <w:t>AT</w:t>
            </w:r>
          </w:p>
        </w:tc>
        <w:tc>
          <w:tcPr>
            <w:tcW w:w="420" w:type="pct"/>
            <w:tcBorders>
              <w:top w:val="single" w:sz="4" w:space="0" w:color="auto"/>
              <w:left w:val="nil"/>
              <w:bottom w:val="single" w:sz="4" w:space="0" w:color="auto"/>
              <w:right w:val="single" w:sz="4" w:space="0" w:color="auto"/>
            </w:tcBorders>
            <w:shd w:val="clear" w:color="000000" w:fill="D0CECE"/>
            <w:noWrap/>
            <w:vAlign w:val="center"/>
            <w:hideMark/>
          </w:tcPr>
          <w:p w14:paraId="72B8EDDE" w14:textId="77777777" w:rsidR="00AA385D" w:rsidRPr="001624A5" w:rsidRDefault="00AA385D" w:rsidP="0021493E">
            <w:pPr>
              <w:spacing w:after="0" w:line="240" w:lineRule="auto"/>
              <w:jc w:val="right"/>
              <w:rPr>
                <w:rFonts w:eastAsia="Times New Roman"/>
                <w:b/>
                <w:bCs/>
                <w:color w:val="000000"/>
                <w:lang w:val="en-US"/>
              </w:rPr>
            </w:pPr>
            <w:r w:rsidRPr="001624A5">
              <w:rPr>
                <w:rFonts w:eastAsia="Times New Roman"/>
                <w:b/>
                <w:bCs/>
                <w:color w:val="000000"/>
                <w:lang w:val="en-US"/>
              </w:rPr>
              <w:t>DE</w:t>
            </w:r>
          </w:p>
        </w:tc>
        <w:tc>
          <w:tcPr>
            <w:tcW w:w="420" w:type="pct"/>
            <w:tcBorders>
              <w:top w:val="single" w:sz="4" w:space="0" w:color="auto"/>
              <w:left w:val="nil"/>
              <w:bottom w:val="single" w:sz="4" w:space="0" w:color="auto"/>
              <w:right w:val="single" w:sz="4" w:space="0" w:color="auto"/>
            </w:tcBorders>
            <w:shd w:val="clear" w:color="000000" w:fill="D0CECE"/>
            <w:noWrap/>
            <w:vAlign w:val="center"/>
            <w:hideMark/>
          </w:tcPr>
          <w:p w14:paraId="3B8A5BE7" w14:textId="77777777" w:rsidR="00AA385D" w:rsidRPr="001624A5" w:rsidRDefault="00AA385D" w:rsidP="0021493E">
            <w:pPr>
              <w:spacing w:after="0" w:line="240" w:lineRule="auto"/>
              <w:jc w:val="right"/>
              <w:rPr>
                <w:rFonts w:eastAsia="Times New Roman"/>
                <w:b/>
                <w:bCs/>
                <w:color w:val="000000"/>
                <w:lang w:val="en-US"/>
              </w:rPr>
            </w:pPr>
            <w:r w:rsidRPr="001624A5">
              <w:rPr>
                <w:rFonts w:eastAsia="Times New Roman"/>
                <w:b/>
                <w:bCs/>
                <w:color w:val="000000"/>
                <w:lang w:val="en-US"/>
              </w:rPr>
              <w:t>SE</w:t>
            </w:r>
          </w:p>
        </w:tc>
        <w:tc>
          <w:tcPr>
            <w:tcW w:w="420" w:type="pct"/>
            <w:tcBorders>
              <w:top w:val="single" w:sz="4" w:space="0" w:color="auto"/>
              <w:left w:val="nil"/>
              <w:bottom w:val="single" w:sz="4" w:space="0" w:color="auto"/>
              <w:right w:val="single" w:sz="4" w:space="0" w:color="auto"/>
            </w:tcBorders>
            <w:shd w:val="clear" w:color="000000" w:fill="D0CECE"/>
            <w:noWrap/>
            <w:vAlign w:val="center"/>
            <w:hideMark/>
          </w:tcPr>
          <w:p w14:paraId="45F4894E" w14:textId="77777777" w:rsidR="00AA385D" w:rsidRPr="001624A5" w:rsidRDefault="00AA385D" w:rsidP="0021493E">
            <w:pPr>
              <w:spacing w:after="0" w:line="240" w:lineRule="auto"/>
              <w:jc w:val="right"/>
              <w:rPr>
                <w:rFonts w:eastAsia="Times New Roman"/>
                <w:b/>
                <w:bCs/>
                <w:color w:val="000000"/>
                <w:lang w:val="en-US"/>
              </w:rPr>
            </w:pPr>
            <w:r w:rsidRPr="001624A5">
              <w:rPr>
                <w:rFonts w:eastAsia="Times New Roman"/>
                <w:b/>
                <w:bCs/>
                <w:color w:val="000000"/>
                <w:lang w:val="en-US"/>
              </w:rPr>
              <w:t>NL</w:t>
            </w:r>
          </w:p>
        </w:tc>
        <w:tc>
          <w:tcPr>
            <w:tcW w:w="396" w:type="pct"/>
            <w:tcBorders>
              <w:top w:val="single" w:sz="4" w:space="0" w:color="auto"/>
              <w:left w:val="nil"/>
              <w:bottom w:val="single" w:sz="4" w:space="0" w:color="auto"/>
              <w:right w:val="single" w:sz="4" w:space="0" w:color="auto"/>
            </w:tcBorders>
            <w:shd w:val="clear" w:color="000000" w:fill="D0CECE"/>
            <w:noWrap/>
            <w:vAlign w:val="center"/>
            <w:hideMark/>
          </w:tcPr>
          <w:p w14:paraId="51444DC0" w14:textId="77777777" w:rsidR="00AA385D" w:rsidRPr="001624A5" w:rsidRDefault="00AA385D" w:rsidP="0021493E">
            <w:pPr>
              <w:spacing w:after="0" w:line="240" w:lineRule="auto"/>
              <w:jc w:val="right"/>
              <w:rPr>
                <w:rFonts w:eastAsia="Times New Roman"/>
                <w:b/>
                <w:bCs/>
                <w:color w:val="000000"/>
                <w:lang w:val="en-US"/>
              </w:rPr>
            </w:pPr>
            <w:r w:rsidRPr="001624A5">
              <w:rPr>
                <w:rFonts w:eastAsia="Times New Roman"/>
                <w:b/>
                <w:bCs/>
                <w:color w:val="000000"/>
                <w:lang w:val="en-US"/>
              </w:rPr>
              <w:t>ES</w:t>
            </w:r>
          </w:p>
        </w:tc>
        <w:tc>
          <w:tcPr>
            <w:tcW w:w="406" w:type="pct"/>
            <w:tcBorders>
              <w:top w:val="single" w:sz="4" w:space="0" w:color="auto"/>
              <w:left w:val="nil"/>
              <w:bottom w:val="single" w:sz="4" w:space="0" w:color="auto"/>
              <w:right w:val="single" w:sz="4" w:space="0" w:color="auto"/>
            </w:tcBorders>
            <w:shd w:val="clear" w:color="000000" w:fill="D0CECE"/>
            <w:noWrap/>
            <w:vAlign w:val="center"/>
            <w:hideMark/>
          </w:tcPr>
          <w:p w14:paraId="4467A57A" w14:textId="77777777" w:rsidR="00AA385D" w:rsidRPr="001624A5" w:rsidRDefault="00AA385D" w:rsidP="0021493E">
            <w:pPr>
              <w:spacing w:after="0" w:line="240" w:lineRule="auto"/>
              <w:jc w:val="right"/>
              <w:rPr>
                <w:rFonts w:eastAsia="Times New Roman"/>
                <w:b/>
                <w:bCs/>
                <w:color w:val="000000"/>
                <w:lang w:val="en-US"/>
              </w:rPr>
            </w:pPr>
            <w:r w:rsidRPr="001624A5">
              <w:rPr>
                <w:rFonts w:eastAsia="Times New Roman"/>
                <w:b/>
                <w:bCs/>
                <w:color w:val="000000"/>
                <w:lang w:val="en-US"/>
              </w:rPr>
              <w:t>IT</w:t>
            </w:r>
          </w:p>
        </w:tc>
        <w:tc>
          <w:tcPr>
            <w:tcW w:w="420" w:type="pct"/>
            <w:tcBorders>
              <w:top w:val="single" w:sz="4" w:space="0" w:color="auto"/>
              <w:left w:val="nil"/>
              <w:bottom w:val="single" w:sz="4" w:space="0" w:color="auto"/>
              <w:right w:val="single" w:sz="4" w:space="0" w:color="auto"/>
            </w:tcBorders>
            <w:shd w:val="clear" w:color="000000" w:fill="D0CECE"/>
            <w:noWrap/>
            <w:vAlign w:val="center"/>
            <w:hideMark/>
          </w:tcPr>
          <w:p w14:paraId="57441448" w14:textId="77777777" w:rsidR="00AA385D" w:rsidRPr="001624A5" w:rsidRDefault="00AA385D" w:rsidP="0021493E">
            <w:pPr>
              <w:spacing w:after="0" w:line="240" w:lineRule="auto"/>
              <w:jc w:val="right"/>
              <w:rPr>
                <w:rFonts w:eastAsia="Times New Roman"/>
                <w:b/>
                <w:bCs/>
                <w:color w:val="000000"/>
                <w:lang w:val="en-US"/>
              </w:rPr>
            </w:pPr>
            <w:r w:rsidRPr="001624A5">
              <w:rPr>
                <w:rFonts w:eastAsia="Times New Roman"/>
                <w:b/>
                <w:bCs/>
                <w:color w:val="000000"/>
                <w:lang w:val="en-US"/>
              </w:rPr>
              <w:t>FR</w:t>
            </w:r>
          </w:p>
        </w:tc>
        <w:tc>
          <w:tcPr>
            <w:tcW w:w="408" w:type="pct"/>
            <w:tcBorders>
              <w:top w:val="single" w:sz="4" w:space="0" w:color="auto"/>
              <w:left w:val="nil"/>
              <w:bottom w:val="single" w:sz="4" w:space="0" w:color="auto"/>
              <w:right w:val="single" w:sz="4" w:space="0" w:color="auto"/>
            </w:tcBorders>
            <w:shd w:val="clear" w:color="000000" w:fill="D0CECE"/>
            <w:noWrap/>
            <w:vAlign w:val="center"/>
            <w:hideMark/>
          </w:tcPr>
          <w:p w14:paraId="69CAFBA0" w14:textId="77777777" w:rsidR="00AA385D" w:rsidRPr="001624A5" w:rsidRDefault="00AA385D" w:rsidP="0021493E">
            <w:pPr>
              <w:spacing w:after="0" w:line="240" w:lineRule="auto"/>
              <w:jc w:val="right"/>
              <w:rPr>
                <w:rFonts w:eastAsia="Times New Roman"/>
                <w:b/>
                <w:bCs/>
                <w:color w:val="000000"/>
                <w:lang w:val="en-US"/>
              </w:rPr>
            </w:pPr>
            <w:r w:rsidRPr="001624A5">
              <w:rPr>
                <w:rFonts w:eastAsia="Times New Roman"/>
                <w:b/>
                <w:bCs/>
                <w:color w:val="000000"/>
                <w:lang w:val="en-US"/>
              </w:rPr>
              <w:t>DK</w:t>
            </w:r>
          </w:p>
        </w:tc>
        <w:tc>
          <w:tcPr>
            <w:tcW w:w="411" w:type="pct"/>
            <w:tcBorders>
              <w:top w:val="single" w:sz="4" w:space="0" w:color="auto"/>
              <w:left w:val="nil"/>
              <w:bottom w:val="single" w:sz="4" w:space="0" w:color="auto"/>
              <w:right w:val="single" w:sz="4" w:space="0" w:color="auto"/>
            </w:tcBorders>
            <w:shd w:val="clear" w:color="000000" w:fill="D0CECE"/>
            <w:noWrap/>
            <w:vAlign w:val="center"/>
            <w:hideMark/>
          </w:tcPr>
          <w:p w14:paraId="2B24116D" w14:textId="77777777" w:rsidR="00AA385D" w:rsidRPr="001624A5" w:rsidRDefault="00AA385D" w:rsidP="0021493E">
            <w:pPr>
              <w:spacing w:after="0" w:line="240" w:lineRule="auto"/>
              <w:jc w:val="right"/>
              <w:rPr>
                <w:rFonts w:eastAsia="Times New Roman"/>
                <w:b/>
                <w:bCs/>
                <w:color w:val="000000"/>
                <w:lang w:val="en-US"/>
              </w:rPr>
            </w:pPr>
            <w:r w:rsidRPr="001624A5">
              <w:rPr>
                <w:rFonts w:eastAsia="Times New Roman"/>
                <w:b/>
                <w:bCs/>
                <w:color w:val="000000"/>
                <w:lang w:val="en-US"/>
              </w:rPr>
              <w:t>CH</w:t>
            </w:r>
          </w:p>
        </w:tc>
      </w:tr>
      <w:tr w:rsidR="00AA385D" w:rsidRPr="000C440D" w14:paraId="10EDFBF5" w14:textId="77777777" w:rsidTr="00072A51">
        <w:trPr>
          <w:trHeight w:val="300"/>
        </w:trPr>
        <w:tc>
          <w:tcPr>
            <w:tcW w:w="1277" w:type="pct"/>
            <w:tcBorders>
              <w:top w:val="nil"/>
              <w:left w:val="single" w:sz="4" w:space="0" w:color="auto"/>
              <w:bottom w:val="single" w:sz="4" w:space="0" w:color="auto"/>
              <w:right w:val="single" w:sz="4" w:space="0" w:color="auto"/>
            </w:tcBorders>
            <w:shd w:val="clear" w:color="000000" w:fill="DDEBF7"/>
            <w:noWrap/>
            <w:vAlign w:val="center"/>
            <w:hideMark/>
          </w:tcPr>
          <w:p w14:paraId="77AA10B4" w14:textId="77777777" w:rsidR="00AA385D" w:rsidRPr="001624A5" w:rsidRDefault="001A6916" w:rsidP="0021493E">
            <w:pPr>
              <w:spacing w:after="0" w:line="240" w:lineRule="auto"/>
              <w:rPr>
                <w:rFonts w:eastAsia="Times New Roman"/>
                <w:color w:val="000000"/>
                <w:lang w:val="en-US"/>
              </w:rPr>
            </w:pPr>
            <w:r>
              <w:rPr>
                <w:rFonts w:eastAsia="Times New Roman"/>
                <w:color w:val="000000"/>
                <w:lang w:val="en-US"/>
              </w:rPr>
              <w:t>Mean BMI 2004</w:t>
            </w:r>
          </w:p>
        </w:tc>
        <w:tc>
          <w:tcPr>
            <w:tcW w:w="420" w:type="pct"/>
            <w:tcBorders>
              <w:top w:val="nil"/>
              <w:left w:val="nil"/>
              <w:bottom w:val="single" w:sz="4" w:space="0" w:color="auto"/>
              <w:right w:val="single" w:sz="4" w:space="0" w:color="auto"/>
            </w:tcBorders>
            <w:shd w:val="clear" w:color="auto" w:fill="auto"/>
            <w:noWrap/>
            <w:vAlign w:val="center"/>
            <w:hideMark/>
          </w:tcPr>
          <w:p w14:paraId="524FB98F"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27.11</w:t>
            </w:r>
          </w:p>
        </w:tc>
        <w:tc>
          <w:tcPr>
            <w:tcW w:w="420" w:type="pct"/>
            <w:tcBorders>
              <w:top w:val="nil"/>
              <w:left w:val="nil"/>
              <w:bottom w:val="single" w:sz="4" w:space="0" w:color="auto"/>
              <w:right w:val="single" w:sz="4" w:space="0" w:color="auto"/>
            </w:tcBorders>
            <w:shd w:val="clear" w:color="auto" w:fill="auto"/>
            <w:noWrap/>
            <w:vAlign w:val="center"/>
            <w:hideMark/>
          </w:tcPr>
          <w:p w14:paraId="578E79A4"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26.62</w:t>
            </w:r>
          </w:p>
        </w:tc>
        <w:tc>
          <w:tcPr>
            <w:tcW w:w="420" w:type="pct"/>
            <w:tcBorders>
              <w:top w:val="nil"/>
              <w:left w:val="nil"/>
              <w:bottom w:val="single" w:sz="4" w:space="0" w:color="auto"/>
              <w:right w:val="single" w:sz="4" w:space="0" w:color="auto"/>
            </w:tcBorders>
            <w:shd w:val="clear" w:color="auto" w:fill="auto"/>
            <w:noWrap/>
            <w:vAlign w:val="center"/>
            <w:hideMark/>
          </w:tcPr>
          <w:p w14:paraId="0FDD687D"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25.98</w:t>
            </w:r>
          </w:p>
        </w:tc>
        <w:tc>
          <w:tcPr>
            <w:tcW w:w="420" w:type="pct"/>
            <w:tcBorders>
              <w:top w:val="nil"/>
              <w:left w:val="nil"/>
              <w:bottom w:val="single" w:sz="4" w:space="0" w:color="auto"/>
              <w:right w:val="single" w:sz="4" w:space="0" w:color="auto"/>
            </w:tcBorders>
            <w:shd w:val="clear" w:color="auto" w:fill="auto"/>
            <w:noWrap/>
            <w:vAlign w:val="center"/>
            <w:hideMark/>
          </w:tcPr>
          <w:p w14:paraId="3BFE4A11"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26.21</w:t>
            </w:r>
          </w:p>
        </w:tc>
        <w:tc>
          <w:tcPr>
            <w:tcW w:w="396" w:type="pct"/>
            <w:tcBorders>
              <w:top w:val="nil"/>
              <w:left w:val="nil"/>
              <w:bottom w:val="single" w:sz="4" w:space="0" w:color="auto"/>
              <w:right w:val="single" w:sz="4" w:space="0" w:color="auto"/>
            </w:tcBorders>
            <w:shd w:val="clear" w:color="auto" w:fill="auto"/>
            <w:noWrap/>
            <w:vAlign w:val="center"/>
            <w:hideMark/>
          </w:tcPr>
          <w:p w14:paraId="256C5308"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27.68</w:t>
            </w:r>
          </w:p>
        </w:tc>
        <w:tc>
          <w:tcPr>
            <w:tcW w:w="406" w:type="pct"/>
            <w:tcBorders>
              <w:top w:val="nil"/>
              <w:left w:val="nil"/>
              <w:bottom w:val="single" w:sz="4" w:space="0" w:color="auto"/>
              <w:right w:val="single" w:sz="4" w:space="0" w:color="auto"/>
            </w:tcBorders>
            <w:shd w:val="clear" w:color="auto" w:fill="auto"/>
            <w:noWrap/>
            <w:vAlign w:val="center"/>
            <w:hideMark/>
          </w:tcPr>
          <w:p w14:paraId="47BA201D"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26.72</w:t>
            </w:r>
          </w:p>
        </w:tc>
        <w:tc>
          <w:tcPr>
            <w:tcW w:w="420" w:type="pct"/>
            <w:tcBorders>
              <w:top w:val="nil"/>
              <w:left w:val="nil"/>
              <w:bottom w:val="single" w:sz="4" w:space="0" w:color="auto"/>
              <w:right w:val="single" w:sz="4" w:space="0" w:color="auto"/>
            </w:tcBorders>
            <w:shd w:val="clear" w:color="auto" w:fill="auto"/>
            <w:noWrap/>
            <w:vAlign w:val="center"/>
            <w:hideMark/>
          </w:tcPr>
          <w:p w14:paraId="4A6ED9F1"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25.90</w:t>
            </w:r>
          </w:p>
        </w:tc>
        <w:tc>
          <w:tcPr>
            <w:tcW w:w="408" w:type="pct"/>
            <w:tcBorders>
              <w:top w:val="nil"/>
              <w:left w:val="nil"/>
              <w:bottom w:val="single" w:sz="4" w:space="0" w:color="auto"/>
              <w:right w:val="single" w:sz="4" w:space="0" w:color="auto"/>
            </w:tcBorders>
            <w:shd w:val="clear" w:color="auto" w:fill="auto"/>
            <w:noWrap/>
            <w:vAlign w:val="center"/>
            <w:hideMark/>
          </w:tcPr>
          <w:p w14:paraId="19ABD17D"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25.79</w:t>
            </w:r>
          </w:p>
        </w:tc>
        <w:tc>
          <w:tcPr>
            <w:tcW w:w="411" w:type="pct"/>
            <w:tcBorders>
              <w:top w:val="nil"/>
              <w:left w:val="nil"/>
              <w:bottom w:val="single" w:sz="4" w:space="0" w:color="auto"/>
              <w:right w:val="single" w:sz="4" w:space="0" w:color="auto"/>
            </w:tcBorders>
            <w:shd w:val="clear" w:color="auto" w:fill="auto"/>
            <w:noWrap/>
            <w:vAlign w:val="center"/>
            <w:hideMark/>
          </w:tcPr>
          <w:p w14:paraId="6F906134"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25.20</w:t>
            </w:r>
          </w:p>
        </w:tc>
      </w:tr>
      <w:tr w:rsidR="00AA385D" w:rsidRPr="000C440D" w14:paraId="52F411A2" w14:textId="77777777" w:rsidTr="00072A51">
        <w:trPr>
          <w:trHeight w:val="300"/>
        </w:trPr>
        <w:tc>
          <w:tcPr>
            <w:tcW w:w="1277" w:type="pct"/>
            <w:tcBorders>
              <w:top w:val="nil"/>
              <w:left w:val="single" w:sz="4" w:space="0" w:color="auto"/>
              <w:bottom w:val="single" w:sz="4" w:space="0" w:color="auto"/>
              <w:right w:val="single" w:sz="4" w:space="0" w:color="auto"/>
            </w:tcBorders>
            <w:shd w:val="clear" w:color="000000" w:fill="DDEBF7"/>
            <w:noWrap/>
            <w:vAlign w:val="center"/>
            <w:hideMark/>
          </w:tcPr>
          <w:p w14:paraId="14E7A76B" w14:textId="77777777" w:rsidR="00AA385D" w:rsidRPr="001624A5" w:rsidRDefault="001A6916" w:rsidP="0021493E">
            <w:pPr>
              <w:spacing w:after="0" w:line="240" w:lineRule="auto"/>
              <w:rPr>
                <w:rFonts w:eastAsia="Times New Roman"/>
                <w:color w:val="000000"/>
                <w:lang w:val="en-US"/>
              </w:rPr>
            </w:pPr>
            <w:r>
              <w:rPr>
                <w:rFonts w:eastAsia="Times New Roman"/>
                <w:color w:val="000000"/>
              </w:rPr>
              <w:t>Mean</w:t>
            </w:r>
            <w:r w:rsidRPr="001624A5">
              <w:rPr>
                <w:rFonts w:eastAsia="Times New Roman"/>
                <w:color w:val="000000"/>
              </w:rPr>
              <w:t xml:space="preserve"> </w:t>
            </w:r>
            <w:r>
              <w:rPr>
                <w:rFonts w:eastAsia="Times New Roman"/>
                <w:color w:val="000000"/>
              </w:rPr>
              <w:t>BMI 2010</w:t>
            </w:r>
          </w:p>
        </w:tc>
        <w:tc>
          <w:tcPr>
            <w:tcW w:w="420" w:type="pct"/>
            <w:tcBorders>
              <w:top w:val="nil"/>
              <w:left w:val="nil"/>
              <w:bottom w:val="single" w:sz="4" w:space="0" w:color="auto"/>
              <w:right w:val="single" w:sz="4" w:space="0" w:color="auto"/>
            </w:tcBorders>
            <w:shd w:val="clear" w:color="auto" w:fill="auto"/>
            <w:noWrap/>
            <w:vAlign w:val="center"/>
            <w:hideMark/>
          </w:tcPr>
          <w:p w14:paraId="160E7D4E"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27.05</w:t>
            </w:r>
          </w:p>
        </w:tc>
        <w:tc>
          <w:tcPr>
            <w:tcW w:w="420" w:type="pct"/>
            <w:tcBorders>
              <w:top w:val="nil"/>
              <w:left w:val="nil"/>
              <w:bottom w:val="single" w:sz="4" w:space="0" w:color="auto"/>
              <w:right w:val="single" w:sz="4" w:space="0" w:color="auto"/>
            </w:tcBorders>
            <w:shd w:val="clear" w:color="auto" w:fill="auto"/>
            <w:noWrap/>
            <w:vAlign w:val="center"/>
            <w:hideMark/>
          </w:tcPr>
          <w:p w14:paraId="44E9CD1D"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26.74</w:t>
            </w:r>
          </w:p>
        </w:tc>
        <w:tc>
          <w:tcPr>
            <w:tcW w:w="420" w:type="pct"/>
            <w:tcBorders>
              <w:top w:val="nil"/>
              <w:left w:val="nil"/>
              <w:bottom w:val="single" w:sz="4" w:space="0" w:color="auto"/>
              <w:right w:val="single" w:sz="4" w:space="0" w:color="auto"/>
            </w:tcBorders>
            <w:shd w:val="clear" w:color="auto" w:fill="auto"/>
            <w:noWrap/>
            <w:vAlign w:val="center"/>
            <w:hideMark/>
          </w:tcPr>
          <w:p w14:paraId="586E98B7"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26.14</w:t>
            </w:r>
          </w:p>
        </w:tc>
        <w:tc>
          <w:tcPr>
            <w:tcW w:w="420" w:type="pct"/>
            <w:tcBorders>
              <w:top w:val="nil"/>
              <w:left w:val="nil"/>
              <w:bottom w:val="single" w:sz="4" w:space="0" w:color="auto"/>
              <w:right w:val="single" w:sz="4" w:space="0" w:color="auto"/>
            </w:tcBorders>
            <w:shd w:val="clear" w:color="auto" w:fill="auto"/>
            <w:noWrap/>
            <w:vAlign w:val="center"/>
            <w:hideMark/>
          </w:tcPr>
          <w:p w14:paraId="25E593C0"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26.28</w:t>
            </w:r>
          </w:p>
        </w:tc>
        <w:tc>
          <w:tcPr>
            <w:tcW w:w="396" w:type="pct"/>
            <w:tcBorders>
              <w:top w:val="nil"/>
              <w:left w:val="nil"/>
              <w:bottom w:val="single" w:sz="4" w:space="0" w:color="auto"/>
              <w:right w:val="single" w:sz="4" w:space="0" w:color="auto"/>
            </w:tcBorders>
            <w:shd w:val="clear" w:color="auto" w:fill="auto"/>
            <w:noWrap/>
            <w:vAlign w:val="center"/>
            <w:hideMark/>
          </w:tcPr>
          <w:p w14:paraId="7361FC79"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27.82</w:t>
            </w:r>
          </w:p>
        </w:tc>
        <w:tc>
          <w:tcPr>
            <w:tcW w:w="406" w:type="pct"/>
            <w:tcBorders>
              <w:top w:val="nil"/>
              <w:left w:val="nil"/>
              <w:bottom w:val="single" w:sz="4" w:space="0" w:color="auto"/>
              <w:right w:val="single" w:sz="4" w:space="0" w:color="auto"/>
            </w:tcBorders>
            <w:shd w:val="clear" w:color="auto" w:fill="auto"/>
            <w:noWrap/>
            <w:vAlign w:val="center"/>
            <w:hideMark/>
          </w:tcPr>
          <w:p w14:paraId="111F91FD"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26.74</w:t>
            </w:r>
          </w:p>
        </w:tc>
        <w:tc>
          <w:tcPr>
            <w:tcW w:w="420" w:type="pct"/>
            <w:tcBorders>
              <w:top w:val="nil"/>
              <w:left w:val="nil"/>
              <w:bottom w:val="single" w:sz="4" w:space="0" w:color="auto"/>
              <w:right w:val="single" w:sz="4" w:space="0" w:color="auto"/>
            </w:tcBorders>
            <w:shd w:val="clear" w:color="auto" w:fill="auto"/>
            <w:noWrap/>
            <w:vAlign w:val="center"/>
            <w:hideMark/>
          </w:tcPr>
          <w:p w14:paraId="03305D46"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26.08</w:t>
            </w:r>
          </w:p>
        </w:tc>
        <w:tc>
          <w:tcPr>
            <w:tcW w:w="408" w:type="pct"/>
            <w:tcBorders>
              <w:top w:val="nil"/>
              <w:left w:val="nil"/>
              <w:bottom w:val="single" w:sz="4" w:space="0" w:color="auto"/>
              <w:right w:val="single" w:sz="4" w:space="0" w:color="auto"/>
            </w:tcBorders>
            <w:shd w:val="clear" w:color="auto" w:fill="auto"/>
            <w:noWrap/>
            <w:vAlign w:val="center"/>
            <w:hideMark/>
          </w:tcPr>
          <w:p w14:paraId="7176E90B"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25.86</w:t>
            </w:r>
          </w:p>
        </w:tc>
        <w:tc>
          <w:tcPr>
            <w:tcW w:w="411" w:type="pct"/>
            <w:tcBorders>
              <w:top w:val="nil"/>
              <w:left w:val="nil"/>
              <w:bottom w:val="single" w:sz="4" w:space="0" w:color="auto"/>
              <w:right w:val="single" w:sz="4" w:space="0" w:color="auto"/>
            </w:tcBorders>
            <w:shd w:val="clear" w:color="auto" w:fill="auto"/>
            <w:noWrap/>
            <w:vAlign w:val="center"/>
            <w:hideMark/>
          </w:tcPr>
          <w:p w14:paraId="79D7480D"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25.50</w:t>
            </w:r>
          </w:p>
        </w:tc>
      </w:tr>
      <w:tr w:rsidR="00AA385D" w:rsidRPr="000C440D" w14:paraId="2787ECCA" w14:textId="77777777" w:rsidTr="00072A51">
        <w:trPr>
          <w:trHeight w:val="300"/>
        </w:trPr>
        <w:tc>
          <w:tcPr>
            <w:tcW w:w="1277" w:type="pct"/>
            <w:tcBorders>
              <w:top w:val="nil"/>
              <w:left w:val="single" w:sz="4" w:space="0" w:color="auto"/>
              <w:bottom w:val="single" w:sz="4" w:space="0" w:color="auto"/>
              <w:right w:val="single" w:sz="4" w:space="0" w:color="auto"/>
            </w:tcBorders>
            <w:shd w:val="clear" w:color="000000" w:fill="DDEBF7"/>
            <w:noWrap/>
            <w:vAlign w:val="center"/>
            <w:hideMark/>
          </w:tcPr>
          <w:p w14:paraId="785557E1" w14:textId="77777777" w:rsidR="00AA385D" w:rsidRPr="001624A5" w:rsidRDefault="00AA385D" w:rsidP="0021493E">
            <w:pPr>
              <w:spacing w:after="0" w:line="240" w:lineRule="auto"/>
              <w:rPr>
                <w:rFonts w:eastAsia="Times New Roman"/>
                <w:color w:val="000000"/>
                <w:lang w:val="en-US"/>
              </w:rPr>
            </w:pPr>
            <w:r w:rsidRPr="001624A5">
              <w:rPr>
                <w:rFonts w:eastAsia="Times New Roman"/>
                <w:color w:val="000000"/>
              </w:rPr>
              <w:t>BMI change</w:t>
            </w:r>
          </w:p>
        </w:tc>
        <w:tc>
          <w:tcPr>
            <w:tcW w:w="420" w:type="pct"/>
            <w:tcBorders>
              <w:top w:val="nil"/>
              <w:left w:val="nil"/>
              <w:bottom w:val="single" w:sz="4" w:space="0" w:color="auto"/>
              <w:right w:val="single" w:sz="4" w:space="0" w:color="auto"/>
            </w:tcBorders>
            <w:shd w:val="clear" w:color="000000" w:fill="F8CBAD"/>
            <w:noWrap/>
            <w:vAlign w:val="center"/>
            <w:hideMark/>
          </w:tcPr>
          <w:p w14:paraId="7D193F62"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-0.05</w:t>
            </w:r>
          </w:p>
        </w:tc>
        <w:tc>
          <w:tcPr>
            <w:tcW w:w="420" w:type="pct"/>
            <w:tcBorders>
              <w:top w:val="nil"/>
              <w:left w:val="nil"/>
              <w:bottom w:val="single" w:sz="4" w:space="0" w:color="auto"/>
              <w:right w:val="single" w:sz="4" w:space="0" w:color="auto"/>
            </w:tcBorders>
            <w:shd w:val="clear" w:color="000000" w:fill="C6E0B4"/>
            <w:noWrap/>
            <w:vAlign w:val="center"/>
            <w:hideMark/>
          </w:tcPr>
          <w:p w14:paraId="4CA17B20"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0.12</w:t>
            </w:r>
          </w:p>
        </w:tc>
        <w:tc>
          <w:tcPr>
            <w:tcW w:w="420" w:type="pct"/>
            <w:tcBorders>
              <w:top w:val="nil"/>
              <w:left w:val="nil"/>
              <w:bottom w:val="single" w:sz="4" w:space="0" w:color="auto"/>
              <w:right w:val="single" w:sz="4" w:space="0" w:color="auto"/>
            </w:tcBorders>
            <w:shd w:val="clear" w:color="000000" w:fill="C6E0B4"/>
            <w:noWrap/>
            <w:vAlign w:val="center"/>
            <w:hideMark/>
          </w:tcPr>
          <w:p w14:paraId="69FD6373"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0.17*</w:t>
            </w:r>
          </w:p>
        </w:tc>
        <w:tc>
          <w:tcPr>
            <w:tcW w:w="420" w:type="pct"/>
            <w:tcBorders>
              <w:top w:val="nil"/>
              <w:left w:val="nil"/>
              <w:bottom w:val="single" w:sz="4" w:space="0" w:color="auto"/>
              <w:right w:val="single" w:sz="4" w:space="0" w:color="auto"/>
            </w:tcBorders>
            <w:shd w:val="clear" w:color="000000" w:fill="C6E0B4"/>
            <w:noWrap/>
            <w:vAlign w:val="center"/>
            <w:hideMark/>
          </w:tcPr>
          <w:p w14:paraId="38DD110A"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0.07</w:t>
            </w:r>
          </w:p>
        </w:tc>
        <w:tc>
          <w:tcPr>
            <w:tcW w:w="396" w:type="pct"/>
            <w:tcBorders>
              <w:top w:val="nil"/>
              <w:left w:val="nil"/>
              <w:bottom w:val="single" w:sz="4" w:space="0" w:color="auto"/>
              <w:right w:val="single" w:sz="4" w:space="0" w:color="auto"/>
            </w:tcBorders>
            <w:shd w:val="clear" w:color="000000" w:fill="C6E0B4"/>
            <w:noWrap/>
            <w:vAlign w:val="center"/>
            <w:hideMark/>
          </w:tcPr>
          <w:p w14:paraId="13E37371"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0.15</w:t>
            </w:r>
          </w:p>
        </w:tc>
        <w:tc>
          <w:tcPr>
            <w:tcW w:w="406" w:type="pct"/>
            <w:tcBorders>
              <w:top w:val="nil"/>
              <w:left w:val="nil"/>
              <w:bottom w:val="single" w:sz="4" w:space="0" w:color="auto"/>
              <w:right w:val="single" w:sz="4" w:space="0" w:color="auto"/>
            </w:tcBorders>
            <w:shd w:val="clear" w:color="000000" w:fill="C6E0B4"/>
            <w:noWrap/>
            <w:vAlign w:val="center"/>
            <w:hideMark/>
          </w:tcPr>
          <w:p w14:paraId="17D0827B"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0.02</w:t>
            </w:r>
          </w:p>
        </w:tc>
        <w:tc>
          <w:tcPr>
            <w:tcW w:w="420" w:type="pct"/>
            <w:tcBorders>
              <w:top w:val="nil"/>
              <w:left w:val="nil"/>
              <w:bottom w:val="single" w:sz="4" w:space="0" w:color="auto"/>
              <w:right w:val="single" w:sz="4" w:space="0" w:color="auto"/>
            </w:tcBorders>
            <w:shd w:val="clear" w:color="000000" w:fill="C6E0B4"/>
            <w:noWrap/>
            <w:vAlign w:val="center"/>
            <w:hideMark/>
          </w:tcPr>
          <w:p w14:paraId="352A66A6"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0.18*</w:t>
            </w:r>
          </w:p>
        </w:tc>
        <w:tc>
          <w:tcPr>
            <w:tcW w:w="408" w:type="pct"/>
            <w:tcBorders>
              <w:top w:val="nil"/>
              <w:left w:val="nil"/>
              <w:bottom w:val="single" w:sz="4" w:space="0" w:color="auto"/>
              <w:right w:val="single" w:sz="4" w:space="0" w:color="auto"/>
            </w:tcBorders>
            <w:shd w:val="clear" w:color="000000" w:fill="C6E0B4"/>
            <w:noWrap/>
            <w:vAlign w:val="center"/>
            <w:hideMark/>
          </w:tcPr>
          <w:p w14:paraId="36B0D076"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0.06</w:t>
            </w:r>
          </w:p>
        </w:tc>
        <w:tc>
          <w:tcPr>
            <w:tcW w:w="411" w:type="pct"/>
            <w:tcBorders>
              <w:top w:val="nil"/>
              <w:left w:val="nil"/>
              <w:bottom w:val="single" w:sz="4" w:space="0" w:color="auto"/>
              <w:right w:val="single" w:sz="4" w:space="0" w:color="auto"/>
            </w:tcBorders>
            <w:shd w:val="clear" w:color="000000" w:fill="C6E0B4"/>
            <w:noWrap/>
            <w:vAlign w:val="center"/>
            <w:hideMark/>
          </w:tcPr>
          <w:p w14:paraId="383A16C2"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rPr>
              <w:t>0.22*</w:t>
            </w:r>
          </w:p>
        </w:tc>
      </w:tr>
    </w:tbl>
    <w:p w14:paraId="2493D2D5" w14:textId="77777777" w:rsidR="00AA385D" w:rsidRDefault="00AA385D" w:rsidP="00AA385D">
      <w:pPr>
        <w:rPr>
          <w:b/>
          <w:lang w:val="en-US"/>
        </w:rPr>
      </w:pPr>
    </w:p>
    <w:p w14:paraId="560BF9DD" w14:textId="431A3CBF" w:rsidR="00AA385D" w:rsidRDefault="00AA385D" w:rsidP="00AA385D">
      <w:pPr>
        <w:rPr>
          <w:b/>
          <w:lang w:val="en-US"/>
        </w:rPr>
      </w:pPr>
      <w:r>
        <w:rPr>
          <w:b/>
          <w:lang w:val="en-US"/>
        </w:rPr>
        <w:t xml:space="preserve">Table </w:t>
      </w:r>
      <w:r w:rsidR="002E3723">
        <w:rPr>
          <w:b/>
          <w:lang w:val="en-US"/>
        </w:rPr>
        <w:t>3</w:t>
      </w:r>
      <w:r>
        <w:rPr>
          <w:b/>
          <w:lang w:val="en-US"/>
        </w:rPr>
        <w:t>: Mean BMI of drop outs between 2004 and 2010, * significant at a 10% significance level</w:t>
      </w:r>
    </w:p>
    <w:tbl>
      <w:tblPr>
        <w:tblW w:w="5000" w:type="pct"/>
        <w:tblLook w:val="04A0" w:firstRow="1" w:lastRow="0" w:firstColumn="1" w:lastColumn="0" w:noHBand="0" w:noVBand="1"/>
      </w:tblPr>
      <w:tblGrid>
        <w:gridCol w:w="1927"/>
        <w:gridCol w:w="793"/>
        <w:gridCol w:w="793"/>
        <w:gridCol w:w="794"/>
        <w:gridCol w:w="794"/>
        <w:gridCol w:w="794"/>
        <w:gridCol w:w="794"/>
        <w:gridCol w:w="794"/>
        <w:gridCol w:w="794"/>
        <w:gridCol w:w="785"/>
      </w:tblGrid>
      <w:tr w:rsidR="00AA385D" w:rsidRPr="000C440D" w14:paraId="5BD05419" w14:textId="77777777" w:rsidTr="0021493E">
        <w:trPr>
          <w:trHeight w:val="300"/>
        </w:trPr>
        <w:tc>
          <w:tcPr>
            <w:tcW w:w="1063" w:type="pct"/>
            <w:tcBorders>
              <w:top w:val="single" w:sz="4" w:space="0" w:color="auto"/>
              <w:left w:val="single" w:sz="4" w:space="0" w:color="auto"/>
              <w:bottom w:val="single" w:sz="4" w:space="0" w:color="auto"/>
              <w:right w:val="single" w:sz="4" w:space="0" w:color="auto"/>
            </w:tcBorders>
            <w:shd w:val="clear" w:color="000000" w:fill="D0CECE"/>
            <w:noWrap/>
            <w:vAlign w:val="center"/>
            <w:hideMark/>
          </w:tcPr>
          <w:p w14:paraId="247D6DE0" w14:textId="77777777" w:rsidR="00AA385D" w:rsidRPr="001624A5" w:rsidRDefault="00AA385D" w:rsidP="0021493E">
            <w:pPr>
              <w:spacing w:after="0" w:line="240" w:lineRule="auto"/>
              <w:rPr>
                <w:rFonts w:eastAsia="Times New Roman"/>
                <w:b/>
                <w:bCs/>
                <w:color w:val="000000"/>
                <w:lang w:val="en-US"/>
              </w:rPr>
            </w:pPr>
            <w:r w:rsidRPr="001624A5">
              <w:rPr>
                <w:rFonts w:eastAsia="Times New Roman"/>
                <w:b/>
                <w:bCs/>
                <w:color w:val="000000"/>
                <w:lang w:val="en-US"/>
              </w:rPr>
              <w:t>DROPOUTS</w:t>
            </w:r>
          </w:p>
        </w:tc>
        <w:tc>
          <w:tcPr>
            <w:tcW w:w="438" w:type="pct"/>
            <w:tcBorders>
              <w:top w:val="single" w:sz="4" w:space="0" w:color="auto"/>
              <w:left w:val="nil"/>
              <w:bottom w:val="single" w:sz="4" w:space="0" w:color="auto"/>
              <w:right w:val="single" w:sz="4" w:space="0" w:color="auto"/>
            </w:tcBorders>
            <w:shd w:val="clear" w:color="000000" w:fill="D0CECE"/>
            <w:noWrap/>
            <w:vAlign w:val="center"/>
            <w:hideMark/>
          </w:tcPr>
          <w:p w14:paraId="7AECF500" w14:textId="77777777" w:rsidR="00AA385D" w:rsidRPr="001624A5" w:rsidRDefault="00AA385D" w:rsidP="0021493E">
            <w:pPr>
              <w:spacing w:after="0" w:line="240" w:lineRule="auto"/>
              <w:rPr>
                <w:rFonts w:eastAsia="Times New Roman"/>
                <w:b/>
                <w:bCs/>
                <w:color w:val="000000"/>
                <w:lang w:val="en-US"/>
              </w:rPr>
            </w:pPr>
            <w:r w:rsidRPr="001624A5">
              <w:rPr>
                <w:rFonts w:eastAsia="Times New Roman"/>
                <w:b/>
                <w:bCs/>
                <w:color w:val="000000"/>
                <w:lang w:val="en-US"/>
              </w:rPr>
              <w:t>AT</w:t>
            </w:r>
          </w:p>
        </w:tc>
        <w:tc>
          <w:tcPr>
            <w:tcW w:w="438" w:type="pct"/>
            <w:tcBorders>
              <w:top w:val="single" w:sz="4" w:space="0" w:color="auto"/>
              <w:left w:val="nil"/>
              <w:bottom w:val="single" w:sz="4" w:space="0" w:color="auto"/>
              <w:right w:val="single" w:sz="4" w:space="0" w:color="auto"/>
            </w:tcBorders>
            <w:shd w:val="clear" w:color="000000" w:fill="D0CECE"/>
            <w:noWrap/>
            <w:vAlign w:val="center"/>
            <w:hideMark/>
          </w:tcPr>
          <w:p w14:paraId="6F7FFDE7" w14:textId="77777777" w:rsidR="00AA385D" w:rsidRPr="001624A5" w:rsidRDefault="00AA385D" w:rsidP="0021493E">
            <w:pPr>
              <w:spacing w:after="0" w:line="240" w:lineRule="auto"/>
              <w:rPr>
                <w:rFonts w:eastAsia="Times New Roman"/>
                <w:b/>
                <w:bCs/>
                <w:color w:val="000000"/>
                <w:lang w:val="en-US"/>
              </w:rPr>
            </w:pPr>
            <w:r w:rsidRPr="001624A5">
              <w:rPr>
                <w:rFonts w:eastAsia="Times New Roman"/>
                <w:b/>
                <w:bCs/>
                <w:color w:val="000000"/>
                <w:lang w:val="en-US"/>
              </w:rPr>
              <w:t>DE</w:t>
            </w:r>
          </w:p>
        </w:tc>
        <w:tc>
          <w:tcPr>
            <w:tcW w:w="438" w:type="pct"/>
            <w:tcBorders>
              <w:top w:val="single" w:sz="4" w:space="0" w:color="auto"/>
              <w:left w:val="nil"/>
              <w:bottom w:val="single" w:sz="4" w:space="0" w:color="auto"/>
              <w:right w:val="single" w:sz="4" w:space="0" w:color="auto"/>
            </w:tcBorders>
            <w:shd w:val="clear" w:color="000000" w:fill="D0CECE"/>
            <w:noWrap/>
            <w:vAlign w:val="center"/>
            <w:hideMark/>
          </w:tcPr>
          <w:p w14:paraId="1C3C7F55" w14:textId="77777777" w:rsidR="00AA385D" w:rsidRPr="001624A5" w:rsidRDefault="00AA385D" w:rsidP="0021493E">
            <w:pPr>
              <w:spacing w:after="0" w:line="240" w:lineRule="auto"/>
              <w:rPr>
                <w:rFonts w:eastAsia="Times New Roman"/>
                <w:b/>
                <w:bCs/>
                <w:color w:val="000000"/>
                <w:lang w:val="en-US"/>
              </w:rPr>
            </w:pPr>
            <w:r w:rsidRPr="001624A5">
              <w:rPr>
                <w:rFonts w:eastAsia="Times New Roman"/>
                <w:b/>
                <w:bCs/>
                <w:color w:val="000000"/>
                <w:lang w:val="en-US"/>
              </w:rPr>
              <w:t>SE</w:t>
            </w:r>
          </w:p>
        </w:tc>
        <w:tc>
          <w:tcPr>
            <w:tcW w:w="438" w:type="pct"/>
            <w:tcBorders>
              <w:top w:val="single" w:sz="4" w:space="0" w:color="auto"/>
              <w:left w:val="nil"/>
              <w:bottom w:val="single" w:sz="4" w:space="0" w:color="auto"/>
              <w:right w:val="single" w:sz="4" w:space="0" w:color="auto"/>
            </w:tcBorders>
            <w:shd w:val="clear" w:color="000000" w:fill="D0CECE"/>
            <w:noWrap/>
            <w:vAlign w:val="center"/>
            <w:hideMark/>
          </w:tcPr>
          <w:p w14:paraId="57ED8F75" w14:textId="77777777" w:rsidR="00AA385D" w:rsidRPr="001624A5" w:rsidRDefault="00AA385D" w:rsidP="0021493E">
            <w:pPr>
              <w:spacing w:after="0" w:line="240" w:lineRule="auto"/>
              <w:rPr>
                <w:rFonts w:eastAsia="Times New Roman"/>
                <w:b/>
                <w:bCs/>
                <w:color w:val="000000"/>
                <w:lang w:val="en-US"/>
              </w:rPr>
            </w:pPr>
            <w:r w:rsidRPr="001624A5">
              <w:rPr>
                <w:rFonts w:eastAsia="Times New Roman"/>
                <w:b/>
                <w:bCs/>
                <w:color w:val="000000"/>
                <w:lang w:val="en-US"/>
              </w:rPr>
              <w:t>NL</w:t>
            </w:r>
          </w:p>
        </w:tc>
        <w:tc>
          <w:tcPr>
            <w:tcW w:w="438" w:type="pct"/>
            <w:tcBorders>
              <w:top w:val="single" w:sz="4" w:space="0" w:color="auto"/>
              <w:left w:val="nil"/>
              <w:bottom w:val="single" w:sz="4" w:space="0" w:color="auto"/>
              <w:right w:val="single" w:sz="4" w:space="0" w:color="auto"/>
            </w:tcBorders>
            <w:shd w:val="clear" w:color="000000" w:fill="D0CECE"/>
            <w:noWrap/>
            <w:vAlign w:val="center"/>
            <w:hideMark/>
          </w:tcPr>
          <w:p w14:paraId="4FA56274" w14:textId="77777777" w:rsidR="00AA385D" w:rsidRPr="001624A5" w:rsidRDefault="00AA385D" w:rsidP="0021493E">
            <w:pPr>
              <w:spacing w:after="0" w:line="240" w:lineRule="auto"/>
              <w:rPr>
                <w:rFonts w:eastAsia="Times New Roman"/>
                <w:b/>
                <w:bCs/>
                <w:color w:val="000000"/>
                <w:lang w:val="en-US"/>
              </w:rPr>
            </w:pPr>
            <w:r w:rsidRPr="001624A5">
              <w:rPr>
                <w:rFonts w:eastAsia="Times New Roman"/>
                <w:b/>
                <w:bCs/>
                <w:color w:val="000000"/>
                <w:lang w:val="en-US"/>
              </w:rPr>
              <w:t>ES</w:t>
            </w:r>
          </w:p>
        </w:tc>
        <w:tc>
          <w:tcPr>
            <w:tcW w:w="438" w:type="pct"/>
            <w:tcBorders>
              <w:top w:val="single" w:sz="4" w:space="0" w:color="auto"/>
              <w:left w:val="nil"/>
              <w:bottom w:val="single" w:sz="4" w:space="0" w:color="auto"/>
              <w:right w:val="single" w:sz="4" w:space="0" w:color="auto"/>
            </w:tcBorders>
            <w:shd w:val="clear" w:color="000000" w:fill="D0CECE"/>
            <w:noWrap/>
            <w:vAlign w:val="center"/>
            <w:hideMark/>
          </w:tcPr>
          <w:p w14:paraId="16BEEC03" w14:textId="77777777" w:rsidR="00AA385D" w:rsidRPr="001624A5" w:rsidRDefault="00AA385D" w:rsidP="0021493E">
            <w:pPr>
              <w:spacing w:after="0" w:line="240" w:lineRule="auto"/>
              <w:rPr>
                <w:rFonts w:eastAsia="Times New Roman"/>
                <w:b/>
                <w:bCs/>
                <w:color w:val="000000"/>
                <w:lang w:val="en-US"/>
              </w:rPr>
            </w:pPr>
            <w:r w:rsidRPr="001624A5">
              <w:rPr>
                <w:rFonts w:eastAsia="Times New Roman"/>
                <w:b/>
                <w:bCs/>
                <w:color w:val="000000"/>
                <w:lang w:val="en-US"/>
              </w:rPr>
              <w:t>IT</w:t>
            </w:r>
          </w:p>
        </w:tc>
        <w:tc>
          <w:tcPr>
            <w:tcW w:w="438" w:type="pct"/>
            <w:tcBorders>
              <w:top w:val="single" w:sz="4" w:space="0" w:color="auto"/>
              <w:left w:val="nil"/>
              <w:bottom w:val="single" w:sz="4" w:space="0" w:color="auto"/>
              <w:right w:val="single" w:sz="4" w:space="0" w:color="auto"/>
            </w:tcBorders>
            <w:shd w:val="clear" w:color="000000" w:fill="D0CECE"/>
            <w:noWrap/>
            <w:vAlign w:val="center"/>
            <w:hideMark/>
          </w:tcPr>
          <w:p w14:paraId="3570E9D6" w14:textId="77777777" w:rsidR="00AA385D" w:rsidRPr="001624A5" w:rsidRDefault="00AA385D" w:rsidP="0021493E">
            <w:pPr>
              <w:spacing w:after="0" w:line="240" w:lineRule="auto"/>
              <w:rPr>
                <w:rFonts w:eastAsia="Times New Roman"/>
                <w:b/>
                <w:bCs/>
                <w:color w:val="000000"/>
                <w:lang w:val="en-US"/>
              </w:rPr>
            </w:pPr>
            <w:r w:rsidRPr="001624A5">
              <w:rPr>
                <w:rFonts w:eastAsia="Times New Roman"/>
                <w:b/>
                <w:bCs/>
                <w:color w:val="000000"/>
                <w:lang w:val="en-US"/>
              </w:rPr>
              <w:t>FR</w:t>
            </w:r>
          </w:p>
        </w:tc>
        <w:tc>
          <w:tcPr>
            <w:tcW w:w="438" w:type="pct"/>
            <w:tcBorders>
              <w:top w:val="single" w:sz="4" w:space="0" w:color="auto"/>
              <w:left w:val="nil"/>
              <w:bottom w:val="single" w:sz="4" w:space="0" w:color="auto"/>
              <w:right w:val="single" w:sz="4" w:space="0" w:color="auto"/>
            </w:tcBorders>
            <w:shd w:val="clear" w:color="000000" w:fill="D0CECE"/>
            <w:noWrap/>
            <w:vAlign w:val="center"/>
            <w:hideMark/>
          </w:tcPr>
          <w:p w14:paraId="47C779CE" w14:textId="77777777" w:rsidR="00AA385D" w:rsidRPr="001624A5" w:rsidRDefault="00AA385D" w:rsidP="0021493E">
            <w:pPr>
              <w:spacing w:after="0" w:line="240" w:lineRule="auto"/>
              <w:rPr>
                <w:rFonts w:eastAsia="Times New Roman"/>
                <w:b/>
                <w:bCs/>
                <w:color w:val="000000"/>
                <w:lang w:val="en-US"/>
              </w:rPr>
            </w:pPr>
            <w:r w:rsidRPr="001624A5">
              <w:rPr>
                <w:rFonts w:eastAsia="Times New Roman"/>
                <w:b/>
                <w:bCs/>
                <w:color w:val="000000"/>
                <w:lang w:val="en-US"/>
              </w:rPr>
              <w:t>DK</w:t>
            </w:r>
          </w:p>
        </w:tc>
        <w:tc>
          <w:tcPr>
            <w:tcW w:w="434" w:type="pct"/>
            <w:tcBorders>
              <w:top w:val="single" w:sz="4" w:space="0" w:color="auto"/>
              <w:left w:val="nil"/>
              <w:bottom w:val="single" w:sz="4" w:space="0" w:color="auto"/>
              <w:right w:val="single" w:sz="4" w:space="0" w:color="auto"/>
            </w:tcBorders>
            <w:shd w:val="clear" w:color="000000" w:fill="D0CECE"/>
            <w:noWrap/>
            <w:vAlign w:val="center"/>
            <w:hideMark/>
          </w:tcPr>
          <w:p w14:paraId="4A989D1E" w14:textId="77777777" w:rsidR="00AA385D" w:rsidRPr="001624A5" w:rsidRDefault="00AA385D" w:rsidP="0021493E">
            <w:pPr>
              <w:spacing w:after="0" w:line="240" w:lineRule="auto"/>
              <w:rPr>
                <w:rFonts w:eastAsia="Times New Roman"/>
                <w:b/>
                <w:bCs/>
                <w:color w:val="000000"/>
                <w:lang w:val="en-US"/>
              </w:rPr>
            </w:pPr>
            <w:r w:rsidRPr="001624A5">
              <w:rPr>
                <w:rFonts w:eastAsia="Times New Roman"/>
                <w:b/>
                <w:bCs/>
                <w:color w:val="000000"/>
                <w:lang w:val="en-US"/>
              </w:rPr>
              <w:t>CH</w:t>
            </w:r>
          </w:p>
        </w:tc>
      </w:tr>
      <w:tr w:rsidR="00AA385D" w:rsidRPr="000C440D" w14:paraId="08546845" w14:textId="77777777" w:rsidTr="0021493E">
        <w:trPr>
          <w:trHeight w:val="300"/>
        </w:trPr>
        <w:tc>
          <w:tcPr>
            <w:tcW w:w="1063" w:type="pct"/>
            <w:tcBorders>
              <w:top w:val="nil"/>
              <w:left w:val="single" w:sz="4" w:space="0" w:color="auto"/>
              <w:bottom w:val="single" w:sz="4" w:space="0" w:color="auto"/>
              <w:right w:val="single" w:sz="4" w:space="0" w:color="auto"/>
            </w:tcBorders>
            <w:shd w:val="clear" w:color="000000" w:fill="DDEBF7"/>
            <w:noWrap/>
            <w:vAlign w:val="center"/>
            <w:hideMark/>
          </w:tcPr>
          <w:p w14:paraId="623738DE" w14:textId="77777777" w:rsidR="00AA385D" w:rsidRPr="001624A5" w:rsidRDefault="00AA385D" w:rsidP="0021493E">
            <w:pPr>
              <w:spacing w:after="0" w:line="240" w:lineRule="auto"/>
              <w:rPr>
                <w:rFonts w:eastAsia="Times New Roman"/>
                <w:color w:val="000000"/>
                <w:lang w:val="en-US"/>
              </w:rPr>
            </w:pPr>
            <w:r w:rsidRPr="001624A5">
              <w:rPr>
                <w:rFonts w:eastAsia="Times New Roman"/>
                <w:color w:val="000000"/>
                <w:lang w:val="en-US"/>
              </w:rPr>
              <w:t>Mean BMI dropout</w:t>
            </w:r>
          </w:p>
        </w:tc>
        <w:tc>
          <w:tcPr>
            <w:tcW w:w="438" w:type="pct"/>
            <w:tcBorders>
              <w:top w:val="nil"/>
              <w:left w:val="nil"/>
              <w:bottom w:val="single" w:sz="4" w:space="0" w:color="auto"/>
              <w:right w:val="single" w:sz="4" w:space="0" w:color="auto"/>
            </w:tcBorders>
            <w:shd w:val="clear" w:color="auto" w:fill="auto"/>
            <w:noWrap/>
            <w:vAlign w:val="center"/>
            <w:hideMark/>
          </w:tcPr>
          <w:p w14:paraId="7B8D8B2A"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26.62</w:t>
            </w:r>
          </w:p>
        </w:tc>
        <w:tc>
          <w:tcPr>
            <w:tcW w:w="438" w:type="pct"/>
            <w:tcBorders>
              <w:top w:val="nil"/>
              <w:left w:val="nil"/>
              <w:bottom w:val="single" w:sz="4" w:space="0" w:color="auto"/>
              <w:right w:val="single" w:sz="4" w:space="0" w:color="auto"/>
            </w:tcBorders>
            <w:shd w:val="clear" w:color="auto" w:fill="auto"/>
            <w:noWrap/>
            <w:vAlign w:val="center"/>
            <w:hideMark/>
          </w:tcPr>
          <w:p w14:paraId="0020C764"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26.5</w:t>
            </w:r>
          </w:p>
        </w:tc>
        <w:tc>
          <w:tcPr>
            <w:tcW w:w="438" w:type="pct"/>
            <w:tcBorders>
              <w:top w:val="nil"/>
              <w:left w:val="nil"/>
              <w:bottom w:val="single" w:sz="4" w:space="0" w:color="auto"/>
              <w:right w:val="single" w:sz="4" w:space="0" w:color="auto"/>
            </w:tcBorders>
            <w:shd w:val="clear" w:color="auto" w:fill="auto"/>
            <w:noWrap/>
            <w:vAlign w:val="center"/>
            <w:hideMark/>
          </w:tcPr>
          <w:p w14:paraId="048E07FF"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25.65</w:t>
            </w:r>
          </w:p>
        </w:tc>
        <w:tc>
          <w:tcPr>
            <w:tcW w:w="438" w:type="pct"/>
            <w:tcBorders>
              <w:top w:val="nil"/>
              <w:left w:val="nil"/>
              <w:bottom w:val="single" w:sz="4" w:space="0" w:color="auto"/>
              <w:right w:val="single" w:sz="4" w:space="0" w:color="auto"/>
            </w:tcBorders>
            <w:shd w:val="clear" w:color="auto" w:fill="auto"/>
            <w:noWrap/>
            <w:vAlign w:val="center"/>
            <w:hideMark/>
          </w:tcPr>
          <w:p w14:paraId="57D56BBF"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26.2</w:t>
            </w:r>
          </w:p>
        </w:tc>
        <w:tc>
          <w:tcPr>
            <w:tcW w:w="438" w:type="pct"/>
            <w:tcBorders>
              <w:top w:val="nil"/>
              <w:left w:val="nil"/>
              <w:bottom w:val="single" w:sz="4" w:space="0" w:color="auto"/>
              <w:right w:val="single" w:sz="4" w:space="0" w:color="auto"/>
            </w:tcBorders>
            <w:shd w:val="clear" w:color="auto" w:fill="auto"/>
            <w:noWrap/>
            <w:vAlign w:val="center"/>
            <w:hideMark/>
          </w:tcPr>
          <w:p w14:paraId="319369BF"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27.14</w:t>
            </w:r>
          </w:p>
        </w:tc>
        <w:tc>
          <w:tcPr>
            <w:tcW w:w="438" w:type="pct"/>
            <w:tcBorders>
              <w:top w:val="nil"/>
              <w:left w:val="nil"/>
              <w:bottom w:val="single" w:sz="4" w:space="0" w:color="auto"/>
              <w:right w:val="single" w:sz="4" w:space="0" w:color="auto"/>
            </w:tcBorders>
            <w:shd w:val="clear" w:color="auto" w:fill="auto"/>
            <w:noWrap/>
            <w:vAlign w:val="center"/>
            <w:hideMark/>
          </w:tcPr>
          <w:p w14:paraId="7F4C9289"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26.22</w:t>
            </w:r>
          </w:p>
        </w:tc>
        <w:tc>
          <w:tcPr>
            <w:tcW w:w="438" w:type="pct"/>
            <w:tcBorders>
              <w:top w:val="nil"/>
              <w:left w:val="nil"/>
              <w:bottom w:val="single" w:sz="4" w:space="0" w:color="auto"/>
              <w:right w:val="single" w:sz="4" w:space="0" w:color="auto"/>
            </w:tcBorders>
            <w:shd w:val="clear" w:color="auto" w:fill="auto"/>
            <w:noWrap/>
            <w:vAlign w:val="center"/>
            <w:hideMark/>
          </w:tcPr>
          <w:p w14:paraId="379E7CEB"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25.85</w:t>
            </w:r>
          </w:p>
        </w:tc>
        <w:tc>
          <w:tcPr>
            <w:tcW w:w="438" w:type="pct"/>
            <w:tcBorders>
              <w:top w:val="nil"/>
              <w:left w:val="nil"/>
              <w:bottom w:val="single" w:sz="4" w:space="0" w:color="auto"/>
              <w:right w:val="single" w:sz="4" w:space="0" w:color="auto"/>
            </w:tcBorders>
            <w:shd w:val="clear" w:color="auto" w:fill="auto"/>
            <w:noWrap/>
            <w:vAlign w:val="center"/>
            <w:hideMark/>
          </w:tcPr>
          <w:p w14:paraId="562B139E"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25.17</w:t>
            </w:r>
          </w:p>
        </w:tc>
        <w:tc>
          <w:tcPr>
            <w:tcW w:w="434" w:type="pct"/>
            <w:tcBorders>
              <w:top w:val="nil"/>
              <w:left w:val="nil"/>
              <w:bottom w:val="single" w:sz="4" w:space="0" w:color="auto"/>
              <w:right w:val="single" w:sz="4" w:space="0" w:color="auto"/>
            </w:tcBorders>
            <w:shd w:val="clear" w:color="auto" w:fill="auto"/>
            <w:noWrap/>
            <w:vAlign w:val="center"/>
            <w:hideMark/>
          </w:tcPr>
          <w:p w14:paraId="4D9C82D8"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25.56</w:t>
            </w:r>
          </w:p>
        </w:tc>
      </w:tr>
      <w:tr w:rsidR="00AA385D" w:rsidRPr="000C440D" w14:paraId="4F0C090F" w14:textId="77777777" w:rsidTr="0021493E">
        <w:trPr>
          <w:trHeight w:val="300"/>
        </w:trPr>
        <w:tc>
          <w:tcPr>
            <w:tcW w:w="1063" w:type="pct"/>
            <w:tcBorders>
              <w:top w:val="nil"/>
              <w:left w:val="single" w:sz="4" w:space="0" w:color="auto"/>
              <w:bottom w:val="single" w:sz="4" w:space="0" w:color="auto"/>
              <w:right w:val="single" w:sz="4" w:space="0" w:color="auto"/>
            </w:tcBorders>
            <w:shd w:val="clear" w:color="000000" w:fill="DDEBF7"/>
            <w:noWrap/>
            <w:vAlign w:val="center"/>
            <w:hideMark/>
          </w:tcPr>
          <w:p w14:paraId="2930E3B4" w14:textId="77777777" w:rsidR="00AA385D" w:rsidRPr="001624A5" w:rsidRDefault="00AA385D" w:rsidP="0021493E">
            <w:pPr>
              <w:spacing w:after="0" w:line="240" w:lineRule="auto"/>
              <w:rPr>
                <w:rFonts w:eastAsia="Times New Roman"/>
                <w:color w:val="000000"/>
                <w:lang w:val="en-US"/>
              </w:rPr>
            </w:pPr>
            <w:r w:rsidRPr="001624A5">
              <w:rPr>
                <w:rFonts w:eastAsia="Times New Roman"/>
                <w:color w:val="000000"/>
                <w:lang w:val="en-US"/>
              </w:rPr>
              <w:t>Mean BMI present</w:t>
            </w:r>
          </w:p>
        </w:tc>
        <w:tc>
          <w:tcPr>
            <w:tcW w:w="438" w:type="pct"/>
            <w:tcBorders>
              <w:top w:val="nil"/>
              <w:left w:val="nil"/>
              <w:bottom w:val="single" w:sz="4" w:space="0" w:color="auto"/>
              <w:right w:val="single" w:sz="4" w:space="0" w:color="auto"/>
            </w:tcBorders>
            <w:shd w:val="clear" w:color="auto" w:fill="auto"/>
            <w:noWrap/>
            <w:vAlign w:val="bottom"/>
            <w:hideMark/>
          </w:tcPr>
          <w:p w14:paraId="539C328D"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27.11</w:t>
            </w:r>
          </w:p>
        </w:tc>
        <w:tc>
          <w:tcPr>
            <w:tcW w:w="438" w:type="pct"/>
            <w:tcBorders>
              <w:top w:val="nil"/>
              <w:left w:val="nil"/>
              <w:bottom w:val="single" w:sz="4" w:space="0" w:color="auto"/>
              <w:right w:val="single" w:sz="4" w:space="0" w:color="auto"/>
            </w:tcBorders>
            <w:shd w:val="clear" w:color="auto" w:fill="auto"/>
            <w:noWrap/>
            <w:vAlign w:val="bottom"/>
            <w:hideMark/>
          </w:tcPr>
          <w:p w14:paraId="2A4C33F9"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26.62</w:t>
            </w:r>
          </w:p>
        </w:tc>
        <w:tc>
          <w:tcPr>
            <w:tcW w:w="438" w:type="pct"/>
            <w:tcBorders>
              <w:top w:val="nil"/>
              <w:left w:val="nil"/>
              <w:bottom w:val="single" w:sz="4" w:space="0" w:color="auto"/>
              <w:right w:val="single" w:sz="4" w:space="0" w:color="auto"/>
            </w:tcBorders>
            <w:shd w:val="clear" w:color="auto" w:fill="auto"/>
            <w:noWrap/>
            <w:vAlign w:val="bottom"/>
            <w:hideMark/>
          </w:tcPr>
          <w:p w14:paraId="4872AEC0"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25.98</w:t>
            </w:r>
          </w:p>
        </w:tc>
        <w:tc>
          <w:tcPr>
            <w:tcW w:w="438" w:type="pct"/>
            <w:tcBorders>
              <w:top w:val="nil"/>
              <w:left w:val="nil"/>
              <w:bottom w:val="single" w:sz="4" w:space="0" w:color="auto"/>
              <w:right w:val="single" w:sz="4" w:space="0" w:color="auto"/>
            </w:tcBorders>
            <w:shd w:val="clear" w:color="auto" w:fill="auto"/>
            <w:noWrap/>
            <w:vAlign w:val="bottom"/>
            <w:hideMark/>
          </w:tcPr>
          <w:p w14:paraId="72A6C6AD"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26.21</w:t>
            </w:r>
          </w:p>
        </w:tc>
        <w:tc>
          <w:tcPr>
            <w:tcW w:w="438" w:type="pct"/>
            <w:tcBorders>
              <w:top w:val="nil"/>
              <w:left w:val="nil"/>
              <w:bottom w:val="single" w:sz="4" w:space="0" w:color="auto"/>
              <w:right w:val="single" w:sz="4" w:space="0" w:color="auto"/>
            </w:tcBorders>
            <w:shd w:val="clear" w:color="auto" w:fill="auto"/>
            <w:noWrap/>
            <w:vAlign w:val="bottom"/>
            <w:hideMark/>
          </w:tcPr>
          <w:p w14:paraId="0320CD44"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27.68</w:t>
            </w:r>
          </w:p>
        </w:tc>
        <w:tc>
          <w:tcPr>
            <w:tcW w:w="438" w:type="pct"/>
            <w:tcBorders>
              <w:top w:val="nil"/>
              <w:left w:val="nil"/>
              <w:bottom w:val="single" w:sz="4" w:space="0" w:color="auto"/>
              <w:right w:val="single" w:sz="4" w:space="0" w:color="auto"/>
            </w:tcBorders>
            <w:shd w:val="clear" w:color="auto" w:fill="auto"/>
            <w:noWrap/>
            <w:vAlign w:val="bottom"/>
            <w:hideMark/>
          </w:tcPr>
          <w:p w14:paraId="1C6F6B45"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27.68</w:t>
            </w:r>
          </w:p>
        </w:tc>
        <w:tc>
          <w:tcPr>
            <w:tcW w:w="438" w:type="pct"/>
            <w:tcBorders>
              <w:top w:val="nil"/>
              <w:left w:val="nil"/>
              <w:bottom w:val="single" w:sz="4" w:space="0" w:color="auto"/>
              <w:right w:val="single" w:sz="4" w:space="0" w:color="auto"/>
            </w:tcBorders>
            <w:shd w:val="clear" w:color="auto" w:fill="auto"/>
            <w:noWrap/>
            <w:vAlign w:val="bottom"/>
            <w:hideMark/>
          </w:tcPr>
          <w:p w14:paraId="7972E712"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25.9</w:t>
            </w:r>
          </w:p>
        </w:tc>
        <w:tc>
          <w:tcPr>
            <w:tcW w:w="438" w:type="pct"/>
            <w:tcBorders>
              <w:top w:val="nil"/>
              <w:left w:val="nil"/>
              <w:bottom w:val="single" w:sz="4" w:space="0" w:color="auto"/>
              <w:right w:val="single" w:sz="4" w:space="0" w:color="auto"/>
            </w:tcBorders>
            <w:shd w:val="clear" w:color="auto" w:fill="auto"/>
            <w:noWrap/>
            <w:vAlign w:val="bottom"/>
            <w:hideMark/>
          </w:tcPr>
          <w:p w14:paraId="48178670"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25.8</w:t>
            </w:r>
          </w:p>
        </w:tc>
        <w:tc>
          <w:tcPr>
            <w:tcW w:w="434" w:type="pct"/>
            <w:tcBorders>
              <w:top w:val="nil"/>
              <w:left w:val="nil"/>
              <w:bottom w:val="single" w:sz="4" w:space="0" w:color="auto"/>
              <w:right w:val="single" w:sz="4" w:space="0" w:color="auto"/>
            </w:tcBorders>
            <w:shd w:val="clear" w:color="auto" w:fill="auto"/>
            <w:noWrap/>
            <w:vAlign w:val="bottom"/>
            <w:hideMark/>
          </w:tcPr>
          <w:p w14:paraId="498D5BEA"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25.28</w:t>
            </w:r>
          </w:p>
        </w:tc>
      </w:tr>
      <w:tr w:rsidR="00AA385D" w:rsidRPr="000C440D" w14:paraId="5C2D86A1" w14:textId="77777777" w:rsidTr="0021493E">
        <w:trPr>
          <w:trHeight w:val="300"/>
        </w:trPr>
        <w:tc>
          <w:tcPr>
            <w:tcW w:w="1063" w:type="pct"/>
            <w:tcBorders>
              <w:top w:val="nil"/>
              <w:left w:val="single" w:sz="4" w:space="0" w:color="auto"/>
              <w:bottom w:val="single" w:sz="4" w:space="0" w:color="auto"/>
              <w:right w:val="single" w:sz="4" w:space="0" w:color="auto"/>
            </w:tcBorders>
            <w:shd w:val="clear" w:color="000000" w:fill="DDEBF7"/>
            <w:noWrap/>
            <w:vAlign w:val="center"/>
            <w:hideMark/>
          </w:tcPr>
          <w:p w14:paraId="1BC45141" w14:textId="77777777" w:rsidR="00AA385D" w:rsidRPr="001624A5" w:rsidRDefault="00AA385D" w:rsidP="0021493E">
            <w:pPr>
              <w:spacing w:after="0" w:line="240" w:lineRule="auto"/>
              <w:rPr>
                <w:rFonts w:eastAsia="Times New Roman"/>
                <w:color w:val="000000"/>
                <w:lang w:val="en-US"/>
              </w:rPr>
            </w:pPr>
            <w:r w:rsidRPr="001624A5">
              <w:rPr>
                <w:rFonts w:eastAsia="Times New Roman"/>
                <w:color w:val="000000"/>
                <w:lang w:val="en-US"/>
              </w:rPr>
              <w:t>difference dropout</w:t>
            </w:r>
          </w:p>
        </w:tc>
        <w:tc>
          <w:tcPr>
            <w:tcW w:w="438" w:type="pct"/>
            <w:tcBorders>
              <w:top w:val="nil"/>
              <w:left w:val="nil"/>
              <w:bottom w:val="single" w:sz="4" w:space="0" w:color="auto"/>
              <w:right w:val="single" w:sz="4" w:space="0" w:color="auto"/>
            </w:tcBorders>
            <w:shd w:val="clear" w:color="000000" w:fill="FCD5B4"/>
            <w:noWrap/>
            <w:vAlign w:val="center"/>
            <w:hideMark/>
          </w:tcPr>
          <w:p w14:paraId="556DE50E" w14:textId="77777777" w:rsidR="00AA385D" w:rsidRPr="001624A5" w:rsidRDefault="00AA385D" w:rsidP="0021493E">
            <w:pPr>
              <w:spacing w:after="0" w:line="240" w:lineRule="auto"/>
              <w:jc w:val="right"/>
              <w:rPr>
                <w:rFonts w:eastAsia="Times New Roman"/>
                <w:color w:val="000000"/>
                <w:lang w:val="en-US"/>
              </w:rPr>
            </w:pPr>
            <w:r>
              <w:rPr>
                <w:rFonts w:eastAsia="Times New Roman"/>
                <w:color w:val="000000"/>
                <w:lang w:val="en-US"/>
              </w:rPr>
              <w:t>-0.49*</w:t>
            </w:r>
          </w:p>
        </w:tc>
        <w:tc>
          <w:tcPr>
            <w:tcW w:w="438" w:type="pct"/>
            <w:tcBorders>
              <w:top w:val="nil"/>
              <w:left w:val="nil"/>
              <w:bottom w:val="single" w:sz="4" w:space="0" w:color="auto"/>
              <w:right w:val="single" w:sz="4" w:space="0" w:color="auto"/>
            </w:tcBorders>
            <w:shd w:val="clear" w:color="000000" w:fill="FCD5B4"/>
            <w:noWrap/>
            <w:vAlign w:val="center"/>
            <w:hideMark/>
          </w:tcPr>
          <w:p w14:paraId="73F93DFF" w14:textId="77777777" w:rsidR="00AA385D" w:rsidRPr="001624A5" w:rsidRDefault="00AA385D" w:rsidP="0021493E">
            <w:pPr>
              <w:spacing w:after="0" w:line="240" w:lineRule="auto"/>
              <w:jc w:val="right"/>
              <w:rPr>
                <w:rFonts w:eastAsia="Times New Roman"/>
                <w:color w:val="000000"/>
                <w:lang w:val="en-US"/>
              </w:rPr>
            </w:pPr>
            <w:r>
              <w:rPr>
                <w:rFonts w:eastAsia="Times New Roman"/>
                <w:color w:val="000000"/>
                <w:lang w:val="en-US"/>
              </w:rPr>
              <w:t>-0.12</w:t>
            </w:r>
          </w:p>
        </w:tc>
        <w:tc>
          <w:tcPr>
            <w:tcW w:w="438" w:type="pct"/>
            <w:tcBorders>
              <w:top w:val="nil"/>
              <w:left w:val="nil"/>
              <w:bottom w:val="single" w:sz="4" w:space="0" w:color="auto"/>
              <w:right w:val="single" w:sz="4" w:space="0" w:color="auto"/>
            </w:tcBorders>
            <w:shd w:val="clear" w:color="000000" w:fill="FCD5B4"/>
            <w:noWrap/>
            <w:vAlign w:val="center"/>
            <w:hideMark/>
          </w:tcPr>
          <w:p w14:paraId="3BCC5FC4" w14:textId="77777777" w:rsidR="00AA385D" w:rsidRPr="001624A5" w:rsidRDefault="00AA385D" w:rsidP="0021493E">
            <w:pPr>
              <w:spacing w:after="0" w:line="240" w:lineRule="auto"/>
              <w:jc w:val="right"/>
              <w:rPr>
                <w:rFonts w:eastAsia="Times New Roman"/>
                <w:color w:val="000000"/>
                <w:lang w:val="en-US"/>
              </w:rPr>
            </w:pPr>
            <w:r>
              <w:rPr>
                <w:rFonts w:eastAsia="Times New Roman"/>
                <w:color w:val="000000"/>
                <w:lang w:val="en-US"/>
              </w:rPr>
              <w:t>-0.33*</w:t>
            </w:r>
          </w:p>
        </w:tc>
        <w:tc>
          <w:tcPr>
            <w:tcW w:w="438" w:type="pct"/>
            <w:tcBorders>
              <w:top w:val="nil"/>
              <w:left w:val="nil"/>
              <w:bottom w:val="single" w:sz="4" w:space="0" w:color="auto"/>
              <w:right w:val="single" w:sz="4" w:space="0" w:color="auto"/>
            </w:tcBorders>
            <w:shd w:val="clear" w:color="000000" w:fill="FCD5B4"/>
            <w:noWrap/>
            <w:vAlign w:val="center"/>
            <w:hideMark/>
          </w:tcPr>
          <w:p w14:paraId="2A82AD0F" w14:textId="77777777" w:rsidR="00AA385D" w:rsidRPr="001624A5" w:rsidRDefault="00AA385D" w:rsidP="0021493E">
            <w:pPr>
              <w:spacing w:after="0" w:line="240" w:lineRule="auto"/>
              <w:jc w:val="right"/>
              <w:rPr>
                <w:rFonts w:eastAsia="Times New Roman"/>
                <w:color w:val="000000"/>
                <w:lang w:val="en-US"/>
              </w:rPr>
            </w:pPr>
            <w:r>
              <w:rPr>
                <w:rFonts w:eastAsia="Times New Roman"/>
                <w:color w:val="000000"/>
                <w:lang w:val="en-US"/>
              </w:rPr>
              <w:t>-0.01</w:t>
            </w:r>
          </w:p>
        </w:tc>
        <w:tc>
          <w:tcPr>
            <w:tcW w:w="438" w:type="pct"/>
            <w:tcBorders>
              <w:top w:val="nil"/>
              <w:left w:val="nil"/>
              <w:bottom w:val="single" w:sz="4" w:space="0" w:color="auto"/>
              <w:right w:val="single" w:sz="4" w:space="0" w:color="auto"/>
            </w:tcBorders>
            <w:shd w:val="clear" w:color="000000" w:fill="FCD5B4"/>
            <w:noWrap/>
            <w:vAlign w:val="center"/>
            <w:hideMark/>
          </w:tcPr>
          <w:p w14:paraId="7235DD88" w14:textId="77777777" w:rsidR="00AA385D" w:rsidRPr="001624A5" w:rsidRDefault="00AA385D" w:rsidP="0021493E">
            <w:pPr>
              <w:spacing w:after="0" w:line="240" w:lineRule="auto"/>
              <w:jc w:val="right"/>
              <w:rPr>
                <w:rFonts w:eastAsia="Times New Roman"/>
                <w:color w:val="000000"/>
                <w:lang w:val="en-US"/>
              </w:rPr>
            </w:pPr>
            <w:r>
              <w:rPr>
                <w:rFonts w:eastAsia="Times New Roman"/>
                <w:color w:val="000000"/>
                <w:lang w:val="en-US"/>
              </w:rPr>
              <w:t>-0.54*</w:t>
            </w:r>
          </w:p>
        </w:tc>
        <w:tc>
          <w:tcPr>
            <w:tcW w:w="438" w:type="pct"/>
            <w:tcBorders>
              <w:top w:val="nil"/>
              <w:left w:val="nil"/>
              <w:bottom w:val="single" w:sz="4" w:space="0" w:color="auto"/>
              <w:right w:val="single" w:sz="4" w:space="0" w:color="auto"/>
            </w:tcBorders>
            <w:shd w:val="clear" w:color="000000" w:fill="FCD5B4"/>
            <w:noWrap/>
            <w:vAlign w:val="center"/>
            <w:hideMark/>
          </w:tcPr>
          <w:p w14:paraId="17809661" w14:textId="77777777" w:rsidR="00AA385D" w:rsidRPr="001624A5" w:rsidRDefault="00AA385D" w:rsidP="0021493E">
            <w:pPr>
              <w:spacing w:after="0" w:line="240" w:lineRule="auto"/>
              <w:jc w:val="right"/>
              <w:rPr>
                <w:rFonts w:eastAsia="Times New Roman"/>
                <w:color w:val="000000"/>
                <w:lang w:val="en-US"/>
              </w:rPr>
            </w:pPr>
            <w:r>
              <w:rPr>
                <w:rFonts w:eastAsia="Times New Roman"/>
                <w:color w:val="000000"/>
                <w:lang w:val="en-US"/>
              </w:rPr>
              <w:t>-1.46*</w:t>
            </w:r>
          </w:p>
        </w:tc>
        <w:tc>
          <w:tcPr>
            <w:tcW w:w="438" w:type="pct"/>
            <w:tcBorders>
              <w:top w:val="nil"/>
              <w:left w:val="nil"/>
              <w:bottom w:val="single" w:sz="4" w:space="0" w:color="auto"/>
              <w:right w:val="single" w:sz="4" w:space="0" w:color="auto"/>
            </w:tcBorders>
            <w:shd w:val="clear" w:color="000000" w:fill="FCD5B4"/>
            <w:noWrap/>
            <w:vAlign w:val="center"/>
            <w:hideMark/>
          </w:tcPr>
          <w:p w14:paraId="3B15D756" w14:textId="77777777" w:rsidR="00AA385D" w:rsidRPr="001624A5" w:rsidRDefault="00AA385D" w:rsidP="0021493E">
            <w:pPr>
              <w:spacing w:after="0" w:line="240" w:lineRule="auto"/>
              <w:jc w:val="right"/>
              <w:rPr>
                <w:rFonts w:eastAsia="Times New Roman"/>
                <w:color w:val="000000"/>
                <w:lang w:val="en-US"/>
              </w:rPr>
            </w:pPr>
            <w:r>
              <w:rPr>
                <w:rFonts w:eastAsia="Times New Roman"/>
                <w:color w:val="000000"/>
                <w:lang w:val="en-US"/>
              </w:rPr>
              <w:t>-0.05</w:t>
            </w:r>
          </w:p>
        </w:tc>
        <w:tc>
          <w:tcPr>
            <w:tcW w:w="438" w:type="pct"/>
            <w:tcBorders>
              <w:top w:val="nil"/>
              <w:left w:val="nil"/>
              <w:bottom w:val="single" w:sz="4" w:space="0" w:color="auto"/>
              <w:right w:val="single" w:sz="4" w:space="0" w:color="auto"/>
            </w:tcBorders>
            <w:shd w:val="clear" w:color="000000" w:fill="FCD5B4"/>
            <w:noWrap/>
            <w:vAlign w:val="center"/>
            <w:hideMark/>
          </w:tcPr>
          <w:p w14:paraId="4FF2DEC0" w14:textId="77777777" w:rsidR="00AA385D" w:rsidRPr="001624A5" w:rsidRDefault="00AA385D" w:rsidP="0021493E">
            <w:pPr>
              <w:spacing w:after="0" w:line="240" w:lineRule="auto"/>
              <w:jc w:val="right"/>
              <w:rPr>
                <w:rFonts w:eastAsia="Times New Roman"/>
                <w:color w:val="000000"/>
                <w:lang w:val="en-US"/>
              </w:rPr>
            </w:pPr>
            <w:r>
              <w:rPr>
                <w:rFonts w:eastAsia="Times New Roman"/>
                <w:color w:val="000000"/>
                <w:lang w:val="en-US"/>
              </w:rPr>
              <w:t>-0.63*</w:t>
            </w:r>
          </w:p>
        </w:tc>
        <w:tc>
          <w:tcPr>
            <w:tcW w:w="434" w:type="pct"/>
            <w:tcBorders>
              <w:top w:val="nil"/>
              <w:left w:val="nil"/>
              <w:bottom w:val="single" w:sz="4" w:space="0" w:color="auto"/>
              <w:right w:val="single" w:sz="4" w:space="0" w:color="auto"/>
            </w:tcBorders>
            <w:shd w:val="clear" w:color="000000" w:fill="C2E1B5"/>
            <w:noWrap/>
            <w:vAlign w:val="center"/>
            <w:hideMark/>
          </w:tcPr>
          <w:p w14:paraId="335843CB" w14:textId="77777777" w:rsidR="00AA385D" w:rsidRPr="001624A5" w:rsidRDefault="00AA385D" w:rsidP="0021493E">
            <w:pPr>
              <w:spacing w:after="0" w:line="240" w:lineRule="auto"/>
              <w:jc w:val="right"/>
              <w:rPr>
                <w:rFonts w:eastAsia="Times New Roman"/>
                <w:color w:val="000000"/>
                <w:lang w:val="en-US"/>
              </w:rPr>
            </w:pPr>
            <w:r w:rsidRPr="001624A5">
              <w:rPr>
                <w:rFonts w:eastAsia="Times New Roman"/>
                <w:color w:val="000000"/>
                <w:lang w:val="en-US"/>
              </w:rPr>
              <w:t>0.280</w:t>
            </w:r>
          </w:p>
        </w:tc>
      </w:tr>
    </w:tbl>
    <w:p w14:paraId="5992BE0E" w14:textId="77777777" w:rsidR="00AA385D" w:rsidRDefault="00AA385D" w:rsidP="00AA385D">
      <w:pPr>
        <w:rPr>
          <w:b/>
          <w:lang w:val="en-US"/>
        </w:rPr>
      </w:pPr>
    </w:p>
    <w:p w14:paraId="6D920AAE" w14:textId="60994214" w:rsidR="00AA385D" w:rsidRDefault="00AA385D" w:rsidP="00AA385D">
      <w:pPr>
        <w:rPr>
          <w:b/>
          <w:lang w:val="en-US"/>
        </w:rPr>
      </w:pPr>
      <w:r>
        <w:rPr>
          <w:b/>
          <w:lang w:val="en-US"/>
        </w:rPr>
        <w:lastRenderedPageBreak/>
        <w:t>Table</w:t>
      </w:r>
      <w:r w:rsidR="00BB479C">
        <w:rPr>
          <w:b/>
          <w:lang w:val="en-US"/>
        </w:rPr>
        <w:t>s</w:t>
      </w:r>
      <w:r>
        <w:rPr>
          <w:b/>
          <w:lang w:val="en-US"/>
        </w:rPr>
        <w:t xml:space="preserve"> </w:t>
      </w:r>
      <w:r w:rsidR="002E3723">
        <w:rPr>
          <w:b/>
          <w:lang w:val="en-US"/>
        </w:rPr>
        <w:t>4 - 6</w:t>
      </w:r>
      <w:r>
        <w:rPr>
          <w:b/>
          <w:lang w:val="en-US"/>
        </w:rPr>
        <w:t xml:space="preserve">: </w:t>
      </w:r>
      <w:r w:rsidR="00302E25">
        <w:rPr>
          <w:b/>
          <w:lang w:val="en-US"/>
        </w:rPr>
        <w:t xml:space="preserve">Relative category sizes </w:t>
      </w:r>
      <w:r>
        <w:rPr>
          <w:b/>
          <w:lang w:val="en-US"/>
        </w:rPr>
        <w:t>of</w:t>
      </w:r>
      <w:r w:rsidR="00302E25">
        <w:rPr>
          <w:b/>
          <w:lang w:val="en-US"/>
        </w:rPr>
        <w:t xml:space="preserve"> the</w:t>
      </w:r>
      <w:r>
        <w:rPr>
          <w:b/>
          <w:lang w:val="en-US"/>
        </w:rPr>
        <w:t xml:space="preserve"> explanatory variables</w:t>
      </w:r>
    </w:p>
    <w:tbl>
      <w:tblPr>
        <w:tblW w:w="5000" w:type="pct"/>
        <w:tblCellMar>
          <w:left w:w="70" w:type="dxa"/>
          <w:right w:w="70" w:type="dxa"/>
        </w:tblCellMar>
        <w:tblLook w:val="04A0" w:firstRow="1" w:lastRow="0" w:firstColumn="1" w:lastColumn="0" w:noHBand="0" w:noVBand="1"/>
      </w:tblPr>
      <w:tblGrid>
        <w:gridCol w:w="1338"/>
        <w:gridCol w:w="1371"/>
        <w:gridCol w:w="1056"/>
        <w:gridCol w:w="1058"/>
        <w:gridCol w:w="1056"/>
        <w:gridCol w:w="1059"/>
        <w:gridCol w:w="1057"/>
        <w:gridCol w:w="1057"/>
      </w:tblGrid>
      <w:tr w:rsidR="00302E25" w:rsidRPr="00302E25" w14:paraId="685BB571" w14:textId="77777777" w:rsidTr="003952F6">
        <w:trPr>
          <w:trHeight w:val="300"/>
        </w:trPr>
        <w:tc>
          <w:tcPr>
            <w:tcW w:w="1416" w:type="pct"/>
            <w:gridSpan w:val="2"/>
            <w:vMerge w:val="restart"/>
            <w:tcBorders>
              <w:top w:val="single" w:sz="8" w:space="0" w:color="auto"/>
              <w:left w:val="single" w:sz="8" w:space="0" w:color="auto"/>
              <w:bottom w:val="single" w:sz="4" w:space="0" w:color="auto"/>
              <w:right w:val="single" w:sz="8" w:space="0" w:color="000000"/>
            </w:tcBorders>
            <w:shd w:val="clear" w:color="000000" w:fill="DDEBF7"/>
            <w:noWrap/>
            <w:vAlign w:val="bottom"/>
            <w:hideMark/>
          </w:tcPr>
          <w:p w14:paraId="16B0AF1F"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Variables</w:t>
            </w:r>
          </w:p>
        </w:tc>
        <w:tc>
          <w:tcPr>
            <w:tcW w:w="1195" w:type="pct"/>
            <w:gridSpan w:val="2"/>
            <w:tcBorders>
              <w:top w:val="single" w:sz="8" w:space="0" w:color="auto"/>
              <w:left w:val="nil"/>
              <w:bottom w:val="single" w:sz="4" w:space="0" w:color="auto"/>
              <w:right w:val="single" w:sz="8" w:space="0" w:color="000000"/>
            </w:tcBorders>
            <w:shd w:val="clear" w:color="000000" w:fill="BFBFBF"/>
            <w:noWrap/>
            <w:hideMark/>
          </w:tcPr>
          <w:p w14:paraId="133B001F"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Austria</w:t>
            </w:r>
          </w:p>
        </w:tc>
        <w:tc>
          <w:tcPr>
            <w:tcW w:w="1195" w:type="pct"/>
            <w:gridSpan w:val="2"/>
            <w:tcBorders>
              <w:top w:val="single" w:sz="8" w:space="0" w:color="auto"/>
              <w:left w:val="nil"/>
              <w:bottom w:val="single" w:sz="4" w:space="0" w:color="auto"/>
              <w:right w:val="single" w:sz="8" w:space="0" w:color="000000"/>
            </w:tcBorders>
            <w:shd w:val="clear" w:color="000000" w:fill="BFBFBF"/>
            <w:noWrap/>
            <w:hideMark/>
          </w:tcPr>
          <w:p w14:paraId="59806027"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Germany</w:t>
            </w:r>
          </w:p>
        </w:tc>
        <w:tc>
          <w:tcPr>
            <w:tcW w:w="1195" w:type="pct"/>
            <w:gridSpan w:val="2"/>
            <w:tcBorders>
              <w:top w:val="single" w:sz="8" w:space="0" w:color="auto"/>
              <w:left w:val="nil"/>
              <w:bottom w:val="single" w:sz="4" w:space="0" w:color="auto"/>
              <w:right w:val="single" w:sz="8" w:space="0" w:color="000000"/>
            </w:tcBorders>
            <w:shd w:val="clear" w:color="000000" w:fill="BFBFBF"/>
            <w:noWrap/>
            <w:hideMark/>
          </w:tcPr>
          <w:p w14:paraId="2CF5AF88"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Sweden</w:t>
            </w:r>
          </w:p>
        </w:tc>
      </w:tr>
      <w:tr w:rsidR="00302E25" w:rsidRPr="00302E25" w14:paraId="5C512F0C" w14:textId="77777777" w:rsidTr="003952F6">
        <w:trPr>
          <w:trHeight w:val="300"/>
        </w:trPr>
        <w:tc>
          <w:tcPr>
            <w:tcW w:w="1416" w:type="pct"/>
            <w:gridSpan w:val="2"/>
            <w:vMerge/>
            <w:tcBorders>
              <w:top w:val="single" w:sz="8" w:space="0" w:color="auto"/>
              <w:left w:val="single" w:sz="8" w:space="0" w:color="auto"/>
              <w:bottom w:val="single" w:sz="4" w:space="0" w:color="auto"/>
              <w:right w:val="single" w:sz="8" w:space="0" w:color="000000"/>
            </w:tcBorders>
            <w:vAlign w:val="center"/>
            <w:hideMark/>
          </w:tcPr>
          <w:p w14:paraId="214CA35E" w14:textId="77777777" w:rsidR="00302E25" w:rsidRPr="00302E25" w:rsidRDefault="00302E25" w:rsidP="00302E25">
            <w:pPr>
              <w:spacing w:after="0" w:line="240" w:lineRule="auto"/>
              <w:rPr>
                <w:rFonts w:eastAsia="Times New Roman"/>
                <w:b/>
                <w:bCs/>
                <w:color w:val="000000"/>
                <w:lang w:eastAsia="nl-NL"/>
              </w:rPr>
            </w:pPr>
          </w:p>
        </w:tc>
        <w:tc>
          <w:tcPr>
            <w:tcW w:w="597" w:type="pct"/>
            <w:tcBorders>
              <w:top w:val="nil"/>
              <w:left w:val="nil"/>
              <w:bottom w:val="single" w:sz="4" w:space="0" w:color="auto"/>
              <w:right w:val="single" w:sz="4" w:space="0" w:color="auto"/>
            </w:tcBorders>
            <w:shd w:val="clear" w:color="000000" w:fill="BFBFBF"/>
            <w:noWrap/>
            <w:vAlign w:val="bottom"/>
            <w:hideMark/>
          </w:tcPr>
          <w:p w14:paraId="14241588"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2004</w:t>
            </w:r>
          </w:p>
        </w:tc>
        <w:tc>
          <w:tcPr>
            <w:tcW w:w="597" w:type="pct"/>
            <w:tcBorders>
              <w:top w:val="nil"/>
              <w:left w:val="nil"/>
              <w:bottom w:val="single" w:sz="4" w:space="0" w:color="auto"/>
              <w:right w:val="single" w:sz="8" w:space="0" w:color="auto"/>
            </w:tcBorders>
            <w:shd w:val="clear" w:color="000000" w:fill="BFBFBF"/>
            <w:noWrap/>
            <w:vAlign w:val="bottom"/>
            <w:hideMark/>
          </w:tcPr>
          <w:p w14:paraId="475AC7B7"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2010</w:t>
            </w:r>
          </w:p>
        </w:tc>
        <w:tc>
          <w:tcPr>
            <w:tcW w:w="597" w:type="pct"/>
            <w:tcBorders>
              <w:top w:val="nil"/>
              <w:left w:val="nil"/>
              <w:bottom w:val="single" w:sz="4" w:space="0" w:color="auto"/>
              <w:right w:val="single" w:sz="4" w:space="0" w:color="auto"/>
            </w:tcBorders>
            <w:shd w:val="clear" w:color="000000" w:fill="BFBFBF"/>
            <w:noWrap/>
            <w:vAlign w:val="bottom"/>
            <w:hideMark/>
          </w:tcPr>
          <w:p w14:paraId="00AC91FF"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2004</w:t>
            </w:r>
          </w:p>
        </w:tc>
        <w:tc>
          <w:tcPr>
            <w:tcW w:w="597" w:type="pct"/>
            <w:tcBorders>
              <w:top w:val="nil"/>
              <w:left w:val="nil"/>
              <w:bottom w:val="single" w:sz="4" w:space="0" w:color="auto"/>
              <w:right w:val="single" w:sz="8" w:space="0" w:color="auto"/>
            </w:tcBorders>
            <w:shd w:val="clear" w:color="000000" w:fill="BFBFBF"/>
            <w:noWrap/>
            <w:vAlign w:val="bottom"/>
            <w:hideMark/>
          </w:tcPr>
          <w:p w14:paraId="7769A74B"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2010</w:t>
            </w:r>
          </w:p>
        </w:tc>
        <w:tc>
          <w:tcPr>
            <w:tcW w:w="597" w:type="pct"/>
            <w:tcBorders>
              <w:top w:val="nil"/>
              <w:left w:val="nil"/>
              <w:bottom w:val="single" w:sz="4" w:space="0" w:color="auto"/>
              <w:right w:val="single" w:sz="4" w:space="0" w:color="auto"/>
            </w:tcBorders>
            <w:shd w:val="clear" w:color="000000" w:fill="BFBFBF"/>
            <w:noWrap/>
            <w:vAlign w:val="bottom"/>
            <w:hideMark/>
          </w:tcPr>
          <w:p w14:paraId="2B43E946"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2004</w:t>
            </w:r>
          </w:p>
        </w:tc>
        <w:tc>
          <w:tcPr>
            <w:tcW w:w="597" w:type="pct"/>
            <w:tcBorders>
              <w:top w:val="nil"/>
              <w:left w:val="nil"/>
              <w:bottom w:val="single" w:sz="4" w:space="0" w:color="auto"/>
              <w:right w:val="single" w:sz="8" w:space="0" w:color="auto"/>
            </w:tcBorders>
            <w:shd w:val="clear" w:color="000000" w:fill="BFBFBF"/>
            <w:noWrap/>
            <w:vAlign w:val="bottom"/>
            <w:hideMark/>
          </w:tcPr>
          <w:p w14:paraId="6758FF90"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2010</w:t>
            </w:r>
          </w:p>
        </w:tc>
      </w:tr>
      <w:tr w:rsidR="00302E25" w:rsidRPr="00302E25" w14:paraId="10638E69" w14:textId="77777777" w:rsidTr="003952F6">
        <w:trPr>
          <w:trHeight w:val="300"/>
        </w:trPr>
        <w:tc>
          <w:tcPr>
            <w:tcW w:w="645" w:type="pct"/>
            <w:tcBorders>
              <w:top w:val="nil"/>
              <w:left w:val="single" w:sz="8" w:space="0" w:color="auto"/>
              <w:bottom w:val="single" w:sz="4" w:space="0" w:color="auto"/>
              <w:right w:val="single" w:sz="4" w:space="0" w:color="auto"/>
            </w:tcBorders>
            <w:shd w:val="clear" w:color="000000" w:fill="DDEBF7"/>
            <w:noWrap/>
            <w:vAlign w:val="bottom"/>
            <w:hideMark/>
          </w:tcPr>
          <w:p w14:paraId="3186C33D"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Gender</w:t>
            </w:r>
          </w:p>
        </w:tc>
        <w:tc>
          <w:tcPr>
            <w:tcW w:w="771" w:type="pct"/>
            <w:tcBorders>
              <w:top w:val="nil"/>
              <w:left w:val="nil"/>
              <w:bottom w:val="single" w:sz="4" w:space="0" w:color="auto"/>
              <w:right w:val="single" w:sz="8" w:space="0" w:color="auto"/>
            </w:tcBorders>
            <w:shd w:val="clear" w:color="000000" w:fill="DDEBF7"/>
            <w:noWrap/>
            <w:vAlign w:val="bottom"/>
            <w:hideMark/>
          </w:tcPr>
          <w:p w14:paraId="19FCD9D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Female</w:t>
            </w:r>
          </w:p>
        </w:tc>
        <w:tc>
          <w:tcPr>
            <w:tcW w:w="597" w:type="pct"/>
            <w:tcBorders>
              <w:top w:val="nil"/>
              <w:left w:val="nil"/>
              <w:bottom w:val="nil"/>
              <w:right w:val="single" w:sz="4" w:space="0" w:color="auto"/>
            </w:tcBorders>
            <w:shd w:val="clear" w:color="auto" w:fill="auto"/>
            <w:noWrap/>
            <w:hideMark/>
          </w:tcPr>
          <w:p w14:paraId="143F0A4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58%</w:t>
            </w:r>
          </w:p>
        </w:tc>
        <w:tc>
          <w:tcPr>
            <w:tcW w:w="597" w:type="pct"/>
            <w:tcBorders>
              <w:top w:val="nil"/>
              <w:left w:val="nil"/>
              <w:bottom w:val="nil"/>
              <w:right w:val="single" w:sz="8" w:space="0" w:color="auto"/>
            </w:tcBorders>
            <w:shd w:val="clear" w:color="auto" w:fill="auto"/>
            <w:noWrap/>
            <w:hideMark/>
          </w:tcPr>
          <w:p w14:paraId="5179ACC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58%</w:t>
            </w:r>
          </w:p>
        </w:tc>
        <w:tc>
          <w:tcPr>
            <w:tcW w:w="597" w:type="pct"/>
            <w:tcBorders>
              <w:top w:val="nil"/>
              <w:left w:val="nil"/>
              <w:bottom w:val="nil"/>
              <w:right w:val="single" w:sz="4" w:space="0" w:color="auto"/>
            </w:tcBorders>
            <w:shd w:val="clear" w:color="auto" w:fill="auto"/>
            <w:noWrap/>
            <w:hideMark/>
          </w:tcPr>
          <w:p w14:paraId="43E5C1C8"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54%</w:t>
            </w:r>
          </w:p>
        </w:tc>
        <w:tc>
          <w:tcPr>
            <w:tcW w:w="597" w:type="pct"/>
            <w:tcBorders>
              <w:top w:val="nil"/>
              <w:left w:val="nil"/>
              <w:bottom w:val="nil"/>
              <w:right w:val="single" w:sz="8" w:space="0" w:color="auto"/>
            </w:tcBorders>
            <w:shd w:val="clear" w:color="auto" w:fill="auto"/>
            <w:noWrap/>
            <w:hideMark/>
          </w:tcPr>
          <w:p w14:paraId="6047E2A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54%</w:t>
            </w:r>
          </w:p>
        </w:tc>
        <w:tc>
          <w:tcPr>
            <w:tcW w:w="597" w:type="pct"/>
            <w:tcBorders>
              <w:top w:val="nil"/>
              <w:left w:val="nil"/>
              <w:bottom w:val="nil"/>
              <w:right w:val="single" w:sz="4" w:space="0" w:color="auto"/>
            </w:tcBorders>
            <w:shd w:val="clear" w:color="auto" w:fill="auto"/>
            <w:noWrap/>
            <w:hideMark/>
          </w:tcPr>
          <w:p w14:paraId="40D022E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55%</w:t>
            </w:r>
          </w:p>
        </w:tc>
        <w:tc>
          <w:tcPr>
            <w:tcW w:w="597" w:type="pct"/>
            <w:tcBorders>
              <w:top w:val="nil"/>
              <w:left w:val="nil"/>
              <w:bottom w:val="nil"/>
              <w:right w:val="single" w:sz="8" w:space="0" w:color="auto"/>
            </w:tcBorders>
            <w:shd w:val="clear" w:color="auto" w:fill="auto"/>
            <w:noWrap/>
            <w:hideMark/>
          </w:tcPr>
          <w:p w14:paraId="0BD89F4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55%</w:t>
            </w:r>
          </w:p>
        </w:tc>
      </w:tr>
      <w:tr w:rsidR="00302E25" w:rsidRPr="00302E25" w14:paraId="6C0F91E6" w14:textId="77777777" w:rsidTr="003952F6">
        <w:trPr>
          <w:trHeight w:val="300"/>
        </w:trPr>
        <w:tc>
          <w:tcPr>
            <w:tcW w:w="645" w:type="pct"/>
            <w:vMerge w:val="restart"/>
            <w:tcBorders>
              <w:top w:val="nil"/>
              <w:left w:val="single" w:sz="8" w:space="0" w:color="auto"/>
              <w:bottom w:val="single" w:sz="4" w:space="0" w:color="auto"/>
              <w:right w:val="single" w:sz="4" w:space="0" w:color="auto"/>
            </w:tcBorders>
            <w:shd w:val="clear" w:color="000000" w:fill="DDEBF7"/>
            <w:noWrap/>
            <w:vAlign w:val="center"/>
            <w:hideMark/>
          </w:tcPr>
          <w:p w14:paraId="565B1248"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Age</w:t>
            </w:r>
          </w:p>
        </w:tc>
        <w:tc>
          <w:tcPr>
            <w:tcW w:w="771" w:type="pct"/>
            <w:tcBorders>
              <w:top w:val="nil"/>
              <w:left w:val="nil"/>
              <w:bottom w:val="single" w:sz="4" w:space="0" w:color="auto"/>
              <w:right w:val="single" w:sz="8" w:space="0" w:color="auto"/>
            </w:tcBorders>
            <w:shd w:val="clear" w:color="000000" w:fill="DDEBF7"/>
            <w:noWrap/>
            <w:vAlign w:val="bottom"/>
            <w:hideMark/>
          </w:tcPr>
          <w:p w14:paraId="7ED9409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Group 1</w:t>
            </w:r>
          </w:p>
        </w:tc>
        <w:tc>
          <w:tcPr>
            <w:tcW w:w="597" w:type="pct"/>
            <w:tcBorders>
              <w:top w:val="nil"/>
              <w:left w:val="nil"/>
              <w:bottom w:val="single" w:sz="4" w:space="0" w:color="auto"/>
              <w:right w:val="single" w:sz="4" w:space="0" w:color="auto"/>
            </w:tcBorders>
            <w:shd w:val="clear" w:color="auto" w:fill="auto"/>
            <w:noWrap/>
            <w:hideMark/>
          </w:tcPr>
          <w:p w14:paraId="6F8F413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61%</w:t>
            </w:r>
          </w:p>
        </w:tc>
        <w:tc>
          <w:tcPr>
            <w:tcW w:w="597" w:type="pct"/>
            <w:tcBorders>
              <w:top w:val="nil"/>
              <w:left w:val="nil"/>
              <w:bottom w:val="single" w:sz="4" w:space="0" w:color="auto"/>
              <w:right w:val="single" w:sz="8" w:space="0" w:color="auto"/>
            </w:tcBorders>
            <w:shd w:val="clear" w:color="auto" w:fill="auto"/>
            <w:noWrap/>
            <w:hideMark/>
          </w:tcPr>
          <w:p w14:paraId="65C6821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61%</w:t>
            </w:r>
          </w:p>
        </w:tc>
        <w:tc>
          <w:tcPr>
            <w:tcW w:w="597" w:type="pct"/>
            <w:tcBorders>
              <w:top w:val="nil"/>
              <w:left w:val="nil"/>
              <w:bottom w:val="single" w:sz="4" w:space="0" w:color="auto"/>
              <w:right w:val="single" w:sz="4" w:space="0" w:color="auto"/>
            </w:tcBorders>
            <w:shd w:val="clear" w:color="auto" w:fill="auto"/>
            <w:noWrap/>
            <w:hideMark/>
          </w:tcPr>
          <w:p w14:paraId="0B7ACBB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65%</w:t>
            </w:r>
          </w:p>
        </w:tc>
        <w:tc>
          <w:tcPr>
            <w:tcW w:w="597" w:type="pct"/>
            <w:tcBorders>
              <w:top w:val="nil"/>
              <w:left w:val="nil"/>
              <w:bottom w:val="single" w:sz="4" w:space="0" w:color="auto"/>
              <w:right w:val="single" w:sz="8" w:space="0" w:color="auto"/>
            </w:tcBorders>
            <w:shd w:val="clear" w:color="auto" w:fill="auto"/>
            <w:noWrap/>
            <w:hideMark/>
          </w:tcPr>
          <w:p w14:paraId="00E4CC0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65%</w:t>
            </w:r>
          </w:p>
        </w:tc>
        <w:tc>
          <w:tcPr>
            <w:tcW w:w="597" w:type="pct"/>
            <w:tcBorders>
              <w:top w:val="nil"/>
              <w:left w:val="nil"/>
              <w:bottom w:val="single" w:sz="4" w:space="0" w:color="auto"/>
              <w:right w:val="single" w:sz="4" w:space="0" w:color="auto"/>
            </w:tcBorders>
            <w:shd w:val="clear" w:color="auto" w:fill="auto"/>
            <w:noWrap/>
            <w:hideMark/>
          </w:tcPr>
          <w:p w14:paraId="6474A92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59%</w:t>
            </w:r>
          </w:p>
        </w:tc>
        <w:tc>
          <w:tcPr>
            <w:tcW w:w="597" w:type="pct"/>
            <w:tcBorders>
              <w:top w:val="nil"/>
              <w:left w:val="nil"/>
              <w:bottom w:val="single" w:sz="4" w:space="0" w:color="auto"/>
              <w:right w:val="single" w:sz="8" w:space="0" w:color="auto"/>
            </w:tcBorders>
            <w:shd w:val="clear" w:color="auto" w:fill="auto"/>
            <w:noWrap/>
            <w:hideMark/>
          </w:tcPr>
          <w:p w14:paraId="6A8ADB6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59%</w:t>
            </w:r>
          </w:p>
        </w:tc>
      </w:tr>
      <w:tr w:rsidR="00302E25" w:rsidRPr="00302E25" w14:paraId="4C70C76A"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2C5D0716"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07E5AB7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Group 2</w:t>
            </w:r>
          </w:p>
        </w:tc>
        <w:tc>
          <w:tcPr>
            <w:tcW w:w="597" w:type="pct"/>
            <w:tcBorders>
              <w:top w:val="nil"/>
              <w:left w:val="nil"/>
              <w:bottom w:val="single" w:sz="4" w:space="0" w:color="auto"/>
              <w:right w:val="single" w:sz="4" w:space="0" w:color="auto"/>
            </w:tcBorders>
            <w:shd w:val="clear" w:color="auto" w:fill="auto"/>
            <w:noWrap/>
            <w:hideMark/>
          </w:tcPr>
          <w:p w14:paraId="10EEB65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28%</w:t>
            </w:r>
          </w:p>
        </w:tc>
        <w:tc>
          <w:tcPr>
            <w:tcW w:w="597" w:type="pct"/>
            <w:tcBorders>
              <w:top w:val="nil"/>
              <w:left w:val="nil"/>
              <w:bottom w:val="single" w:sz="4" w:space="0" w:color="auto"/>
              <w:right w:val="single" w:sz="8" w:space="0" w:color="auto"/>
            </w:tcBorders>
            <w:shd w:val="clear" w:color="auto" w:fill="auto"/>
            <w:noWrap/>
            <w:hideMark/>
          </w:tcPr>
          <w:p w14:paraId="30D6DCF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28%</w:t>
            </w:r>
          </w:p>
        </w:tc>
        <w:tc>
          <w:tcPr>
            <w:tcW w:w="597" w:type="pct"/>
            <w:tcBorders>
              <w:top w:val="nil"/>
              <w:left w:val="nil"/>
              <w:bottom w:val="single" w:sz="4" w:space="0" w:color="auto"/>
              <w:right w:val="single" w:sz="4" w:space="0" w:color="auto"/>
            </w:tcBorders>
            <w:shd w:val="clear" w:color="auto" w:fill="auto"/>
            <w:noWrap/>
            <w:hideMark/>
          </w:tcPr>
          <w:p w14:paraId="3DE8892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28%</w:t>
            </w:r>
          </w:p>
        </w:tc>
        <w:tc>
          <w:tcPr>
            <w:tcW w:w="597" w:type="pct"/>
            <w:tcBorders>
              <w:top w:val="nil"/>
              <w:left w:val="nil"/>
              <w:bottom w:val="single" w:sz="4" w:space="0" w:color="auto"/>
              <w:right w:val="single" w:sz="8" w:space="0" w:color="auto"/>
            </w:tcBorders>
            <w:shd w:val="clear" w:color="auto" w:fill="auto"/>
            <w:noWrap/>
            <w:hideMark/>
          </w:tcPr>
          <w:p w14:paraId="1CE2CD0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28%</w:t>
            </w:r>
          </w:p>
        </w:tc>
        <w:tc>
          <w:tcPr>
            <w:tcW w:w="597" w:type="pct"/>
            <w:tcBorders>
              <w:top w:val="nil"/>
              <w:left w:val="nil"/>
              <w:bottom w:val="single" w:sz="4" w:space="0" w:color="auto"/>
              <w:right w:val="single" w:sz="4" w:space="0" w:color="auto"/>
            </w:tcBorders>
            <w:shd w:val="clear" w:color="auto" w:fill="auto"/>
            <w:noWrap/>
            <w:hideMark/>
          </w:tcPr>
          <w:p w14:paraId="43E044E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29%</w:t>
            </w:r>
          </w:p>
        </w:tc>
        <w:tc>
          <w:tcPr>
            <w:tcW w:w="597" w:type="pct"/>
            <w:tcBorders>
              <w:top w:val="nil"/>
              <w:left w:val="nil"/>
              <w:bottom w:val="single" w:sz="4" w:space="0" w:color="auto"/>
              <w:right w:val="single" w:sz="8" w:space="0" w:color="auto"/>
            </w:tcBorders>
            <w:shd w:val="clear" w:color="auto" w:fill="auto"/>
            <w:noWrap/>
            <w:hideMark/>
          </w:tcPr>
          <w:p w14:paraId="0DC151E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29%</w:t>
            </w:r>
          </w:p>
        </w:tc>
      </w:tr>
      <w:tr w:rsidR="00302E25" w:rsidRPr="00302E25" w14:paraId="090BA46E"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1D9F10F1"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7A59A27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Group 3</w:t>
            </w:r>
          </w:p>
        </w:tc>
        <w:tc>
          <w:tcPr>
            <w:tcW w:w="597" w:type="pct"/>
            <w:tcBorders>
              <w:top w:val="nil"/>
              <w:left w:val="nil"/>
              <w:bottom w:val="single" w:sz="4" w:space="0" w:color="auto"/>
              <w:right w:val="single" w:sz="4" w:space="0" w:color="auto"/>
            </w:tcBorders>
            <w:shd w:val="clear" w:color="auto" w:fill="auto"/>
            <w:noWrap/>
            <w:hideMark/>
          </w:tcPr>
          <w:p w14:paraId="5BB9F8C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11%</w:t>
            </w:r>
          </w:p>
        </w:tc>
        <w:tc>
          <w:tcPr>
            <w:tcW w:w="597" w:type="pct"/>
            <w:tcBorders>
              <w:top w:val="nil"/>
              <w:left w:val="nil"/>
              <w:bottom w:val="single" w:sz="4" w:space="0" w:color="auto"/>
              <w:right w:val="single" w:sz="8" w:space="0" w:color="auto"/>
            </w:tcBorders>
            <w:shd w:val="clear" w:color="auto" w:fill="auto"/>
            <w:noWrap/>
            <w:hideMark/>
          </w:tcPr>
          <w:p w14:paraId="0889025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11%</w:t>
            </w:r>
          </w:p>
        </w:tc>
        <w:tc>
          <w:tcPr>
            <w:tcW w:w="597" w:type="pct"/>
            <w:tcBorders>
              <w:top w:val="nil"/>
              <w:left w:val="nil"/>
              <w:bottom w:val="single" w:sz="4" w:space="0" w:color="auto"/>
              <w:right w:val="single" w:sz="4" w:space="0" w:color="auto"/>
            </w:tcBorders>
            <w:shd w:val="clear" w:color="auto" w:fill="auto"/>
            <w:noWrap/>
            <w:hideMark/>
          </w:tcPr>
          <w:p w14:paraId="0B2CAC7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7%</w:t>
            </w:r>
          </w:p>
        </w:tc>
        <w:tc>
          <w:tcPr>
            <w:tcW w:w="597" w:type="pct"/>
            <w:tcBorders>
              <w:top w:val="nil"/>
              <w:left w:val="nil"/>
              <w:bottom w:val="single" w:sz="4" w:space="0" w:color="auto"/>
              <w:right w:val="single" w:sz="8" w:space="0" w:color="auto"/>
            </w:tcBorders>
            <w:shd w:val="clear" w:color="auto" w:fill="auto"/>
            <w:noWrap/>
            <w:hideMark/>
          </w:tcPr>
          <w:p w14:paraId="4BE0FC5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7%</w:t>
            </w:r>
          </w:p>
        </w:tc>
        <w:tc>
          <w:tcPr>
            <w:tcW w:w="597" w:type="pct"/>
            <w:tcBorders>
              <w:top w:val="nil"/>
              <w:left w:val="nil"/>
              <w:bottom w:val="single" w:sz="4" w:space="0" w:color="auto"/>
              <w:right w:val="single" w:sz="4" w:space="0" w:color="auto"/>
            </w:tcBorders>
            <w:shd w:val="clear" w:color="auto" w:fill="auto"/>
            <w:noWrap/>
            <w:hideMark/>
          </w:tcPr>
          <w:p w14:paraId="113C73E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12%</w:t>
            </w:r>
          </w:p>
        </w:tc>
        <w:tc>
          <w:tcPr>
            <w:tcW w:w="597" w:type="pct"/>
            <w:tcBorders>
              <w:top w:val="nil"/>
              <w:left w:val="nil"/>
              <w:bottom w:val="single" w:sz="4" w:space="0" w:color="auto"/>
              <w:right w:val="single" w:sz="8" w:space="0" w:color="auto"/>
            </w:tcBorders>
            <w:shd w:val="clear" w:color="auto" w:fill="auto"/>
            <w:noWrap/>
            <w:hideMark/>
          </w:tcPr>
          <w:p w14:paraId="57378C3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12%</w:t>
            </w:r>
          </w:p>
        </w:tc>
      </w:tr>
      <w:tr w:rsidR="00302E25" w:rsidRPr="00302E25" w14:paraId="5973AEC2" w14:textId="77777777" w:rsidTr="003952F6">
        <w:trPr>
          <w:trHeight w:val="300"/>
        </w:trPr>
        <w:tc>
          <w:tcPr>
            <w:tcW w:w="645" w:type="pct"/>
            <w:vMerge w:val="restart"/>
            <w:tcBorders>
              <w:top w:val="nil"/>
              <w:left w:val="single" w:sz="8" w:space="0" w:color="auto"/>
              <w:bottom w:val="single" w:sz="4" w:space="0" w:color="auto"/>
              <w:right w:val="single" w:sz="4" w:space="0" w:color="auto"/>
            </w:tcBorders>
            <w:shd w:val="clear" w:color="000000" w:fill="DDEBF7"/>
            <w:noWrap/>
            <w:vAlign w:val="center"/>
            <w:hideMark/>
          </w:tcPr>
          <w:p w14:paraId="1EAFC024"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ISCED</w:t>
            </w:r>
          </w:p>
        </w:tc>
        <w:tc>
          <w:tcPr>
            <w:tcW w:w="771" w:type="pct"/>
            <w:tcBorders>
              <w:top w:val="nil"/>
              <w:left w:val="nil"/>
              <w:bottom w:val="single" w:sz="4" w:space="0" w:color="auto"/>
              <w:right w:val="single" w:sz="8" w:space="0" w:color="auto"/>
            </w:tcBorders>
            <w:shd w:val="clear" w:color="000000" w:fill="DDEBF7"/>
            <w:noWrap/>
            <w:vAlign w:val="bottom"/>
            <w:hideMark/>
          </w:tcPr>
          <w:p w14:paraId="576AF70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Low</w:t>
            </w:r>
          </w:p>
        </w:tc>
        <w:tc>
          <w:tcPr>
            <w:tcW w:w="597" w:type="pct"/>
            <w:tcBorders>
              <w:top w:val="nil"/>
              <w:left w:val="nil"/>
              <w:bottom w:val="single" w:sz="4" w:space="0" w:color="auto"/>
              <w:right w:val="single" w:sz="4" w:space="0" w:color="auto"/>
            </w:tcBorders>
            <w:shd w:val="clear" w:color="auto" w:fill="auto"/>
            <w:noWrap/>
            <w:hideMark/>
          </w:tcPr>
          <w:p w14:paraId="3D947C9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33%</w:t>
            </w:r>
          </w:p>
        </w:tc>
        <w:tc>
          <w:tcPr>
            <w:tcW w:w="597" w:type="pct"/>
            <w:tcBorders>
              <w:top w:val="nil"/>
              <w:left w:val="nil"/>
              <w:bottom w:val="single" w:sz="4" w:space="0" w:color="auto"/>
              <w:right w:val="single" w:sz="8" w:space="0" w:color="auto"/>
            </w:tcBorders>
            <w:shd w:val="clear" w:color="auto" w:fill="auto"/>
            <w:noWrap/>
            <w:hideMark/>
          </w:tcPr>
          <w:p w14:paraId="047DC3D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33%</w:t>
            </w:r>
          </w:p>
        </w:tc>
        <w:tc>
          <w:tcPr>
            <w:tcW w:w="597" w:type="pct"/>
            <w:tcBorders>
              <w:top w:val="nil"/>
              <w:left w:val="nil"/>
              <w:bottom w:val="single" w:sz="4" w:space="0" w:color="auto"/>
              <w:right w:val="single" w:sz="4" w:space="0" w:color="auto"/>
            </w:tcBorders>
            <w:shd w:val="clear" w:color="auto" w:fill="auto"/>
            <w:noWrap/>
            <w:hideMark/>
          </w:tcPr>
          <w:p w14:paraId="67CFE8E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12%</w:t>
            </w:r>
          </w:p>
        </w:tc>
        <w:tc>
          <w:tcPr>
            <w:tcW w:w="597" w:type="pct"/>
            <w:tcBorders>
              <w:top w:val="nil"/>
              <w:left w:val="nil"/>
              <w:bottom w:val="single" w:sz="4" w:space="0" w:color="auto"/>
              <w:right w:val="single" w:sz="8" w:space="0" w:color="auto"/>
            </w:tcBorders>
            <w:shd w:val="clear" w:color="auto" w:fill="auto"/>
            <w:noWrap/>
            <w:hideMark/>
          </w:tcPr>
          <w:p w14:paraId="2E26A3C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12%</w:t>
            </w:r>
          </w:p>
        </w:tc>
        <w:tc>
          <w:tcPr>
            <w:tcW w:w="597" w:type="pct"/>
            <w:tcBorders>
              <w:top w:val="nil"/>
              <w:left w:val="nil"/>
              <w:bottom w:val="single" w:sz="4" w:space="0" w:color="auto"/>
              <w:right w:val="single" w:sz="4" w:space="0" w:color="auto"/>
            </w:tcBorders>
            <w:shd w:val="clear" w:color="auto" w:fill="auto"/>
            <w:noWrap/>
            <w:hideMark/>
          </w:tcPr>
          <w:p w14:paraId="1B67176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45%</w:t>
            </w:r>
          </w:p>
        </w:tc>
        <w:tc>
          <w:tcPr>
            <w:tcW w:w="597" w:type="pct"/>
            <w:tcBorders>
              <w:top w:val="nil"/>
              <w:left w:val="nil"/>
              <w:bottom w:val="single" w:sz="4" w:space="0" w:color="auto"/>
              <w:right w:val="single" w:sz="8" w:space="0" w:color="auto"/>
            </w:tcBorders>
            <w:shd w:val="clear" w:color="auto" w:fill="auto"/>
            <w:noWrap/>
            <w:hideMark/>
          </w:tcPr>
          <w:p w14:paraId="5CF90CF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45%</w:t>
            </w:r>
          </w:p>
        </w:tc>
      </w:tr>
      <w:tr w:rsidR="00302E25" w:rsidRPr="00302E25" w14:paraId="012B5896"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46041D72"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26EA778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Mid</w:t>
            </w:r>
          </w:p>
        </w:tc>
        <w:tc>
          <w:tcPr>
            <w:tcW w:w="597" w:type="pct"/>
            <w:tcBorders>
              <w:top w:val="nil"/>
              <w:left w:val="nil"/>
              <w:bottom w:val="single" w:sz="4" w:space="0" w:color="auto"/>
              <w:right w:val="single" w:sz="4" w:space="0" w:color="auto"/>
            </w:tcBorders>
            <w:shd w:val="clear" w:color="auto" w:fill="auto"/>
            <w:noWrap/>
            <w:hideMark/>
          </w:tcPr>
          <w:p w14:paraId="0BF7689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46%</w:t>
            </w:r>
          </w:p>
        </w:tc>
        <w:tc>
          <w:tcPr>
            <w:tcW w:w="597" w:type="pct"/>
            <w:tcBorders>
              <w:top w:val="nil"/>
              <w:left w:val="nil"/>
              <w:bottom w:val="single" w:sz="4" w:space="0" w:color="auto"/>
              <w:right w:val="single" w:sz="8" w:space="0" w:color="auto"/>
            </w:tcBorders>
            <w:shd w:val="clear" w:color="auto" w:fill="auto"/>
            <w:noWrap/>
            <w:hideMark/>
          </w:tcPr>
          <w:p w14:paraId="2D73D20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46%</w:t>
            </w:r>
          </w:p>
        </w:tc>
        <w:tc>
          <w:tcPr>
            <w:tcW w:w="597" w:type="pct"/>
            <w:tcBorders>
              <w:top w:val="nil"/>
              <w:left w:val="nil"/>
              <w:bottom w:val="single" w:sz="4" w:space="0" w:color="auto"/>
              <w:right w:val="single" w:sz="4" w:space="0" w:color="auto"/>
            </w:tcBorders>
            <w:shd w:val="clear" w:color="auto" w:fill="auto"/>
            <w:noWrap/>
            <w:hideMark/>
          </w:tcPr>
          <w:p w14:paraId="4F4C3AD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54%</w:t>
            </w:r>
          </w:p>
        </w:tc>
        <w:tc>
          <w:tcPr>
            <w:tcW w:w="597" w:type="pct"/>
            <w:tcBorders>
              <w:top w:val="nil"/>
              <w:left w:val="nil"/>
              <w:bottom w:val="single" w:sz="4" w:space="0" w:color="auto"/>
              <w:right w:val="single" w:sz="8" w:space="0" w:color="auto"/>
            </w:tcBorders>
            <w:shd w:val="clear" w:color="auto" w:fill="auto"/>
            <w:noWrap/>
            <w:hideMark/>
          </w:tcPr>
          <w:p w14:paraId="3A7A391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54%</w:t>
            </w:r>
          </w:p>
        </w:tc>
        <w:tc>
          <w:tcPr>
            <w:tcW w:w="597" w:type="pct"/>
            <w:tcBorders>
              <w:top w:val="nil"/>
              <w:left w:val="nil"/>
              <w:bottom w:val="single" w:sz="4" w:space="0" w:color="auto"/>
              <w:right w:val="single" w:sz="4" w:space="0" w:color="auto"/>
            </w:tcBorders>
            <w:shd w:val="clear" w:color="auto" w:fill="auto"/>
            <w:noWrap/>
            <w:hideMark/>
          </w:tcPr>
          <w:p w14:paraId="7DEC681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27%</w:t>
            </w:r>
          </w:p>
        </w:tc>
        <w:tc>
          <w:tcPr>
            <w:tcW w:w="597" w:type="pct"/>
            <w:tcBorders>
              <w:top w:val="nil"/>
              <w:left w:val="nil"/>
              <w:bottom w:val="single" w:sz="4" w:space="0" w:color="auto"/>
              <w:right w:val="single" w:sz="8" w:space="0" w:color="auto"/>
            </w:tcBorders>
            <w:shd w:val="clear" w:color="auto" w:fill="auto"/>
            <w:noWrap/>
            <w:hideMark/>
          </w:tcPr>
          <w:p w14:paraId="7163150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27%</w:t>
            </w:r>
          </w:p>
        </w:tc>
      </w:tr>
      <w:tr w:rsidR="00302E25" w:rsidRPr="00302E25" w14:paraId="65012C75"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76F22344"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423FF16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High</w:t>
            </w:r>
          </w:p>
        </w:tc>
        <w:tc>
          <w:tcPr>
            <w:tcW w:w="597" w:type="pct"/>
            <w:tcBorders>
              <w:top w:val="nil"/>
              <w:left w:val="nil"/>
              <w:bottom w:val="single" w:sz="4" w:space="0" w:color="auto"/>
              <w:right w:val="single" w:sz="4" w:space="0" w:color="auto"/>
            </w:tcBorders>
            <w:shd w:val="clear" w:color="auto" w:fill="auto"/>
            <w:noWrap/>
            <w:hideMark/>
          </w:tcPr>
          <w:p w14:paraId="2A1D9C1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21%</w:t>
            </w:r>
          </w:p>
        </w:tc>
        <w:tc>
          <w:tcPr>
            <w:tcW w:w="597" w:type="pct"/>
            <w:tcBorders>
              <w:top w:val="nil"/>
              <w:left w:val="nil"/>
              <w:bottom w:val="single" w:sz="4" w:space="0" w:color="auto"/>
              <w:right w:val="single" w:sz="8" w:space="0" w:color="auto"/>
            </w:tcBorders>
            <w:shd w:val="clear" w:color="auto" w:fill="auto"/>
            <w:noWrap/>
            <w:hideMark/>
          </w:tcPr>
          <w:p w14:paraId="4CF91E3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22%</w:t>
            </w:r>
          </w:p>
        </w:tc>
        <w:tc>
          <w:tcPr>
            <w:tcW w:w="597" w:type="pct"/>
            <w:tcBorders>
              <w:top w:val="nil"/>
              <w:left w:val="nil"/>
              <w:bottom w:val="single" w:sz="4" w:space="0" w:color="auto"/>
              <w:right w:val="single" w:sz="4" w:space="0" w:color="auto"/>
            </w:tcBorders>
            <w:shd w:val="clear" w:color="auto" w:fill="auto"/>
            <w:noWrap/>
            <w:hideMark/>
          </w:tcPr>
          <w:p w14:paraId="0C09800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34%</w:t>
            </w:r>
          </w:p>
        </w:tc>
        <w:tc>
          <w:tcPr>
            <w:tcW w:w="597" w:type="pct"/>
            <w:tcBorders>
              <w:top w:val="nil"/>
              <w:left w:val="nil"/>
              <w:bottom w:val="single" w:sz="4" w:space="0" w:color="auto"/>
              <w:right w:val="single" w:sz="8" w:space="0" w:color="auto"/>
            </w:tcBorders>
            <w:shd w:val="clear" w:color="auto" w:fill="auto"/>
            <w:noWrap/>
            <w:hideMark/>
          </w:tcPr>
          <w:p w14:paraId="6382123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34%</w:t>
            </w:r>
          </w:p>
        </w:tc>
        <w:tc>
          <w:tcPr>
            <w:tcW w:w="597" w:type="pct"/>
            <w:tcBorders>
              <w:top w:val="nil"/>
              <w:left w:val="nil"/>
              <w:bottom w:val="single" w:sz="4" w:space="0" w:color="auto"/>
              <w:right w:val="single" w:sz="4" w:space="0" w:color="auto"/>
            </w:tcBorders>
            <w:shd w:val="clear" w:color="auto" w:fill="auto"/>
            <w:noWrap/>
            <w:hideMark/>
          </w:tcPr>
          <w:p w14:paraId="1000C6B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28%</w:t>
            </w:r>
          </w:p>
        </w:tc>
        <w:tc>
          <w:tcPr>
            <w:tcW w:w="597" w:type="pct"/>
            <w:tcBorders>
              <w:top w:val="nil"/>
              <w:left w:val="nil"/>
              <w:bottom w:val="single" w:sz="4" w:space="0" w:color="auto"/>
              <w:right w:val="single" w:sz="8" w:space="0" w:color="auto"/>
            </w:tcBorders>
            <w:shd w:val="clear" w:color="auto" w:fill="auto"/>
            <w:noWrap/>
            <w:hideMark/>
          </w:tcPr>
          <w:p w14:paraId="08D4C11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28%</w:t>
            </w:r>
          </w:p>
        </w:tc>
      </w:tr>
      <w:tr w:rsidR="00302E25" w:rsidRPr="00302E25" w14:paraId="1563E413" w14:textId="77777777" w:rsidTr="003952F6">
        <w:trPr>
          <w:trHeight w:val="300"/>
        </w:trPr>
        <w:tc>
          <w:tcPr>
            <w:tcW w:w="645" w:type="pct"/>
            <w:tcBorders>
              <w:top w:val="nil"/>
              <w:left w:val="single" w:sz="8" w:space="0" w:color="auto"/>
              <w:bottom w:val="single" w:sz="4" w:space="0" w:color="auto"/>
              <w:right w:val="single" w:sz="4" w:space="0" w:color="auto"/>
            </w:tcBorders>
            <w:shd w:val="clear" w:color="000000" w:fill="DDEBF7"/>
            <w:noWrap/>
            <w:vAlign w:val="bottom"/>
            <w:hideMark/>
          </w:tcPr>
          <w:p w14:paraId="791363CF"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Active</w:t>
            </w:r>
          </w:p>
        </w:tc>
        <w:tc>
          <w:tcPr>
            <w:tcW w:w="771" w:type="pct"/>
            <w:tcBorders>
              <w:top w:val="nil"/>
              <w:left w:val="nil"/>
              <w:bottom w:val="single" w:sz="4" w:space="0" w:color="auto"/>
              <w:right w:val="single" w:sz="8" w:space="0" w:color="auto"/>
            </w:tcBorders>
            <w:shd w:val="clear" w:color="000000" w:fill="DDEBF7"/>
            <w:noWrap/>
            <w:vAlign w:val="bottom"/>
            <w:hideMark/>
          </w:tcPr>
          <w:p w14:paraId="77E8FE3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Weekly</w:t>
            </w:r>
          </w:p>
        </w:tc>
        <w:tc>
          <w:tcPr>
            <w:tcW w:w="597" w:type="pct"/>
            <w:tcBorders>
              <w:top w:val="nil"/>
              <w:left w:val="nil"/>
              <w:bottom w:val="single" w:sz="4" w:space="0" w:color="auto"/>
              <w:right w:val="single" w:sz="4" w:space="0" w:color="auto"/>
            </w:tcBorders>
            <w:shd w:val="clear" w:color="auto" w:fill="auto"/>
            <w:noWrap/>
            <w:hideMark/>
          </w:tcPr>
          <w:p w14:paraId="406CCA1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49%</w:t>
            </w:r>
          </w:p>
        </w:tc>
        <w:tc>
          <w:tcPr>
            <w:tcW w:w="597" w:type="pct"/>
            <w:tcBorders>
              <w:top w:val="nil"/>
              <w:left w:val="nil"/>
              <w:bottom w:val="single" w:sz="4" w:space="0" w:color="auto"/>
              <w:right w:val="single" w:sz="8" w:space="0" w:color="auto"/>
            </w:tcBorders>
            <w:shd w:val="clear" w:color="auto" w:fill="auto"/>
            <w:noWrap/>
            <w:hideMark/>
          </w:tcPr>
          <w:p w14:paraId="2890921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41%</w:t>
            </w:r>
          </w:p>
        </w:tc>
        <w:tc>
          <w:tcPr>
            <w:tcW w:w="597" w:type="pct"/>
            <w:tcBorders>
              <w:top w:val="nil"/>
              <w:left w:val="nil"/>
              <w:bottom w:val="single" w:sz="4" w:space="0" w:color="auto"/>
              <w:right w:val="single" w:sz="4" w:space="0" w:color="auto"/>
            </w:tcBorders>
            <w:shd w:val="clear" w:color="auto" w:fill="auto"/>
            <w:noWrap/>
            <w:hideMark/>
          </w:tcPr>
          <w:p w14:paraId="4D40703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69%</w:t>
            </w:r>
          </w:p>
        </w:tc>
        <w:tc>
          <w:tcPr>
            <w:tcW w:w="597" w:type="pct"/>
            <w:tcBorders>
              <w:top w:val="nil"/>
              <w:left w:val="nil"/>
              <w:bottom w:val="single" w:sz="4" w:space="0" w:color="auto"/>
              <w:right w:val="single" w:sz="8" w:space="0" w:color="auto"/>
            </w:tcBorders>
            <w:shd w:val="clear" w:color="auto" w:fill="auto"/>
            <w:noWrap/>
            <w:hideMark/>
          </w:tcPr>
          <w:p w14:paraId="3C1EBAB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60%</w:t>
            </w:r>
          </w:p>
        </w:tc>
        <w:tc>
          <w:tcPr>
            <w:tcW w:w="597" w:type="pct"/>
            <w:tcBorders>
              <w:top w:val="nil"/>
              <w:left w:val="nil"/>
              <w:bottom w:val="single" w:sz="4" w:space="0" w:color="auto"/>
              <w:right w:val="single" w:sz="4" w:space="0" w:color="auto"/>
            </w:tcBorders>
            <w:shd w:val="clear" w:color="auto" w:fill="auto"/>
            <w:noWrap/>
            <w:hideMark/>
          </w:tcPr>
          <w:p w14:paraId="01EEB1B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57%</w:t>
            </w:r>
          </w:p>
        </w:tc>
        <w:tc>
          <w:tcPr>
            <w:tcW w:w="597" w:type="pct"/>
            <w:tcBorders>
              <w:top w:val="nil"/>
              <w:left w:val="nil"/>
              <w:bottom w:val="single" w:sz="4" w:space="0" w:color="auto"/>
              <w:right w:val="single" w:sz="8" w:space="0" w:color="auto"/>
            </w:tcBorders>
            <w:shd w:val="clear" w:color="auto" w:fill="auto"/>
            <w:noWrap/>
            <w:hideMark/>
          </w:tcPr>
          <w:p w14:paraId="3D237C4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55%</w:t>
            </w:r>
          </w:p>
        </w:tc>
      </w:tr>
      <w:tr w:rsidR="00302E25" w:rsidRPr="00302E25" w14:paraId="379F5E88" w14:textId="77777777" w:rsidTr="003952F6">
        <w:trPr>
          <w:trHeight w:val="300"/>
        </w:trPr>
        <w:tc>
          <w:tcPr>
            <w:tcW w:w="645" w:type="pct"/>
            <w:tcBorders>
              <w:top w:val="nil"/>
              <w:left w:val="single" w:sz="8" w:space="0" w:color="auto"/>
              <w:bottom w:val="single" w:sz="4" w:space="0" w:color="auto"/>
              <w:right w:val="single" w:sz="4" w:space="0" w:color="auto"/>
            </w:tcBorders>
            <w:shd w:val="clear" w:color="000000" w:fill="DDEBF7"/>
            <w:noWrap/>
            <w:vAlign w:val="bottom"/>
            <w:hideMark/>
          </w:tcPr>
          <w:p w14:paraId="3431786E"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Income</w:t>
            </w:r>
          </w:p>
        </w:tc>
        <w:tc>
          <w:tcPr>
            <w:tcW w:w="771" w:type="pct"/>
            <w:tcBorders>
              <w:top w:val="nil"/>
              <w:left w:val="nil"/>
              <w:bottom w:val="single" w:sz="4" w:space="0" w:color="auto"/>
              <w:right w:val="single" w:sz="8" w:space="0" w:color="auto"/>
            </w:tcBorders>
            <w:shd w:val="clear" w:color="000000" w:fill="DDEBF7"/>
            <w:noWrap/>
            <w:vAlign w:val="bottom"/>
            <w:hideMark/>
          </w:tcPr>
          <w:p w14:paraId="68E5F16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Low</w:t>
            </w:r>
          </w:p>
        </w:tc>
        <w:tc>
          <w:tcPr>
            <w:tcW w:w="597" w:type="pct"/>
            <w:tcBorders>
              <w:top w:val="nil"/>
              <w:left w:val="nil"/>
              <w:bottom w:val="single" w:sz="4" w:space="0" w:color="auto"/>
              <w:right w:val="single" w:sz="4" w:space="0" w:color="auto"/>
            </w:tcBorders>
            <w:shd w:val="clear" w:color="auto" w:fill="auto"/>
            <w:noWrap/>
            <w:hideMark/>
          </w:tcPr>
          <w:p w14:paraId="586A9CF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23%</w:t>
            </w:r>
          </w:p>
        </w:tc>
        <w:tc>
          <w:tcPr>
            <w:tcW w:w="597" w:type="pct"/>
            <w:tcBorders>
              <w:top w:val="nil"/>
              <w:left w:val="nil"/>
              <w:bottom w:val="single" w:sz="4" w:space="0" w:color="auto"/>
              <w:right w:val="single" w:sz="8" w:space="0" w:color="auto"/>
            </w:tcBorders>
            <w:shd w:val="clear" w:color="auto" w:fill="auto"/>
            <w:noWrap/>
            <w:hideMark/>
          </w:tcPr>
          <w:p w14:paraId="0D13769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22%</w:t>
            </w:r>
          </w:p>
        </w:tc>
        <w:tc>
          <w:tcPr>
            <w:tcW w:w="597" w:type="pct"/>
            <w:tcBorders>
              <w:top w:val="nil"/>
              <w:left w:val="nil"/>
              <w:bottom w:val="single" w:sz="4" w:space="0" w:color="auto"/>
              <w:right w:val="single" w:sz="4" w:space="0" w:color="auto"/>
            </w:tcBorders>
            <w:shd w:val="clear" w:color="auto" w:fill="auto"/>
            <w:noWrap/>
            <w:hideMark/>
          </w:tcPr>
          <w:p w14:paraId="3EB9125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17%</w:t>
            </w:r>
          </w:p>
        </w:tc>
        <w:tc>
          <w:tcPr>
            <w:tcW w:w="597" w:type="pct"/>
            <w:tcBorders>
              <w:top w:val="nil"/>
              <w:left w:val="nil"/>
              <w:bottom w:val="single" w:sz="4" w:space="0" w:color="auto"/>
              <w:right w:val="single" w:sz="8" w:space="0" w:color="auto"/>
            </w:tcBorders>
            <w:shd w:val="clear" w:color="auto" w:fill="auto"/>
            <w:noWrap/>
            <w:hideMark/>
          </w:tcPr>
          <w:p w14:paraId="5D014FC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4" w:space="0" w:color="auto"/>
            </w:tcBorders>
            <w:shd w:val="clear" w:color="auto" w:fill="auto"/>
            <w:noWrap/>
            <w:hideMark/>
          </w:tcPr>
          <w:p w14:paraId="165E334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17%</w:t>
            </w:r>
          </w:p>
        </w:tc>
        <w:tc>
          <w:tcPr>
            <w:tcW w:w="597" w:type="pct"/>
            <w:tcBorders>
              <w:top w:val="nil"/>
              <w:left w:val="nil"/>
              <w:bottom w:val="single" w:sz="4" w:space="0" w:color="auto"/>
              <w:right w:val="single" w:sz="8" w:space="0" w:color="auto"/>
            </w:tcBorders>
            <w:shd w:val="clear" w:color="auto" w:fill="auto"/>
            <w:noWrap/>
            <w:hideMark/>
          </w:tcPr>
          <w:p w14:paraId="36E2D8A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r>
      <w:tr w:rsidR="00302E25" w:rsidRPr="00302E25" w14:paraId="47B866F9" w14:textId="77777777" w:rsidTr="003952F6">
        <w:trPr>
          <w:trHeight w:val="300"/>
        </w:trPr>
        <w:tc>
          <w:tcPr>
            <w:tcW w:w="645" w:type="pct"/>
            <w:vMerge w:val="restart"/>
            <w:tcBorders>
              <w:top w:val="nil"/>
              <w:left w:val="single" w:sz="8" w:space="0" w:color="auto"/>
              <w:bottom w:val="single" w:sz="4" w:space="0" w:color="auto"/>
              <w:right w:val="single" w:sz="4" w:space="0" w:color="auto"/>
            </w:tcBorders>
            <w:shd w:val="clear" w:color="000000" w:fill="DDEBF7"/>
            <w:vAlign w:val="center"/>
            <w:hideMark/>
          </w:tcPr>
          <w:p w14:paraId="77FA60A5"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 xml:space="preserve">Food </w:t>
            </w:r>
            <w:r w:rsidRPr="00302E25">
              <w:rPr>
                <w:rFonts w:eastAsia="Times New Roman"/>
                <w:b/>
                <w:bCs/>
                <w:color w:val="000000"/>
                <w:lang w:eastAsia="nl-NL"/>
              </w:rPr>
              <w:br/>
              <w:t>consumption</w:t>
            </w:r>
          </w:p>
        </w:tc>
        <w:tc>
          <w:tcPr>
            <w:tcW w:w="771" w:type="pct"/>
            <w:tcBorders>
              <w:top w:val="nil"/>
              <w:left w:val="nil"/>
              <w:bottom w:val="single" w:sz="4" w:space="0" w:color="auto"/>
              <w:right w:val="single" w:sz="8" w:space="0" w:color="auto"/>
            </w:tcBorders>
            <w:shd w:val="clear" w:color="000000" w:fill="DDEBF7"/>
            <w:noWrap/>
            <w:vAlign w:val="bottom"/>
            <w:hideMark/>
          </w:tcPr>
          <w:p w14:paraId="5B5A8098"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Low</w:t>
            </w:r>
          </w:p>
        </w:tc>
        <w:tc>
          <w:tcPr>
            <w:tcW w:w="597" w:type="pct"/>
            <w:tcBorders>
              <w:top w:val="nil"/>
              <w:left w:val="nil"/>
              <w:bottom w:val="single" w:sz="4" w:space="0" w:color="auto"/>
              <w:right w:val="single" w:sz="4" w:space="0" w:color="auto"/>
            </w:tcBorders>
            <w:shd w:val="clear" w:color="auto" w:fill="auto"/>
            <w:noWrap/>
            <w:hideMark/>
          </w:tcPr>
          <w:p w14:paraId="3A041B5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18%</w:t>
            </w:r>
          </w:p>
        </w:tc>
        <w:tc>
          <w:tcPr>
            <w:tcW w:w="597" w:type="pct"/>
            <w:tcBorders>
              <w:top w:val="nil"/>
              <w:left w:val="nil"/>
              <w:bottom w:val="single" w:sz="4" w:space="0" w:color="auto"/>
              <w:right w:val="single" w:sz="8" w:space="0" w:color="auto"/>
            </w:tcBorders>
            <w:shd w:val="clear" w:color="auto" w:fill="auto"/>
            <w:noWrap/>
            <w:hideMark/>
          </w:tcPr>
          <w:p w14:paraId="4A9A97F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21%</w:t>
            </w:r>
          </w:p>
        </w:tc>
        <w:tc>
          <w:tcPr>
            <w:tcW w:w="597" w:type="pct"/>
            <w:tcBorders>
              <w:top w:val="nil"/>
              <w:left w:val="nil"/>
              <w:bottom w:val="single" w:sz="4" w:space="0" w:color="auto"/>
              <w:right w:val="single" w:sz="4" w:space="0" w:color="auto"/>
            </w:tcBorders>
            <w:shd w:val="clear" w:color="auto" w:fill="auto"/>
            <w:noWrap/>
            <w:hideMark/>
          </w:tcPr>
          <w:p w14:paraId="27C424F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23%</w:t>
            </w:r>
          </w:p>
        </w:tc>
        <w:tc>
          <w:tcPr>
            <w:tcW w:w="597" w:type="pct"/>
            <w:tcBorders>
              <w:top w:val="nil"/>
              <w:left w:val="nil"/>
              <w:bottom w:val="single" w:sz="4" w:space="0" w:color="auto"/>
              <w:right w:val="single" w:sz="8" w:space="0" w:color="auto"/>
            </w:tcBorders>
            <w:shd w:val="clear" w:color="auto" w:fill="auto"/>
            <w:noWrap/>
            <w:hideMark/>
          </w:tcPr>
          <w:p w14:paraId="2ACAC97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4" w:space="0" w:color="auto"/>
            </w:tcBorders>
            <w:shd w:val="clear" w:color="auto" w:fill="auto"/>
            <w:noWrap/>
            <w:hideMark/>
          </w:tcPr>
          <w:p w14:paraId="40A064E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8" w:space="0" w:color="auto"/>
            </w:tcBorders>
            <w:shd w:val="clear" w:color="auto" w:fill="auto"/>
            <w:noWrap/>
            <w:hideMark/>
          </w:tcPr>
          <w:p w14:paraId="644BB70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r>
      <w:tr w:rsidR="00302E25" w:rsidRPr="00302E25" w14:paraId="41903A98"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08532E7C"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7A2AFE38"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Mid</w:t>
            </w:r>
          </w:p>
        </w:tc>
        <w:tc>
          <w:tcPr>
            <w:tcW w:w="597" w:type="pct"/>
            <w:tcBorders>
              <w:top w:val="nil"/>
              <w:left w:val="nil"/>
              <w:bottom w:val="single" w:sz="4" w:space="0" w:color="auto"/>
              <w:right w:val="single" w:sz="4" w:space="0" w:color="auto"/>
            </w:tcBorders>
            <w:shd w:val="clear" w:color="auto" w:fill="auto"/>
            <w:noWrap/>
            <w:hideMark/>
          </w:tcPr>
          <w:p w14:paraId="5E67ACD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62%</w:t>
            </w:r>
          </w:p>
        </w:tc>
        <w:tc>
          <w:tcPr>
            <w:tcW w:w="597" w:type="pct"/>
            <w:tcBorders>
              <w:top w:val="nil"/>
              <w:left w:val="nil"/>
              <w:bottom w:val="single" w:sz="4" w:space="0" w:color="auto"/>
              <w:right w:val="single" w:sz="8" w:space="0" w:color="auto"/>
            </w:tcBorders>
            <w:shd w:val="clear" w:color="auto" w:fill="auto"/>
            <w:noWrap/>
            <w:hideMark/>
          </w:tcPr>
          <w:p w14:paraId="4A5FAAA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59%</w:t>
            </w:r>
          </w:p>
        </w:tc>
        <w:tc>
          <w:tcPr>
            <w:tcW w:w="597" w:type="pct"/>
            <w:tcBorders>
              <w:top w:val="nil"/>
              <w:left w:val="nil"/>
              <w:bottom w:val="single" w:sz="4" w:space="0" w:color="auto"/>
              <w:right w:val="single" w:sz="4" w:space="0" w:color="auto"/>
            </w:tcBorders>
            <w:shd w:val="clear" w:color="auto" w:fill="auto"/>
            <w:noWrap/>
            <w:hideMark/>
          </w:tcPr>
          <w:p w14:paraId="5323632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57%</w:t>
            </w:r>
          </w:p>
        </w:tc>
        <w:tc>
          <w:tcPr>
            <w:tcW w:w="597" w:type="pct"/>
            <w:tcBorders>
              <w:top w:val="nil"/>
              <w:left w:val="nil"/>
              <w:bottom w:val="single" w:sz="4" w:space="0" w:color="auto"/>
              <w:right w:val="single" w:sz="8" w:space="0" w:color="auto"/>
            </w:tcBorders>
            <w:shd w:val="clear" w:color="auto" w:fill="auto"/>
            <w:noWrap/>
            <w:hideMark/>
          </w:tcPr>
          <w:p w14:paraId="0F9F7A68"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60%</w:t>
            </w:r>
          </w:p>
        </w:tc>
        <w:tc>
          <w:tcPr>
            <w:tcW w:w="597" w:type="pct"/>
            <w:tcBorders>
              <w:top w:val="nil"/>
              <w:left w:val="nil"/>
              <w:bottom w:val="single" w:sz="4" w:space="0" w:color="auto"/>
              <w:right w:val="single" w:sz="4" w:space="0" w:color="auto"/>
            </w:tcBorders>
            <w:shd w:val="clear" w:color="auto" w:fill="auto"/>
            <w:noWrap/>
            <w:hideMark/>
          </w:tcPr>
          <w:p w14:paraId="742793D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59%</w:t>
            </w:r>
          </w:p>
        </w:tc>
        <w:tc>
          <w:tcPr>
            <w:tcW w:w="597" w:type="pct"/>
            <w:tcBorders>
              <w:top w:val="nil"/>
              <w:left w:val="nil"/>
              <w:bottom w:val="single" w:sz="4" w:space="0" w:color="auto"/>
              <w:right w:val="single" w:sz="8" w:space="0" w:color="auto"/>
            </w:tcBorders>
            <w:shd w:val="clear" w:color="auto" w:fill="auto"/>
            <w:noWrap/>
            <w:hideMark/>
          </w:tcPr>
          <w:p w14:paraId="2D5F717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59%</w:t>
            </w:r>
          </w:p>
        </w:tc>
      </w:tr>
      <w:tr w:rsidR="00302E25" w:rsidRPr="00302E25" w14:paraId="3A16A3F5"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5524AFAF"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7B74BDF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High</w:t>
            </w:r>
          </w:p>
        </w:tc>
        <w:tc>
          <w:tcPr>
            <w:tcW w:w="597" w:type="pct"/>
            <w:tcBorders>
              <w:top w:val="nil"/>
              <w:left w:val="nil"/>
              <w:bottom w:val="single" w:sz="4" w:space="0" w:color="auto"/>
              <w:right w:val="single" w:sz="4" w:space="0" w:color="auto"/>
            </w:tcBorders>
            <w:shd w:val="clear" w:color="auto" w:fill="auto"/>
            <w:noWrap/>
            <w:hideMark/>
          </w:tcPr>
          <w:p w14:paraId="48A7999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8" w:space="0" w:color="auto"/>
            </w:tcBorders>
            <w:shd w:val="clear" w:color="auto" w:fill="auto"/>
            <w:noWrap/>
            <w:hideMark/>
          </w:tcPr>
          <w:p w14:paraId="60BB59C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4" w:space="0" w:color="auto"/>
            </w:tcBorders>
            <w:shd w:val="clear" w:color="auto" w:fill="auto"/>
            <w:noWrap/>
            <w:hideMark/>
          </w:tcPr>
          <w:p w14:paraId="0E6FAB58"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8" w:space="0" w:color="auto"/>
            </w:tcBorders>
            <w:shd w:val="clear" w:color="auto" w:fill="auto"/>
            <w:noWrap/>
            <w:hideMark/>
          </w:tcPr>
          <w:p w14:paraId="6D0CFB1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4" w:space="0" w:color="auto"/>
            </w:tcBorders>
            <w:shd w:val="clear" w:color="auto" w:fill="auto"/>
            <w:noWrap/>
            <w:hideMark/>
          </w:tcPr>
          <w:p w14:paraId="2609EDC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21%</w:t>
            </w:r>
          </w:p>
        </w:tc>
        <w:tc>
          <w:tcPr>
            <w:tcW w:w="597" w:type="pct"/>
            <w:tcBorders>
              <w:top w:val="nil"/>
              <w:left w:val="nil"/>
              <w:bottom w:val="single" w:sz="4" w:space="0" w:color="auto"/>
              <w:right w:val="single" w:sz="8" w:space="0" w:color="auto"/>
            </w:tcBorders>
            <w:shd w:val="clear" w:color="auto" w:fill="auto"/>
            <w:noWrap/>
            <w:hideMark/>
          </w:tcPr>
          <w:p w14:paraId="65F31918"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21%</w:t>
            </w:r>
          </w:p>
        </w:tc>
      </w:tr>
      <w:tr w:rsidR="00302E25" w:rsidRPr="00302E25" w14:paraId="576825AE" w14:textId="77777777" w:rsidTr="003952F6">
        <w:trPr>
          <w:trHeight w:val="315"/>
        </w:trPr>
        <w:tc>
          <w:tcPr>
            <w:tcW w:w="645" w:type="pct"/>
            <w:tcBorders>
              <w:top w:val="nil"/>
              <w:left w:val="single" w:sz="8" w:space="0" w:color="auto"/>
              <w:bottom w:val="single" w:sz="8" w:space="0" w:color="auto"/>
              <w:right w:val="single" w:sz="4" w:space="0" w:color="auto"/>
            </w:tcBorders>
            <w:shd w:val="clear" w:color="000000" w:fill="DDEBF7"/>
            <w:noWrap/>
            <w:vAlign w:val="bottom"/>
            <w:hideMark/>
          </w:tcPr>
          <w:p w14:paraId="119CB99C"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Child health</w:t>
            </w:r>
          </w:p>
        </w:tc>
        <w:tc>
          <w:tcPr>
            <w:tcW w:w="771" w:type="pct"/>
            <w:tcBorders>
              <w:top w:val="nil"/>
              <w:left w:val="nil"/>
              <w:bottom w:val="single" w:sz="8" w:space="0" w:color="auto"/>
              <w:right w:val="single" w:sz="8" w:space="0" w:color="auto"/>
            </w:tcBorders>
            <w:shd w:val="clear" w:color="000000" w:fill="DDEBF7"/>
            <w:noWrap/>
            <w:vAlign w:val="bottom"/>
            <w:hideMark/>
          </w:tcPr>
          <w:p w14:paraId="448953B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Poor</w:t>
            </w:r>
          </w:p>
        </w:tc>
        <w:tc>
          <w:tcPr>
            <w:tcW w:w="597" w:type="pct"/>
            <w:tcBorders>
              <w:top w:val="nil"/>
              <w:left w:val="nil"/>
              <w:bottom w:val="single" w:sz="8" w:space="0" w:color="auto"/>
              <w:right w:val="single" w:sz="4" w:space="0" w:color="auto"/>
            </w:tcBorders>
            <w:shd w:val="clear" w:color="auto" w:fill="auto"/>
            <w:noWrap/>
            <w:hideMark/>
          </w:tcPr>
          <w:p w14:paraId="635D563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13%</w:t>
            </w:r>
          </w:p>
        </w:tc>
        <w:tc>
          <w:tcPr>
            <w:tcW w:w="597" w:type="pct"/>
            <w:tcBorders>
              <w:top w:val="nil"/>
              <w:left w:val="nil"/>
              <w:bottom w:val="single" w:sz="8" w:space="0" w:color="auto"/>
              <w:right w:val="single" w:sz="8" w:space="0" w:color="auto"/>
            </w:tcBorders>
            <w:shd w:val="clear" w:color="auto" w:fill="auto"/>
            <w:noWrap/>
            <w:hideMark/>
          </w:tcPr>
          <w:p w14:paraId="0EC25C4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13%</w:t>
            </w:r>
          </w:p>
        </w:tc>
        <w:tc>
          <w:tcPr>
            <w:tcW w:w="597" w:type="pct"/>
            <w:tcBorders>
              <w:top w:val="nil"/>
              <w:left w:val="nil"/>
              <w:bottom w:val="single" w:sz="8" w:space="0" w:color="auto"/>
              <w:right w:val="single" w:sz="4" w:space="0" w:color="auto"/>
            </w:tcBorders>
            <w:shd w:val="clear" w:color="auto" w:fill="auto"/>
            <w:noWrap/>
            <w:hideMark/>
          </w:tcPr>
          <w:p w14:paraId="515B85E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13%</w:t>
            </w:r>
          </w:p>
        </w:tc>
        <w:tc>
          <w:tcPr>
            <w:tcW w:w="597" w:type="pct"/>
            <w:tcBorders>
              <w:top w:val="nil"/>
              <w:left w:val="nil"/>
              <w:bottom w:val="single" w:sz="8" w:space="0" w:color="auto"/>
              <w:right w:val="single" w:sz="8" w:space="0" w:color="auto"/>
            </w:tcBorders>
            <w:shd w:val="clear" w:color="auto" w:fill="auto"/>
            <w:noWrap/>
            <w:hideMark/>
          </w:tcPr>
          <w:p w14:paraId="3F2DEFC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13%</w:t>
            </w:r>
          </w:p>
        </w:tc>
        <w:tc>
          <w:tcPr>
            <w:tcW w:w="597" w:type="pct"/>
            <w:tcBorders>
              <w:top w:val="nil"/>
              <w:left w:val="nil"/>
              <w:bottom w:val="single" w:sz="8" w:space="0" w:color="auto"/>
              <w:right w:val="single" w:sz="4" w:space="0" w:color="auto"/>
            </w:tcBorders>
            <w:shd w:val="clear" w:color="auto" w:fill="auto"/>
            <w:noWrap/>
            <w:hideMark/>
          </w:tcPr>
          <w:p w14:paraId="60536EF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8%</w:t>
            </w:r>
          </w:p>
        </w:tc>
        <w:tc>
          <w:tcPr>
            <w:tcW w:w="597" w:type="pct"/>
            <w:tcBorders>
              <w:top w:val="nil"/>
              <w:left w:val="nil"/>
              <w:bottom w:val="single" w:sz="8" w:space="0" w:color="auto"/>
              <w:right w:val="single" w:sz="8" w:space="0" w:color="auto"/>
            </w:tcBorders>
            <w:shd w:val="clear" w:color="auto" w:fill="auto"/>
            <w:noWrap/>
            <w:hideMark/>
          </w:tcPr>
          <w:p w14:paraId="7BD5E2B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8%</w:t>
            </w:r>
          </w:p>
        </w:tc>
      </w:tr>
    </w:tbl>
    <w:p w14:paraId="517A66E4" w14:textId="77777777" w:rsidR="00AA385D" w:rsidRDefault="00AA385D" w:rsidP="00AA385D">
      <w:pPr>
        <w:rPr>
          <w:b/>
          <w:lang w:val="en-US"/>
        </w:rPr>
      </w:pPr>
    </w:p>
    <w:p w14:paraId="5FCA1B22" w14:textId="77777777" w:rsidR="00AA385D" w:rsidRDefault="00AA385D" w:rsidP="00AA385D">
      <w:pPr>
        <w:rPr>
          <w:b/>
          <w:lang w:val="en-US"/>
        </w:rPr>
      </w:pPr>
    </w:p>
    <w:p w14:paraId="677FCD2D" w14:textId="77777777" w:rsidR="00AA385D" w:rsidRDefault="00AA385D" w:rsidP="00AA385D">
      <w:pPr>
        <w:rPr>
          <w:b/>
          <w:lang w:val="en-US"/>
        </w:rPr>
      </w:pPr>
    </w:p>
    <w:p w14:paraId="2CEF31C8" w14:textId="77777777" w:rsidR="00AA385D" w:rsidRDefault="00AA385D" w:rsidP="00AA385D">
      <w:pPr>
        <w:rPr>
          <w:b/>
          <w:lang w:val="en-US"/>
        </w:rPr>
      </w:pPr>
    </w:p>
    <w:p w14:paraId="6F5597DA" w14:textId="77777777" w:rsidR="00AA385D" w:rsidRDefault="00AA385D" w:rsidP="00AA385D">
      <w:pPr>
        <w:rPr>
          <w:b/>
          <w:lang w:val="en-US"/>
        </w:rPr>
      </w:pPr>
    </w:p>
    <w:p w14:paraId="41AF6A00" w14:textId="77777777" w:rsidR="00AA385D" w:rsidRDefault="00AA385D" w:rsidP="00AA385D">
      <w:pPr>
        <w:rPr>
          <w:b/>
          <w:lang w:val="en-US"/>
        </w:rPr>
      </w:pPr>
    </w:p>
    <w:p w14:paraId="018259BF" w14:textId="77777777" w:rsidR="00AA385D" w:rsidRDefault="00AA385D" w:rsidP="00AA385D">
      <w:pPr>
        <w:rPr>
          <w:b/>
          <w:lang w:val="en-US"/>
        </w:rPr>
      </w:pPr>
    </w:p>
    <w:p w14:paraId="00B99C67" w14:textId="77777777" w:rsidR="00FC6E3C" w:rsidRDefault="00FC6E3C" w:rsidP="00AA385D">
      <w:pPr>
        <w:rPr>
          <w:b/>
          <w:lang w:val="en-US"/>
        </w:rPr>
      </w:pPr>
    </w:p>
    <w:p w14:paraId="6BB1CEBE" w14:textId="77777777" w:rsidR="00AA385D" w:rsidRDefault="00AA385D" w:rsidP="00AA385D">
      <w:pPr>
        <w:rPr>
          <w:b/>
          <w:lang w:val="en-US"/>
        </w:rPr>
      </w:pPr>
    </w:p>
    <w:p w14:paraId="1F5544A0" w14:textId="77777777" w:rsidR="00AA385D" w:rsidRDefault="00AA385D" w:rsidP="00AA385D">
      <w:pPr>
        <w:rPr>
          <w:b/>
          <w:lang w:val="en-US"/>
        </w:rPr>
      </w:pPr>
    </w:p>
    <w:tbl>
      <w:tblPr>
        <w:tblW w:w="5000" w:type="pct"/>
        <w:tblCellMar>
          <w:left w:w="70" w:type="dxa"/>
          <w:right w:w="70" w:type="dxa"/>
        </w:tblCellMar>
        <w:tblLook w:val="04A0" w:firstRow="1" w:lastRow="0" w:firstColumn="1" w:lastColumn="0" w:noHBand="0" w:noVBand="1"/>
      </w:tblPr>
      <w:tblGrid>
        <w:gridCol w:w="1338"/>
        <w:gridCol w:w="1371"/>
        <w:gridCol w:w="1056"/>
        <w:gridCol w:w="1058"/>
        <w:gridCol w:w="1056"/>
        <w:gridCol w:w="1059"/>
        <w:gridCol w:w="1057"/>
        <w:gridCol w:w="1057"/>
      </w:tblGrid>
      <w:tr w:rsidR="00302E25" w:rsidRPr="00302E25" w14:paraId="2B79E75D" w14:textId="77777777" w:rsidTr="003952F6">
        <w:trPr>
          <w:trHeight w:val="300"/>
        </w:trPr>
        <w:tc>
          <w:tcPr>
            <w:tcW w:w="1416" w:type="pct"/>
            <w:gridSpan w:val="2"/>
            <w:vMerge w:val="restart"/>
            <w:tcBorders>
              <w:top w:val="single" w:sz="8" w:space="0" w:color="auto"/>
              <w:left w:val="single" w:sz="8" w:space="0" w:color="auto"/>
              <w:bottom w:val="single" w:sz="4" w:space="0" w:color="auto"/>
              <w:right w:val="single" w:sz="8" w:space="0" w:color="000000"/>
            </w:tcBorders>
            <w:shd w:val="clear" w:color="000000" w:fill="DDEBF7"/>
            <w:noWrap/>
            <w:vAlign w:val="bottom"/>
            <w:hideMark/>
          </w:tcPr>
          <w:p w14:paraId="25366127"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Variables</w:t>
            </w:r>
          </w:p>
        </w:tc>
        <w:tc>
          <w:tcPr>
            <w:tcW w:w="1195" w:type="pct"/>
            <w:gridSpan w:val="2"/>
            <w:tcBorders>
              <w:top w:val="single" w:sz="8" w:space="0" w:color="auto"/>
              <w:left w:val="nil"/>
              <w:bottom w:val="single" w:sz="4" w:space="0" w:color="auto"/>
              <w:right w:val="single" w:sz="8" w:space="0" w:color="000000"/>
            </w:tcBorders>
            <w:shd w:val="clear" w:color="000000" w:fill="BFBFBF"/>
            <w:noWrap/>
            <w:hideMark/>
          </w:tcPr>
          <w:p w14:paraId="3239E365"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Netherlands</w:t>
            </w:r>
          </w:p>
        </w:tc>
        <w:tc>
          <w:tcPr>
            <w:tcW w:w="1195" w:type="pct"/>
            <w:gridSpan w:val="2"/>
            <w:tcBorders>
              <w:top w:val="single" w:sz="8" w:space="0" w:color="auto"/>
              <w:left w:val="nil"/>
              <w:bottom w:val="single" w:sz="4" w:space="0" w:color="auto"/>
              <w:right w:val="single" w:sz="8" w:space="0" w:color="000000"/>
            </w:tcBorders>
            <w:shd w:val="clear" w:color="000000" w:fill="BFBFBF"/>
            <w:noWrap/>
            <w:hideMark/>
          </w:tcPr>
          <w:p w14:paraId="71D56571"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Spain</w:t>
            </w:r>
          </w:p>
        </w:tc>
        <w:tc>
          <w:tcPr>
            <w:tcW w:w="1195" w:type="pct"/>
            <w:gridSpan w:val="2"/>
            <w:tcBorders>
              <w:top w:val="single" w:sz="8" w:space="0" w:color="auto"/>
              <w:left w:val="nil"/>
              <w:bottom w:val="single" w:sz="4" w:space="0" w:color="auto"/>
              <w:right w:val="single" w:sz="8" w:space="0" w:color="000000"/>
            </w:tcBorders>
            <w:shd w:val="clear" w:color="000000" w:fill="BFBFBF"/>
            <w:noWrap/>
            <w:hideMark/>
          </w:tcPr>
          <w:p w14:paraId="22A19265"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Italy</w:t>
            </w:r>
          </w:p>
        </w:tc>
      </w:tr>
      <w:tr w:rsidR="00302E25" w:rsidRPr="00302E25" w14:paraId="2A0A36B5" w14:textId="77777777" w:rsidTr="003952F6">
        <w:trPr>
          <w:trHeight w:val="300"/>
        </w:trPr>
        <w:tc>
          <w:tcPr>
            <w:tcW w:w="1416" w:type="pct"/>
            <w:gridSpan w:val="2"/>
            <w:vMerge/>
            <w:tcBorders>
              <w:top w:val="single" w:sz="8" w:space="0" w:color="auto"/>
              <w:left w:val="single" w:sz="8" w:space="0" w:color="auto"/>
              <w:bottom w:val="single" w:sz="4" w:space="0" w:color="auto"/>
              <w:right w:val="single" w:sz="8" w:space="0" w:color="000000"/>
            </w:tcBorders>
            <w:vAlign w:val="center"/>
            <w:hideMark/>
          </w:tcPr>
          <w:p w14:paraId="7EAD96E0" w14:textId="77777777" w:rsidR="00302E25" w:rsidRPr="00302E25" w:rsidRDefault="00302E25" w:rsidP="00302E25">
            <w:pPr>
              <w:spacing w:after="0" w:line="240" w:lineRule="auto"/>
              <w:rPr>
                <w:rFonts w:eastAsia="Times New Roman"/>
                <w:b/>
                <w:bCs/>
                <w:color w:val="000000"/>
                <w:lang w:eastAsia="nl-NL"/>
              </w:rPr>
            </w:pPr>
          </w:p>
        </w:tc>
        <w:tc>
          <w:tcPr>
            <w:tcW w:w="597" w:type="pct"/>
            <w:tcBorders>
              <w:top w:val="nil"/>
              <w:left w:val="nil"/>
              <w:bottom w:val="single" w:sz="4" w:space="0" w:color="auto"/>
              <w:right w:val="single" w:sz="4" w:space="0" w:color="auto"/>
            </w:tcBorders>
            <w:shd w:val="clear" w:color="000000" w:fill="BFBFBF"/>
            <w:noWrap/>
            <w:vAlign w:val="bottom"/>
            <w:hideMark/>
          </w:tcPr>
          <w:p w14:paraId="64820323"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2004</w:t>
            </w:r>
          </w:p>
        </w:tc>
        <w:tc>
          <w:tcPr>
            <w:tcW w:w="597" w:type="pct"/>
            <w:tcBorders>
              <w:top w:val="nil"/>
              <w:left w:val="nil"/>
              <w:bottom w:val="single" w:sz="4" w:space="0" w:color="auto"/>
              <w:right w:val="single" w:sz="8" w:space="0" w:color="auto"/>
            </w:tcBorders>
            <w:shd w:val="clear" w:color="000000" w:fill="BFBFBF"/>
            <w:noWrap/>
            <w:vAlign w:val="bottom"/>
            <w:hideMark/>
          </w:tcPr>
          <w:p w14:paraId="6ABF47FA"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2010</w:t>
            </w:r>
          </w:p>
        </w:tc>
        <w:tc>
          <w:tcPr>
            <w:tcW w:w="597" w:type="pct"/>
            <w:tcBorders>
              <w:top w:val="nil"/>
              <w:left w:val="nil"/>
              <w:bottom w:val="single" w:sz="4" w:space="0" w:color="auto"/>
              <w:right w:val="single" w:sz="4" w:space="0" w:color="auto"/>
            </w:tcBorders>
            <w:shd w:val="clear" w:color="000000" w:fill="BFBFBF"/>
            <w:noWrap/>
            <w:vAlign w:val="bottom"/>
            <w:hideMark/>
          </w:tcPr>
          <w:p w14:paraId="47394219"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2004</w:t>
            </w:r>
          </w:p>
        </w:tc>
        <w:tc>
          <w:tcPr>
            <w:tcW w:w="597" w:type="pct"/>
            <w:tcBorders>
              <w:top w:val="nil"/>
              <w:left w:val="nil"/>
              <w:bottom w:val="single" w:sz="4" w:space="0" w:color="auto"/>
              <w:right w:val="single" w:sz="8" w:space="0" w:color="auto"/>
            </w:tcBorders>
            <w:shd w:val="clear" w:color="000000" w:fill="BFBFBF"/>
            <w:noWrap/>
            <w:vAlign w:val="bottom"/>
            <w:hideMark/>
          </w:tcPr>
          <w:p w14:paraId="7AA991B8"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2010</w:t>
            </w:r>
          </w:p>
        </w:tc>
        <w:tc>
          <w:tcPr>
            <w:tcW w:w="597" w:type="pct"/>
            <w:tcBorders>
              <w:top w:val="nil"/>
              <w:left w:val="nil"/>
              <w:bottom w:val="single" w:sz="4" w:space="0" w:color="auto"/>
              <w:right w:val="single" w:sz="4" w:space="0" w:color="auto"/>
            </w:tcBorders>
            <w:shd w:val="clear" w:color="000000" w:fill="BFBFBF"/>
            <w:noWrap/>
            <w:vAlign w:val="bottom"/>
            <w:hideMark/>
          </w:tcPr>
          <w:p w14:paraId="56483B79"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2004</w:t>
            </w:r>
          </w:p>
        </w:tc>
        <w:tc>
          <w:tcPr>
            <w:tcW w:w="597" w:type="pct"/>
            <w:tcBorders>
              <w:top w:val="nil"/>
              <w:left w:val="nil"/>
              <w:bottom w:val="single" w:sz="4" w:space="0" w:color="auto"/>
              <w:right w:val="single" w:sz="8" w:space="0" w:color="auto"/>
            </w:tcBorders>
            <w:shd w:val="clear" w:color="000000" w:fill="BFBFBF"/>
            <w:noWrap/>
            <w:vAlign w:val="bottom"/>
            <w:hideMark/>
          </w:tcPr>
          <w:p w14:paraId="2C1E8612"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2010</w:t>
            </w:r>
          </w:p>
        </w:tc>
      </w:tr>
      <w:tr w:rsidR="00302E25" w:rsidRPr="00302E25" w14:paraId="4E9F4ABE" w14:textId="77777777" w:rsidTr="003952F6">
        <w:trPr>
          <w:trHeight w:val="300"/>
        </w:trPr>
        <w:tc>
          <w:tcPr>
            <w:tcW w:w="645" w:type="pct"/>
            <w:tcBorders>
              <w:top w:val="nil"/>
              <w:left w:val="single" w:sz="8" w:space="0" w:color="auto"/>
              <w:bottom w:val="single" w:sz="4" w:space="0" w:color="auto"/>
              <w:right w:val="single" w:sz="4" w:space="0" w:color="auto"/>
            </w:tcBorders>
            <w:shd w:val="clear" w:color="000000" w:fill="DDEBF7"/>
            <w:noWrap/>
            <w:vAlign w:val="bottom"/>
            <w:hideMark/>
          </w:tcPr>
          <w:p w14:paraId="64E1933F"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Gender</w:t>
            </w:r>
          </w:p>
        </w:tc>
        <w:tc>
          <w:tcPr>
            <w:tcW w:w="771" w:type="pct"/>
            <w:tcBorders>
              <w:top w:val="nil"/>
              <w:left w:val="nil"/>
              <w:bottom w:val="single" w:sz="4" w:space="0" w:color="auto"/>
              <w:right w:val="single" w:sz="8" w:space="0" w:color="auto"/>
            </w:tcBorders>
            <w:shd w:val="clear" w:color="000000" w:fill="DDEBF7"/>
            <w:noWrap/>
            <w:vAlign w:val="bottom"/>
            <w:hideMark/>
          </w:tcPr>
          <w:p w14:paraId="3CDABB6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Female</w:t>
            </w:r>
          </w:p>
        </w:tc>
        <w:tc>
          <w:tcPr>
            <w:tcW w:w="597" w:type="pct"/>
            <w:tcBorders>
              <w:top w:val="nil"/>
              <w:left w:val="nil"/>
              <w:bottom w:val="single" w:sz="4" w:space="0" w:color="auto"/>
              <w:right w:val="single" w:sz="4" w:space="0" w:color="auto"/>
            </w:tcBorders>
            <w:shd w:val="clear" w:color="auto" w:fill="auto"/>
            <w:noWrap/>
            <w:hideMark/>
          </w:tcPr>
          <w:p w14:paraId="2E53CD8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56%</w:t>
            </w:r>
          </w:p>
        </w:tc>
        <w:tc>
          <w:tcPr>
            <w:tcW w:w="597" w:type="pct"/>
            <w:tcBorders>
              <w:top w:val="nil"/>
              <w:left w:val="nil"/>
              <w:bottom w:val="single" w:sz="4" w:space="0" w:color="auto"/>
              <w:right w:val="single" w:sz="8" w:space="0" w:color="auto"/>
            </w:tcBorders>
            <w:shd w:val="clear" w:color="auto" w:fill="auto"/>
            <w:noWrap/>
            <w:hideMark/>
          </w:tcPr>
          <w:p w14:paraId="6001C5C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56%</w:t>
            </w:r>
          </w:p>
        </w:tc>
        <w:tc>
          <w:tcPr>
            <w:tcW w:w="597" w:type="pct"/>
            <w:tcBorders>
              <w:top w:val="nil"/>
              <w:left w:val="nil"/>
              <w:bottom w:val="single" w:sz="4" w:space="0" w:color="auto"/>
              <w:right w:val="single" w:sz="4" w:space="0" w:color="auto"/>
            </w:tcBorders>
            <w:shd w:val="clear" w:color="auto" w:fill="auto"/>
            <w:noWrap/>
            <w:hideMark/>
          </w:tcPr>
          <w:p w14:paraId="3F0E6E6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57%</w:t>
            </w:r>
          </w:p>
        </w:tc>
        <w:tc>
          <w:tcPr>
            <w:tcW w:w="597" w:type="pct"/>
            <w:tcBorders>
              <w:top w:val="nil"/>
              <w:left w:val="nil"/>
              <w:bottom w:val="single" w:sz="4" w:space="0" w:color="auto"/>
              <w:right w:val="single" w:sz="8" w:space="0" w:color="auto"/>
            </w:tcBorders>
            <w:shd w:val="clear" w:color="auto" w:fill="auto"/>
            <w:noWrap/>
            <w:hideMark/>
          </w:tcPr>
          <w:p w14:paraId="27ADC42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57%</w:t>
            </w:r>
          </w:p>
        </w:tc>
        <w:tc>
          <w:tcPr>
            <w:tcW w:w="597" w:type="pct"/>
            <w:tcBorders>
              <w:top w:val="nil"/>
              <w:left w:val="nil"/>
              <w:bottom w:val="single" w:sz="4" w:space="0" w:color="auto"/>
              <w:right w:val="single" w:sz="4" w:space="0" w:color="auto"/>
            </w:tcBorders>
            <w:shd w:val="clear" w:color="auto" w:fill="auto"/>
            <w:noWrap/>
            <w:hideMark/>
          </w:tcPr>
          <w:p w14:paraId="504ACD2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56%</w:t>
            </w:r>
          </w:p>
        </w:tc>
        <w:tc>
          <w:tcPr>
            <w:tcW w:w="597" w:type="pct"/>
            <w:tcBorders>
              <w:top w:val="nil"/>
              <w:left w:val="nil"/>
              <w:bottom w:val="single" w:sz="4" w:space="0" w:color="auto"/>
              <w:right w:val="single" w:sz="8" w:space="0" w:color="auto"/>
            </w:tcBorders>
            <w:shd w:val="clear" w:color="auto" w:fill="auto"/>
            <w:noWrap/>
            <w:hideMark/>
          </w:tcPr>
          <w:p w14:paraId="60AC575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56%</w:t>
            </w:r>
          </w:p>
        </w:tc>
      </w:tr>
      <w:tr w:rsidR="00302E25" w:rsidRPr="00302E25" w14:paraId="450BA24F" w14:textId="77777777" w:rsidTr="003952F6">
        <w:trPr>
          <w:trHeight w:val="300"/>
        </w:trPr>
        <w:tc>
          <w:tcPr>
            <w:tcW w:w="645" w:type="pct"/>
            <w:vMerge w:val="restart"/>
            <w:tcBorders>
              <w:top w:val="nil"/>
              <w:left w:val="single" w:sz="8" w:space="0" w:color="auto"/>
              <w:bottom w:val="single" w:sz="4" w:space="0" w:color="auto"/>
              <w:right w:val="single" w:sz="4" w:space="0" w:color="auto"/>
            </w:tcBorders>
            <w:shd w:val="clear" w:color="000000" w:fill="DDEBF7"/>
            <w:noWrap/>
            <w:vAlign w:val="center"/>
            <w:hideMark/>
          </w:tcPr>
          <w:p w14:paraId="50034652"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Age</w:t>
            </w:r>
          </w:p>
        </w:tc>
        <w:tc>
          <w:tcPr>
            <w:tcW w:w="771" w:type="pct"/>
            <w:tcBorders>
              <w:top w:val="nil"/>
              <w:left w:val="nil"/>
              <w:bottom w:val="single" w:sz="4" w:space="0" w:color="auto"/>
              <w:right w:val="single" w:sz="8" w:space="0" w:color="auto"/>
            </w:tcBorders>
            <w:shd w:val="clear" w:color="000000" w:fill="DDEBF7"/>
            <w:noWrap/>
            <w:vAlign w:val="bottom"/>
            <w:hideMark/>
          </w:tcPr>
          <w:p w14:paraId="28AD95D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Group 1</w:t>
            </w:r>
          </w:p>
        </w:tc>
        <w:tc>
          <w:tcPr>
            <w:tcW w:w="597" w:type="pct"/>
            <w:tcBorders>
              <w:top w:val="nil"/>
              <w:left w:val="nil"/>
              <w:bottom w:val="single" w:sz="4" w:space="0" w:color="auto"/>
              <w:right w:val="single" w:sz="4" w:space="0" w:color="auto"/>
            </w:tcBorders>
            <w:shd w:val="clear" w:color="auto" w:fill="auto"/>
            <w:noWrap/>
            <w:hideMark/>
          </w:tcPr>
          <w:p w14:paraId="265997E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67%</w:t>
            </w:r>
          </w:p>
        </w:tc>
        <w:tc>
          <w:tcPr>
            <w:tcW w:w="597" w:type="pct"/>
            <w:tcBorders>
              <w:top w:val="nil"/>
              <w:left w:val="nil"/>
              <w:bottom w:val="single" w:sz="4" w:space="0" w:color="auto"/>
              <w:right w:val="single" w:sz="8" w:space="0" w:color="auto"/>
            </w:tcBorders>
            <w:shd w:val="clear" w:color="auto" w:fill="auto"/>
            <w:noWrap/>
            <w:hideMark/>
          </w:tcPr>
          <w:p w14:paraId="5625EB2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67%</w:t>
            </w:r>
          </w:p>
        </w:tc>
        <w:tc>
          <w:tcPr>
            <w:tcW w:w="597" w:type="pct"/>
            <w:tcBorders>
              <w:top w:val="nil"/>
              <w:left w:val="nil"/>
              <w:bottom w:val="single" w:sz="4" w:space="0" w:color="auto"/>
              <w:right w:val="single" w:sz="4" w:space="0" w:color="auto"/>
            </w:tcBorders>
            <w:shd w:val="clear" w:color="auto" w:fill="auto"/>
            <w:noWrap/>
            <w:hideMark/>
          </w:tcPr>
          <w:p w14:paraId="07BB671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51%</w:t>
            </w:r>
          </w:p>
        </w:tc>
        <w:tc>
          <w:tcPr>
            <w:tcW w:w="597" w:type="pct"/>
            <w:tcBorders>
              <w:top w:val="nil"/>
              <w:left w:val="nil"/>
              <w:bottom w:val="single" w:sz="4" w:space="0" w:color="auto"/>
              <w:right w:val="single" w:sz="8" w:space="0" w:color="auto"/>
            </w:tcBorders>
            <w:shd w:val="clear" w:color="auto" w:fill="auto"/>
            <w:noWrap/>
            <w:hideMark/>
          </w:tcPr>
          <w:p w14:paraId="3B6F16C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51%</w:t>
            </w:r>
          </w:p>
        </w:tc>
        <w:tc>
          <w:tcPr>
            <w:tcW w:w="597" w:type="pct"/>
            <w:tcBorders>
              <w:top w:val="nil"/>
              <w:left w:val="nil"/>
              <w:bottom w:val="single" w:sz="4" w:space="0" w:color="auto"/>
              <w:right w:val="single" w:sz="4" w:space="0" w:color="auto"/>
            </w:tcBorders>
            <w:shd w:val="clear" w:color="auto" w:fill="auto"/>
            <w:noWrap/>
            <w:hideMark/>
          </w:tcPr>
          <w:p w14:paraId="2FCAA5D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62%</w:t>
            </w:r>
          </w:p>
        </w:tc>
        <w:tc>
          <w:tcPr>
            <w:tcW w:w="597" w:type="pct"/>
            <w:tcBorders>
              <w:top w:val="nil"/>
              <w:left w:val="nil"/>
              <w:bottom w:val="single" w:sz="4" w:space="0" w:color="auto"/>
              <w:right w:val="single" w:sz="8" w:space="0" w:color="auto"/>
            </w:tcBorders>
            <w:shd w:val="clear" w:color="auto" w:fill="auto"/>
            <w:noWrap/>
            <w:hideMark/>
          </w:tcPr>
          <w:p w14:paraId="0C48199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62%</w:t>
            </w:r>
          </w:p>
        </w:tc>
      </w:tr>
      <w:tr w:rsidR="00302E25" w:rsidRPr="00302E25" w14:paraId="1B7888F9"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6A5E775B"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4515C2E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Group 2</w:t>
            </w:r>
          </w:p>
        </w:tc>
        <w:tc>
          <w:tcPr>
            <w:tcW w:w="597" w:type="pct"/>
            <w:tcBorders>
              <w:top w:val="nil"/>
              <w:left w:val="nil"/>
              <w:bottom w:val="single" w:sz="4" w:space="0" w:color="auto"/>
              <w:right w:val="single" w:sz="4" w:space="0" w:color="auto"/>
            </w:tcBorders>
            <w:shd w:val="clear" w:color="auto" w:fill="auto"/>
            <w:noWrap/>
            <w:hideMark/>
          </w:tcPr>
          <w:p w14:paraId="6EE3513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24%</w:t>
            </w:r>
          </w:p>
        </w:tc>
        <w:tc>
          <w:tcPr>
            <w:tcW w:w="597" w:type="pct"/>
            <w:tcBorders>
              <w:top w:val="nil"/>
              <w:left w:val="nil"/>
              <w:bottom w:val="single" w:sz="4" w:space="0" w:color="auto"/>
              <w:right w:val="single" w:sz="8" w:space="0" w:color="auto"/>
            </w:tcBorders>
            <w:shd w:val="clear" w:color="auto" w:fill="auto"/>
            <w:noWrap/>
            <w:hideMark/>
          </w:tcPr>
          <w:p w14:paraId="21AF8C6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24%</w:t>
            </w:r>
          </w:p>
        </w:tc>
        <w:tc>
          <w:tcPr>
            <w:tcW w:w="597" w:type="pct"/>
            <w:tcBorders>
              <w:top w:val="nil"/>
              <w:left w:val="nil"/>
              <w:bottom w:val="single" w:sz="4" w:space="0" w:color="auto"/>
              <w:right w:val="single" w:sz="4" w:space="0" w:color="auto"/>
            </w:tcBorders>
            <w:shd w:val="clear" w:color="auto" w:fill="auto"/>
            <w:noWrap/>
            <w:hideMark/>
          </w:tcPr>
          <w:p w14:paraId="66A990E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35%</w:t>
            </w:r>
          </w:p>
        </w:tc>
        <w:tc>
          <w:tcPr>
            <w:tcW w:w="597" w:type="pct"/>
            <w:tcBorders>
              <w:top w:val="nil"/>
              <w:left w:val="nil"/>
              <w:bottom w:val="single" w:sz="4" w:space="0" w:color="auto"/>
              <w:right w:val="single" w:sz="8" w:space="0" w:color="auto"/>
            </w:tcBorders>
            <w:shd w:val="clear" w:color="auto" w:fill="auto"/>
            <w:noWrap/>
            <w:hideMark/>
          </w:tcPr>
          <w:p w14:paraId="1228A6B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35%</w:t>
            </w:r>
          </w:p>
        </w:tc>
        <w:tc>
          <w:tcPr>
            <w:tcW w:w="597" w:type="pct"/>
            <w:tcBorders>
              <w:top w:val="nil"/>
              <w:left w:val="nil"/>
              <w:bottom w:val="single" w:sz="4" w:space="0" w:color="auto"/>
              <w:right w:val="single" w:sz="4" w:space="0" w:color="auto"/>
            </w:tcBorders>
            <w:shd w:val="clear" w:color="auto" w:fill="auto"/>
            <w:noWrap/>
            <w:hideMark/>
          </w:tcPr>
          <w:p w14:paraId="3C90882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29%</w:t>
            </w:r>
          </w:p>
        </w:tc>
        <w:tc>
          <w:tcPr>
            <w:tcW w:w="597" w:type="pct"/>
            <w:tcBorders>
              <w:top w:val="nil"/>
              <w:left w:val="nil"/>
              <w:bottom w:val="single" w:sz="4" w:space="0" w:color="auto"/>
              <w:right w:val="single" w:sz="8" w:space="0" w:color="auto"/>
            </w:tcBorders>
            <w:shd w:val="clear" w:color="auto" w:fill="auto"/>
            <w:noWrap/>
            <w:hideMark/>
          </w:tcPr>
          <w:p w14:paraId="0FC5346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29%</w:t>
            </w:r>
          </w:p>
        </w:tc>
      </w:tr>
      <w:tr w:rsidR="00302E25" w:rsidRPr="00302E25" w14:paraId="45071E3C"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7A2B705A"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6F8219D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Group 3</w:t>
            </w:r>
          </w:p>
        </w:tc>
        <w:tc>
          <w:tcPr>
            <w:tcW w:w="597" w:type="pct"/>
            <w:tcBorders>
              <w:top w:val="nil"/>
              <w:left w:val="nil"/>
              <w:bottom w:val="single" w:sz="4" w:space="0" w:color="auto"/>
              <w:right w:val="single" w:sz="4" w:space="0" w:color="auto"/>
            </w:tcBorders>
            <w:shd w:val="clear" w:color="auto" w:fill="auto"/>
            <w:noWrap/>
            <w:hideMark/>
          </w:tcPr>
          <w:p w14:paraId="6D27262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9%</w:t>
            </w:r>
          </w:p>
        </w:tc>
        <w:tc>
          <w:tcPr>
            <w:tcW w:w="597" w:type="pct"/>
            <w:tcBorders>
              <w:top w:val="nil"/>
              <w:left w:val="nil"/>
              <w:bottom w:val="single" w:sz="4" w:space="0" w:color="auto"/>
              <w:right w:val="single" w:sz="8" w:space="0" w:color="auto"/>
            </w:tcBorders>
            <w:shd w:val="clear" w:color="auto" w:fill="auto"/>
            <w:noWrap/>
            <w:hideMark/>
          </w:tcPr>
          <w:p w14:paraId="11EF6B2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9%</w:t>
            </w:r>
          </w:p>
        </w:tc>
        <w:tc>
          <w:tcPr>
            <w:tcW w:w="597" w:type="pct"/>
            <w:tcBorders>
              <w:top w:val="nil"/>
              <w:left w:val="nil"/>
              <w:bottom w:val="single" w:sz="4" w:space="0" w:color="auto"/>
              <w:right w:val="single" w:sz="4" w:space="0" w:color="auto"/>
            </w:tcBorders>
            <w:shd w:val="clear" w:color="auto" w:fill="auto"/>
            <w:noWrap/>
            <w:hideMark/>
          </w:tcPr>
          <w:p w14:paraId="28EF826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14%</w:t>
            </w:r>
          </w:p>
        </w:tc>
        <w:tc>
          <w:tcPr>
            <w:tcW w:w="597" w:type="pct"/>
            <w:tcBorders>
              <w:top w:val="nil"/>
              <w:left w:val="nil"/>
              <w:bottom w:val="single" w:sz="4" w:space="0" w:color="auto"/>
              <w:right w:val="single" w:sz="8" w:space="0" w:color="auto"/>
            </w:tcBorders>
            <w:shd w:val="clear" w:color="auto" w:fill="auto"/>
            <w:noWrap/>
            <w:hideMark/>
          </w:tcPr>
          <w:p w14:paraId="076B6AB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14%</w:t>
            </w:r>
          </w:p>
        </w:tc>
        <w:tc>
          <w:tcPr>
            <w:tcW w:w="597" w:type="pct"/>
            <w:tcBorders>
              <w:top w:val="nil"/>
              <w:left w:val="nil"/>
              <w:bottom w:val="single" w:sz="4" w:space="0" w:color="auto"/>
              <w:right w:val="single" w:sz="4" w:space="0" w:color="auto"/>
            </w:tcBorders>
            <w:shd w:val="clear" w:color="auto" w:fill="auto"/>
            <w:noWrap/>
            <w:hideMark/>
          </w:tcPr>
          <w:p w14:paraId="3EE99D2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9%</w:t>
            </w:r>
          </w:p>
        </w:tc>
        <w:tc>
          <w:tcPr>
            <w:tcW w:w="597" w:type="pct"/>
            <w:tcBorders>
              <w:top w:val="nil"/>
              <w:left w:val="nil"/>
              <w:bottom w:val="single" w:sz="4" w:space="0" w:color="auto"/>
              <w:right w:val="single" w:sz="8" w:space="0" w:color="auto"/>
            </w:tcBorders>
            <w:shd w:val="clear" w:color="auto" w:fill="auto"/>
            <w:noWrap/>
            <w:hideMark/>
          </w:tcPr>
          <w:p w14:paraId="233F0DF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9%</w:t>
            </w:r>
          </w:p>
        </w:tc>
      </w:tr>
      <w:tr w:rsidR="00302E25" w:rsidRPr="00302E25" w14:paraId="571AD1F5" w14:textId="77777777" w:rsidTr="003952F6">
        <w:trPr>
          <w:trHeight w:val="300"/>
        </w:trPr>
        <w:tc>
          <w:tcPr>
            <w:tcW w:w="645" w:type="pct"/>
            <w:vMerge w:val="restart"/>
            <w:tcBorders>
              <w:top w:val="nil"/>
              <w:left w:val="single" w:sz="8" w:space="0" w:color="auto"/>
              <w:bottom w:val="single" w:sz="4" w:space="0" w:color="auto"/>
              <w:right w:val="single" w:sz="4" w:space="0" w:color="auto"/>
            </w:tcBorders>
            <w:shd w:val="clear" w:color="000000" w:fill="DDEBF7"/>
            <w:noWrap/>
            <w:vAlign w:val="center"/>
            <w:hideMark/>
          </w:tcPr>
          <w:p w14:paraId="3D1FC069"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ISCED</w:t>
            </w:r>
          </w:p>
        </w:tc>
        <w:tc>
          <w:tcPr>
            <w:tcW w:w="771" w:type="pct"/>
            <w:tcBorders>
              <w:top w:val="nil"/>
              <w:left w:val="nil"/>
              <w:bottom w:val="single" w:sz="4" w:space="0" w:color="auto"/>
              <w:right w:val="single" w:sz="8" w:space="0" w:color="auto"/>
            </w:tcBorders>
            <w:shd w:val="clear" w:color="000000" w:fill="DDEBF7"/>
            <w:noWrap/>
            <w:vAlign w:val="bottom"/>
            <w:hideMark/>
          </w:tcPr>
          <w:p w14:paraId="0625431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Low</w:t>
            </w:r>
          </w:p>
        </w:tc>
        <w:tc>
          <w:tcPr>
            <w:tcW w:w="597" w:type="pct"/>
            <w:tcBorders>
              <w:top w:val="nil"/>
              <w:left w:val="nil"/>
              <w:bottom w:val="single" w:sz="4" w:space="0" w:color="auto"/>
              <w:right w:val="single" w:sz="4" w:space="0" w:color="auto"/>
            </w:tcBorders>
            <w:shd w:val="clear" w:color="auto" w:fill="auto"/>
            <w:noWrap/>
            <w:hideMark/>
          </w:tcPr>
          <w:p w14:paraId="5E8C16C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49%</w:t>
            </w:r>
          </w:p>
        </w:tc>
        <w:tc>
          <w:tcPr>
            <w:tcW w:w="597" w:type="pct"/>
            <w:tcBorders>
              <w:top w:val="nil"/>
              <w:left w:val="nil"/>
              <w:bottom w:val="single" w:sz="4" w:space="0" w:color="auto"/>
              <w:right w:val="single" w:sz="8" w:space="0" w:color="auto"/>
            </w:tcBorders>
            <w:shd w:val="clear" w:color="auto" w:fill="auto"/>
            <w:noWrap/>
            <w:hideMark/>
          </w:tcPr>
          <w:p w14:paraId="3F53DF4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49%</w:t>
            </w:r>
          </w:p>
        </w:tc>
        <w:tc>
          <w:tcPr>
            <w:tcW w:w="597" w:type="pct"/>
            <w:tcBorders>
              <w:top w:val="nil"/>
              <w:left w:val="nil"/>
              <w:bottom w:val="single" w:sz="4" w:space="0" w:color="auto"/>
              <w:right w:val="single" w:sz="4" w:space="0" w:color="auto"/>
            </w:tcBorders>
            <w:shd w:val="clear" w:color="auto" w:fill="auto"/>
            <w:noWrap/>
            <w:hideMark/>
          </w:tcPr>
          <w:p w14:paraId="0FA9D66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64%</w:t>
            </w:r>
          </w:p>
        </w:tc>
        <w:tc>
          <w:tcPr>
            <w:tcW w:w="597" w:type="pct"/>
            <w:tcBorders>
              <w:top w:val="nil"/>
              <w:left w:val="nil"/>
              <w:bottom w:val="single" w:sz="4" w:space="0" w:color="auto"/>
              <w:right w:val="single" w:sz="8" w:space="0" w:color="auto"/>
            </w:tcBorders>
            <w:shd w:val="clear" w:color="auto" w:fill="auto"/>
            <w:noWrap/>
            <w:hideMark/>
          </w:tcPr>
          <w:p w14:paraId="0193E47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64%</w:t>
            </w:r>
          </w:p>
        </w:tc>
        <w:tc>
          <w:tcPr>
            <w:tcW w:w="597" w:type="pct"/>
            <w:tcBorders>
              <w:top w:val="nil"/>
              <w:left w:val="nil"/>
              <w:bottom w:val="single" w:sz="4" w:space="0" w:color="auto"/>
              <w:right w:val="single" w:sz="4" w:space="0" w:color="auto"/>
            </w:tcBorders>
            <w:shd w:val="clear" w:color="auto" w:fill="auto"/>
            <w:noWrap/>
            <w:hideMark/>
          </w:tcPr>
          <w:p w14:paraId="21AFC2E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74%</w:t>
            </w:r>
          </w:p>
        </w:tc>
        <w:tc>
          <w:tcPr>
            <w:tcW w:w="597" w:type="pct"/>
            <w:tcBorders>
              <w:top w:val="nil"/>
              <w:left w:val="nil"/>
              <w:bottom w:val="single" w:sz="4" w:space="0" w:color="auto"/>
              <w:right w:val="single" w:sz="8" w:space="0" w:color="auto"/>
            </w:tcBorders>
            <w:shd w:val="clear" w:color="auto" w:fill="auto"/>
            <w:noWrap/>
            <w:hideMark/>
          </w:tcPr>
          <w:p w14:paraId="6ED406E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74%</w:t>
            </w:r>
          </w:p>
        </w:tc>
      </w:tr>
      <w:tr w:rsidR="00302E25" w:rsidRPr="00302E25" w14:paraId="5AE9C8F0"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3AF57F0B"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7717971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Mid</w:t>
            </w:r>
          </w:p>
        </w:tc>
        <w:tc>
          <w:tcPr>
            <w:tcW w:w="597" w:type="pct"/>
            <w:tcBorders>
              <w:top w:val="nil"/>
              <w:left w:val="nil"/>
              <w:bottom w:val="single" w:sz="4" w:space="0" w:color="auto"/>
              <w:right w:val="single" w:sz="4" w:space="0" w:color="auto"/>
            </w:tcBorders>
            <w:shd w:val="clear" w:color="auto" w:fill="auto"/>
            <w:noWrap/>
            <w:hideMark/>
          </w:tcPr>
          <w:p w14:paraId="5F0B71B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25%</w:t>
            </w:r>
          </w:p>
        </w:tc>
        <w:tc>
          <w:tcPr>
            <w:tcW w:w="597" w:type="pct"/>
            <w:tcBorders>
              <w:top w:val="nil"/>
              <w:left w:val="nil"/>
              <w:bottom w:val="single" w:sz="4" w:space="0" w:color="auto"/>
              <w:right w:val="single" w:sz="8" w:space="0" w:color="auto"/>
            </w:tcBorders>
            <w:shd w:val="clear" w:color="auto" w:fill="auto"/>
            <w:noWrap/>
            <w:hideMark/>
          </w:tcPr>
          <w:p w14:paraId="5516742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25%</w:t>
            </w:r>
          </w:p>
        </w:tc>
        <w:tc>
          <w:tcPr>
            <w:tcW w:w="597" w:type="pct"/>
            <w:tcBorders>
              <w:top w:val="nil"/>
              <w:left w:val="nil"/>
              <w:bottom w:val="single" w:sz="4" w:space="0" w:color="auto"/>
              <w:right w:val="single" w:sz="4" w:space="0" w:color="auto"/>
            </w:tcBorders>
            <w:shd w:val="clear" w:color="auto" w:fill="auto"/>
            <w:noWrap/>
            <w:hideMark/>
          </w:tcPr>
          <w:p w14:paraId="597249D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7%</w:t>
            </w:r>
          </w:p>
        </w:tc>
        <w:tc>
          <w:tcPr>
            <w:tcW w:w="597" w:type="pct"/>
            <w:tcBorders>
              <w:top w:val="nil"/>
              <w:left w:val="nil"/>
              <w:bottom w:val="single" w:sz="4" w:space="0" w:color="auto"/>
              <w:right w:val="single" w:sz="8" w:space="0" w:color="auto"/>
            </w:tcBorders>
            <w:shd w:val="clear" w:color="auto" w:fill="auto"/>
            <w:noWrap/>
            <w:hideMark/>
          </w:tcPr>
          <w:p w14:paraId="1086AE5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7%</w:t>
            </w:r>
          </w:p>
        </w:tc>
        <w:tc>
          <w:tcPr>
            <w:tcW w:w="597" w:type="pct"/>
            <w:tcBorders>
              <w:top w:val="nil"/>
              <w:left w:val="nil"/>
              <w:bottom w:val="single" w:sz="4" w:space="0" w:color="auto"/>
              <w:right w:val="single" w:sz="4" w:space="0" w:color="auto"/>
            </w:tcBorders>
            <w:shd w:val="clear" w:color="auto" w:fill="auto"/>
            <w:noWrap/>
            <w:hideMark/>
          </w:tcPr>
          <w:p w14:paraId="19DC250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18%</w:t>
            </w:r>
          </w:p>
        </w:tc>
        <w:tc>
          <w:tcPr>
            <w:tcW w:w="597" w:type="pct"/>
            <w:tcBorders>
              <w:top w:val="nil"/>
              <w:left w:val="nil"/>
              <w:bottom w:val="single" w:sz="4" w:space="0" w:color="auto"/>
              <w:right w:val="single" w:sz="8" w:space="0" w:color="auto"/>
            </w:tcBorders>
            <w:shd w:val="clear" w:color="auto" w:fill="auto"/>
            <w:noWrap/>
            <w:hideMark/>
          </w:tcPr>
          <w:p w14:paraId="2D84CE4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18%</w:t>
            </w:r>
          </w:p>
        </w:tc>
      </w:tr>
      <w:tr w:rsidR="00302E25" w:rsidRPr="00302E25" w14:paraId="19D3E971"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55CE8EE8"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704D2D7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High</w:t>
            </w:r>
          </w:p>
        </w:tc>
        <w:tc>
          <w:tcPr>
            <w:tcW w:w="597" w:type="pct"/>
            <w:tcBorders>
              <w:top w:val="nil"/>
              <w:left w:val="nil"/>
              <w:bottom w:val="single" w:sz="4" w:space="0" w:color="auto"/>
              <w:right w:val="single" w:sz="4" w:space="0" w:color="auto"/>
            </w:tcBorders>
            <w:shd w:val="clear" w:color="auto" w:fill="auto"/>
            <w:noWrap/>
            <w:hideMark/>
          </w:tcPr>
          <w:p w14:paraId="5BD5867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26%</w:t>
            </w:r>
          </w:p>
        </w:tc>
        <w:tc>
          <w:tcPr>
            <w:tcW w:w="597" w:type="pct"/>
            <w:tcBorders>
              <w:top w:val="nil"/>
              <w:left w:val="nil"/>
              <w:bottom w:val="single" w:sz="4" w:space="0" w:color="auto"/>
              <w:right w:val="single" w:sz="8" w:space="0" w:color="auto"/>
            </w:tcBorders>
            <w:shd w:val="clear" w:color="auto" w:fill="auto"/>
            <w:noWrap/>
            <w:hideMark/>
          </w:tcPr>
          <w:p w14:paraId="29938C0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26%</w:t>
            </w:r>
          </w:p>
        </w:tc>
        <w:tc>
          <w:tcPr>
            <w:tcW w:w="597" w:type="pct"/>
            <w:tcBorders>
              <w:top w:val="nil"/>
              <w:left w:val="nil"/>
              <w:bottom w:val="single" w:sz="4" w:space="0" w:color="auto"/>
              <w:right w:val="single" w:sz="4" w:space="0" w:color="auto"/>
            </w:tcBorders>
            <w:shd w:val="clear" w:color="auto" w:fill="auto"/>
            <w:noWrap/>
            <w:hideMark/>
          </w:tcPr>
          <w:p w14:paraId="1C6F7608"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29%</w:t>
            </w:r>
          </w:p>
        </w:tc>
        <w:tc>
          <w:tcPr>
            <w:tcW w:w="597" w:type="pct"/>
            <w:tcBorders>
              <w:top w:val="nil"/>
              <w:left w:val="nil"/>
              <w:bottom w:val="single" w:sz="4" w:space="0" w:color="auto"/>
              <w:right w:val="single" w:sz="8" w:space="0" w:color="auto"/>
            </w:tcBorders>
            <w:shd w:val="clear" w:color="auto" w:fill="auto"/>
            <w:noWrap/>
            <w:hideMark/>
          </w:tcPr>
          <w:p w14:paraId="7B0FDF0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29%</w:t>
            </w:r>
          </w:p>
        </w:tc>
        <w:tc>
          <w:tcPr>
            <w:tcW w:w="597" w:type="pct"/>
            <w:tcBorders>
              <w:top w:val="nil"/>
              <w:left w:val="nil"/>
              <w:bottom w:val="single" w:sz="4" w:space="0" w:color="auto"/>
              <w:right w:val="single" w:sz="4" w:space="0" w:color="auto"/>
            </w:tcBorders>
            <w:shd w:val="clear" w:color="auto" w:fill="auto"/>
            <w:noWrap/>
            <w:hideMark/>
          </w:tcPr>
          <w:p w14:paraId="2AED073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8%</w:t>
            </w:r>
          </w:p>
        </w:tc>
        <w:tc>
          <w:tcPr>
            <w:tcW w:w="597" w:type="pct"/>
            <w:tcBorders>
              <w:top w:val="nil"/>
              <w:left w:val="nil"/>
              <w:bottom w:val="single" w:sz="4" w:space="0" w:color="auto"/>
              <w:right w:val="single" w:sz="8" w:space="0" w:color="auto"/>
            </w:tcBorders>
            <w:shd w:val="clear" w:color="auto" w:fill="auto"/>
            <w:noWrap/>
            <w:hideMark/>
          </w:tcPr>
          <w:p w14:paraId="623B590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8%</w:t>
            </w:r>
          </w:p>
        </w:tc>
      </w:tr>
      <w:tr w:rsidR="00302E25" w:rsidRPr="00302E25" w14:paraId="4A213AD0" w14:textId="77777777" w:rsidTr="003952F6">
        <w:trPr>
          <w:trHeight w:val="300"/>
        </w:trPr>
        <w:tc>
          <w:tcPr>
            <w:tcW w:w="645" w:type="pct"/>
            <w:tcBorders>
              <w:top w:val="nil"/>
              <w:left w:val="single" w:sz="8" w:space="0" w:color="auto"/>
              <w:bottom w:val="single" w:sz="4" w:space="0" w:color="auto"/>
              <w:right w:val="single" w:sz="4" w:space="0" w:color="auto"/>
            </w:tcBorders>
            <w:shd w:val="clear" w:color="000000" w:fill="DDEBF7"/>
            <w:noWrap/>
            <w:vAlign w:val="bottom"/>
            <w:hideMark/>
          </w:tcPr>
          <w:p w14:paraId="71AF63D9"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Active</w:t>
            </w:r>
          </w:p>
        </w:tc>
        <w:tc>
          <w:tcPr>
            <w:tcW w:w="771" w:type="pct"/>
            <w:tcBorders>
              <w:top w:val="nil"/>
              <w:left w:val="nil"/>
              <w:bottom w:val="single" w:sz="4" w:space="0" w:color="auto"/>
              <w:right w:val="single" w:sz="8" w:space="0" w:color="auto"/>
            </w:tcBorders>
            <w:shd w:val="clear" w:color="000000" w:fill="DDEBF7"/>
            <w:noWrap/>
            <w:vAlign w:val="bottom"/>
            <w:hideMark/>
          </w:tcPr>
          <w:p w14:paraId="709666D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Weekly</w:t>
            </w:r>
          </w:p>
        </w:tc>
        <w:tc>
          <w:tcPr>
            <w:tcW w:w="597" w:type="pct"/>
            <w:tcBorders>
              <w:top w:val="nil"/>
              <w:left w:val="nil"/>
              <w:bottom w:val="single" w:sz="4" w:space="0" w:color="auto"/>
              <w:right w:val="single" w:sz="4" w:space="0" w:color="auto"/>
            </w:tcBorders>
            <w:shd w:val="clear" w:color="auto" w:fill="auto"/>
            <w:noWrap/>
            <w:hideMark/>
          </w:tcPr>
          <w:p w14:paraId="54F3BB8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63%</w:t>
            </w:r>
          </w:p>
        </w:tc>
        <w:tc>
          <w:tcPr>
            <w:tcW w:w="597" w:type="pct"/>
            <w:tcBorders>
              <w:top w:val="nil"/>
              <w:left w:val="nil"/>
              <w:bottom w:val="single" w:sz="4" w:space="0" w:color="auto"/>
              <w:right w:val="single" w:sz="8" w:space="0" w:color="auto"/>
            </w:tcBorders>
            <w:shd w:val="clear" w:color="auto" w:fill="auto"/>
            <w:noWrap/>
            <w:hideMark/>
          </w:tcPr>
          <w:p w14:paraId="256E85F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62%</w:t>
            </w:r>
          </w:p>
        </w:tc>
        <w:tc>
          <w:tcPr>
            <w:tcW w:w="597" w:type="pct"/>
            <w:tcBorders>
              <w:top w:val="nil"/>
              <w:left w:val="nil"/>
              <w:bottom w:val="single" w:sz="4" w:space="0" w:color="auto"/>
              <w:right w:val="single" w:sz="4" w:space="0" w:color="auto"/>
            </w:tcBorders>
            <w:shd w:val="clear" w:color="auto" w:fill="auto"/>
            <w:noWrap/>
            <w:hideMark/>
          </w:tcPr>
          <w:p w14:paraId="1C15E64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39%</w:t>
            </w:r>
          </w:p>
        </w:tc>
        <w:tc>
          <w:tcPr>
            <w:tcW w:w="597" w:type="pct"/>
            <w:tcBorders>
              <w:top w:val="nil"/>
              <w:left w:val="nil"/>
              <w:bottom w:val="single" w:sz="4" w:space="0" w:color="auto"/>
              <w:right w:val="single" w:sz="8" w:space="0" w:color="auto"/>
            </w:tcBorders>
            <w:shd w:val="clear" w:color="auto" w:fill="auto"/>
            <w:noWrap/>
            <w:hideMark/>
          </w:tcPr>
          <w:p w14:paraId="0F2F858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28%</w:t>
            </w:r>
          </w:p>
        </w:tc>
        <w:tc>
          <w:tcPr>
            <w:tcW w:w="597" w:type="pct"/>
            <w:tcBorders>
              <w:top w:val="nil"/>
              <w:left w:val="nil"/>
              <w:bottom w:val="single" w:sz="4" w:space="0" w:color="auto"/>
              <w:right w:val="single" w:sz="4" w:space="0" w:color="auto"/>
            </w:tcBorders>
            <w:shd w:val="clear" w:color="auto" w:fill="auto"/>
            <w:noWrap/>
            <w:hideMark/>
          </w:tcPr>
          <w:p w14:paraId="2D21BF0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42%</w:t>
            </w:r>
          </w:p>
        </w:tc>
        <w:tc>
          <w:tcPr>
            <w:tcW w:w="597" w:type="pct"/>
            <w:tcBorders>
              <w:top w:val="nil"/>
              <w:left w:val="nil"/>
              <w:bottom w:val="single" w:sz="4" w:space="0" w:color="auto"/>
              <w:right w:val="single" w:sz="8" w:space="0" w:color="auto"/>
            </w:tcBorders>
            <w:shd w:val="clear" w:color="auto" w:fill="auto"/>
            <w:noWrap/>
            <w:hideMark/>
          </w:tcPr>
          <w:p w14:paraId="02A9E0C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33%</w:t>
            </w:r>
          </w:p>
        </w:tc>
      </w:tr>
      <w:tr w:rsidR="00302E25" w:rsidRPr="00302E25" w14:paraId="73332D01" w14:textId="77777777" w:rsidTr="003952F6">
        <w:trPr>
          <w:trHeight w:val="300"/>
        </w:trPr>
        <w:tc>
          <w:tcPr>
            <w:tcW w:w="645" w:type="pct"/>
            <w:tcBorders>
              <w:top w:val="nil"/>
              <w:left w:val="single" w:sz="8" w:space="0" w:color="auto"/>
              <w:bottom w:val="single" w:sz="4" w:space="0" w:color="auto"/>
              <w:right w:val="single" w:sz="4" w:space="0" w:color="auto"/>
            </w:tcBorders>
            <w:shd w:val="clear" w:color="000000" w:fill="DDEBF7"/>
            <w:noWrap/>
            <w:vAlign w:val="bottom"/>
            <w:hideMark/>
          </w:tcPr>
          <w:p w14:paraId="77DA1574"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Income</w:t>
            </w:r>
          </w:p>
        </w:tc>
        <w:tc>
          <w:tcPr>
            <w:tcW w:w="771" w:type="pct"/>
            <w:tcBorders>
              <w:top w:val="nil"/>
              <w:left w:val="nil"/>
              <w:bottom w:val="single" w:sz="4" w:space="0" w:color="auto"/>
              <w:right w:val="single" w:sz="8" w:space="0" w:color="auto"/>
            </w:tcBorders>
            <w:shd w:val="clear" w:color="000000" w:fill="DDEBF7"/>
            <w:noWrap/>
            <w:vAlign w:val="bottom"/>
            <w:hideMark/>
          </w:tcPr>
          <w:p w14:paraId="0475F67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Low</w:t>
            </w:r>
          </w:p>
        </w:tc>
        <w:tc>
          <w:tcPr>
            <w:tcW w:w="597" w:type="pct"/>
            <w:tcBorders>
              <w:top w:val="nil"/>
              <w:left w:val="nil"/>
              <w:bottom w:val="single" w:sz="4" w:space="0" w:color="auto"/>
              <w:right w:val="single" w:sz="4" w:space="0" w:color="auto"/>
            </w:tcBorders>
            <w:shd w:val="clear" w:color="auto" w:fill="auto"/>
            <w:noWrap/>
            <w:hideMark/>
          </w:tcPr>
          <w:p w14:paraId="3C7CAEF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19%</w:t>
            </w:r>
          </w:p>
        </w:tc>
        <w:tc>
          <w:tcPr>
            <w:tcW w:w="597" w:type="pct"/>
            <w:tcBorders>
              <w:top w:val="nil"/>
              <w:left w:val="nil"/>
              <w:bottom w:val="single" w:sz="4" w:space="0" w:color="auto"/>
              <w:right w:val="single" w:sz="8" w:space="0" w:color="auto"/>
            </w:tcBorders>
            <w:shd w:val="clear" w:color="auto" w:fill="auto"/>
            <w:noWrap/>
            <w:hideMark/>
          </w:tcPr>
          <w:p w14:paraId="1650DFA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23%</w:t>
            </w:r>
          </w:p>
        </w:tc>
        <w:tc>
          <w:tcPr>
            <w:tcW w:w="597" w:type="pct"/>
            <w:tcBorders>
              <w:top w:val="nil"/>
              <w:left w:val="nil"/>
              <w:bottom w:val="single" w:sz="4" w:space="0" w:color="auto"/>
              <w:right w:val="single" w:sz="4" w:space="0" w:color="auto"/>
            </w:tcBorders>
            <w:shd w:val="clear" w:color="auto" w:fill="auto"/>
            <w:noWrap/>
            <w:hideMark/>
          </w:tcPr>
          <w:p w14:paraId="37A0935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19%</w:t>
            </w:r>
          </w:p>
        </w:tc>
        <w:tc>
          <w:tcPr>
            <w:tcW w:w="597" w:type="pct"/>
            <w:tcBorders>
              <w:top w:val="nil"/>
              <w:left w:val="nil"/>
              <w:bottom w:val="single" w:sz="4" w:space="0" w:color="auto"/>
              <w:right w:val="single" w:sz="8" w:space="0" w:color="auto"/>
            </w:tcBorders>
            <w:shd w:val="clear" w:color="auto" w:fill="auto"/>
            <w:noWrap/>
            <w:hideMark/>
          </w:tcPr>
          <w:p w14:paraId="26410E4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19%</w:t>
            </w:r>
          </w:p>
        </w:tc>
        <w:tc>
          <w:tcPr>
            <w:tcW w:w="597" w:type="pct"/>
            <w:tcBorders>
              <w:top w:val="nil"/>
              <w:left w:val="nil"/>
              <w:bottom w:val="single" w:sz="4" w:space="0" w:color="auto"/>
              <w:right w:val="single" w:sz="4" w:space="0" w:color="auto"/>
            </w:tcBorders>
            <w:shd w:val="clear" w:color="auto" w:fill="auto"/>
            <w:noWrap/>
            <w:hideMark/>
          </w:tcPr>
          <w:p w14:paraId="28CD90F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18%</w:t>
            </w:r>
          </w:p>
        </w:tc>
        <w:tc>
          <w:tcPr>
            <w:tcW w:w="597" w:type="pct"/>
            <w:tcBorders>
              <w:top w:val="nil"/>
              <w:left w:val="nil"/>
              <w:bottom w:val="single" w:sz="4" w:space="0" w:color="auto"/>
              <w:right w:val="single" w:sz="8" w:space="0" w:color="auto"/>
            </w:tcBorders>
            <w:shd w:val="clear" w:color="auto" w:fill="auto"/>
            <w:noWrap/>
            <w:hideMark/>
          </w:tcPr>
          <w:p w14:paraId="713E042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21%</w:t>
            </w:r>
          </w:p>
        </w:tc>
      </w:tr>
      <w:tr w:rsidR="00302E25" w:rsidRPr="00302E25" w14:paraId="54D43310" w14:textId="77777777" w:rsidTr="003952F6">
        <w:trPr>
          <w:trHeight w:val="300"/>
        </w:trPr>
        <w:tc>
          <w:tcPr>
            <w:tcW w:w="645" w:type="pct"/>
            <w:vMerge w:val="restart"/>
            <w:tcBorders>
              <w:top w:val="nil"/>
              <w:left w:val="single" w:sz="8" w:space="0" w:color="auto"/>
              <w:bottom w:val="single" w:sz="4" w:space="0" w:color="auto"/>
              <w:right w:val="single" w:sz="4" w:space="0" w:color="auto"/>
            </w:tcBorders>
            <w:shd w:val="clear" w:color="000000" w:fill="DDEBF7"/>
            <w:vAlign w:val="center"/>
            <w:hideMark/>
          </w:tcPr>
          <w:p w14:paraId="0D52668B"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 xml:space="preserve">Food </w:t>
            </w:r>
            <w:r w:rsidRPr="00302E25">
              <w:rPr>
                <w:rFonts w:eastAsia="Times New Roman"/>
                <w:b/>
                <w:bCs/>
                <w:color w:val="000000"/>
                <w:lang w:eastAsia="nl-NL"/>
              </w:rPr>
              <w:br/>
              <w:t>consumption</w:t>
            </w:r>
          </w:p>
        </w:tc>
        <w:tc>
          <w:tcPr>
            <w:tcW w:w="771" w:type="pct"/>
            <w:tcBorders>
              <w:top w:val="nil"/>
              <w:left w:val="nil"/>
              <w:bottom w:val="single" w:sz="4" w:space="0" w:color="auto"/>
              <w:right w:val="single" w:sz="8" w:space="0" w:color="auto"/>
            </w:tcBorders>
            <w:shd w:val="clear" w:color="000000" w:fill="DDEBF7"/>
            <w:noWrap/>
            <w:vAlign w:val="bottom"/>
            <w:hideMark/>
          </w:tcPr>
          <w:p w14:paraId="2D349A9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Low</w:t>
            </w:r>
          </w:p>
        </w:tc>
        <w:tc>
          <w:tcPr>
            <w:tcW w:w="597" w:type="pct"/>
            <w:tcBorders>
              <w:top w:val="nil"/>
              <w:left w:val="nil"/>
              <w:bottom w:val="single" w:sz="4" w:space="0" w:color="auto"/>
              <w:right w:val="single" w:sz="4" w:space="0" w:color="auto"/>
            </w:tcBorders>
            <w:shd w:val="clear" w:color="auto" w:fill="auto"/>
            <w:noWrap/>
            <w:hideMark/>
          </w:tcPr>
          <w:p w14:paraId="561C7B1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19%</w:t>
            </w:r>
          </w:p>
        </w:tc>
        <w:tc>
          <w:tcPr>
            <w:tcW w:w="597" w:type="pct"/>
            <w:tcBorders>
              <w:top w:val="nil"/>
              <w:left w:val="nil"/>
              <w:bottom w:val="single" w:sz="4" w:space="0" w:color="auto"/>
              <w:right w:val="single" w:sz="8" w:space="0" w:color="auto"/>
            </w:tcBorders>
            <w:shd w:val="clear" w:color="auto" w:fill="auto"/>
            <w:noWrap/>
            <w:hideMark/>
          </w:tcPr>
          <w:p w14:paraId="1DABC79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21%</w:t>
            </w:r>
          </w:p>
        </w:tc>
        <w:tc>
          <w:tcPr>
            <w:tcW w:w="597" w:type="pct"/>
            <w:tcBorders>
              <w:top w:val="nil"/>
              <w:left w:val="nil"/>
              <w:bottom w:val="single" w:sz="4" w:space="0" w:color="auto"/>
              <w:right w:val="single" w:sz="4" w:space="0" w:color="auto"/>
            </w:tcBorders>
            <w:shd w:val="clear" w:color="auto" w:fill="auto"/>
            <w:noWrap/>
            <w:hideMark/>
          </w:tcPr>
          <w:p w14:paraId="62151E08"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8" w:space="0" w:color="auto"/>
            </w:tcBorders>
            <w:shd w:val="clear" w:color="auto" w:fill="auto"/>
            <w:noWrap/>
            <w:hideMark/>
          </w:tcPr>
          <w:p w14:paraId="5F2E16D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4" w:space="0" w:color="auto"/>
            </w:tcBorders>
            <w:shd w:val="clear" w:color="auto" w:fill="auto"/>
            <w:noWrap/>
            <w:hideMark/>
          </w:tcPr>
          <w:p w14:paraId="062FDCB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21%</w:t>
            </w:r>
          </w:p>
        </w:tc>
        <w:tc>
          <w:tcPr>
            <w:tcW w:w="597" w:type="pct"/>
            <w:tcBorders>
              <w:top w:val="nil"/>
              <w:left w:val="nil"/>
              <w:bottom w:val="single" w:sz="4" w:space="0" w:color="auto"/>
              <w:right w:val="single" w:sz="8" w:space="0" w:color="auto"/>
            </w:tcBorders>
            <w:shd w:val="clear" w:color="auto" w:fill="auto"/>
            <w:noWrap/>
            <w:hideMark/>
          </w:tcPr>
          <w:p w14:paraId="7533872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23%</w:t>
            </w:r>
          </w:p>
        </w:tc>
      </w:tr>
      <w:tr w:rsidR="00302E25" w:rsidRPr="00302E25" w14:paraId="0407A355"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6BB7D5A3"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068BAC7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Mid</w:t>
            </w:r>
          </w:p>
        </w:tc>
        <w:tc>
          <w:tcPr>
            <w:tcW w:w="597" w:type="pct"/>
            <w:tcBorders>
              <w:top w:val="nil"/>
              <w:left w:val="nil"/>
              <w:bottom w:val="single" w:sz="4" w:space="0" w:color="auto"/>
              <w:right w:val="single" w:sz="4" w:space="0" w:color="auto"/>
            </w:tcBorders>
            <w:shd w:val="clear" w:color="auto" w:fill="auto"/>
            <w:noWrap/>
            <w:hideMark/>
          </w:tcPr>
          <w:p w14:paraId="37648B4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59%</w:t>
            </w:r>
          </w:p>
        </w:tc>
        <w:tc>
          <w:tcPr>
            <w:tcW w:w="597" w:type="pct"/>
            <w:tcBorders>
              <w:top w:val="nil"/>
              <w:left w:val="nil"/>
              <w:bottom w:val="single" w:sz="4" w:space="0" w:color="auto"/>
              <w:right w:val="single" w:sz="8" w:space="0" w:color="auto"/>
            </w:tcBorders>
            <w:shd w:val="clear" w:color="auto" w:fill="auto"/>
            <w:noWrap/>
            <w:hideMark/>
          </w:tcPr>
          <w:p w14:paraId="273FFD2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58%</w:t>
            </w:r>
          </w:p>
        </w:tc>
        <w:tc>
          <w:tcPr>
            <w:tcW w:w="597" w:type="pct"/>
            <w:tcBorders>
              <w:top w:val="nil"/>
              <w:left w:val="nil"/>
              <w:bottom w:val="single" w:sz="4" w:space="0" w:color="auto"/>
              <w:right w:val="single" w:sz="4" w:space="0" w:color="auto"/>
            </w:tcBorders>
            <w:shd w:val="clear" w:color="auto" w:fill="auto"/>
            <w:noWrap/>
            <w:hideMark/>
          </w:tcPr>
          <w:p w14:paraId="5CDFC39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57%</w:t>
            </w:r>
          </w:p>
        </w:tc>
        <w:tc>
          <w:tcPr>
            <w:tcW w:w="597" w:type="pct"/>
            <w:tcBorders>
              <w:top w:val="nil"/>
              <w:left w:val="nil"/>
              <w:bottom w:val="single" w:sz="4" w:space="0" w:color="auto"/>
              <w:right w:val="single" w:sz="8" w:space="0" w:color="auto"/>
            </w:tcBorders>
            <w:shd w:val="clear" w:color="auto" w:fill="auto"/>
            <w:noWrap/>
            <w:hideMark/>
          </w:tcPr>
          <w:p w14:paraId="0F60674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57%</w:t>
            </w:r>
          </w:p>
        </w:tc>
        <w:tc>
          <w:tcPr>
            <w:tcW w:w="597" w:type="pct"/>
            <w:tcBorders>
              <w:top w:val="nil"/>
              <w:left w:val="nil"/>
              <w:bottom w:val="single" w:sz="4" w:space="0" w:color="auto"/>
              <w:right w:val="single" w:sz="4" w:space="0" w:color="auto"/>
            </w:tcBorders>
            <w:shd w:val="clear" w:color="auto" w:fill="auto"/>
            <w:noWrap/>
            <w:hideMark/>
          </w:tcPr>
          <w:p w14:paraId="0067EC3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61%</w:t>
            </w:r>
          </w:p>
        </w:tc>
        <w:tc>
          <w:tcPr>
            <w:tcW w:w="597" w:type="pct"/>
            <w:tcBorders>
              <w:top w:val="nil"/>
              <w:left w:val="nil"/>
              <w:bottom w:val="single" w:sz="4" w:space="0" w:color="auto"/>
              <w:right w:val="single" w:sz="8" w:space="0" w:color="auto"/>
            </w:tcBorders>
            <w:shd w:val="clear" w:color="auto" w:fill="auto"/>
            <w:noWrap/>
            <w:hideMark/>
          </w:tcPr>
          <w:p w14:paraId="2DDCA08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57%</w:t>
            </w:r>
          </w:p>
        </w:tc>
      </w:tr>
      <w:tr w:rsidR="00302E25" w:rsidRPr="00302E25" w14:paraId="721EBC47"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3411A389"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23BB865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High</w:t>
            </w:r>
          </w:p>
        </w:tc>
        <w:tc>
          <w:tcPr>
            <w:tcW w:w="597" w:type="pct"/>
            <w:tcBorders>
              <w:top w:val="nil"/>
              <w:left w:val="nil"/>
              <w:bottom w:val="single" w:sz="4" w:space="0" w:color="auto"/>
              <w:right w:val="single" w:sz="4" w:space="0" w:color="auto"/>
            </w:tcBorders>
            <w:shd w:val="clear" w:color="auto" w:fill="auto"/>
            <w:noWrap/>
            <w:hideMark/>
          </w:tcPr>
          <w:p w14:paraId="6C1D09E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22%</w:t>
            </w:r>
          </w:p>
        </w:tc>
        <w:tc>
          <w:tcPr>
            <w:tcW w:w="597" w:type="pct"/>
            <w:tcBorders>
              <w:top w:val="nil"/>
              <w:left w:val="nil"/>
              <w:bottom w:val="single" w:sz="4" w:space="0" w:color="auto"/>
              <w:right w:val="single" w:sz="8" w:space="0" w:color="auto"/>
            </w:tcBorders>
            <w:shd w:val="clear" w:color="auto" w:fill="auto"/>
            <w:noWrap/>
            <w:hideMark/>
          </w:tcPr>
          <w:p w14:paraId="31119E0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21%</w:t>
            </w:r>
          </w:p>
        </w:tc>
        <w:tc>
          <w:tcPr>
            <w:tcW w:w="597" w:type="pct"/>
            <w:tcBorders>
              <w:top w:val="nil"/>
              <w:left w:val="nil"/>
              <w:bottom w:val="single" w:sz="4" w:space="0" w:color="auto"/>
              <w:right w:val="single" w:sz="4" w:space="0" w:color="auto"/>
            </w:tcBorders>
            <w:shd w:val="clear" w:color="auto" w:fill="auto"/>
            <w:noWrap/>
            <w:hideMark/>
          </w:tcPr>
          <w:p w14:paraId="0BE8A54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23%</w:t>
            </w:r>
          </w:p>
        </w:tc>
        <w:tc>
          <w:tcPr>
            <w:tcW w:w="597" w:type="pct"/>
            <w:tcBorders>
              <w:top w:val="nil"/>
              <w:left w:val="nil"/>
              <w:bottom w:val="single" w:sz="4" w:space="0" w:color="auto"/>
              <w:right w:val="single" w:sz="8" w:space="0" w:color="auto"/>
            </w:tcBorders>
            <w:shd w:val="clear" w:color="auto" w:fill="auto"/>
            <w:noWrap/>
            <w:hideMark/>
          </w:tcPr>
          <w:p w14:paraId="771843E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23%</w:t>
            </w:r>
          </w:p>
        </w:tc>
        <w:tc>
          <w:tcPr>
            <w:tcW w:w="597" w:type="pct"/>
            <w:tcBorders>
              <w:top w:val="nil"/>
              <w:left w:val="nil"/>
              <w:bottom w:val="single" w:sz="4" w:space="0" w:color="auto"/>
              <w:right w:val="single" w:sz="4" w:space="0" w:color="auto"/>
            </w:tcBorders>
            <w:shd w:val="clear" w:color="auto" w:fill="auto"/>
            <w:noWrap/>
            <w:hideMark/>
          </w:tcPr>
          <w:p w14:paraId="78F1722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18%</w:t>
            </w:r>
          </w:p>
        </w:tc>
        <w:tc>
          <w:tcPr>
            <w:tcW w:w="597" w:type="pct"/>
            <w:tcBorders>
              <w:top w:val="nil"/>
              <w:left w:val="nil"/>
              <w:bottom w:val="single" w:sz="4" w:space="0" w:color="auto"/>
              <w:right w:val="single" w:sz="8" w:space="0" w:color="auto"/>
            </w:tcBorders>
            <w:shd w:val="clear" w:color="auto" w:fill="auto"/>
            <w:noWrap/>
            <w:hideMark/>
          </w:tcPr>
          <w:p w14:paraId="61B4DA1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r>
      <w:tr w:rsidR="00302E25" w:rsidRPr="00302E25" w14:paraId="550D24DB" w14:textId="77777777" w:rsidTr="003952F6">
        <w:trPr>
          <w:trHeight w:val="315"/>
        </w:trPr>
        <w:tc>
          <w:tcPr>
            <w:tcW w:w="645" w:type="pct"/>
            <w:tcBorders>
              <w:top w:val="nil"/>
              <w:left w:val="single" w:sz="8" w:space="0" w:color="auto"/>
              <w:bottom w:val="single" w:sz="8" w:space="0" w:color="auto"/>
              <w:right w:val="single" w:sz="4" w:space="0" w:color="auto"/>
            </w:tcBorders>
            <w:shd w:val="clear" w:color="000000" w:fill="DDEBF7"/>
            <w:noWrap/>
            <w:vAlign w:val="bottom"/>
            <w:hideMark/>
          </w:tcPr>
          <w:p w14:paraId="2029E489"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Child health</w:t>
            </w:r>
          </w:p>
        </w:tc>
        <w:tc>
          <w:tcPr>
            <w:tcW w:w="771" w:type="pct"/>
            <w:tcBorders>
              <w:top w:val="nil"/>
              <w:left w:val="nil"/>
              <w:bottom w:val="single" w:sz="8" w:space="0" w:color="auto"/>
              <w:right w:val="single" w:sz="8" w:space="0" w:color="auto"/>
            </w:tcBorders>
            <w:shd w:val="clear" w:color="000000" w:fill="DDEBF7"/>
            <w:noWrap/>
            <w:vAlign w:val="bottom"/>
            <w:hideMark/>
          </w:tcPr>
          <w:p w14:paraId="02310F4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Poor</w:t>
            </w:r>
          </w:p>
        </w:tc>
        <w:tc>
          <w:tcPr>
            <w:tcW w:w="597" w:type="pct"/>
            <w:tcBorders>
              <w:top w:val="nil"/>
              <w:left w:val="nil"/>
              <w:bottom w:val="single" w:sz="8" w:space="0" w:color="auto"/>
              <w:right w:val="single" w:sz="4" w:space="0" w:color="auto"/>
            </w:tcBorders>
            <w:shd w:val="clear" w:color="auto" w:fill="auto"/>
            <w:noWrap/>
            <w:hideMark/>
          </w:tcPr>
          <w:p w14:paraId="2F22B58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10%</w:t>
            </w:r>
          </w:p>
        </w:tc>
        <w:tc>
          <w:tcPr>
            <w:tcW w:w="597" w:type="pct"/>
            <w:tcBorders>
              <w:top w:val="nil"/>
              <w:left w:val="nil"/>
              <w:bottom w:val="single" w:sz="8" w:space="0" w:color="auto"/>
              <w:right w:val="single" w:sz="8" w:space="0" w:color="auto"/>
            </w:tcBorders>
            <w:shd w:val="clear" w:color="auto" w:fill="auto"/>
            <w:noWrap/>
            <w:hideMark/>
          </w:tcPr>
          <w:p w14:paraId="619C085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10%</w:t>
            </w:r>
          </w:p>
        </w:tc>
        <w:tc>
          <w:tcPr>
            <w:tcW w:w="597" w:type="pct"/>
            <w:tcBorders>
              <w:top w:val="nil"/>
              <w:left w:val="nil"/>
              <w:bottom w:val="single" w:sz="8" w:space="0" w:color="auto"/>
              <w:right w:val="single" w:sz="4" w:space="0" w:color="auto"/>
            </w:tcBorders>
            <w:shd w:val="clear" w:color="auto" w:fill="auto"/>
            <w:noWrap/>
            <w:hideMark/>
          </w:tcPr>
          <w:p w14:paraId="39F8D6D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10%</w:t>
            </w:r>
          </w:p>
        </w:tc>
        <w:tc>
          <w:tcPr>
            <w:tcW w:w="597" w:type="pct"/>
            <w:tcBorders>
              <w:top w:val="nil"/>
              <w:left w:val="nil"/>
              <w:bottom w:val="single" w:sz="8" w:space="0" w:color="auto"/>
              <w:right w:val="single" w:sz="8" w:space="0" w:color="auto"/>
            </w:tcBorders>
            <w:shd w:val="clear" w:color="auto" w:fill="auto"/>
            <w:noWrap/>
            <w:hideMark/>
          </w:tcPr>
          <w:p w14:paraId="1A56926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10%</w:t>
            </w:r>
          </w:p>
        </w:tc>
        <w:tc>
          <w:tcPr>
            <w:tcW w:w="597" w:type="pct"/>
            <w:tcBorders>
              <w:top w:val="nil"/>
              <w:left w:val="nil"/>
              <w:bottom w:val="single" w:sz="8" w:space="0" w:color="auto"/>
              <w:right w:val="single" w:sz="4" w:space="0" w:color="auto"/>
            </w:tcBorders>
            <w:shd w:val="clear" w:color="auto" w:fill="auto"/>
            <w:noWrap/>
            <w:hideMark/>
          </w:tcPr>
          <w:p w14:paraId="063C52C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w:t>
            </w:r>
          </w:p>
        </w:tc>
        <w:tc>
          <w:tcPr>
            <w:tcW w:w="597" w:type="pct"/>
            <w:tcBorders>
              <w:top w:val="nil"/>
              <w:left w:val="nil"/>
              <w:bottom w:val="single" w:sz="8" w:space="0" w:color="auto"/>
              <w:right w:val="single" w:sz="8" w:space="0" w:color="auto"/>
            </w:tcBorders>
            <w:shd w:val="clear" w:color="auto" w:fill="auto"/>
            <w:noWrap/>
            <w:hideMark/>
          </w:tcPr>
          <w:p w14:paraId="533FE3A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w:t>
            </w:r>
          </w:p>
        </w:tc>
      </w:tr>
    </w:tbl>
    <w:p w14:paraId="744BBF52" w14:textId="77777777" w:rsidR="00AA385D" w:rsidRDefault="00AA385D" w:rsidP="00AA385D">
      <w:pPr>
        <w:rPr>
          <w:b/>
          <w:lang w:val="en-US"/>
        </w:rPr>
      </w:pPr>
    </w:p>
    <w:tbl>
      <w:tblPr>
        <w:tblW w:w="5000" w:type="pct"/>
        <w:tblCellMar>
          <w:left w:w="70" w:type="dxa"/>
          <w:right w:w="70" w:type="dxa"/>
        </w:tblCellMar>
        <w:tblLook w:val="04A0" w:firstRow="1" w:lastRow="0" w:firstColumn="1" w:lastColumn="0" w:noHBand="0" w:noVBand="1"/>
      </w:tblPr>
      <w:tblGrid>
        <w:gridCol w:w="1338"/>
        <w:gridCol w:w="1371"/>
        <w:gridCol w:w="1056"/>
        <w:gridCol w:w="1058"/>
        <w:gridCol w:w="1056"/>
        <w:gridCol w:w="1059"/>
        <w:gridCol w:w="1057"/>
        <w:gridCol w:w="1057"/>
      </w:tblGrid>
      <w:tr w:rsidR="00302E25" w:rsidRPr="00302E25" w14:paraId="60451BBB" w14:textId="77777777" w:rsidTr="003952F6">
        <w:trPr>
          <w:trHeight w:val="300"/>
        </w:trPr>
        <w:tc>
          <w:tcPr>
            <w:tcW w:w="1416" w:type="pct"/>
            <w:gridSpan w:val="2"/>
            <w:vMerge w:val="restart"/>
            <w:tcBorders>
              <w:top w:val="single" w:sz="8" w:space="0" w:color="auto"/>
              <w:left w:val="single" w:sz="8" w:space="0" w:color="auto"/>
              <w:bottom w:val="single" w:sz="4" w:space="0" w:color="auto"/>
              <w:right w:val="single" w:sz="8" w:space="0" w:color="000000"/>
            </w:tcBorders>
            <w:shd w:val="clear" w:color="000000" w:fill="DDEBF7"/>
            <w:noWrap/>
            <w:vAlign w:val="bottom"/>
            <w:hideMark/>
          </w:tcPr>
          <w:p w14:paraId="18F79DDC"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Variables</w:t>
            </w:r>
          </w:p>
        </w:tc>
        <w:tc>
          <w:tcPr>
            <w:tcW w:w="1195" w:type="pct"/>
            <w:gridSpan w:val="2"/>
            <w:tcBorders>
              <w:top w:val="single" w:sz="8" w:space="0" w:color="auto"/>
              <w:left w:val="nil"/>
              <w:bottom w:val="single" w:sz="4" w:space="0" w:color="auto"/>
              <w:right w:val="single" w:sz="8" w:space="0" w:color="000000"/>
            </w:tcBorders>
            <w:shd w:val="clear" w:color="000000" w:fill="BFBFBF"/>
            <w:noWrap/>
            <w:hideMark/>
          </w:tcPr>
          <w:p w14:paraId="6E6FB824"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France</w:t>
            </w:r>
          </w:p>
        </w:tc>
        <w:tc>
          <w:tcPr>
            <w:tcW w:w="1195" w:type="pct"/>
            <w:gridSpan w:val="2"/>
            <w:tcBorders>
              <w:top w:val="single" w:sz="8" w:space="0" w:color="auto"/>
              <w:left w:val="nil"/>
              <w:bottom w:val="single" w:sz="4" w:space="0" w:color="auto"/>
              <w:right w:val="single" w:sz="8" w:space="0" w:color="000000"/>
            </w:tcBorders>
            <w:shd w:val="clear" w:color="000000" w:fill="BFBFBF"/>
            <w:noWrap/>
            <w:hideMark/>
          </w:tcPr>
          <w:p w14:paraId="4EF83842"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Denmark</w:t>
            </w:r>
          </w:p>
        </w:tc>
        <w:tc>
          <w:tcPr>
            <w:tcW w:w="1195" w:type="pct"/>
            <w:gridSpan w:val="2"/>
            <w:tcBorders>
              <w:top w:val="single" w:sz="8" w:space="0" w:color="auto"/>
              <w:left w:val="nil"/>
              <w:bottom w:val="single" w:sz="4" w:space="0" w:color="auto"/>
              <w:right w:val="single" w:sz="8" w:space="0" w:color="000000"/>
            </w:tcBorders>
            <w:shd w:val="clear" w:color="000000" w:fill="BFBFBF"/>
            <w:noWrap/>
            <w:hideMark/>
          </w:tcPr>
          <w:p w14:paraId="23932D7F"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Switzerland</w:t>
            </w:r>
          </w:p>
        </w:tc>
      </w:tr>
      <w:tr w:rsidR="00302E25" w:rsidRPr="00302E25" w14:paraId="7AEF79F4" w14:textId="77777777" w:rsidTr="003952F6">
        <w:trPr>
          <w:trHeight w:val="300"/>
        </w:trPr>
        <w:tc>
          <w:tcPr>
            <w:tcW w:w="1416" w:type="pct"/>
            <w:gridSpan w:val="2"/>
            <w:vMerge/>
            <w:tcBorders>
              <w:top w:val="single" w:sz="8" w:space="0" w:color="auto"/>
              <w:left w:val="single" w:sz="8" w:space="0" w:color="auto"/>
              <w:bottom w:val="single" w:sz="4" w:space="0" w:color="auto"/>
              <w:right w:val="single" w:sz="8" w:space="0" w:color="000000"/>
            </w:tcBorders>
            <w:vAlign w:val="center"/>
            <w:hideMark/>
          </w:tcPr>
          <w:p w14:paraId="5645B06C" w14:textId="77777777" w:rsidR="00302E25" w:rsidRPr="00302E25" w:rsidRDefault="00302E25" w:rsidP="00302E25">
            <w:pPr>
              <w:spacing w:after="0" w:line="240" w:lineRule="auto"/>
              <w:rPr>
                <w:rFonts w:eastAsia="Times New Roman"/>
                <w:b/>
                <w:bCs/>
                <w:color w:val="000000"/>
                <w:lang w:eastAsia="nl-NL"/>
              </w:rPr>
            </w:pPr>
          </w:p>
        </w:tc>
        <w:tc>
          <w:tcPr>
            <w:tcW w:w="597" w:type="pct"/>
            <w:tcBorders>
              <w:top w:val="nil"/>
              <w:left w:val="nil"/>
              <w:bottom w:val="single" w:sz="4" w:space="0" w:color="auto"/>
              <w:right w:val="single" w:sz="4" w:space="0" w:color="auto"/>
            </w:tcBorders>
            <w:shd w:val="clear" w:color="000000" w:fill="BFBFBF"/>
            <w:noWrap/>
            <w:vAlign w:val="bottom"/>
            <w:hideMark/>
          </w:tcPr>
          <w:p w14:paraId="4A8DF0C2"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2004</w:t>
            </w:r>
          </w:p>
        </w:tc>
        <w:tc>
          <w:tcPr>
            <w:tcW w:w="597" w:type="pct"/>
            <w:tcBorders>
              <w:top w:val="nil"/>
              <w:left w:val="nil"/>
              <w:bottom w:val="single" w:sz="4" w:space="0" w:color="auto"/>
              <w:right w:val="single" w:sz="8" w:space="0" w:color="auto"/>
            </w:tcBorders>
            <w:shd w:val="clear" w:color="000000" w:fill="BFBFBF"/>
            <w:noWrap/>
            <w:vAlign w:val="bottom"/>
            <w:hideMark/>
          </w:tcPr>
          <w:p w14:paraId="425A0DEE"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2010</w:t>
            </w:r>
          </w:p>
        </w:tc>
        <w:tc>
          <w:tcPr>
            <w:tcW w:w="597" w:type="pct"/>
            <w:tcBorders>
              <w:top w:val="nil"/>
              <w:left w:val="nil"/>
              <w:bottom w:val="single" w:sz="4" w:space="0" w:color="auto"/>
              <w:right w:val="single" w:sz="4" w:space="0" w:color="auto"/>
            </w:tcBorders>
            <w:shd w:val="clear" w:color="000000" w:fill="BFBFBF"/>
            <w:noWrap/>
            <w:vAlign w:val="bottom"/>
            <w:hideMark/>
          </w:tcPr>
          <w:p w14:paraId="13D539EE"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2004</w:t>
            </w:r>
          </w:p>
        </w:tc>
        <w:tc>
          <w:tcPr>
            <w:tcW w:w="597" w:type="pct"/>
            <w:tcBorders>
              <w:top w:val="nil"/>
              <w:left w:val="nil"/>
              <w:bottom w:val="single" w:sz="4" w:space="0" w:color="auto"/>
              <w:right w:val="single" w:sz="8" w:space="0" w:color="auto"/>
            </w:tcBorders>
            <w:shd w:val="clear" w:color="000000" w:fill="BFBFBF"/>
            <w:noWrap/>
            <w:vAlign w:val="bottom"/>
            <w:hideMark/>
          </w:tcPr>
          <w:p w14:paraId="761C2A76"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2010</w:t>
            </w:r>
          </w:p>
        </w:tc>
        <w:tc>
          <w:tcPr>
            <w:tcW w:w="597" w:type="pct"/>
            <w:tcBorders>
              <w:top w:val="nil"/>
              <w:left w:val="nil"/>
              <w:bottom w:val="single" w:sz="4" w:space="0" w:color="auto"/>
              <w:right w:val="single" w:sz="4" w:space="0" w:color="auto"/>
            </w:tcBorders>
            <w:shd w:val="clear" w:color="000000" w:fill="BFBFBF"/>
            <w:noWrap/>
            <w:vAlign w:val="bottom"/>
            <w:hideMark/>
          </w:tcPr>
          <w:p w14:paraId="3195EA41"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2004</w:t>
            </w:r>
          </w:p>
        </w:tc>
        <w:tc>
          <w:tcPr>
            <w:tcW w:w="597" w:type="pct"/>
            <w:tcBorders>
              <w:top w:val="nil"/>
              <w:left w:val="nil"/>
              <w:bottom w:val="single" w:sz="4" w:space="0" w:color="auto"/>
              <w:right w:val="single" w:sz="8" w:space="0" w:color="auto"/>
            </w:tcBorders>
            <w:shd w:val="clear" w:color="000000" w:fill="BFBFBF"/>
            <w:noWrap/>
            <w:vAlign w:val="bottom"/>
            <w:hideMark/>
          </w:tcPr>
          <w:p w14:paraId="5F487CFA" w14:textId="77777777" w:rsidR="00302E25" w:rsidRPr="00302E25" w:rsidRDefault="00302E25" w:rsidP="00302E25">
            <w:pPr>
              <w:spacing w:after="0" w:line="240" w:lineRule="auto"/>
              <w:rPr>
                <w:rFonts w:eastAsia="Times New Roman"/>
                <w:b/>
                <w:bCs/>
                <w:color w:val="000000"/>
                <w:lang w:eastAsia="nl-NL"/>
              </w:rPr>
            </w:pPr>
            <w:r w:rsidRPr="00302E25">
              <w:rPr>
                <w:rFonts w:eastAsia="Times New Roman"/>
                <w:b/>
                <w:bCs/>
                <w:color w:val="000000"/>
                <w:lang w:eastAsia="nl-NL"/>
              </w:rPr>
              <w:t>2010</w:t>
            </w:r>
          </w:p>
        </w:tc>
      </w:tr>
      <w:tr w:rsidR="00302E25" w:rsidRPr="00302E25" w14:paraId="6D142FC3" w14:textId="77777777" w:rsidTr="003952F6">
        <w:trPr>
          <w:trHeight w:val="300"/>
        </w:trPr>
        <w:tc>
          <w:tcPr>
            <w:tcW w:w="645" w:type="pct"/>
            <w:tcBorders>
              <w:top w:val="nil"/>
              <w:left w:val="single" w:sz="8" w:space="0" w:color="auto"/>
              <w:bottom w:val="single" w:sz="4" w:space="0" w:color="auto"/>
              <w:right w:val="single" w:sz="4" w:space="0" w:color="auto"/>
            </w:tcBorders>
            <w:shd w:val="clear" w:color="000000" w:fill="DDEBF7"/>
            <w:noWrap/>
            <w:vAlign w:val="bottom"/>
            <w:hideMark/>
          </w:tcPr>
          <w:p w14:paraId="50267E80"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Gender</w:t>
            </w:r>
          </w:p>
        </w:tc>
        <w:tc>
          <w:tcPr>
            <w:tcW w:w="771" w:type="pct"/>
            <w:tcBorders>
              <w:top w:val="nil"/>
              <w:left w:val="nil"/>
              <w:bottom w:val="single" w:sz="4" w:space="0" w:color="auto"/>
              <w:right w:val="single" w:sz="8" w:space="0" w:color="auto"/>
            </w:tcBorders>
            <w:shd w:val="clear" w:color="000000" w:fill="DDEBF7"/>
            <w:noWrap/>
            <w:vAlign w:val="bottom"/>
            <w:hideMark/>
          </w:tcPr>
          <w:p w14:paraId="6FCFCDE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Female</w:t>
            </w:r>
          </w:p>
        </w:tc>
        <w:tc>
          <w:tcPr>
            <w:tcW w:w="597" w:type="pct"/>
            <w:tcBorders>
              <w:top w:val="nil"/>
              <w:left w:val="nil"/>
              <w:bottom w:val="single" w:sz="4" w:space="0" w:color="auto"/>
              <w:right w:val="single" w:sz="4" w:space="0" w:color="auto"/>
            </w:tcBorders>
            <w:shd w:val="clear" w:color="auto" w:fill="auto"/>
            <w:noWrap/>
            <w:hideMark/>
          </w:tcPr>
          <w:p w14:paraId="121A720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58%</w:t>
            </w:r>
          </w:p>
        </w:tc>
        <w:tc>
          <w:tcPr>
            <w:tcW w:w="597" w:type="pct"/>
            <w:tcBorders>
              <w:top w:val="nil"/>
              <w:left w:val="nil"/>
              <w:bottom w:val="single" w:sz="4" w:space="0" w:color="auto"/>
              <w:right w:val="single" w:sz="8" w:space="0" w:color="auto"/>
            </w:tcBorders>
            <w:shd w:val="clear" w:color="auto" w:fill="auto"/>
            <w:noWrap/>
            <w:hideMark/>
          </w:tcPr>
          <w:p w14:paraId="1B964ED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58%</w:t>
            </w:r>
          </w:p>
        </w:tc>
        <w:tc>
          <w:tcPr>
            <w:tcW w:w="597" w:type="pct"/>
            <w:tcBorders>
              <w:top w:val="nil"/>
              <w:left w:val="nil"/>
              <w:bottom w:val="single" w:sz="4" w:space="0" w:color="auto"/>
              <w:right w:val="single" w:sz="4" w:space="0" w:color="auto"/>
            </w:tcBorders>
            <w:shd w:val="clear" w:color="auto" w:fill="auto"/>
            <w:noWrap/>
            <w:hideMark/>
          </w:tcPr>
          <w:p w14:paraId="705B5A1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54%</w:t>
            </w:r>
          </w:p>
        </w:tc>
        <w:tc>
          <w:tcPr>
            <w:tcW w:w="597" w:type="pct"/>
            <w:tcBorders>
              <w:top w:val="nil"/>
              <w:left w:val="nil"/>
              <w:bottom w:val="single" w:sz="4" w:space="0" w:color="auto"/>
              <w:right w:val="single" w:sz="8" w:space="0" w:color="auto"/>
            </w:tcBorders>
            <w:shd w:val="clear" w:color="auto" w:fill="auto"/>
            <w:noWrap/>
            <w:hideMark/>
          </w:tcPr>
          <w:p w14:paraId="7B9BB88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54%</w:t>
            </w:r>
          </w:p>
        </w:tc>
        <w:tc>
          <w:tcPr>
            <w:tcW w:w="597" w:type="pct"/>
            <w:tcBorders>
              <w:top w:val="nil"/>
              <w:left w:val="nil"/>
              <w:bottom w:val="single" w:sz="4" w:space="0" w:color="auto"/>
              <w:right w:val="single" w:sz="4" w:space="0" w:color="auto"/>
            </w:tcBorders>
            <w:shd w:val="clear" w:color="auto" w:fill="auto"/>
            <w:noWrap/>
            <w:hideMark/>
          </w:tcPr>
          <w:p w14:paraId="20024E3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56%</w:t>
            </w:r>
          </w:p>
        </w:tc>
        <w:tc>
          <w:tcPr>
            <w:tcW w:w="597" w:type="pct"/>
            <w:tcBorders>
              <w:top w:val="nil"/>
              <w:left w:val="nil"/>
              <w:bottom w:val="single" w:sz="4" w:space="0" w:color="auto"/>
              <w:right w:val="single" w:sz="8" w:space="0" w:color="auto"/>
            </w:tcBorders>
            <w:shd w:val="clear" w:color="auto" w:fill="auto"/>
            <w:noWrap/>
            <w:hideMark/>
          </w:tcPr>
          <w:p w14:paraId="137E3DC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56%</w:t>
            </w:r>
          </w:p>
        </w:tc>
      </w:tr>
      <w:tr w:rsidR="00302E25" w:rsidRPr="00302E25" w14:paraId="793AEB52" w14:textId="77777777" w:rsidTr="003952F6">
        <w:trPr>
          <w:trHeight w:val="300"/>
        </w:trPr>
        <w:tc>
          <w:tcPr>
            <w:tcW w:w="645" w:type="pct"/>
            <w:vMerge w:val="restart"/>
            <w:tcBorders>
              <w:top w:val="nil"/>
              <w:left w:val="single" w:sz="8" w:space="0" w:color="auto"/>
              <w:bottom w:val="single" w:sz="4" w:space="0" w:color="auto"/>
              <w:right w:val="single" w:sz="4" w:space="0" w:color="auto"/>
            </w:tcBorders>
            <w:shd w:val="clear" w:color="000000" w:fill="DDEBF7"/>
            <w:noWrap/>
            <w:vAlign w:val="center"/>
            <w:hideMark/>
          </w:tcPr>
          <w:p w14:paraId="3A794872"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Age</w:t>
            </w:r>
          </w:p>
        </w:tc>
        <w:tc>
          <w:tcPr>
            <w:tcW w:w="771" w:type="pct"/>
            <w:tcBorders>
              <w:top w:val="nil"/>
              <w:left w:val="nil"/>
              <w:bottom w:val="single" w:sz="4" w:space="0" w:color="auto"/>
              <w:right w:val="single" w:sz="8" w:space="0" w:color="auto"/>
            </w:tcBorders>
            <w:shd w:val="clear" w:color="000000" w:fill="DDEBF7"/>
            <w:noWrap/>
            <w:vAlign w:val="bottom"/>
            <w:hideMark/>
          </w:tcPr>
          <w:p w14:paraId="59DD19F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Group 1</w:t>
            </w:r>
          </w:p>
        </w:tc>
        <w:tc>
          <w:tcPr>
            <w:tcW w:w="597" w:type="pct"/>
            <w:tcBorders>
              <w:top w:val="nil"/>
              <w:left w:val="nil"/>
              <w:bottom w:val="single" w:sz="4" w:space="0" w:color="auto"/>
              <w:right w:val="single" w:sz="4" w:space="0" w:color="auto"/>
            </w:tcBorders>
            <w:shd w:val="clear" w:color="auto" w:fill="auto"/>
            <w:noWrap/>
            <w:hideMark/>
          </w:tcPr>
          <w:p w14:paraId="123965A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59%</w:t>
            </w:r>
          </w:p>
        </w:tc>
        <w:tc>
          <w:tcPr>
            <w:tcW w:w="597" w:type="pct"/>
            <w:tcBorders>
              <w:top w:val="nil"/>
              <w:left w:val="nil"/>
              <w:bottom w:val="single" w:sz="4" w:space="0" w:color="auto"/>
              <w:right w:val="single" w:sz="8" w:space="0" w:color="auto"/>
            </w:tcBorders>
            <w:shd w:val="clear" w:color="auto" w:fill="auto"/>
            <w:noWrap/>
            <w:hideMark/>
          </w:tcPr>
          <w:p w14:paraId="3EFCAFF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59%</w:t>
            </w:r>
          </w:p>
        </w:tc>
        <w:tc>
          <w:tcPr>
            <w:tcW w:w="597" w:type="pct"/>
            <w:tcBorders>
              <w:top w:val="nil"/>
              <w:left w:val="nil"/>
              <w:bottom w:val="single" w:sz="4" w:space="0" w:color="auto"/>
              <w:right w:val="single" w:sz="4" w:space="0" w:color="auto"/>
            </w:tcBorders>
            <w:shd w:val="clear" w:color="auto" w:fill="auto"/>
            <w:noWrap/>
            <w:hideMark/>
          </w:tcPr>
          <w:p w14:paraId="7EF7BF2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66%</w:t>
            </w:r>
          </w:p>
        </w:tc>
        <w:tc>
          <w:tcPr>
            <w:tcW w:w="597" w:type="pct"/>
            <w:tcBorders>
              <w:top w:val="nil"/>
              <w:left w:val="nil"/>
              <w:bottom w:val="single" w:sz="4" w:space="0" w:color="auto"/>
              <w:right w:val="single" w:sz="8" w:space="0" w:color="auto"/>
            </w:tcBorders>
            <w:shd w:val="clear" w:color="auto" w:fill="auto"/>
            <w:noWrap/>
            <w:hideMark/>
          </w:tcPr>
          <w:p w14:paraId="016DBB0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66%</w:t>
            </w:r>
          </w:p>
        </w:tc>
        <w:tc>
          <w:tcPr>
            <w:tcW w:w="597" w:type="pct"/>
            <w:tcBorders>
              <w:top w:val="nil"/>
              <w:left w:val="nil"/>
              <w:bottom w:val="single" w:sz="4" w:space="0" w:color="auto"/>
              <w:right w:val="single" w:sz="4" w:space="0" w:color="auto"/>
            </w:tcBorders>
            <w:shd w:val="clear" w:color="auto" w:fill="auto"/>
            <w:noWrap/>
            <w:hideMark/>
          </w:tcPr>
          <w:p w14:paraId="69ADA0E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63%</w:t>
            </w:r>
          </w:p>
        </w:tc>
        <w:tc>
          <w:tcPr>
            <w:tcW w:w="597" w:type="pct"/>
            <w:tcBorders>
              <w:top w:val="nil"/>
              <w:left w:val="nil"/>
              <w:bottom w:val="single" w:sz="4" w:space="0" w:color="auto"/>
              <w:right w:val="single" w:sz="8" w:space="0" w:color="auto"/>
            </w:tcBorders>
            <w:shd w:val="clear" w:color="auto" w:fill="auto"/>
            <w:noWrap/>
            <w:hideMark/>
          </w:tcPr>
          <w:p w14:paraId="4502030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63%</w:t>
            </w:r>
          </w:p>
        </w:tc>
      </w:tr>
      <w:tr w:rsidR="00302E25" w:rsidRPr="00302E25" w14:paraId="2E386BE1"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6462A970"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380B293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Group 2</w:t>
            </w:r>
          </w:p>
        </w:tc>
        <w:tc>
          <w:tcPr>
            <w:tcW w:w="597" w:type="pct"/>
            <w:tcBorders>
              <w:top w:val="nil"/>
              <w:left w:val="nil"/>
              <w:bottom w:val="single" w:sz="4" w:space="0" w:color="auto"/>
              <w:right w:val="single" w:sz="4" w:space="0" w:color="auto"/>
            </w:tcBorders>
            <w:shd w:val="clear" w:color="auto" w:fill="auto"/>
            <w:noWrap/>
            <w:hideMark/>
          </w:tcPr>
          <w:p w14:paraId="1F3A1D8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26%</w:t>
            </w:r>
          </w:p>
        </w:tc>
        <w:tc>
          <w:tcPr>
            <w:tcW w:w="597" w:type="pct"/>
            <w:tcBorders>
              <w:top w:val="nil"/>
              <w:left w:val="nil"/>
              <w:bottom w:val="single" w:sz="4" w:space="0" w:color="auto"/>
              <w:right w:val="single" w:sz="8" w:space="0" w:color="auto"/>
            </w:tcBorders>
            <w:shd w:val="clear" w:color="auto" w:fill="auto"/>
            <w:noWrap/>
            <w:hideMark/>
          </w:tcPr>
          <w:p w14:paraId="138B43A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26%</w:t>
            </w:r>
          </w:p>
        </w:tc>
        <w:tc>
          <w:tcPr>
            <w:tcW w:w="597" w:type="pct"/>
            <w:tcBorders>
              <w:top w:val="nil"/>
              <w:left w:val="nil"/>
              <w:bottom w:val="single" w:sz="4" w:space="0" w:color="auto"/>
              <w:right w:val="single" w:sz="4" w:space="0" w:color="auto"/>
            </w:tcBorders>
            <w:shd w:val="clear" w:color="auto" w:fill="auto"/>
            <w:noWrap/>
            <w:hideMark/>
          </w:tcPr>
          <w:p w14:paraId="60AFD47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22%</w:t>
            </w:r>
          </w:p>
        </w:tc>
        <w:tc>
          <w:tcPr>
            <w:tcW w:w="597" w:type="pct"/>
            <w:tcBorders>
              <w:top w:val="nil"/>
              <w:left w:val="nil"/>
              <w:bottom w:val="single" w:sz="4" w:space="0" w:color="auto"/>
              <w:right w:val="single" w:sz="8" w:space="0" w:color="auto"/>
            </w:tcBorders>
            <w:shd w:val="clear" w:color="auto" w:fill="auto"/>
            <w:noWrap/>
            <w:hideMark/>
          </w:tcPr>
          <w:p w14:paraId="547758F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22%</w:t>
            </w:r>
          </w:p>
        </w:tc>
        <w:tc>
          <w:tcPr>
            <w:tcW w:w="597" w:type="pct"/>
            <w:tcBorders>
              <w:top w:val="nil"/>
              <w:left w:val="nil"/>
              <w:bottom w:val="single" w:sz="4" w:space="0" w:color="auto"/>
              <w:right w:val="single" w:sz="4" w:space="0" w:color="auto"/>
            </w:tcBorders>
            <w:shd w:val="clear" w:color="auto" w:fill="auto"/>
            <w:noWrap/>
            <w:hideMark/>
          </w:tcPr>
          <w:p w14:paraId="019CACE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26%</w:t>
            </w:r>
          </w:p>
        </w:tc>
        <w:tc>
          <w:tcPr>
            <w:tcW w:w="597" w:type="pct"/>
            <w:tcBorders>
              <w:top w:val="nil"/>
              <w:left w:val="nil"/>
              <w:bottom w:val="single" w:sz="4" w:space="0" w:color="auto"/>
              <w:right w:val="single" w:sz="8" w:space="0" w:color="auto"/>
            </w:tcBorders>
            <w:shd w:val="clear" w:color="auto" w:fill="auto"/>
            <w:noWrap/>
            <w:hideMark/>
          </w:tcPr>
          <w:p w14:paraId="72A139EF"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26%</w:t>
            </w:r>
          </w:p>
        </w:tc>
      </w:tr>
      <w:tr w:rsidR="00302E25" w:rsidRPr="00302E25" w14:paraId="6E61B951"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458F64E3"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291E439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Group 3</w:t>
            </w:r>
          </w:p>
        </w:tc>
        <w:tc>
          <w:tcPr>
            <w:tcW w:w="597" w:type="pct"/>
            <w:tcBorders>
              <w:top w:val="nil"/>
              <w:left w:val="nil"/>
              <w:bottom w:val="single" w:sz="4" w:space="0" w:color="auto"/>
              <w:right w:val="single" w:sz="4" w:space="0" w:color="auto"/>
            </w:tcBorders>
            <w:shd w:val="clear" w:color="auto" w:fill="auto"/>
            <w:noWrap/>
            <w:hideMark/>
          </w:tcPr>
          <w:p w14:paraId="0914AE2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15%</w:t>
            </w:r>
          </w:p>
        </w:tc>
        <w:tc>
          <w:tcPr>
            <w:tcW w:w="597" w:type="pct"/>
            <w:tcBorders>
              <w:top w:val="nil"/>
              <w:left w:val="nil"/>
              <w:bottom w:val="single" w:sz="4" w:space="0" w:color="auto"/>
              <w:right w:val="single" w:sz="8" w:space="0" w:color="auto"/>
            </w:tcBorders>
            <w:shd w:val="clear" w:color="auto" w:fill="auto"/>
            <w:noWrap/>
            <w:hideMark/>
          </w:tcPr>
          <w:p w14:paraId="79692ED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15%</w:t>
            </w:r>
          </w:p>
        </w:tc>
        <w:tc>
          <w:tcPr>
            <w:tcW w:w="597" w:type="pct"/>
            <w:tcBorders>
              <w:top w:val="nil"/>
              <w:left w:val="nil"/>
              <w:bottom w:val="single" w:sz="4" w:space="0" w:color="auto"/>
              <w:right w:val="single" w:sz="4" w:space="0" w:color="auto"/>
            </w:tcBorders>
            <w:shd w:val="clear" w:color="auto" w:fill="auto"/>
            <w:noWrap/>
            <w:hideMark/>
          </w:tcPr>
          <w:p w14:paraId="533785F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12%</w:t>
            </w:r>
          </w:p>
        </w:tc>
        <w:tc>
          <w:tcPr>
            <w:tcW w:w="597" w:type="pct"/>
            <w:tcBorders>
              <w:top w:val="nil"/>
              <w:left w:val="nil"/>
              <w:bottom w:val="single" w:sz="4" w:space="0" w:color="auto"/>
              <w:right w:val="single" w:sz="8" w:space="0" w:color="auto"/>
            </w:tcBorders>
            <w:shd w:val="clear" w:color="auto" w:fill="auto"/>
            <w:noWrap/>
            <w:hideMark/>
          </w:tcPr>
          <w:p w14:paraId="141B18B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12%</w:t>
            </w:r>
          </w:p>
        </w:tc>
        <w:tc>
          <w:tcPr>
            <w:tcW w:w="597" w:type="pct"/>
            <w:tcBorders>
              <w:top w:val="nil"/>
              <w:left w:val="nil"/>
              <w:bottom w:val="single" w:sz="4" w:space="0" w:color="auto"/>
              <w:right w:val="single" w:sz="4" w:space="0" w:color="auto"/>
            </w:tcBorders>
            <w:shd w:val="clear" w:color="auto" w:fill="auto"/>
            <w:noWrap/>
            <w:hideMark/>
          </w:tcPr>
          <w:p w14:paraId="6E8F0E7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11%</w:t>
            </w:r>
          </w:p>
        </w:tc>
        <w:tc>
          <w:tcPr>
            <w:tcW w:w="597" w:type="pct"/>
            <w:tcBorders>
              <w:top w:val="nil"/>
              <w:left w:val="nil"/>
              <w:bottom w:val="single" w:sz="4" w:space="0" w:color="auto"/>
              <w:right w:val="single" w:sz="8" w:space="0" w:color="auto"/>
            </w:tcBorders>
            <w:shd w:val="clear" w:color="auto" w:fill="auto"/>
            <w:noWrap/>
            <w:hideMark/>
          </w:tcPr>
          <w:p w14:paraId="012B1F7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11%</w:t>
            </w:r>
          </w:p>
        </w:tc>
      </w:tr>
      <w:tr w:rsidR="00302E25" w:rsidRPr="00302E25" w14:paraId="481D5542" w14:textId="77777777" w:rsidTr="003952F6">
        <w:trPr>
          <w:trHeight w:val="300"/>
        </w:trPr>
        <w:tc>
          <w:tcPr>
            <w:tcW w:w="645" w:type="pct"/>
            <w:vMerge w:val="restart"/>
            <w:tcBorders>
              <w:top w:val="nil"/>
              <w:left w:val="single" w:sz="8" w:space="0" w:color="auto"/>
              <w:bottom w:val="single" w:sz="4" w:space="0" w:color="auto"/>
              <w:right w:val="single" w:sz="4" w:space="0" w:color="auto"/>
            </w:tcBorders>
            <w:shd w:val="clear" w:color="000000" w:fill="DDEBF7"/>
            <w:noWrap/>
            <w:vAlign w:val="center"/>
            <w:hideMark/>
          </w:tcPr>
          <w:p w14:paraId="360F4A05"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ISCED</w:t>
            </w:r>
          </w:p>
        </w:tc>
        <w:tc>
          <w:tcPr>
            <w:tcW w:w="771" w:type="pct"/>
            <w:tcBorders>
              <w:top w:val="nil"/>
              <w:left w:val="nil"/>
              <w:bottom w:val="single" w:sz="4" w:space="0" w:color="auto"/>
              <w:right w:val="single" w:sz="8" w:space="0" w:color="auto"/>
            </w:tcBorders>
            <w:shd w:val="clear" w:color="000000" w:fill="DDEBF7"/>
            <w:noWrap/>
            <w:vAlign w:val="bottom"/>
            <w:hideMark/>
          </w:tcPr>
          <w:p w14:paraId="03976EE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Low</w:t>
            </w:r>
          </w:p>
        </w:tc>
        <w:tc>
          <w:tcPr>
            <w:tcW w:w="597" w:type="pct"/>
            <w:tcBorders>
              <w:top w:val="nil"/>
              <w:left w:val="nil"/>
              <w:bottom w:val="single" w:sz="4" w:space="0" w:color="auto"/>
              <w:right w:val="single" w:sz="4" w:space="0" w:color="auto"/>
            </w:tcBorders>
            <w:shd w:val="clear" w:color="auto" w:fill="auto"/>
            <w:noWrap/>
            <w:hideMark/>
          </w:tcPr>
          <w:p w14:paraId="638703B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29%</w:t>
            </w:r>
          </w:p>
        </w:tc>
        <w:tc>
          <w:tcPr>
            <w:tcW w:w="597" w:type="pct"/>
            <w:tcBorders>
              <w:top w:val="nil"/>
              <w:left w:val="nil"/>
              <w:bottom w:val="single" w:sz="4" w:space="0" w:color="auto"/>
              <w:right w:val="single" w:sz="8" w:space="0" w:color="auto"/>
            </w:tcBorders>
            <w:shd w:val="clear" w:color="auto" w:fill="auto"/>
            <w:noWrap/>
            <w:hideMark/>
          </w:tcPr>
          <w:p w14:paraId="4DA55A5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29%</w:t>
            </w:r>
          </w:p>
        </w:tc>
        <w:tc>
          <w:tcPr>
            <w:tcW w:w="597" w:type="pct"/>
            <w:tcBorders>
              <w:top w:val="nil"/>
              <w:left w:val="nil"/>
              <w:bottom w:val="single" w:sz="4" w:space="0" w:color="auto"/>
              <w:right w:val="single" w:sz="4" w:space="0" w:color="auto"/>
            </w:tcBorders>
            <w:shd w:val="clear" w:color="auto" w:fill="auto"/>
            <w:noWrap/>
            <w:hideMark/>
          </w:tcPr>
          <w:p w14:paraId="5B88A36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8" w:space="0" w:color="auto"/>
            </w:tcBorders>
            <w:shd w:val="clear" w:color="auto" w:fill="auto"/>
            <w:noWrap/>
            <w:hideMark/>
          </w:tcPr>
          <w:p w14:paraId="23F1D62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4" w:space="0" w:color="auto"/>
            </w:tcBorders>
            <w:shd w:val="clear" w:color="auto" w:fill="auto"/>
            <w:noWrap/>
            <w:hideMark/>
          </w:tcPr>
          <w:p w14:paraId="0FB0617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46%</w:t>
            </w:r>
          </w:p>
        </w:tc>
        <w:tc>
          <w:tcPr>
            <w:tcW w:w="597" w:type="pct"/>
            <w:tcBorders>
              <w:top w:val="nil"/>
              <w:left w:val="nil"/>
              <w:bottom w:val="single" w:sz="4" w:space="0" w:color="auto"/>
              <w:right w:val="single" w:sz="8" w:space="0" w:color="auto"/>
            </w:tcBorders>
            <w:shd w:val="clear" w:color="auto" w:fill="auto"/>
            <w:noWrap/>
            <w:hideMark/>
          </w:tcPr>
          <w:p w14:paraId="7C97016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46%</w:t>
            </w:r>
          </w:p>
        </w:tc>
      </w:tr>
      <w:tr w:rsidR="00302E25" w:rsidRPr="00302E25" w14:paraId="29C9E45D"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285CAF9A"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06C96CA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Mid</w:t>
            </w:r>
          </w:p>
        </w:tc>
        <w:tc>
          <w:tcPr>
            <w:tcW w:w="597" w:type="pct"/>
            <w:tcBorders>
              <w:top w:val="nil"/>
              <w:left w:val="nil"/>
              <w:bottom w:val="single" w:sz="4" w:space="0" w:color="auto"/>
              <w:right w:val="single" w:sz="4" w:space="0" w:color="auto"/>
            </w:tcBorders>
            <w:shd w:val="clear" w:color="auto" w:fill="auto"/>
            <w:noWrap/>
            <w:hideMark/>
          </w:tcPr>
          <w:p w14:paraId="7859337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30%</w:t>
            </w:r>
          </w:p>
        </w:tc>
        <w:tc>
          <w:tcPr>
            <w:tcW w:w="597" w:type="pct"/>
            <w:tcBorders>
              <w:top w:val="nil"/>
              <w:left w:val="nil"/>
              <w:bottom w:val="single" w:sz="4" w:space="0" w:color="auto"/>
              <w:right w:val="single" w:sz="8" w:space="0" w:color="auto"/>
            </w:tcBorders>
            <w:shd w:val="clear" w:color="auto" w:fill="auto"/>
            <w:noWrap/>
            <w:hideMark/>
          </w:tcPr>
          <w:p w14:paraId="1118CB1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30%</w:t>
            </w:r>
          </w:p>
        </w:tc>
        <w:tc>
          <w:tcPr>
            <w:tcW w:w="597" w:type="pct"/>
            <w:tcBorders>
              <w:top w:val="nil"/>
              <w:left w:val="nil"/>
              <w:bottom w:val="single" w:sz="4" w:space="0" w:color="auto"/>
              <w:right w:val="single" w:sz="4" w:space="0" w:color="auto"/>
            </w:tcBorders>
            <w:shd w:val="clear" w:color="auto" w:fill="auto"/>
            <w:noWrap/>
            <w:hideMark/>
          </w:tcPr>
          <w:p w14:paraId="7F3480F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43%</w:t>
            </w:r>
          </w:p>
        </w:tc>
        <w:tc>
          <w:tcPr>
            <w:tcW w:w="597" w:type="pct"/>
            <w:tcBorders>
              <w:top w:val="nil"/>
              <w:left w:val="nil"/>
              <w:bottom w:val="single" w:sz="4" w:space="0" w:color="auto"/>
              <w:right w:val="single" w:sz="8" w:space="0" w:color="auto"/>
            </w:tcBorders>
            <w:shd w:val="clear" w:color="auto" w:fill="auto"/>
            <w:noWrap/>
            <w:hideMark/>
          </w:tcPr>
          <w:p w14:paraId="1C45038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43%</w:t>
            </w:r>
          </w:p>
        </w:tc>
        <w:tc>
          <w:tcPr>
            <w:tcW w:w="597" w:type="pct"/>
            <w:tcBorders>
              <w:top w:val="nil"/>
              <w:left w:val="nil"/>
              <w:bottom w:val="single" w:sz="4" w:space="0" w:color="auto"/>
              <w:right w:val="single" w:sz="4" w:space="0" w:color="auto"/>
            </w:tcBorders>
            <w:shd w:val="clear" w:color="auto" w:fill="auto"/>
            <w:noWrap/>
            <w:hideMark/>
          </w:tcPr>
          <w:p w14:paraId="1EA57D68"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40%</w:t>
            </w:r>
          </w:p>
        </w:tc>
        <w:tc>
          <w:tcPr>
            <w:tcW w:w="597" w:type="pct"/>
            <w:tcBorders>
              <w:top w:val="nil"/>
              <w:left w:val="nil"/>
              <w:bottom w:val="single" w:sz="4" w:space="0" w:color="auto"/>
              <w:right w:val="single" w:sz="8" w:space="0" w:color="auto"/>
            </w:tcBorders>
            <w:shd w:val="clear" w:color="auto" w:fill="auto"/>
            <w:noWrap/>
            <w:hideMark/>
          </w:tcPr>
          <w:p w14:paraId="4DC8C21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40%</w:t>
            </w:r>
          </w:p>
        </w:tc>
      </w:tr>
      <w:tr w:rsidR="00302E25" w:rsidRPr="00302E25" w14:paraId="204C4193"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414A83A0"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62A861A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High</w:t>
            </w:r>
          </w:p>
        </w:tc>
        <w:tc>
          <w:tcPr>
            <w:tcW w:w="597" w:type="pct"/>
            <w:tcBorders>
              <w:top w:val="nil"/>
              <w:left w:val="nil"/>
              <w:bottom w:val="single" w:sz="4" w:space="0" w:color="auto"/>
              <w:right w:val="single" w:sz="4" w:space="0" w:color="auto"/>
            </w:tcBorders>
            <w:shd w:val="clear" w:color="auto" w:fill="auto"/>
            <w:noWrap/>
            <w:hideMark/>
          </w:tcPr>
          <w:p w14:paraId="70B7E77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40%</w:t>
            </w:r>
          </w:p>
        </w:tc>
        <w:tc>
          <w:tcPr>
            <w:tcW w:w="597" w:type="pct"/>
            <w:tcBorders>
              <w:top w:val="nil"/>
              <w:left w:val="nil"/>
              <w:bottom w:val="single" w:sz="4" w:space="0" w:color="auto"/>
              <w:right w:val="single" w:sz="8" w:space="0" w:color="auto"/>
            </w:tcBorders>
            <w:shd w:val="clear" w:color="auto" w:fill="auto"/>
            <w:noWrap/>
            <w:hideMark/>
          </w:tcPr>
          <w:p w14:paraId="5A36995D"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40%</w:t>
            </w:r>
          </w:p>
        </w:tc>
        <w:tc>
          <w:tcPr>
            <w:tcW w:w="597" w:type="pct"/>
            <w:tcBorders>
              <w:top w:val="nil"/>
              <w:left w:val="nil"/>
              <w:bottom w:val="single" w:sz="4" w:space="0" w:color="auto"/>
              <w:right w:val="single" w:sz="4" w:space="0" w:color="auto"/>
            </w:tcBorders>
            <w:shd w:val="clear" w:color="auto" w:fill="auto"/>
            <w:noWrap/>
            <w:hideMark/>
          </w:tcPr>
          <w:p w14:paraId="7BA6715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36%</w:t>
            </w:r>
          </w:p>
        </w:tc>
        <w:tc>
          <w:tcPr>
            <w:tcW w:w="597" w:type="pct"/>
            <w:tcBorders>
              <w:top w:val="nil"/>
              <w:left w:val="nil"/>
              <w:bottom w:val="single" w:sz="4" w:space="0" w:color="auto"/>
              <w:right w:val="single" w:sz="8" w:space="0" w:color="auto"/>
            </w:tcBorders>
            <w:shd w:val="clear" w:color="auto" w:fill="auto"/>
            <w:noWrap/>
            <w:hideMark/>
          </w:tcPr>
          <w:p w14:paraId="3B57917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36%</w:t>
            </w:r>
          </w:p>
        </w:tc>
        <w:tc>
          <w:tcPr>
            <w:tcW w:w="597" w:type="pct"/>
            <w:tcBorders>
              <w:top w:val="nil"/>
              <w:left w:val="nil"/>
              <w:bottom w:val="single" w:sz="4" w:space="0" w:color="auto"/>
              <w:right w:val="single" w:sz="4" w:space="0" w:color="auto"/>
            </w:tcBorders>
            <w:shd w:val="clear" w:color="auto" w:fill="auto"/>
            <w:noWrap/>
            <w:hideMark/>
          </w:tcPr>
          <w:p w14:paraId="2974612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14%</w:t>
            </w:r>
          </w:p>
        </w:tc>
        <w:tc>
          <w:tcPr>
            <w:tcW w:w="597" w:type="pct"/>
            <w:tcBorders>
              <w:top w:val="nil"/>
              <w:left w:val="nil"/>
              <w:bottom w:val="single" w:sz="4" w:space="0" w:color="auto"/>
              <w:right w:val="single" w:sz="8" w:space="0" w:color="auto"/>
            </w:tcBorders>
            <w:shd w:val="clear" w:color="auto" w:fill="auto"/>
            <w:noWrap/>
            <w:hideMark/>
          </w:tcPr>
          <w:p w14:paraId="70C0676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14%</w:t>
            </w:r>
          </w:p>
        </w:tc>
      </w:tr>
      <w:tr w:rsidR="00302E25" w:rsidRPr="00302E25" w14:paraId="085DEE74" w14:textId="77777777" w:rsidTr="003952F6">
        <w:trPr>
          <w:trHeight w:val="300"/>
        </w:trPr>
        <w:tc>
          <w:tcPr>
            <w:tcW w:w="645" w:type="pct"/>
            <w:tcBorders>
              <w:top w:val="nil"/>
              <w:left w:val="single" w:sz="8" w:space="0" w:color="auto"/>
              <w:bottom w:val="single" w:sz="4" w:space="0" w:color="auto"/>
              <w:right w:val="single" w:sz="4" w:space="0" w:color="auto"/>
            </w:tcBorders>
            <w:shd w:val="clear" w:color="000000" w:fill="DDEBF7"/>
            <w:noWrap/>
            <w:vAlign w:val="bottom"/>
            <w:hideMark/>
          </w:tcPr>
          <w:p w14:paraId="287C65D1"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Active</w:t>
            </w:r>
          </w:p>
        </w:tc>
        <w:tc>
          <w:tcPr>
            <w:tcW w:w="771" w:type="pct"/>
            <w:tcBorders>
              <w:top w:val="nil"/>
              <w:left w:val="nil"/>
              <w:bottom w:val="single" w:sz="4" w:space="0" w:color="auto"/>
              <w:right w:val="single" w:sz="8" w:space="0" w:color="auto"/>
            </w:tcBorders>
            <w:shd w:val="clear" w:color="000000" w:fill="DDEBF7"/>
            <w:noWrap/>
            <w:vAlign w:val="bottom"/>
            <w:hideMark/>
          </w:tcPr>
          <w:p w14:paraId="475ACC5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Weekly</w:t>
            </w:r>
          </w:p>
        </w:tc>
        <w:tc>
          <w:tcPr>
            <w:tcW w:w="597" w:type="pct"/>
            <w:tcBorders>
              <w:top w:val="nil"/>
              <w:left w:val="nil"/>
              <w:bottom w:val="single" w:sz="4" w:space="0" w:color="auto"/>
              <w:right w:val="single" w:sz="4" w:space="0" w:color="auto"/>
            </w:tcBorders>
            <w:shd w:val="clear" w:color="auto" w:fill="auto"/>
            <w:noWrap/>
            <w:hideMark/>
          </w:tcPr>
          <w:p w14:paraId="015E9934"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45%</w:t>
            </w:r>
          </w:p>
        </w:tc>
        <w:tc>
          <w:tcPr>
            <w:tcW w:w="597" w:type="pct"/>
            <w:tcBorders>
              <w:top w:val="nil"/>
              <w:left w:val="nil"/>
              <w:bottom w:val="single" w:sz="4" w:space="0" w:color="auto"/>
              <w:right w:val="single" w:sz="8" w:space="0" w:color="auto"/>
            </w:tcBorders>
            <w:shd w:val="clear" w:color="auto" w:fill="auto"/>
            <w:noWrap/>
            <w:hideMark/>
          </w:tcPr>
          <w:p w14:paraId="252800B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37%</w:t>
            </w:r>
          </w:p>
        </w:tc>
        <w:tc>
          <w:tcPr>
            <w:tcW w:w="597" w:type="pct"/>
            <w:tcBorders>
              <w:top w:val="nil"/>
              <w:left w:val="nil"/>
              <w:bottom w:val="single" w:sz="4" w:space="0" w:color="auto"/>
              <w:right w:val="single" w:sz="4" w:space="0" w:color="auto"/>
            </w:tcBorders>
            <w:shd w:val="clear" w:color="auto" w:fill="auto"/>
            <w:noWrap/>
            <w:hideMark/>
          </w:tcPr>
          <w:p w14:paraId="0AB00F0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69%</w:t>
            </w:r>
          </w:p>
        </w:tc>
        <w:tc>
          <w:tcPr>
            <w:tcW w:w="597" w:type="pct"/>
            <w:tcBorders>
              <w:top w:val="nil"/>
              <w:left w:val="nil"/>
              <w:bottom w:val="single" w:sz="4" w:space="0" w:color="auto"/>
              <w:right w:val="single" w:sz="8" w:space="0" w:color="auto"/>
            </w:tcBorders>
            <w:shd w:val="clear" w:color="auto" w:fill="auto"/>
            <w:noWrap/>
            <w:hideMark/>
          </w:tcPr>
          <w:p w14:paraId="1F3D3468"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49%</w:t>
            </w:r>
          </w:p>
        </w:tc>
        <w:tc>
          <w:tcPr>
            <w:tcW w:w="597" w:type="pct"/>
            <w:tcBorders>
              <w:top w:val="nil"/>
              <w:left w:val="nil"/>
              <w:bottom w:val="single" w:sz="4" w:space="0" w:color="auto"/>
              <w:right w:val="single" w:sz="4" w:space="0" w:color="auto"/>
            </w:tcBorders>
            <w:shd w:val="clear" w:color="auto" w:fill="auto"/>
            <w:noWrap/>
            <w:hideMark/>
          </w:tcPr>
          <w:p w14:paraId="0A10461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64%</w:t>
            </w:r>
          </w:p>
        </w:tc>
        <w:tc>
          <w:tcPr>
            <w:tcW w:w="597" w:type="pct"/>
            <w:tcBorders>
              <w:top w:val="nil"/>
              <w:left w:val="nil"/>
              <w:bottom w:val="single" w:sz="4" w:space="0" w:color="auto"/>
              <w:right w:val="single" w:sz="8" w:space="0" w:color="auto"/>
            </w:tcBorders>
            <w:shd w:val="clear" w:color="auto" w:fill="auto"/>
            <w:noWrap/>
            <w:hideMark/>
          </w:tcPr>
          <w:p w14:paraId="2D5DF3C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51%</w:t>
            </w:r>
          </w:p>
        </w:tc>
      </w:tr>
      <w:tr w:rsidR="00302E25" w:rsidRPr="00302E25" w14:paraId="44F68EFB" w14:textId="77777777" w:rsidTr="003952F6">
        <w:trPr>
          <w:trHeight w:val="300"/>
        </w:trPr>
        <w:tc>
          <w:tcPr>
            <w:tcW w:w="645" w:type="pct"/>
            <w:tcBorders>
              <w:top w:val="nil"/>
              <w:left w:val="single" w:sz="8" w:space="0" w:color="auto"/>
              <w:bottom w:val="single" w:sz="4" w:space="0" w:color="auto"/>
              <w:right w:val="single" w:sz="4" w:space="0" w:color="auto"/>
            </w:tcBorders>
            <w:shd w:val="clear" w:color="000000" w:fill="DDEBF7"/>
            <w:noWrap/>
            <w:vAlign w:val="bottom"/>
            <w:hideMark/>
          </w:tcPr>
          <w:p w14:paraId="1691891C"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Income</w:t>
            </w:r>
          </w:p>
        </w:tc>
        <w:tc>
          <w:tcPr>
            <w:tcW w:w="771" w:type="pct"/>
            <w:tcBorders>
              <w:top w:val="nil"/>
              <w:left w:val="nil"/>
              <w:bottom w:val="single" w:sz="4" w:space="0" w:color="auto"/>
              <w:right w:val="single" w:sz="8" w:space="0" w:color="auto"/>
            </w:tcBorders>
            <w:shd w:val="clear" w:color="000000" w:fill="DDEBF7"/>
            <w:noWrap/>
            <w:vAlign w:val="bottom"/>
            <w:hideMark/>
          </w:tcPr>
          <w:p w14:paraId="6845B26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Low</w:t>
            </w:r>
          </w:p>
        </w:tc>
        <w:tc>
          <w:tcPr>
            <w:tcW w:w="597" w:type="pct"/>
            <w:tcBorders>
              <w:top w:val="nil"/>
              <w:left w:val="nil"/>
              <w:bottom w:val="single" w:sz="4" w:space="0" w:color="auto"/>
              <w:right w:val="single" w:sz="4" w:space="0" w:color="auto"/>
            </w:tcBorders>
            <w:shd w:val="clear" w:color="auto" w:fill="auto"/>
            <w:noWrap/>
            <w:hideMark/>
          </w:tcPr>
          <w:p w14:paraId="54D9F69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19%</w:t>
            </w:r>
          </w:p>
        </w:tc>
        <w:tc>
          <w:tcPr>
            <w:tcW w:w="597" w:type="pct"/>
            <w:tcBorders>
              <w:top w:val="nil"/>
              <w:left w:val="nil"/>
              <w:bottom w:val="single" w:sz="4" w:space="0" w:color="auto"/>
              <w:right w:val="single" w:sz="8" w:space="0" w:color="auto"/>
            </w:tcBorders>
            <w:shd w:val="clear" w:color="auto" w:fill="auto"/>
            <w:noWrap/>
            <w:hideMark/>
          </w:tcPr>
          <w:p w14:paraId="48D5E6D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4" w:space="0" w:color="auto"/>
            </w:tcBorders>
            <w:shd w:val="clear" w:color="auto" w:fill="auto"/>
            <w:noWrap/>
            <w:hideMark/>
          </w:tcPr>
          <w:p w14:paraId="51063DE5"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18%</w:t>
            </w:r>
          </w:p>
        </w:tc>
        <w:tc>
          <w:tcPr>
            <w:tcW w:w="597" w:type="pct"/>
            <w:tcBorders>
              <w:top w:val="nil"/>
              <w:left w:val="nil"/>
              <w:bottom w:val="single" w:sz="4" w:space="0" w:color="auto"/>
              <w:right w:val="single" w:sz="8" w:space="0" w:color="auto"/>
            </w:tcBorders>
            <w:shd w:val="clear" w:color="auto" w:fill="auto"/>
            <w:noWrap/>
            <w:hideMark/>
          </w:tcPr>
          <w:p w14:paraId="778147F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24%</w:t>
            </w:r>
          </w:p>
        </w:tc>
        <w:tc>
          <w:tcPr>
            <w:tcW w:w="597" w:type="pct"/>
            <w:tcBorders>
              <w:top w:val="nil"/>
              <w:left w:val="nil"/>
              <w:bottom w:val="single" w:sz="4" w:space="0" w:color="auto"/>
              <w:right w:val="single" w:sz="4" w:space="0" w:color="auto"/>
            </w:tcBorders>
            <w:shd w:val="clear" w:color="auto" w:fill="auto"/>
            <w:noWrap/>
            <w:hideMark/>
          </w:tcPr>
          <w:p w14:paraId="35B2BD6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18%</w:t>
            </w:r>
          </w:p>
        </w:tc>
        <w:tc>
          <w:tcPr>
            <w:tcW w:w="597" w:type="pct"/>
            <w:tcBorders>
              <w:top w:val="nil"/>
              <w:left w:val="nil"/>
              <w:bottom w:val="single" w:sz="4" w:space="0" w:color="auto"/>
              <w:right w:val="single" w:sz="8" w:space="0" w:color="auto"/>
            </w:tcBorders>
            <w:shd w:val="clear" w:color="auto" w:fill="auto"/>
            <w:noWrap/>
            <w:hideMark/>
          </w:tcPr>
          <w:p w14:paraId="2518D6D6"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23%</w:t>
            </w:r>
          </w:p>
        </w:tc>
      </w:tr>
      <w:tr w:rsidR="00302E25" w:rsidRPr="00302E25" w14:paraId="3EEC1D9A" w14:textId="77777777" w:rsidTr="003952F6">
        <w:trPr>
          <w:trHeight w:val="300"/>
        </w:trPr>
        <w:tc>
          <w:tcPr>
            <w:tcW w:w="645" w:type="pct"/>
            <w:vMerge w:val="restart"/>
            <w:tcBorders>
              <w:top w:val="nil"/>
              <w:left w:val="single" w:sz="8" w:space="0" w:color="auto"/>
              <w:bottom w:val="single" w:sz="4" w:space="0" w:color="auto"/>
              <w:right w:val="single" w:sz="4" w:space="0" w:color="auto"/>
            </w:tcBorders>
            <w:shd w:val="clear" w:color="000000" w:fill="DDEBF7"/>
            <w:vAlign w:val="center"/>
            <w:hideMark/>
          </w:tcPr>
          <w:p w14:paraId="41D818B6"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lastRenderedPageBreak/>
              <w:t xml:space="preserve">Food </w:t>
            </w:r>
            <w:r w:rsidRPr="00302E25">
              <w:rPr>
                <w:rFonts w:eastAsia="Times New Roman"/>
                <w:b/>
                <w:bCs/>
                <w:color w:val="000000"/>
                <w:lang w:eastAsia="nl-NL"/>
              </w:rPr>
              <w:br/>
              <w:t>consumption</w:t>
            </w:r>
          </w:p>
        </w:tc>
        <w:tc>
          <w:tcPr>
            <w:tcW w:w="771" w:type="pct"/>
            <w:tcBorders>
              <w:top w:val="nil"/>
              <w:left w:val="nil"/>
              <w:bottom w:val="single" w:sz="4" w:space="0" w:color="auto"/>
              <w:right w:val="single" w:sz="8" w:space="0" w:color="auto"/>
            </w:tcBorders>
            <w:shd w:val="clear" w:color="000000" w:fill="DDEBF7"/>
            <w:noWrap/>
            <w:vAlign w:val="bottom"/>
            <w:hideMark/>
          </w:tcPr>
          <w:p w14:paraId="1A38DCA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Low</w:t>
            </w:r>
          </w:p>
        </w:tc>
        <w:tc>
          <w:tcPr>
            <w:tcW w:w="597" w:type="pct"/>
            <w:tcBorders>
              <w:top w:val="nil"/>
              <w:left w:val="nil"/>
              <w:bottom w:val="single" w:sz="4" w:space="0" w:color="auto"/>
              <w:right w:val="single" w:sz="4" w:space="0" w:color="auto"/>
            </w:tcBorders>
            <w:shd w:val="clear" w:color="auto" w:fill="auto"/>
            <w:noWrap/>
            <w:hideMark/>
          </w:tcPr>
          <w:p w14:paraId="1276BB88"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8" w:space="0" w:color="auto"/>
            </w:tcBorders>
            <w:shd w:val="clear" w:color="auto" w:fill="auto"/>
            <w:noWrap/>
            <w:hideMark/>
          </w:tcPr>
          <w:p w14:paraId="70050C5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4" w:space="0" w:color="auto"/>
            </w:tcBorders>
            <w:shd w:val="clear" w:color="auto" w:fill="auto"/>
            <w:noWrap/>
            <w:hideMark/>
          </w:tcPr>
          <w:p w14:paraId="0CB7982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22%</w:t>
            </w:r>
          </w:p>
        </w:tc>
        <w:tc>
          <w:tcPr>
            <w:tcW w:w="597" w:type="pct"/>
            <w:tcBorders>
              <w:top w:val="nil"/>
              <w:left w:val="nil"/>
              <w:bottom w:val="single" w:sz="4" w:space="0" w:color="auto"/>
              <w:right w:val="single" w:sz="8" w:space="0" w:color="auto"/>
            </w:tcBorders>
            <w:shd w:val="clear" w:color="auto" w:fill="auto"/>
            <w:noWrap/>
            <w:hideMark/>
          </w:tcPr>
          <w:p w14:paraId="7A55310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4" w:space="0" w:color="auto"/>
            </w:tcBorders>
            <w:shd w:val="clear" w:color="auto" w:fill="auto"/>
            <w:noWrap/>
            <w:hideMark/>
          </w:tcPr>
          <w:p w14:paraId="314725C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23%</w:t>
            </w:r>
          </w:p>
        </w:tc>
        <w:tc>
          <w:tcPr>
            <w:tcW w:w="597" w:type="pct"/>
            <w:tcBorders>
              <w:top w:val="nil"/>
              <w:left w:val="nil"/>
              <w:bottom w:val="single" w:sz="4" w:space="0" w:color="auto"/>
              <w:right w:val="single" w:sz="8" w:space="0" w:color="auto"/>
            </w:tcBorders>
            <w:shd w:val="clear" w:color="auto" w:fill="auto"/>
            <w:noWrap/>
            <w:hideMark/>
          </w:tcPr>
          <w:p w14:paraId="1181E2F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24%</w:t>
            </w:r>
          </w:p>
        </w:tc>
      </w:tr>
      <w:tr w:rsidR="00302E25" w:rsidRPr="00302E25" w14:paraId="479D6004"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033885ED"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2A76749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Mid</w:t>
            </w:r>
          </w:p>
        </w:tc>
        <w:tc>
          <w:tcPr>
            <w:tcW w:w="597" w:type="pct"/>
            <w:tcBorders>
              <w:top w:val="nil"/>
              <w:left w:val="nil"/>
              <w:bottom w:val="single" w:sz="4" w:space="0" w:color="auto"/>
              <w:right w:val="single" w:sz="4" w:space="0" w:color="auto"/>
            </w:tcBorders>
            <w:shd w:val="clear" w:color="auto" w:fill="auto"/>
            <w:noWrap/>
            <w:hideMark/>
          </w:tcPr>
          <w:p w14:paraId="1D62C39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59%</w:t>
            </w:r>
          </w:p>
        </w:tc>
        <w:tc>
          <w:tcPr>
            <w:tcW w:w="597" w:type="pct"/>
            <w:tcBorders>
              <w:top w:val="nil"/>
              <w:left w:val="nil"/>
              <w:bottom w:val="single" w:sz="4" w:space="0" w:color="auto"/>
              <w:right w:val="single" w:sz="8" w:space="0" w:color="auto"/>
            </w:tcBorders>
            <w:shd w:val="clear" w:color="auto" w:fill="auto"/>
            <w:noWrap/>
            <w:hideMark/>
          </w:tcPr>
          <w:p w14:paraId="70F6F57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60%</w:t>
            </w:r>
          </w:p>
        </w:tc>
        <w:tc>
          <w:tcPr>
            <w:tcW w:w="597" w:type="pct"/>
            <w:tcBorders>
              <w:top w:val="nil"/>
              <w:left w:val="nil"/>
              <w:bottom w:val="single" w:sz="4" w:space="0" w:color="auto"/>
              <w:right w:val="single" w:sz="4" w:space="0" w:color="auto"/>
            </w:tcBorders>
            <w:shd w:val="clear" w:color="auto" w:fill="auto"/>
            <w:noWrap/>
            <w:hideMark/>
          </w:tcPr>
          <w:p w14:paraId="4D3490A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58%</w:t>
            </w:r>
          </w:p>
        </w:tc>
        <w:tc>
          <w:tcPr>
            <w:tcW w:w="597" w:type="pct"/>
            <w:tcBorders>
              <w:top w:val="nil"/>
              <w:left w:val="nil"/>
              <w:bottom w:val="single" w:sz="4" w:space="0" w:color="auto"/>
              <w:right w:val="single" w:sz="8" w:space="0" w:color="auto"/>
            </w:tcBorders>
            <w:shd w:val="clear" w:color="auto" w:fill="auto"/>
            <w:noWrap/>
            <w:hideMark/>
          </w:tcPr>
          <w:p w14:paraId="749D509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60%</w:t>
            </w:r>
          </w:p>
        </w:tc>
        <w:tc>
          <w:tcPr>
            <w:tcW w:w="597" w:type="pct"/>
            <w:tcBorders>
              <w:top w:val="nil"/>
              <w:left w:val="nil"/>
              <w:bottom w:val="single" w:sz="4" w:space="0" w:color="auto"/>
              <w:right w:val="single" w:sz="4" w:space="0" w:color="auto"/>
            </w:tcBorders>
            <w:shd w:val="clear" w:color="auto" w:fill="auto"/>
            <w:noWrap/>
            <w:hideMark/>
          </w:tcPr>
          <w:p w14:paraId="522ABF53"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57%</w:t>
            </w:r>
          </w:p>
        </w:tc>
        <w:tc>
          <w:tcPr>
            <w:tcW w:w="597" w:type="pct"/>
            <w:tcBorders>
              <w:top w:val="nil"/>
              <w:left w:val="nil"/>
              <w:bottom w:val="single" w:sz="4" w:space="0" w:color="auto"/>
              <w:right w:val="single" w:sz="8" w:space="0" w:color="auto"/>
            </w:tcBorders>
            <w:shd w:val="clear" w:color="auto" w:fill="auto"/>
            <w:noWrap/>
            <w:hideMark/>
          </w:tcPr>
          <w:p w14:paraId="4CFAABCB"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57%</w:t>
            </w:r>
          </w:p>
        </w:tc>
      </w:tr>
      <w:tr w:rsidR="00302E25" w:rsidRPr="00302E25" w14:paraId="6DF35595" w14:textId="77777777" w:rsidTr="003952F6">
        <w:trPr>
          <w:trHeight w:val="300"/>
        </w:trPr>
        <w:tc>
          <w:tcPr>
            <w:tcW w:w="645" w:type="pct"/>
            <w:vMerge/>
            <w:tcBorders>
              <w:top w:val="nil"/>
              <w:left w:val="single" w:sz="8" w:space="0" w:color="auto"/>
              <w:bottom w:val="single" w:sz="4" w:space="0" w:color="auto"/>
              <w:right w:val="single" w:sz="4" w:space="0" w:color="auto"/>
            </w:tcBorders>
            <w:vAlign w:val="center"/>
            <w:hideMark/>
          </w:tcPr>
          <w:p w14:paraId="7B79480D" w14:textId="77777777" w:rsidR="00302E25" w:rsidRPr="00302E25" w:rsidRDefault="00302E25" w:rsidP="00302E25">
            <w:pPr>
              <w:spacing w:after="0" w:line="240" w:lineRule="auto"/>
              <w:rPr>
                <w:rFonts w:eastAsia="Times New Roman"/>
                <w:b/>
                <w:bCs/>
                <w:color w:val="000000"/>
                <w:lang w:eastAsia="nl-NL"/>
              </w:rPr>
            </w:pPr>
          </w:p>
        </w:tc>
        <w:tc>
          <w:tcPr>
            <w:tcW w:w="771" w:type="pct"/>
            <w:tcBorders>
              <w:top w:val="nil"/>
              <w:left w:val="nil"/>
              <w:bottom w:val="single" w:sz="4" w:space="0" w:color="auto"/>
              <w:right w:val="single" w:sz="8" w:space="0" w:color="auto"/>
            </w:tcBorders>
            <w:shd w:val="clear" w:color="000000" w:fill="DDEBF7"/>
            <w:noWrap/>
            <w:vAlign w:val="bottom"/>
            <w:hideMark/>
          </w:tcPr>
          <w:p w14:paraId="76CE095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High</w:t>
            </w:r>
          </w:p>
        </w:tc>
        <w:tc>
          <w:tcPr>
            <w:tcW w:w="597" w:type="pct"/>
            <w:tcBorders>
              <w:top w:val="nil"/>
              <w:left w:val="nil"/>
              <w:bottom w:val="single" w:sz="4" w:space="0" w:color="auto"/>
              <w:right w:val="single" w:sz="4" w:space="0" w:color="auto"/>
            </w:tcBorders>
            <w:shd w:val="clear" w:color="auto" w:fill="auto"/>
            <w:noWrap/>
            <w:hideMark/>
          </w:tcPr>
          <w:p w14:paraId="5948462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21%</w:t>
            </w:r>
          </w:p>
        </w:tc>
        <w:tc>
          <w:tcPr>
            <w:tcW w:w="597" w:type="pct"/>
            <w:tcBorders>
              <w:top w:val="nil"/>
              <w:left w:val="nil"/>
              <w:bottom w:val="single" w:sz="4" w:space="0" w:color="auto"/>
              <w:right w:val="single" w:sz="8" w:space="0" w:color="auto"/>
            </w:tcBorders>
            <w:shd w:val="clear" w:color="auto" w:fill="auto"/>
            <w:noWrap/>
            <w:hideMark/>
          </w:tcPr>
          <w:p w14:paraId="44B875BA"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4" w:space="0" w:color="auto"/>
            </w:tcBorders>
            <w:shd w:val="clear" w:color="auto" w:fill="auto"/>
            <w:noWrap/>
            <w:hideMark/>
          </w:tcPr>
          <w:p w14:paraId="73892A7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8" w:space="0" w:color="auto"/>
            </w:tcBorders>
            <w:shd w:val="clear" w:color="auto" w:fill="auto"/>
            <w:noWrap/>
            <w:hideMark/>
          </w:tcPr>
          <w:p w14:paraId="702E5B5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4" w:space="0" w:color="auto"/>
            </w:tcBorders>
            <w:shd w:val="clear" w:color="auto" w:fill="auto"/>
            <w:noWrap/>
            <w:hideMark/>
          </w:tcPr>
          <w:p w14:paraId="3D73D3AE"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20%</w:t>
            </w:r>
          </w:p>
        </w:tc>
        <w:tc>
          <w:tcPr>
            <w:tcW w:w="597" w:type="pct"/>
            <w:tcBorders>
              <w:top w:val="nil"/>
              <w:left w:val="nil"/>
              <w:bottom w:val="single" w:sz="4" w:space="0" w:color="auto"/>
              <w:right w:val="single" w:sz="8" w:space="0" w:color="auto"/>
            </w:tcBorders>
            <w:shd w:val="clear" w:color="auto" w:fill="auto"/>
            <w:noWrap/>
            <w:hideMark/>
          </w:tcPr>
          <w:p w14:paraId="1F8C8C6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19%</w:t>
            </w:r>
          </w:p>
        </w:tc>
      </w:tr>
      <w:tr w:rsidR="00302E25" w:rsidRPr="00302E25" w14:paraId="1D269178" w14:textId="77777777" w:rsidTr="003952F6">
        <w:trPr>
          <w:trHeight w:val="315"/>
        </w:trPr>
        <w:tc>
          <w:tcPr>
            <w:tcW w:w="645" w:type="pct"/>
            <w:tcBorders>
              <w:top w:val="nil"/>
              <w:left w:val="single" w:sz="8" w:space="0" w:color="auto"/>
              <w:bottom w:val="single" w:sz="8" w:space="0" w:color="auto"/>
              <w:right w:val="single" w:sz="4" w:space="0" w:color="auto"/>
            </w:tcBorders>
            <w:shd w:val="clear" w:color="000000" w:fill="DDEBF7"/>
            <w:noWrap/>
            <w:vAlign w:val="bottom"/>
            <w:hideMark/>
          </w:tcPr>
          <w:p w14:paraId="2B27333C" w14:textId="77777777" w:rsidR="00302E25" w:rsidRPr="00302E25" w:rsidRDefault="00302E25" w:rsidP="00302E25">
            <w:pPr>
              <w:spacing w:after="0" w:line="240" w:lineRule="auto"/>
              <w:jc w:val="center"/>
              <w:rPr>
                <w:rFonts w:eastAsia="Times New Roman"/>
                <w:b/>
                <w:bCs/>
                <w:color w:val="000000"/>
                <w:lang w:eastAsia="nl-NL"/>
              </w:rPr>
            </w:pPr>
            <w:r w:rsidRPr="00302E25">
              <w:rPr>
                <w:rFonts w:eastAsia="Times New Roman"/>
                <w:b/>
                <w:bCs/>
                <w:color w:val="000000"/>
                <w:lang w:eastAsia="nl-NL"/>
              </w:rPr>
              <w:t>Child health</w:t>
            </w:r>
          </w:p>
        </w:tc>
        <w:tc>
          <w:tcPr>
            <w:tcW w:w="771" w:type="pct"/>
            <w:tcBorders>
              <w:top w:val="nil"/>
              <w:left w:val="nil"/>
              <w:bottom w:val="single" w:sz="8" w:space="0" w:color="auto"/>
              <w:right w:val="single" w:sz="8" w:space="0" w:color="auto"/>
            </w:tcBorders>
            <w:shd w:val="clear" w:color="000000" w:fill="DDEBF7"/>
            <w:noWrap/>
            <w:vAlign w:val="bottom"/>
            <w:hideMark/>
          </w:tcPr>
          <w:p w14:paraId="19E5534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Poor</w:t>
            </w:r>
          </w:p>
        </w:tc>
        <w:tc>
          <w:tcPr>
            <w:tcW w:w="597" w:type="pct"/>
            <w:tcBorders>
              <w:top w:val="nil"/>
              <w:left w:val="nil"/>
              <w:bottom w:val="single" w:sz="8" w:space="0" w:color="auto"/>
              <w:right w:val="single" w:sz="4" w:space="0" w:color="auto"/>
            </w:tcBorders>
            <w:shd w:val="clear" w:color="auto" w:fill="auto"/>
            <w:noWrap/>
            <w:hideMark/>
          </w:tcPr>
          <w:p w14:paraId="0DB7788C"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11%</w:t>
            </w:r>
          </w:p>
        </w:tc>
        <w:tc>
          <w:tcPr>
            <w:tcW w:w="597" w:type="pct"/>
            <w:tcBorders>
              <w:top w:val="nil"/>
              <w:left w:val="nil"/>
              <w:bottom w:val="single" w:sz="8" w:space="0" w:color="auto"/>
              <w:right w:val="single" w:sz="8" w:space="0" w:color="auto"/>
            </w:tcBorders>
            <w:shd w:val="clear" w:color="auto" w:fill="auto"/>
            <w:noWrap/>
            <w:hideMark/>
          </w:tcPr>
          <w:p w14:paraId="52985279"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11%</w:t>
            </w:r>
          </w:p>
        </w:tc>
        <w:tc>
          <w:tcPr>
            <w:tcW w:w="597" w:type="pct"/>
            <w:tcBorders>
              <w:top w:val="nil"/>
              <w:left w:val="nil"/>
              <w:bottom w:val="single" w:sz="8" w:space="0" w:color="auto"/>
              <w:right w:val="single" w:sz="4" w:space="0" w:color="auto"/>
            </w:tcBorders>
            <w:shd w:val="clear" w:color="auto" w:fill="auto"/>
            <w:noWrap/>
            <w:hideMark/>
          </w:tcPr>
          <w:p w14:paraId="38A0CDF7"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9%</w:t>
            </w:r>
          </w:p>
        </w:tc>
        <w:tc>
          <w:tcPr>
            <w:tcW w:w="597" w:type="pct"/>
            <w:tcBorders>
              <w:top w:val="nil"/>
              <w:left w:val="nil"/>
              <w:bottom w:val="single" w:sz="8" w:space="0" w:color="auto"/>
              <w:right w:val="single" w:sz="8" w:space="0" w:color="auto"/>
            </w:tcBorders>
            <w:shd w:val="clear" w:color="auto" w:fill="auto"/>
            <w:noWrap/>
            <w:hideMark/>
          </w:tcPr>
          <w:p w14:paraId="0C0A46B0"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9%</w:t>
            </w:r>
          </w:p>
        </w:tc>
        <w:tc>
          <w:tcPr>
            <w:tcW w:w="597" w:type="pct"/>
            <w:tcBorders>
              <w:top w:val="nil"/>
              <w:left w:val="nil"/>
              <w:bottom w:val="single" w:sz="8" w:space="0" w:color="auto"/>
              <w:right w:val="single" w:sz="4" w:space="0" w:color="auto"/>
            </w:tcBorders>
            <w:shd w:val="clear" w:color="auto" w:fill="auto"/>
            <w:noWrap/>
            <w:hideMark/>
          </w:tcPr>
          <w:p w14:paraId="01468C22"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11%</w:t>
            </w:r>
          </w:p>
        </w:tc>
        <w:tc>
          <w:tcPr>
            <w:tcW w:w="597" w:type="pct"/>
            <w:tcBorders>
              <w:top w:val="nil"/>
              <w:left w:val="nil"/>
              <w:bottom w:val="single" w:sz="8" w:space="0" w:color="auto"/>
              <w:right w:val="single" w:sz="8" w:space="0" w:color="auto"/>
            </w:tcBorders>
            <w:shd w:val="clear" w:color="auto" w:fill="auto"/>
            <w:noWrap/>
            <w:hideMark/>
          </w:tcPr>
          <w:p w14:paraId="0A7A9EB1" w14:textId="77777777" w:rsidR="00302E25" w:rsidRPr="00302E25" w:rsidRDefault="00302E25" w:rsidP="00302E25">
            <w:pPr>
              <w:spacing w:after="0" w:line="240" w:lineRule="auto"/>
              <w:rPr>
                <w:rFonts w:eastAsia="Times New Roman"/>
                <w:color w:val="000000"/>
                <w:lang w:eastAsia="nl-NL"/>
              </w:rPr>
            </w:pPr>
            <w:r w:rsidRPr="00302E25">
              <w:rPr>
                <w:rFonts w:eastAsia="Times New Roman"/>
                <w:color w:val="000000"/>
                <w:lang w:eastAsia="nl-NL"/>
              </w:rPr>
              <w:t>11%</w:t>
            </w:r>
          </w:p>
        </w:tc>
      </w:tr>
    </w:tbl>
    <w:p w14:paraId="6BA76B2A" w14:textId="77777777" w:rsidR="00AA385D" w:rsidRDefault="00AA385D" w:rsidP="00AA385D">
      <w:pPr>
        <w:rPr>
          <w:b/>
          <w:lang w:val="en-US"/>
        </w:rPr>
      </w:pPr>
    </w:p>
    <w:p w14:paraId="10C72628" w14:textId="77777777" w:rsidR="00AA385D" w:rsidRDefault="00AA385D" w:rsidP="00AA385D">
      <w:pPr>
        <w:rPr>
          <w:b/>
          <w:lang w:val="en-US"/>
        </w:rPr>
      </w:pPr>
    </w:p>
    <w:p w14:paraId="430F7A03" w14:textId="77777777" w:rsidR="00AA385D" w:rsidRDefault="00AA385D" w:rsidP="00AA385D">
      <w:pPr>
        <w:rPr>
          <w:b/>
          <w:lang w:val="en-US"/>
        </w:rPr>
      </w:pPr>
    </w:p>
    <w:p w14:paraId="43C8A8BF" w14:textId="77777777" w:rsidR="00302E25" w:rsidRDefault="00302E25" w:rsidP="00AA385D">
      <w:pPr>
        <w:rPr>
          <w:b/>
          <w:lang w:val="en-US"/>
        </w:rPr>
      </w:pPr>
    </w:p>
    <w:p w14:paraId="03FE7132" w14:textId="77777777" w:rsidR="00302E25" w:rsidRDefault="00302E25" w:rsidP="00AA385D">
      <w:pPr>
        <w:rPr>
          <w:b/>
          <w:lang w:val="en-US"/>
        </w:rPr>
      </w:pPr>
    </w:p>
    <w:p w14:paraId="53493B6B" w14:textId="77777777" w:rsidR="00302E25" w:rsidRDefault="00302E25" w:rsidP="00AA385D">
      <w:pPr>
        <w:rPr>
          <w:b/>
          <w:lang w:val="en-US"/>
        </w:rPr>
      </w:pPr>
    </w:p>
    <w:p w14:paraId="3B7950D0" w14:textId="77777777" w:rsidR="00302E25" w:rsidRDefault="00302E25" w:rsidP="00AA385D">
      <w:pPr>
        <w:rPr>
          <w:b/>
          <w:lang w:val="en-US"/>
        </w:rPr>
      </w:pPr>
    </w:p>
    <w:p w14:paraId="381E0657" w14:textId="77777777" w:rsidR="00302E25" w:rsidRDefault="00302E25" w:rsidP="00AA385D">
      <w:pPr>
        <w:rPr>
          <w:b/>
          <w:lang w:val="en-US"/>
        </w:rPr>
      </w:pPr>
    </w:p>
    <w:p w14:paraId="72E61C15" w14:textId="77777777" w:rsidR="00302E25" w:rsidRDefault="00302E25" w:rsidP="00AA385D">
      <w:pPr>
        <w:rPr>
          <w:b/>
          <w:lang w:val="en-US"/>
        </w:rPr>
      </w:pPr>
    </w:p>
    <w:p w14:paraId="00D041BA" w14:textId="07005A02" w:rsidR="00AA385D" w:rsidRDefault="002E3723" w:rsidP="00AA385D">
      <w:pPr>
        <w:rPr>
          <w:b/>
          <w:lang w:val="en-US"/>
        </w:rPr>
      </w:pPr>
      <w:r>
        <w:rPr>
          <w:b/>
          <w:lang w:val="en-US"/>
        </w:rPr>
        <w:t>Figur</w:t>
      </w:r>
      <w:r w:rsidR="00AA385D">
        <w:rPr>
          <w:b/>
          <w:lang w:val="en-US"/>
        </w:rPr>
        <w:t xml:space="preserve">e </w:t>
      </w:r>
      <w:r>
        <w:rPr>
          <w:b/>
          <w:lang w:val="en-US"/>
        </w:rPr>
        <w:t>3</w:t>
      </w:r>
      <w:r w:rsidR="00AA385D">
        <w:rPr>
          <w:b/>
          <w:lang w:val="en-US"/>
        </w:rPr>
        <w:t xml:space="preserve">: </w:t>
      </w:r>
      <w:r w:rsidR="0015760C">
        <w:rPr>
          <w:b/>
          <w:lang w:val="en-US"/>
        </w:rPr>
        <w:t xml:space="preserve">Average BMI by age </w:t>
      </w:r>
    </w:p>
    <w:p w14:paraId="507625DB" w14:textId="77777777" w:rsidR="00231509" w:rsidRDefault="0015760C" w:rsidP="00AA385D">
      <w:pPr>
        <w:rPr>
          <w:b/>
          <w:lang w:val="en-US"/>
        </w:rPr>
      </w:pPr>
      <w:r w:rsidRPr="0015760C">
        <w:rPr>
          <w:b/>
          <w:noProof/>
          <w:lang w:val="en-GB" w:eastAsia="en-GB"/>
        </w:rPr>
        <w:lastRenderedPageBreak/>
        <w:drawing>
          <wp:inline distT="0" distB="0" distL="0" distR="0" wp14:anchorId="568B0AD0" wp14:editId="2F2AC41A">
            <wp:extent cx="4493260" cy="3247390"/>
            <wp:effectExtent l="0" t="0" r="2540" b="0"/>
            <wp:docPr id="55" name="Picture 55" descr="C:\Users\l.vandenhoeven\Desktop\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vandenhoeven\Desktop\Capture.PN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493260" cy="3247390"/>
                    </a:xfrm>
                    <a:prstGeom prst="rect">
                      <a:avLst/>
                    </a:prstGeom>
                    <a:noFill/>
                    <a:ln>
                      <a:noFill/>
                    </a:ln>
                  </pic:spPr>
                </pic:pic>
              </a:graphicData>
            </a:graphic>
          </wp:inline>
        </w:drawing>
      </w:r>
    </w:p>
    <w:p w14:paraId="7A8224A8" w14:textId="77777777" w:rsidR="00CA699B" w:rsidRDefault="00CA699B" w:rsidP="00AA385D">
      <w:pPr>
        <w:rPr>
          <w:b/>
          <w:lang w:val="en-US"/>
        </w:rPr>
      </w:pPr>
    </w:p>
    <w:p w14:paraId="5F971F9E" w14:textId="462FB36C" w:rsidR="00AA385D" w:rsidRDefault="00AA385D" w:rsidP="00AA385D">
      <w:pPr>
        <w:rPr>
          <w:b/>
          <w:lang w:val="en-US"/>
        </w:rPr>
      </w:pPr>
      <w:r>
        <w:rPr>
          <w:b/>
          <w:lang w:val="en-US"/>
        </w:rPr>
        <w:t>Table</w:t>
      </w:r>
      <w:r w:rsidR="002E3723">
        <w:rPr>
          <w:b/>
          <w:lang w:val="en-US"/>
        </w:rPr>
        <w:t>s</w:t>
      </w:r>
      <w:r>
        <w:rPr>
          <w:b/>
          <w:lang w:val="en-US"/>
        </w:rPr>
        <w:t xml:space="preserve"> </w:t>
      </w:r>
      <w:r w:rsidR="002E3723">
        <w:rPr>
          <w:b/>
          <w:lang w:val="en-US"/>
        </w:rPr>
        <w:t xml:space="preserve">7 </w:t>
      </w:r>
      <w:r w:rsidR="00231509">
        <w:rPr>
          <w:b/>
          <w:lang w:val="en-US"/>
        </w:rPr>
        <w:t>-</w:t>
      </w:r>
      <w:r w:rsidR="002E3723">
        <w:rPr>
          <w:b/>
          <w:lang w:val="en-US"/>
        </w:rPr>
        <w:t xml:space="preserve"> 9</w:t>
      </w:r>
      <w:r>
        <w:rPr>
          <w:b/>
          <w:lang w:val="en-US"/>
        </w:rPr>
        <w:t xml:space="preserve">: </w:t>
      </w:r>
      <w:r w:rsidR="00302E25">
        <w:rPr>
          <w:b/>
          <w:lang w:val="en-US"/>
        </w:rPr>
        <w:t>AG decomposition</w:t>
      </w:r>
      <w:r>
        <w:rPr>
          <w:b/>
          <w:lang w:val="en-US"/>
        </w:rPr>
        <w:t xml:space="preserve">: </w:t>
      </w:r>
      <w:r w:rsidR="00302E25">
        <w:rPr>
          <w:b/>
          <w:lang w:val="en-US"/>
        </w:rPr>
        <w:t xml:space="preserve">Initial change and </w:t>
      </w:r>
      <w:r>
        <w:rPr>
          <w:b/>
          <w:lang w:val="en-US"/>
        </w:rPr>
        <w:t>Re-ranking with 100, 50 and 10</w:t>
      </w:r>
      <w:r w:rsidRPr="001A136A">
        <w:rPr>
          <w:b/>
          <w:lang w:val="en-US"/>
        </w:rPr>
        <w:t xml:space="preserve"> BMI groups</w:t>
      </w:r>
    </w:p>
    <w:tbl>
      <w:tblPr>
        <w:tblW w:w="7961" w:type="dxa"/>
        <w:tblCellMar>
          <w:left w:w="70" w:type="dxa"/>
          <w:right w:w="70" w:type="dxa"/>
        </w:tblCellMar>
        <w:tblLook w:val="04A0" w:firstRow="1" w:lastRow="0" w:firstColumn="1" w:lastColumn="0" w:noHBand="0" w:noVBand="1"/>
      </w:tblPr>
      <w:tblGrid>
        <w:gridCol w:w="1137"/>
        <w:gridCol w:w="2717"/>
        <w:gridCol w:w="2583"/>
        <w:gridCol w:w="1524"/>
      </w:tblGrid>
      <w:tr w:rsidR="003D6B26" w:rsidRPr="00003CB0" w14:paraId="6CBBB41D" w14:textId="77777777" w:rsidTr="003D6B26">
        <w:trPr>
          <w:trHeight w:val="300"/>
        </w:trPr>
        <w:tc>
          <w:tcPr>
            <w:tcW w:w="7961" w:type="dxa"/>
            <w:gridSpan w:val="4"/>
            <w:tcBorders>
              <w:top w:val="single" w:sz="4" w:space="0" w:color="auto"/>
              <w:left w:val="single" w:sz="4" w:space="0" w:color="auto"/>
              <w:bottom w:val="single" w:sz="4" w:space="0" w:color="auto"/>
              <w:right w:val="single" w:sz="4" w:space="0" w:color="auto"/>
            </w:tcBorders>
            <w:shd w:val="clear" w:color="000000" w:fill="D0CECE"/>
            <w:noWrap/>
            <w:vAlign w:val="center"/>
            <w:hideMark/>
          </w:tcPr>
          <w:p w14:paraId="710F22EC" w14:textId="77777777" w:rsidR="003D6B26" w:rsidRPr="00003CB0" w:rsidRDefault="003D6B26" w:rsidP="003D6B26">
            <w:pPr>
              <w:spacing w:after="0" w:line="240" w:lineRule="auto"/>
              <w:jc w:val="center"/>
              <w:rPr>
                <w:rFonts w:eastAsia="Times New Roman" w:cs="Calibri"/>
                <w:b/>
                <w:bCs/>
                <w:color w:val="000000"/>
                <w:lang w:val="en-US" w:eastAsia="nl-NL"/>
              </w:rPr>
            </w:pPr>
            <w:r w:rsidRPr="00003CB0">
              <w:rPr>
                <w:rFonts w:eastAsia="Times New Roman" w:cs="Calibri"/>
                <w:b/>
                <w:bCs/>
                <w:color w:val="000000"/>
                <w:lang w:val="en-US" w:eastAsia="nl-NL"/>
              </w:rPr>
              <w:t>Absolute Gini: Re-ranking with BMI percentiles</w:t>
            </w:r>
          </w:p>
        </w:tc>
      </w:tr>
      <w:tr w:rsidR="003D6B26" w:rsidRPr="003D6B26" w14:paraId="5C8CE40E"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BFBFBF"/>
            <w:noWrap/>
            <w:vAlign w:val="bottom"/>
            <w:hideMark/>
          </w:tcPr>
          <w:p w14:paraId="77F9AA74" w14:textId="77777777" w:rsidR="003D6B26" w:rsidRPr="003D6B26" w:rsidRDefault="003D6B26" w:rsidP="003D6B26">
            <w:pPr>
              <w:spacing w:after="0" w:line="240" w:lineRule="auto"/>
              <w:rPr>
                <w:rFonts w:eastAsia="Times New Roman" w:cs="Calibri"/>
                <w:b/>
                <w:bCs/>
                <w:color w:val="000000"/>
                <w:lang w:eastAsia="nl-NL"/>
              </w:rPr>
            </w:pPr>
            <w:r w:rsidRPr="003D6B26">
              <w:rPr>
                <w:rFonts w:eastAsia="Times New Roman" w:cs="Calibri"/>
                <w:b/>
                <w:bCs/>
                <w:color w:val="000000"/>
                <w:lang w:eastAsia="nl-NL"/>
              </w:rPr>
              <w:t>Country</w:t>
            </w:r>
          </w:p>
        </w:tc>
        <w:tc>
          <w:tcPr>
            <w:tcW w:w="2717" w:type="dxa"/>
            <w:tcBorders>
              <w:top w:val="nil"/>
              <w:left w:val="nil"/>
              <w:bottom w:val="single" w:sz="4" w:space="0" w:color="auto"/>
              <w:right w:val="single" w:sz="4" w:space="0" w:color="auto"/>
            </w:tcBorders>
            <w:shd w:val="clear" w:color="000000" w:fill="BFBFBF"/>
            <w:noWrap/>
            <w:vAlign w:val="bottom"/>
            <w:hideMark/>
          </w:tcPr>
          <w:p w14:paraId="400D0FF6" w14:textId="77777777" w:rsidR="003D6B26" w:rsidRPr="003D6B26" w:rsidRDefault="003D6B26" w:rsidP="003D6B26">
            <w:pPr>
              <w:spacing w:after="0" w:line="240" w:lineRule="auto"/>
              <w:rPr>
                <w:rFonts w:eastAsia="Times New Roman" w:cs="Calibri"/>
                <w:b/>
                <w:bCs/>
                <w:color w:val="000000"/>
                <w:lang w:eastAsia="nl-NL"/>
              </w:rPr>
            </w:pPr>
            <w:r w:rsidRPr="003D6B26">
              <w:rPr>
                <w:rFonts w:eastAsia="Times New Roman" w:cs="Calibri"/>
                <w:b/>
                <w:bCs/>
                <w:color w:val="000000"/>
                <w:lang w:eastAsia="nl-NL"/>
              </w:rPr>
              <w:t>Absolute Inequality</w:t>
            </w:r>
          </w:p>
        </w:tc>
        <w:tc>
          <w:tcPr>
            <w:tcW w:w="2583" w:type="dxa"/>
            <w:tcBorders>
              <w:top w:val="nil"/>
              <w:left w:val="nil"/>
              <w:bottom w:val="single" w:sz="4" w:space="0" w:color="auto"/>
              <w:right w:val="single" w:sz="4" w:space="0" w:color="auto"/>
            </w:tcBorders>
            <w:shd w:val="clear" w:color="000000" w:fill="BFBFBF"/>
            <w:hideMark/>
          </w:tcPr>
          <w:p w14:paraId="502A38E4" w14:textId="77777777" w:rsidR="003D6B26" w:rsidRPr="003D6B26" w:rsidRDefault="003D6B26" w:rsidP="003D6B26">
            <w:pPr>
              <w:spacing w:after="0" w:line="240" w:lineRule="auto"/>
              <w:jc w:val="center"/>
              <w:rPr>
                <w:rFonts w:eastAsia="Times New Roman" w:cs="Calibri"/>
                <w:b/>
                <w:bCs/>
                <w:color w:val="000000"/>
                <w:lang w:eastAsia="nl-NL"/>
              </w:rPr>
            </w:pPr>
            <w:r w:rsidRPr="003D6B26">
              <w:rPr>
                <w:rFonts w:eastAsia="Times New Roman" w:cs="Calibri"/>
                <w:b/>
                <w:bCs/>
                <w:color w:val="000000"/>
                <w:lang w:eastAsia="nl-NL"/>
              </w:rPr>
              <w:t xml:space="preserve">Changes group </w:t>
            </w:r>
          </w:p>
        </w:tc>
        <w:tc>
          <w:tcPr>
            <w:tcW w:w="1524" w:type="dxa"/>
            <w:tcBorders>
              <w:top w:val="nil"/>
              <w:left w:val="nil"/>
              <w:bottom w:val="single" w:sz="4" w:space="0" w:color="auto"/>
              <w:right w:val="single" w:sz="4" w:space="0" w:color="auto"/>
            </w:tcBorders>
            <w:shd w:val="clear" w:color="000000" w:fill="BFBFBF"/>
            <w:noWrap/>
            <w:vAlign w:val="bottom"/>
            <w:hideMark/>
          </w:tcPr>
          <w:p w14:paraId="7ED56B93" w14:textId="77777777" w:rsidR="003D6B26" w:rsidRPr="003D6B26" w:rsidRDefault="003D6B26" w:rsidP="003D6B26">
            <w:pPr>
              <w:spacing w:after="0" w:line="240" w:lineRule="auto"/>
              <w:rPr>
                <w:rFonts w:eastAsia="Times New Roman" w:cs="Calibri"/>
                <w:b/>
                <w:bCs/>
                <w:color w:val="000000"/>
                <w:lang w:eastAsia="nl-NL"/>
              </w:rPr>
            </w:pPr>
            <w:r w:rsidRPr="003D6B26">
              <w:rPr>
                <w:rFonts w:eastAsia="Times New Roman" w:cs="Calibri"/>
                <w:b/>
                <w:bCs/>
                <w:color w:val="000000"/>
                <w:lang w:eastAsia="nl-NL"/>
              </w:rPr>
              <w:t>Re-ranking</w:t>
            </w:r>
          </w:p>
        </w:tc>
      </w:tr>
      <w:tr w:rsidR="003D6B26" w:rsidRPr="003D6B26" w14:paraId="06901AED"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2415DE74"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AT</w:t>
            </w:r>
          </w:p>
        </w:tc>
        <w:tc>
          <w:tcPr>
            <w:tcW w:w="2717" w:type="dxa"/>
            <w:tcBorders>
              <w:top w:val="nil"/>
              <w:left w:val="nil"/>
              <w:bottom w:val="single" w:sz="4" w:space="0" w:color="auto"/>
              <w:right w:val="single" w:sz="4" w:space="0" w:color="auto"/>
            </w:tcBorders>
            <w:shd w:val="clear" w:color="auto" w:fill="auto"/>
            <w:noWrap/>
            <w:hideMark/>
          </w:tcPr>
          <w:p w14:paraId="7603DB2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-0,213</w:t>
            </w:r>
          </w:p>
        </w:tc>
        <w:tc>
          <w:tcPr>
            <w:tcW w:w="2583" w:type="dxa"/>
            <w:tcBorders>
              <w:top w:val="nil"/>
              <w:left w:val="nil"/>
              <w:bottom w:val="single" w:sz="4" w:space="0" w:color="auto"/>
              <w:right w:val="single" w:sz="4" w:space="0" w:color="auto"/>
            </w:tcBorders>
            <w:shd w:val="clear" w:color="auto" w:fill="auto"/>
            <w:noWrap/>
            <w:vAlign w:val="bottom"/>
            <w:hideMark/>
          </w:tcPr>
          <w:p w14:paraId="0CFB97A1" w14:textId="24ADF967" w:rsidR="003D6B26" w:rsidRPr="003D6B26" w:rsidRDefault="00DE63AD" w:rsidP="003D6B26">
            <w:pPr>
              <w:spacing w:after="0" w:line="240" w:lineRule="auto"/>
              <w:jc w:val="center"/>
              <w:rPr>
                <w:rFonts w:eastAsia="Times New Roman" w:cs="Calibri"/>
                <w:color w:val="000000"/>
                <w:lang w:eastAsia="nl-NL"/>
              </w:rPr>
            </w:pPr>
            <w:r>
              <w:rPr>
                <w:rFonts w:eastAsia="Times New Roman" w:cs="Calibri"/>
                <w:color w:val="000000"/>
                <w:lang w:eastAsia="nl-NL"/>
              </w:rPr>
              <w:t>-0,298</w:t>
            </w:r>
          </w:p>
        </w:tc>
        <w:tc>
          <w:tcPr>
            <w:tcW w:w="1524" w:type="dxa"/>
            <w:tcBorders>
              <w:top w:val="nil"/>
              <w:left w:val="nil"/>
              <w:bottom w:val="single" w:sz="4" w:space="0" w:color="auto"/>
              <w:right w:val="single" w:sz="4" w:space="0" w:color="auto"/>
            </w:tcBorders>
            <w:shd w:val="clear" w:color="auto" w:fill="auto"/>
            <w:noWrap/>
            <w:vAlign w:val="bottom"/>
            <w:hideMark/>
          </w:tcPr>
          <w:p w14:paraId="2AF4A5F9"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0,084</w:t>
            </w:r>
          </w:p>
        </w:tc>
      </w:tr>
      <w:tr w:rsidR="003D6B26" w:rsidRPr="003D6B26" w14:paraId="3479BBD5"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6165A4ED"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DE</w:t>
            </w:r>
          </w:p>
        </w:tc>
        <w:tc>
          <w:tcPr>
            <w:tcW w:w="2717" w:type="dxa"/>
            <w:tcBorders>
              <w:top w:val="nil"/>
              <w:left w:val="nil"/>
              <w:bottom w:val="single" w:sz="4" w:space="0" w:color="auto"/>
              <w:right w:val="single" w:sz="4" w:space="0" w:color="auto"/>
            </w:tcBorders>
            <w:shd w:val="clear" w:color="auto" w:fill="auto"/>
            <w:noWrap/>
            <w:hideMark/>
          </w:tcPr>
          <w:p w14:paraId="1375061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-0,158</w:t>
            </w:r>
          </w:p>
        </w:tc>
        <w:tc>
          <w:tcPr>
            <w:tcW w:w="2583" w:type="dxa"/>
            <w:tcBorders>
              <w:top w:val="nil"/>
              <w:left w:val="nil"/>
              <w:bottom w:val="single" w:sz="4" w:space="0" w:color="auto"/>
              <w:right w:val="single" w:sz="4" w:space="0" w:color="auto"/>
            </w:tcBorders>
            <w:shd w:val="clear" w:color="auto" w:fill="auto"/>
            <w:noWrap/>
            <w:vAlign w:val="bottom"/>
            <w:hideMark/>
          </w:tcPr>
          <w:p w14:paraId="0B779313"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-0,200</w:t>
            </w:r>
          </w:p>
        </w:tc>
        <w:tc>
          <w:tcPr>
            <w:tcW w:w="1524" w:type="dxa"/>
            <w:tcBorders>
              <w:top w:val="nil"/>
              <w:left w:val="nil"/>
              <w:bottom w:val="single" w:sz="4" w:space="0" w:color="auto"/>
              <w:right w:val="single" w:sz="4" w:space="0" w:color="auto"/>
            </w:tcBorders>
            <w:shd w:val="clear" w:color="auto" w:fill="auto"/>
            <w:noWrap/>
            <w:vAlign w:val="bottom"/>
            <w:hideMark/>
          </w:tcPr>
          <w:p w14:paraId="0551F6E7"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0,042</w:t>
            </w:r>
          </w:p>
        </w:tc>
      </w:tr>
      <w:tr w:rsidR="003D6B26" w:rsidRPr="003D6B26" w14:paraId="1CC6E3FB"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3D27B1E5"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SE</w:t>
            </w:r>
          </w:p>
        </w:tc>
        <w:tc>
          <w:tcPr>
            <w:tcW w:w="2717" w:type="dxa"/>
            <w:tcBorders>
              <w:top w:val="nil"/>
              <w:left w:val="nil"/>
              <w:bottom w:val="single" w:sz="4" w:space="0" w:color="auto"/>
              <w:right w:val="single" w:sz="4" w:space="0" w:color="auto"/>
            </w:tcBorders>
            <w:shd w:val="clear" w:color="auto" w:fill="auto"/>
            <w:noWrap/>
            <w:hideMark/>
          </w:tcPr>
          <w:p w14:paraId="36E07E07"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-0,036</w:t>
            </w:r>
          </w:p>
        </w:tc>
        <w:tc>
          <w:tcPr>
            <w:tcW w:w="2583" w:type="dxa"/>
            <w:tcBorders>
              <w:top w:val="nil"/>
              <w:left w:val="nil"/>
              <w:bottom w:val="single" w:sz="4" w:space="0" w:color="auto"/>
              <w:right w:val="single" w:sz="4" w:space="0" w:color="auto"/>
            </w:tcBorders>
            <w:shd w:val="clear" w:color="auto" w:fill="auto"/>
            <w:noWrap/>
            <w:vAlign w:val="bottom"/>
            <w:hideMark/>
          </w:tcPr>
          <w:p w14:paraId="5D4F923B"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-0,059</w:t>
            </w:r>
          </w:p>
        </w:tc>
        <w:tc>
          <w:tcPr>
            <w:tcW w:w="1524" w:type="dxa"/>
            <w:tcBorders>
              <w:top w:val="nil"/>
              <w:left w:val="nil"/>
              <w:bottom w:val="single" w:sz="4" w:space="0" w:color="auto"/>
              <w:right w:val="single" w:sz="4" w:space="0" w:color="auto"/>
            </w:tcBorders>
            <w:shd w:val="clear" w:color="auto" w:fill="auto"/>
            <w:noWrap/>
            <w:vAlign w:val="bottom"/>
            <w:hideMark/>
          </w:tcPr>
          <w:p w14:paraId="50A9CA6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0,023</w:t>
            </w:r>
          </w:p>
        </w:tc>
      </w:tr>
      <w:tr w:rsidR="003D6B26" w:rsidRPr="003D6B26" w14:paraId="264CD149"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1524D2C0"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NL</w:t>
            </w:r>
          </w:p>
        </w:tc>
        <w:tc>
          <w:tcPr>
            <w:tcW w:w="2717" w:type="dxa"/>
            <w:tcBorders>
              <w:top w:val="nil"/>
              <w:left w:val="nil"/>
              <w:bottom w:val="single" w:sz="4" w:space="0" w:color="auto"/>
              <w:right w:val="single" w:sz="4" w:space="0" w:color="auto"/>
            </w:tcBorders>
            <w:shd w:val="clear" w:color="auto" w:fill="auto"/>
            <w:noWrap/>
            <w:hideMark/>
          </w:tcPr>
          <w:p w14:paraId="40B5DCED"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-0,064</w:t>
            </w:r>
          </w:p>
        </w:tc>
        <w:tc>
          <w:tcPr>
            <w:tcW w:w="2583" w:type="dxa"/>
            <w:tcBorders>
              <w:top w:val="nil"/>
              <w:left w:val="nil"/>
              <w:bottom w:val="single" w:sz="4" w:space="0" w:color="auto"/>
              <w:right w:val="single" w:sz="4" w:space="0" w:color="auto"/>
            </w:tcBorders>
            <w:shd w:val="clear" w:color="auto" w:fill="auto"/>
            <w:noWrap/>
            <w:vAlign w:val="bottom"/>
            <w:hideMark/>
          </w:tcPr>
          <w:p w14:paraId="1BE94D63"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-0,090</w:t>
            </w:r>
          </w:p>
        </w:tc>
        <w:tc>
          <w:tcPr>
            <w:tcW w:w="1524" w:type="dxa"/>
            <w:tcBorders>
              <w:top w:val="nil"/>
              <w:left w:val="nil"/>
              <w:bottom w:val="single" w:sz="4" w:space="0" w:color="auto"/>
              <w:right w:val="single" w:sz="4" w:space="0" w:color="auto"/>
            </w:tcBorders>
            <w:shd w:val="clear" w:color="auto" w:fill="auto"/>
            <w:noWrap/>
            <w:vAlign w:val="bottom"/>
            <w:hideMark/>
          </w:tcPr>
          <w:p w14:paraId="604A87E9"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0,026</w:t>
            </w:r>
          </w:p>
        </w:tc>
      </w:tr>
      <w:tr w:rsidR="003D6B26" w:rsidRPr="003D6B26" w14:paraId="74FBCA72"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6C05969D"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ES</w:t>
            </w:r>
          </w:p>
        </w:tc>
        <w:tc>
          <w:tcPr>
            <w:tcW w:w="2717" w:type="dxa"/>
            <w:tcBorders>
              <w:top w:val="nil"/>
              <w:left w:val="nil"/>
              <w:bottom w:val="single" w:sz="4" w:space="0" w:color="auto"/>
              <w:right w:val="single" w:sz="4" w:space="0" w:color="auto"/>
            </w:tcBorders>
            <w:shd w:val="clear" w:color="auto" w:fill="auto"/>
            <w:noWrap/>
            <w:hideMark/>
          </w:tcPr>
          <w:p w14:paraId="2D6FEE9C"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-0,491</w:t>
            </w:r>
          </w:p>
        </w:tc>
        <w:tc>
          <w:tcPr>
            <w:tcW w:w="2583" w:type="dxa"/>
            <w:tcBorders>
              <w:top w:val="nil"/>
              <w:left w:val="nil"/>
              <w:bottom w:val="single" w:sz="4" w:space="0" w:color="auto"/>
              <w:right w:val="single" w:sz="4" w:space="0" w:color="auto"/>
            </w:tcBorders>
            <w:shd w:val="clear" w:color="auto" w:fill="auto"/>
            <w:noWrap/>
            <w:vAlign w:val="bottom"/>
            <w:hideMark/>
          </w:tcPr>
          <w:p w14:paraId="3A21ADF7"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-0,531</w:t>
            </w:r>
          </w:p>
        </w:tc>
        <w:tc>
          <w:tcPr>
            <w:tcW w:w="1524" w:type="dxa"/>
            <w:tcBorders>
              <w:top w:val="nil"/>
              <w:left w:val="nil"/>
              <w:bottom w:val="single" w:sz="4" w:space="0" w:color="auto"/>
              <w:right w:val="single" w:sz="4" w:space="0" w:color="auto"/>
            </w:tcBorders>
            <w:shd w:val="clear" w:color="auto" w:fill="auto"/>
            <w:noWrap/>
            <w:vAlign w:val="bottom"/>
            <w:hideMark/>
          </w:tcPr>
          <w:p w14:paraId="391BA7A9"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0,040</w:t>
            </w:r>
          </w:p>
        </w:tc>
      </w:tr>
      <w:tr w:rsidR="003D6B26" w:rsidRPr="003D6B26" w14:paraId="3D762810"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7A925F43"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lastRenderedPageBreak/>
              <w:t>IT</w:t>
            </w:r>
          </w:p>
        </w:tc>
        <w:tc>
          <w:tcPr>
            <w:tcW w:w="2717" w:type="dxa"/>
            <w:tcBorders>
              <w:top w:val="nil"/>
              <w:left w:val="nil"/>
              <w:bottom w:val="single" w:sz="4" w:space="0" w:color="auto"/>
              <w:right w:val="single" w:sz="4" w:space="0" w:color="auto"/>
            </w:tcBorders>
            <w:shd w:val="clear" w:color="auto" w:fill="auto"/>
            <w:noWrap/>
            <w:hideMark/>
          </w:tcPr>
          <w:p w14:paraId="5C5D8440"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-0,321</w:t>
            </w:r>
          </w:p>
        </w:tc>
        <w:tc>
          <w:tcPr>
            <w:tcW w:w="2583" w:type="dxa"/>
            <w:tcBorders>
              <w:top w:val="nil"/>
              <w:left w:val="nil"/>
              <w:bottom w:val="single" w:sz="4" w:space="0" w:color="auto"/>
              <w:right w:val="single" w:sz="4" w:space="0" w:color="auto"/>
            </w:tcBorders>
            <w:shd w:val="clear" w:color="auto" w:fill="auto"/>
            <w:noWrap/>
            <w:vAlign w:val="bottom"/>
            <w:hideMark/>
          </w:tcPr>
          <w:p w14:paraId="0AA76F4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-0,352</w:t>
            </w:r>
          </w:p>
        </w:tc>
        <w:tc>
          <w:tcPr>
            <w:tcW w:w="1524" w:type="dxa"/>
            <w:tcBorders>
              <w:top w:val="nil"/>
              <w:left w:val="nil"/>
              <w:bottom w:val="single" w:sz="4" w:space="0" w:color="auto"/>
              <w:right w:val="single" w:sz="4" w:space="0" w:color="auto"/>
            </w:tcBorders>
            <w:shd w:val="clear" w:color="auto" w:fill="auto"/>
            <w:noWrap/>
            <w:vAlign w:val="bottom"/>
            <w:hideMark/>
          </w:tcPr>
          <w:p w14:paraId="5464E370"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0,031</w:t>
            </w:r>
          </w:p>
        </w:tc>
      </w:tr>
      <w:tr w:rsidR="003D6B26" w:rsidRPr="003D6B26" w14:paraId="6AF7D8B9"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78EBC89F"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FR</w:t>
            </w:r>
          </w:p>
        </w:tc>
        <w:tc>
          <w:tcPr>
            <w:tcW w:w="2717" w:type="dxa"/>
            <w:tcBorders>
              <w:top w:val="nil"/>
              <w:left w:val="nil"/>
              <w:bottom w:val="single" w:sz="4" w:space="0" w:color="auto"/>
              <w:right w:val="single" w:sz="4" w:space="0" w:color="auto"/>
            </w:tcBorders>
            <w:shd w:val="clear" w:color="auto" w:fill="auto"/>
            <w:noWrap/>
            <w:hideMark/>
          </w:tcPr>
          <w:p w14:paraId="087C81AA"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-0,144</w:t>
            </w:r>
          </w:p>
        </w:tc>
        <w:tc>
          <w:tcPr>
            <w:tcW w:w="2583" w:type="dxa"/>
            <w:tcBorders>
              <w:top w:val="nil"/>
              <w:left w:val="nil"/>
              <w:bottom w:val="single" w:sz="4" w:space="0" w:color="auto"/>
              <w:right w:val="single" w:sz="4" w:space="0" w:color="auto"/>
            </w:tcBorders>
            <w:shd w:val="clear" w:color="auto" w:fill="auto"/>
            <w:noWrap/>
            <w:vAlign w:val="bottom"/>
            <w:hideMark/>
          </w:tcPr>
          <w:p w14:paraId="2B86FAA6"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-0,164</w:t>
            </w:r>
          </w:p>
        </w:tc>
        <w:tc>
          <w:tcPr>
            <w:tcW w:w="1524" w:type="dxa"/>
            <w:tcBorders>
              <w:top w:val="nil"/>
              <w:left w:val="nil"/>
              <w:bottom w:val="single" w:sz="4" w:space="0" w:color="auto"/>
              <w:right w:val="single" w:sz="4" w:space="0" w:color="auto"/>
            </w:tcBorders>
            <w:shd w:val="clear" w:color="auto" w:fill="auto"/>
            <w:noWrap/>
            <w:vAlign w:val="bottom"/>
            <w:hideMark/>
          </w:tcPr>
          <w:p w14:paraId="744A8C5E"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0,020</w:t>
            </w:r>
          </w:p>
        </w:tc>
      </w:tr>
      <w:tr w:rsidR="003D6B26" w:rsidRPr="003D6B26" w14:paraId="5F5D2FE4"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414224AC"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DK</w:t>
            </w:r>
          </w:p>
        </w:tc>
        <w:tc>
          <w:tcPr>
            <w:tcW w:w="2717" w:type="dxa"/>
            <w:tcBorders>
              <w:top w:val="nil"/>
              <w:left w:val="nil"/>
              <w:bottom w:val="single" w:sz="4" w:space="0" w:color="auto"/>
              <w:right w:val="single" w:sz="4" w:space="0" w:color="auto"/>
            </w:tcBorders>
            <w:shd w:val="clear" w:color="auto" w:fill="auto"/>
            <w:noWrap/>
            <w:hideMark/>
          </w:tcPr>
          <w:p w14:paraId="2185B0E1"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-0,084</w:t>
            </w:r>
          </w:p>
        </w:tc>
        <w:tc>
          <w:tcPr>
            <w:tcW w:w="2583" w:type="dxa"/>
            <w:tcBorders>
              <w:top w:val="nil"/>
              <w:left w:val="nil"/>
              <w:bottom w:val="single" w:sz="4" w:space="0" w:color="auto"/>
              <w:right w:val="single" w:sz="4" w:space="0" w:color="auto"/>
            </w:tcBorders>
            <w:shd w:val="clear" w:color="auto" w:fill="auto"/>
            <w:noWrap/>
            <w:vAlign w:val="bottom"/>
            <w:hideMark/>
          </w:tcPr>
          <w:p w14:paraId="20DF6BC7"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-0,114</w:t>
            </w:r>
          </w:p>
        </w:tc>
        <w:tc>
          <w:tcPr>
            <w:tcW w:w="1524" w:type="dxa"/>
            <w:tcBorders>
              <w:top w:val="nil"/>
              <w:left w:val="nil"/>
              <w:bottom w:val="single" w:sz="4" w:space="0" w:color="auto"/>
              <w:right w:val="single" w:sz="4" w:space="0" w:color="auto"/>
            </w:tcBorders>
            <w:shd w:val="clear" w:color="auto" w:fill="auto"/>
            <w:noWrap/>
            <w:vAlign w:val="bottom"/>
            <w:hideMark/>
          </w:tcPr>
          <w:p w14:paraId="36366212"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0,030</w:t>
            </w:r>
          </w:p>
        </w:tc>
      </w:tr>
      <w:tr w:rsidR="003D6B26" w:rsidRPr="003D6B26" w14:paraId="3070E9ED"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1503387D"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CH</w:t>
            </w:r>
          </w:p>
        </w:tc>
        <w:tc>
          <w:tcPr>
            <w:tcW w:w="2717" w:type="dxa"/>
            <w:tcBorders>
              <w:top w:val="nil"/>
              <w:left w:val="nil"/>
              <w:bottom w:val="single" w:sz="4" w:space="0" w:color="auto"/>
              <w:right w:val="single" w:sz="4" w:space="0" w:color="auto"/>
            </w:tcBorders>
            <w:shd w:val="clear" w:color="auto" w:fill="auto"/>
            <w:noWrap/>
            <w:hideMark/>
          </w:tcPr>
          <w:p w14:paraId="379AD426"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-0,041</w:t>
            </w:r>
          </w:p>
        </w:tc>
        <w:tc>
          <w:tcPr>
            <w:tcW w:w="2583" w:type="dxa"/>
            <w:tcBorders>
              <w:top w:val="nil"/>
              <w:left w:val="nil"/>
              <w:bottom w:val="single" w:sz="4" w:space="0" w:color="auto"/>
              <w:right w:val="single" w:sz="4" w:space="0" w:color="auto"/>
            </w:tcBorders>
            <w:shd w:val="clear" w:color="auto" w:fill="auto"/>
            <w:noWrap/>
            <w:vAlign w:val="bottom"/>
            <w:hideMark/>
          </w:tcPr>
          <w:p w14:paraId="49C98D3F"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-0,094</w:t>
            </w:r>
          </w:p>
        </w:tc>
        <w:tc>
          <w:tcPr>
            <w:tcW w:w="1524" w:type="dxa"/>
            <w:tcBorders>
              <w:top w:val="nil"/>
              <w:left w:val="nil"/>
              <w:bottom w:val="single" w:sz="4" w:space="0" w:color="auto"/>
              <w:right w:val="single" w:sz="4" w:space="0" w:color="auto"/>
            </w:tcBorders>
            <w:shd w:val="clear" w:color="auto" w:fill="auto"/>
            <w:noWrap/>
            <w:vAlign w:val="bottom"/>
            <w:hideMark/>
          </w:tcPr>
          <w:p w14:paraId="543C82C0"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0,053</w:t>
            </w:r>
          </w:p>
        </w:tc>
      </w:tr>
    </w:tbl>
    <w:p w14:paraId="54C862E5" w14:textId="77777777" w:rsidR="00AA57C7" w:rsidRDefault="00AA57C7" w:rsidP="00AA385D">
      <w:pPr>
        <w:rPr>
          <w:b/>
          <w:lang w:val="en-US"/>
        </w:rPr>
      </w:pPr>
    </w:p>
    <w:tbl>
      <w:tblPr>
        <w:tblW w:w="7961" w:type="dxa"/>
        <w:tblCellMar>
          <w:left w:w="70" w:type="dxa"/>
          <w:right w:w="70" w:type="dxa"/>
        </w:tblCellMar>
        <w:tblLook w:val="04A0" w:firstRow="1" w:lastRow="0" w:firstColumn="1" w:lastColumn="0" w:noHBand="0" w:noVBand="1"/>
      </w:tblPr>
      <w:tblGrid>
        <w:gridCol w:w="1137"/>
        <w:gridCol w:w="2717"/>
        <w:gridCol w:w="2583"/>
        <w:gridCol w:w="1524"/>
      </w:tblGrid>
      <w:tr w:rsidR="003D6B26" w:rsidRPr="00003CB0" w14:paraId="07958DCF" w14:textId="77777777" w:rsidTr="003D6B26">
        <w:trPr>
          <w:trHeight w:val="300"/>
        </w:trPr>
        <w:tc>
          <w:tcPr>
            <w:tcW w:w="7961" w:type="dxa"/>
            <w:gridSpan w:val="4"/>
            <w:tcBorders>
              <w:top w:val="single" w:sz="4" w:space="0" w:color="auto"/>
              <w:left w:val="single" w:sz="4" w:space="0" w:color="auto"/>
              <w:bottom w:val="single" w:sz="4" w:space="0" w:color="auto"/>
              <w:right w:val="single" w:sz="4" w:space="0" w:color="auto"/>
            </w:tcBorders>
            <w:shd w:val="clear" w:color="000000" w:fill="D0CECE"/>
            <w:noWrap/>
            <w:vAlign w:val="center"/>
            <w:hideMark/>
          </w:tcPr>
          <w:p w14:paraId="2A6BE0A3" w14:textId="77777777" w:rsidR="003D6B26" w:rsidRPr="00003CB0" w:rsidRDefault="003D6B26" w:rsidP="003D6B26">
            <w:pPr>
              <w:spacing w:after="0" w:line="240" w:lineRule="auto"/>
              <w:jc w:val="center"/>
              <w:rPr>
                <w:rFonts w:eastAsia="Times New Roman" w:cs="Calibri"/>
                <w:b/>
                <w:bCs/>
                <w:color w:val="000000"/>
                <w:lang w:val="en-US" w:eastAsia="nl-NL"/>
              </w:rPr>
            </w:pPr>
            <w:r w:rsidRPr="00003CB0">
              <w:rPr>
                <w:rFonts w:eastAsia="Times New Roman" w:cs="Calibri"/>
                <w:b/>
                <w:bCs/>
                <w:color w:val="000000"/>
                <w:lang w:val="en-US" w:eastAsia="nl-NL"/>
              </w:rPr>
              <w:t>Absolute Gini: Re-ranking with 50 BMI groups</w:t>
            </w:r>
          </w:p>
        </w:tc>
      </w:tr>
      <w:tr w:rsidR="003D6B26" w:rsidRPr="003D6B26" w14:paraId="147BD17F"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BFBFBF"/>
            <w:noWrap/>
            <w:vAlign w:val="bottom"/>
            <w:hideMark/>
          </w:tcPr>
          <w:p w14:paraId="0F6DE158" w14:textId="77777777" w:rsidR="003D6B26" w:rsidRPr="003D6B26" w:rsidRDefault="003D6B26" w:rsidP="003D6B26">
            <w:pPr>
              <w:spacing w:after="0" w:line="240" w:lineRule="auto"/>
              <w:rPr>
                <w:rFonts w:eastAsia="Times New Roman" w:cs="Calibri"/>
                <w:b/>
                <w:bCs/>
                <w:color w:val="000000"/>
                <w:lang w:eastAsia="nl-NL"/>
              </w:rPr>
            </w:pPr>
            <w:r w:rsidRPr="003D6B26">
              <w:rPr>
                <w:rFonts w:eastAsia="Times New Roman" w:cs="Calibri"/>
                <w:b/>
                <w:bCs/>
                <w:color w:val="000000"/>
                <w:lang w:eastAsia="nl-NL"/>
              </w:rPr>
              <w:t>Country</w:t>
            </w:r>
          </w:p>
        </w:tc>
        <w:tc>
          <w:tcPr>
            <w:tcW w:w="2717" w:type="dxa"/>
            <w:tcBorders>
              <w:top w:val="nil"/>
              <w:left w:val="nil"/>
              <w:bottom w:val="single" w:sz="4" w:space="0" w:color="auto"/>
              <w:right w:val="single" w:sz="4" w:space="0" w:color="auto"/>
            </w:tcBorders>
            <w:shd w:val="clear" w:color="000000" w:fill="BFBFBF"/>
            <w:noWrap/>
            <w:vAlign w:val="bottom"/>
            <w:hideMark/>
          </w:tcPr>
          <w:p w14:paraId="056AA7B7" w14:textId="77777777" w:rsidR="003D6B26" w:rsidRPr="003D6B26" w:rsidRDefault="003D6B26" w:rsidP="003D6B26">
            <w:pPr>
              <w:spacing w:after="0" w:line="240" w:lineRule="auto"/>
              <w:rPr>
                <w:rFonts w:eastAsia="Times New Roman" w:cs="Calibri"/>
                <w:b/>
                <w:bCs/>
                <w:color w:val="000000"/>
                <w:lang w:eastAsia="nl-NL"/>
              </w:rPr>
            </w:pPr>
            <w:r w:rsidRPr="003D6B26">
              <w:rPr>
                <w:rFonts w:eastAsia="Times New Roman" w:cs="Calibri"/>
                <w:b/>
                <w:bCs/>
                <w:color w:val="000000"/>
                <w:lang w:eastAsia="nl-NL"/>
              </w:rPr>
              <w:t>Absolute Inequality</w:t>
            </w:r>
          </w:p>
        </w:tc>
        <w:tc>
          <w:tcPr>
            <w:tcW w:w="2583" w:type="dxa"/>
            <w:tcBorders>
              <w:top w:val="nil"/>
              <w:left w:val="nil"/>
              <w:bottom w:val="single" w:sz="4" w:space="0" w:color="auto"/>
              <w:right w:val="single" w:sz="4" w:space="0" w:color="auto"/>
            </w:tcBorders>
            <w:shd w:val="clear" w:color="000000" w:fill="BFBFBF"/>
            <w:hideMark/>
          </w:tcPr>
          <w:p w14:paraId="67B0DA8A" w14:textId="77777777" w:rsidR="003D6B26" w:rsidRPr="003D6B26" w:rsidRDefault="003D6B26" w:rsidP="003D6B26">
            <w:pPr>
              <w:spacing w:after="0" w:line="240" w:lineRule="auto"/>
              <w:jc w:val="center"/>
              <w:rPr>
                <w:rFonts w:eastAsia="Times New Roman" w:cs="Calibri"/>
                <w:b/>
                <w:bCs/>
                <w:color w:val="000000"/>
                <w:lang w:eastAsia="nl-NL"/>
              </w:rPr>
            </w:pPr>
            <w:r w:rsidRPr="003D6B26">
              <w:rPr>
                <w:rFonts w:eastAsia="Times New Roman" w:cs="Calibri"/>
                <w:b/>
                <w:bCs/>
                <w:color w:val="000000"/>
                <w:lang w:eastAsia="nl-NL"/>
              </w:rPr>
              <w:t xml:space="preserve">Changes group </w:t>
            </w:r>
          </w:p>
        </w:tc>
        <w:tc>
          <w:tcPr>
            <w:tcW w:w="1524" w:type="dxa"/>
            <w:tcBorders>
              <w:top w:val="nil"/>
              <w:left w:val="nil"/>
              <w:bottom w:val="single" w:sz="4" w:space="0" w:color="auto"/>
              <w:right w:val="single" w:sz="4" w:space="0" w:color="auto"/>
            </w:tcBorders>
            <w:shd w:val="clear" w:color="000000" w:fill="BFBFBF"/>
            <w:noWrap/>
            <w:vAlign w:val="bottom"/>
            <w:hideMark/>
          </w:tcPr>
          <w:p w14:paraId="06BCCFC8" w14:textId="77777777" w:rsidR="003D6B26" w:rsidRPr="003D6B26" w:rsidRDefault="003D6B26" w:rsidP="003D6B26">
            <w:pPr>
              <w:spacing w:after="0" w:line="240" w:lineRule="auto"/>
              <w:rPr>
                <w:rFonts w:eastAsia="Times New Roman" w:cs="Calibri"/>
                <w:b/>
                <w:bCs/>
                <w:color w:val="000000"/>
                <w:lang w:eastAsia="nl-NL"/>
              </w:rPr>
            </w:pPr>
            <w:r w:rsidRPr="003D6B26">
              <w:rPr>
                <w:rFonts w:eastAsia="Times New Roman" w:cs="Calibri"/>
                <w:b/>
                <w:bCs/>
                <w:color w:val="000000"/>
                <w:lang w:eastAsia="nl-NL"/>
              </w:rPr>
              <w:t>Re-ranking</w:t>
            </w:r>
          </w:p>
        </w:tc>
      </w:tr>
      <w:tr w:rsidR="003D6B26" w:rsidRPr="003D6B26" w14:paraId="0C955867"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6D20C48F"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AT</w:t>
            </w:r>
          </w:p>
        </w:tc>
        <w:tc>
          <w:tcPr>
            <w:tcW w:w="2717" w:type="dxa"/>
            <w:tcBorders>
              <w:top w:val="nil"/>
              <w:left w:val="nil"/>
              <w:bottom w:val="single" w:sz="4" w:space="0" w:color="auto"/>
              <w:right w:val="single" w:sz="4" w:space="0" w:color="auto"/>
            </w:tcBorders>
            <w:shd w:val="clear" w:color="auto" w:fill="auto"/>
            <w:noWrap/>
            <w:hideMark/>
          </w:tcPr>
          <w:p w14:paraId="1D219079"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-0,258</w:t>
            </w:r>
          </w:p>
        </w:tc>
        <w:tc>
          <w:tcPr>
            <w:tcW w:w="2583" w:type="dxa"/>
            <w:tcBorders>
              <w:top w:val="nil"/>
              <w:left w:val="nil"/>
              <w:bottom w:val="single" w:sz="4" w:space="0" w:color="auto"/>
              <w:right w:val="single" w:sz="4" w:space="0" w:color="auto"/>
            </w:tcBorders>
            <w:shd w:val="clear" w:color="auto" w:fill="auto"/>
            <w:noWrap/>
            <w:vAlign w:val="bottom"/>
            <w:hideMark/>
          </w:tcPr>
          <w:p w14:paraId="2BB02270"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-0,298</w:t>
            </w:r>
          </w:p>
        </w:tc>
        <w:tc>
          <w:tcPr>
            <w:tcW w:w="1524" w:type="dxa"/>
            <w:tcBorders>
              <w:top w:val="nil"/>
              <w:left w:val="nil"/>
              <w:bottom w:val="single" w:sz="4" w:space="0" w:color="auto"/>
              <w:right w:val="single" w:sz="4" w:space="0" w:color="auto"/>
            </w:tcBorders>
            <w:shd w:val="clear" w:color="auto" w:fill="auto"/>
            <w:noWrap/>
            <w:vAlign w:val="bottom"/>
            <w:hideMark/>
          </w:tcPr>
          <w:p w14:paraId="1F25EA2C"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0,040</w:t>
            </w:r>
          </w:p>
        </w:tc>
      </w:tr>
      <w:tr w:rsidR="003D6B26" w:rsidRPr="003D6B26" w14:paraId="0F033B68"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586D26A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DE</w:t>
            </w:r>
          </w:p>
        </w:tc>
        <w:tc>
          <w:tcPr>
            <w:tcW w:w="2717" w:type="dxa"/>
            <w:tcBorders>
              <w:top w:val="nil"/>
              <w:left w:val="nil"/>
              <w:bottom w:val="single" w:sz="4" w:space="0" w:color="auto"/>
              <w:right w:val="single" w:sz="4" w:space="0" w:color="auto"/>
            </w:tcBorders>
            <w:shd w:val="clear" w:color="auto" w:fill="auto"/>
            <w:noWrap/>
            <w:hideMark/>
          </w:tcPr>
          <w:p w14:paraId="6E70E08E"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-0,179</w:t>
            </w:r>
          </w:p>
        </w:tc>
        <w:tc>
          <w:tcPr>
            <w:tcW w:w="2583" w:type="dxa"/>
            <w:tcBorders>
              <w:top w:val="nil"/>
              <w:left w:val="nil"/>
              <w:bottom w:val="single" w:sz="4" w:space="0" w:color="auto"/>
              <w:right w:val="single" w:sz="4" w:space="0" w:color="auto"/>
            </w:tcBorders>
            <w:shd w:val="clear" w:color="auto" w:fill="auto"/>
            <w:noWrap/>
            <w:vAlign w:val="bottom"/>
            <w:hideMark/>
          </w:tcPr>
          <w:p w14:paraId="7B63AC81"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-0,200</w:t>
            </w:r>
          </w:p>
        </w:tc>
        <w:tc>
          <w:tcPr>
            <w:tcW w:w="1524" w:type="dxa"/>
            <w:tcBorders>
              <w:top w:val="nil"/>
              <w:left w:val="nil"/>
              <w:bottom w:val="single" w:sz="4" w:space="0" w:color="auto"/>
              <w:right w:val="single" w:sz="4" w:space="0" w:color="auto"/>
            </w:tcBorders>
            <w:shd w:val="clear" w:color="auto" w:fill="auto"/>
            <w:noWrap/>
            <w:vAlign w:val="bottom"/>
            <w:hideMark/>
          </w:tcPr>
          <w:p w14:paraId="39DDDA0F"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0,022</w:t>
            </w:r>
          </w:p>
        </w:tc>
      </w:tr>
      <w:tr w:rsidR="003D6B26" w:rsidRPr="003D6B26" w14:paraId="304F986C"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0A0AC2FA"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SE</w:t>
            </w:r>
          </w:p>
        </w:tc>
        <w:tc>
          <w:tcPr>
            <w:tcW w:w="2717" w:type="dxa"/>
            <w:tcBorders>
              <w:top w:val="nil"/>
              <w:left w:val="nil"/>
              <w:bottom w:val="single" w:sz="4" w:space="0" w:color="auto"/>
              <w:right w:val="single" w:sz="4" w:space="0" w:color="auto"/>
            </w:tcBorders>
            <w:shd w:val="clear" w:color="auto" w:fill="auto"/>
            <w:noWrap/>
            <w:hideMark/>
          </w:tcPr>
          <w:p w14:paraId="59E69B27"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-0,050</w:t>
            </w:r>
          </w:p>
        </w:tc>
        <w:tc>
          <w:tcPr>
            <w:tcW w:w="2583" w:type="dxa"/>
            <w:tcBorders>
              <w:top w:val="nil"/>
              <w:left w:val="nil"/>
              <w:bottom w:val="single" w:sz="4" w:space="0" w:color="auto"/>
              <w:right w:val="single" w:sz="4" w:space="0" w:color="auto"/>
            </w:tcBorders>
            <w:shd w:val="clear" w:color="auto" w:fill="auto"/>
            <w:noWrap/>
            <w:vAlign w:val="bottom"/>
            <w:hideMark/>
          </w:tcPr>
          <w:p w14:paraId="7EDB190E"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-0,058</w:t>
            </w:r>
          </w:p>
        </w:tc>
        <w:tc>
          <w:tcPr>
            <w:tcW w:w="1524" w:type="dxa"/>
            <w:tcBorders>
              <w:top w:val="nil"/>
              <w:left w:val="nil"/>
              <w:bottom w:val="single" w:sz="4" w:space="0" w:color="auto"/>
              <w:right w:val="single" w:sz="4" w:space="0" w:color="auto"/>
            </w:tcBorders>
            <w:shd w:val="clear" w:color="auto" w:fill="auto"/>
            <w:noWrap/>
            <w:vAlign w:val="bottom"/>
            <w:hideMark/>
          </w:tcPr>
          <w:p w14:paraId="365D31E3"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0,008</w:t>
            </w:r>
          </w:p>
        </w:tc>
      </w:tr>
      <w:tr w:rsidR="003D6B26" w:rsidRPr="003D6B26" w14:paraId="7F8B61AE"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7897419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NL</w:t>
            </w:r>
          </w:p>
        </w:tc>
        <w:tc>
          <w:tcPr>
            <w:tcW w:w="2717" w:type="dxa"/>
            <w:tcBorders>
              <w:top w:val="nil"/>
              <w:left w:val="nil"/>
              <w:bottom w:val="single" w:sz="4" w:space="0" w:color="auto"/>
              <w:right w:val="single" w:sz="4" w:space="0" w:color="auto"/>
            </w:tcBorders>
            <w:shd w:val="clear" w:color="auto" w:fill="auto"/>
            <w:noWrap/>
            <w:hideMark/>
          </w:tcPr>
          <w:p w14:paraId="5DBC66AB"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-0,075</w:t>
            </w:r>
          </w:p>
        </w:tc>
        <w:tc>
          <w:tcPr>
            <w:tcW w:w="2583" w:type="dxa"/>
            <w:tcBorders>
              <w:top w:val="nil"/>
              <w:left w:val="nil"/>
              <w:bottom w:val="single" w:sz="4" w:space="0" w:color="auto"/>
              <w:right w:val="single" w:sz="4" w:space="0" w:color="auto"/>
            </w:tcBorders>
            <w:shd w:val="clear" w:color="auto" w:fill="auto"/>
            <w:noWrap/>
            <w:vAlign w:val="bottom"/>
            <w:hideMark/>
          </w:tcPr>
          <w:p w14:paraId="1FBB911B"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-0,088</w:t>
            </w:r>
          </w:p>
        </w:tc>
        <w:tc>
          <w:tcPr>
            <w:tcW w:w="1524" w:type="dxa"/>
            <w:tcBorders>
              <w:top w:val="nil"/>
              <w:left w:val="nil"/>
              <w:bottom w:val="single" w:sz="4" w:space="0" w:color="auto"/>
              <w:right w:val="single" w:sz="4" w:space="0" w:color="auto"/>
            </w:tcBorders>
            <w:shd w:val="clear" w:color="auto" w:fill="auto"/>
            <w:noWrap/>
            <w:vAlign w:val="bottom"/>
            <w:hideMark/>
          </w:tcPr>
          <w:p w14:paraId="79BA6A42"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0,013</w:t>
            </w:r>
          </w:p>
        </w:tc>
      </w:tr>
      <w:tr w:rsidR="003D6B26" w:rsidRPr="003D6B26" w14:paraId="03ACCEC8"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212F4C3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ES</w:t>
            </w:r>
          </w:p>
        </w:tc>
        <w:tc>
          <w:tcPr>
            <w:tcW w:w="2717" w:type="dxa"/>
            <w:tcBorders>
              <w:top w:val="nil"/>
              <w:left w:val="nil"/>
              <w:bottom w:val="single" w:sz="4" w:space="0" w:color="auto"/>
              <w:right w:val="single" w:sz="4" w:space="0" w:color="auto"/>
            </w:tcBorders>
            <w:shd w:val="clear" w:color="auto" w:fill="auto"/>
            <w:noWrap/>
            <w:hideMark/>
          </w:tcPr>
          <w:p w14:paraId="2E8BCB80"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-0,518</w:t>
            </w:r>
          </w:p>
        </w:tc>
        <w:tc>
          <w:tcPr>
            <w:tcW w:w="2583" w:type="dxa"/>
            <w:tcBorders>
              <w:top w:val="nil"/>
              <w:left w:val="nil"/>
              <w:bottom w:val="single" w:sz="4" w:space="0" w:color="auto"/>
              <w:right w:val="single" w:sz="4" w:space="0" w:color="auto"/>
            </w:tcBorders>
            <w:shd w:val="clear" w:color="auto" w:fill="auto"/>
            <w:noWrap/>
            <w:vAlign w:val="bottom"/>
            <w:hideMark/>
          </w:tcPr>
          <w:p w14:paraId="440AA81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-0,531</w:t>
            </w:r>
          </w:p>
        </w:tc>
        <w:tc>
          <w:tcPr>
            <w:tcW w:w="1524" w:type="dxa"/>
            <w:tcBorders>
              <w:top w:val="nil"/>
              <w:left w:val="nil"/>
              <w:bottom w:val="single" w:sz="4" w:space="0" w:color="auto"/>
              <w:right w:val="single" w:sz="4" w:space="0" w:color="auto"/>
            </w:tcBorders>
            <w:shd w:val="clear" w:color="auto" w:fill="auto"/>
            <w:noWrap/>
            <w:vAlign w:val="bottom"/>
            <w:hideMark/>
          </w:tcPr>
          <w:p w14:paraId="67DF7C34"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0,012</w:t>
            </w:r>
          </w:p>
        </w:tc>
      </w:tr>
      <w:tr w:rsidR="003D6B26" w:rsidRPr="003D6B26" w14:paraId="1850938F"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178573C0"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IT</w:t>
            </w:r>
          </w:p>
        </w:tc>
        <w:tc>
          <w:tcPr>
            <w:tcW w:w="2717" w:type="dxa"/>
            <w:tcBorders>
              <w:top w:val="nil"/>
              <w:left w:val="nil"/>
              <w:bottom w:val="single" w:sz="4" w:space="0" w:color="auto"/>
              <w:right w:val="single" w:sz="4" w:space="0" w:color="auto"/>
            </w:tcBorders>
            <w:shd w:val="clear" w:color="auto" w:fill="auto"/>
            <w:noWrap/>
            <w:hideMark/>
          </w:tcPr>
          <w:p w14:paraId="75B63CDA"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-0,338</w:t>
            </w:r>
          </w:p>
        </w:tc>
        <w:tc>
          <w:tcPr>
            <w:tcW w:w="2583" w:type="dxa"/>
            <w:tcBorders>
              <w:top w:val="nil"/>
              <w:left w:val="nil"/>
              <w:bottom w:val="single" w:sz="4" w:space="0" w:color="auto"/>
              <w:right w:val="single" w:sz="4" w:space="0" w:color="auto"/>
            </w:tcBorders>
            <w:shd w:val="clear" w:color="auto" w:fill="auto"/>
            <w:noWrap/>
            <w:vAlign w:val="bottom"/>
            <w:hideMark/>
          </w:tcPr>
          <w:p w14:paraId="6B49688F"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-0,350</w:t>
            </w:r>
          </w:p>
        </w:tc>
        <w:tc>
          <w:tcPr>
            <w:tcW w:w="1524" w:type="dxa"/>
            <w:tcBorders>
              <w:top w:val="nil"/>
              <w:left w:val="nil"/>
              <w:bottom w:val="single" w:sz="4" w:space="0" w:color="auto"/>
              <w:right w:val="single" w:sz="4" w:space="0" w:color="auto"/>
            </w:tcBorders>
            <w:shd w:val="clear" w:color="auto" w:fill="auto"/>
            <w:noWrap/>
            <w:vAlign w:val="bottom"/>
            <w:hideMark/>
          </w:tcPr>
          <w:p w14:paraId="7A3D2F6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0,012</w:t>
            </w:r>
          </w:p>
        </w:tc>
      </w:tr>
      <w:tr w:rsidR="003D6B26" w:rsidRPr="003D6B26" w14:paraId="17CB8E6E"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66398247"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FR</w:t>
            </w:r>
          </w:p>
        </w:tc>
        <w:tc>
          <w:tcPr>
            <w:tcW w:w="2717" w:type="dxa"/>
            <w:tcBorders>
              <w:top w:val="nil"/>
              <w:left w:val="nil"/>
              <w:bottom w:val="single" w:sz="4" w:space="0" w:color="auto"/>
              <w:right w:val="single" w:sz="4" w:space="0" w:color="auto"/>
            </w:tcBorders>
            <w:shd w:val="clear" w:color="auto" w:fill="auto"/>
            <w:noWrap/>
            <w:hideMark/>
          </w:tcPr>
          <w:p w14:paraId="4747D9E0"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-0,157</w:t>
            </w:r>
          </w:p>
        </w:tc>
        <w:tc>
          <w:tcPr>
            <w:tcW w:w="2583" w:type="dxa"/>
            <w:tcBorders>
              <w:top w:val="nil"/>
              <w:left w:val="nil"/>
              <w:bottom w:val="single" w:sz="4" w:space="0" w:color="auto"/>
              <w:right w:val="single" w:sz="4" w:space="0" w:color="auto"/>
            </w:tcBorders>
            <w:shd w:val="clear" w:color="auto" w:fill="auto"/>
            <w:noWrap/>
            <w:vAlign w:val="bottom"/>
            <w:hideMark/>
          </w:tcPr>
          <w:p w14:paraId="2A7E386C"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-0,164</w:t>
            </w:r>
          </w:p>
        </w:tc>
        <w:tc>
          <w:tcPr>
            <w:tcW w:w="1524" w:type="dxa"/>
            <w:tcBorders>
              <w:top w:val="nil"/>
              <w:left w:val="nil"/>
              <w:bottom w:val="single" w:sz="4" w:space="0" w:color="auto"/>
              <w:right w:val="single" w:sz="4" w:space="0" w:color="auto"/>
            </w:tcBorders>
            <w:shd w:val="clear" w:color="auto" w:fill="auto"/>
            <w:noWrap/>
            <w:vAlign w:val="bottom"/>
            <w:hideMark/>
          </w:tcPr>
          <w:p w14:paraId="47475D1A"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0,007</w:t>
            </w:r>
          </w:p>
        </w:tc>
      </w:tr>
      <w:tr w:rsidR="003D6B26" w:rsidRPr="003D6B26" w14:paraId="268494CF"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7723DF95"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DK</w:t>
            </w:r>
          </w:p>
        </w:tc>
        <w:tc>
          <w:tcPr>
            <w:tcW w:w="2717" w:type="dxa"/>
            <w:tcBorders>
              <w:top w:val="nil"/>
              <w:left w:val="nil"/>
              <w:bottom w:val="single" w:sz="4" w:space="0" w:color="auto"/>
              <w:right w:val="single" w:sz="4" w:space="0" w:color="auto"/>
            </w:tcBorders>
            <w:shd w:val="clear" w:color="auto" w:fill="auto"/>
            <w:noWrap/>
            <w:hideMark/>
          </w:tcPr>
          <w:p w14:paraId="36455E3A"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-0,100</w:t>
            </w:r>
          </w:p>
        </w:tc>
        <w:tc>
          <w:tcPr>
            <w:tcW w:w="2583" w:type="dxa"/>
            <w:tcBorders>
              <w:top w:val="nil"/>
              <w:left w:val="nil"/>
              <w:bottom w:val="single" w:sz="4" w:space="0" w:color="auto"/>
              <w:right w:val="single" w:sz="4" w:space="0" w:color="auto"/>
            </w:tcBorders>
            <w:shd w:val="clear" w:color="auto" w:fill="auto"/>
            <w:noWrap/>
            <w:vAlign w:val="bottom"/>
            <w:hideMark/>
          </w:tcPr>
          <w:p w14:paraId="1E3C9DBB" w14:textId="27C10845" w:rsidR="003D6B26" w:rsidRPr="003D6B26" w:rsidRDefault="00DE63AD" w:rsidP="003D6B26">
            <w:pPr>
              <w:spacing w:after="0" w:line="240" w:lineRule="auto"/>
              <w:jc w:val="center"/>
              <w:rPr>
                <w:rFonts w:eastAsia="Times New Roman" w:cs="Calibri"/>
                <w:color w:val="000000"/>
                <w:lang w:eastAsia="nl-NL"/>
              </w:rPr>
            </w:pPr>
            <w:r>
              <w:rPr>
                <w:rFonts w:eastAsia="Times New Roman" w:cs="Calibri"/>
                <w:color w:val="000000"/>
                <w:lang w:eastAsia="nl-NL"/>
              </w:rPr>
              <w:t>-0,114</w:t>
            </w:r>
          </w:p>
        </w:tc>
        <w:tc>
          <w:tcPr>
            <w:tcW w:w="1524" w:type="dxa"/>
            <w:tcBorders>
              <w:top w:val="nil"/>
              <w:left w:val="nil"/>
              <w:bottom w:val="single" w:sz="4" w:space="0" w:color="auto"/>
              <w:right w:val="single" w:sz="4" w:space="0" w:color="auto"/>
            </w:tcBorders>
            <w:shd w:val="clear" w:color="auto" w:fill="auto"/>
            <w:noWrap/>
            <w:vAlign w:val="bottom"/>
            <w:hideMark/>
          </w:tcPr>
          <w:p w14:paraId="167BCD6D"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0,015</w:t>
            </w:r>
          </w:p>
        </w:tc>
      </w:tr>
      <w:tr w:rsidR="003D6B26" w:rsidRPr="003D6B26" w14:paraId="4555AB48"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474D843E"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CH</w:t>
            </w:r>
          </w:p>
        </w:tc>
        <w:tc>
          <w:tcPr>
            <w:tcW w:w="2717" w:type="dxa"/>
            <w:tcBorders>
              <w:top w:val="nil"/>
              <w:left w:val="nil"/>
              <w:bottom w:val="single" w:sz="4" w:space="0" w:color="auto"/>
              <w:right w:val="single" w:sz="4" w:space="0" w:color="auto"/>
            </w:tcBorders>
            <w:shd w:val="clear" w:color="auto" w:fill="auto"/>
            <w:noWrap/>
            <w:hideMark/>
          </w:tcPr>
          <w:p w14:paraId="03D71D76"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-0,079</w:t>
            </w:r>
          </w:p>
        </w:tc>
        <w:tc>
          <w:tcPr>
            <w:tcW w:w="2583" w:type="dxa"/>
            <w:tcBorders>
              <w:top w:val="nil"/>
              <w:left w:val="nil"/>
              <w:bottom w:val="single" w:sz="4" w:space="0" w:color="auto"/>
              <w:right w:val="single" w:sz="4" w:space="0" w:color="auto"/>
            </w:tcBorders>
            <w:shd w:val="clear" w:color="auto" w:fill="auto"/>
            <w:noWrap/>
            <w:vAlign w:val="bottom"/>
            <w:hideMark/>
          </w:tcPr>
          <w:p w14:paraId="6E91F0A9"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-0,094</w:t>
            </w:r>
          </w:p>
        </w:tc>
        <w:tc>
          <w:tcPr>
            <w:tcW w:w="1524" w:type="dxa"/>
            <w:tcBorders>
              <w:top w:val="nil"/>
              <w:left w:val="nil"/>
              <w:bottom w:val="single" w:sz="4" w:space="0" w:color="auto"/>
              <w:right w:val="single" w:sz="4" w:space="0" w:color="auto"/>
            </w:tcBorders>
            <w:shd w:val="clear" w:color="auto" w:fill="auto"/>
            <w:noWrap/>
            <w:vAlign w:val="bottom"/>
            <w:hideMark/>
          </w:tcPr>
          <w:p w14:paraId="6FCA7775"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0,015</w:t>
            </w:r>
          </w:p>
        </w:tc>
      </w:tr>
      <w:tr w:rsidR="003D6B26" w:rsidRPr="00003CB0" w14:paraId="5E1DEF33" w14:textId="77777777" w:rsidTr="003D6B26">
        <w:trPr>
          <w:trHeight w:val="300"/>
        </w:trPr>
        <w:tc>
          <w:tcPr>
            <w:tcW w:w="7961" w:type="dxa"/>
            <w:gridSpan w:val="4"/>
            <w:tcBorders>
              <w:top w:val="single" w:sz="4" w:space="0" w:color="auto"/>
              <w:left w:val="single" w:sz="4" w:space="0" w:color="auto"/>
              <w:bottom w:val="single" w:sz="4" w:space="0" w:color="auto"/>
              <w:right w:val="single" w:sz="4" w:space="0" w:color="auto"/>
            </w:tcBorders>
            <w:shd w:val="clear" w:color="000000" w:fill="D0CECE"/>
            <w:noWrap/>
            <w:vAlign w:val="center"/>
            <w:hideMark/>
          </w:tcPr>
          <w:p w14:paraId="42234514" w14:textId="77777777" w:rsidR="003D6B26" w:rsidRPr="00003CB0" w:rsidRDefault="003D6B26" w:rsidP="003D6B26">
            <w:pPr>
              <w:spacing w:after="0" w:line="240" w:lineRule="auto"/>
              <w:jc w:val="center"/>
              <w:rPr>
                <w:rFonts w:eastAsia="Times New Roman" w:cs="Calibri"/>
                <w:b/>
                <w:bCs/>
                <w:color w:val="000000"/>
                <w:lang w:val="en-US" w:eastAsia="nl-NL"/>
              </w:rPr>
            </w:pPr>
            <w:r w:rsidRPr="00003CB0">
              <w:rPr>
                <w:rFonts w:eastAsia="Times New Roman" w:cs="Calibri"/>
                <w:b/>
                <w:bCs/>
                <w:color w:val="000000"/>
                <w:lang w:val="en-US" w:eastAsia="nl-NL"/>
              </w:rPr>
              <w:t>Absolute Gini: Re-ranking with BMI deciles</w:t>
            </w:r>
          </w:p>
        </w:tc>
      </w:tr>
      <w:tr w:rsidR="003D6B26" w:rsidRPr="003D6B26" w14:paraId="2B7D49A4"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BFBFBF"/>
            <w:noWrap/>
            <w:vAlign w:val="bottom"/>
            <w:hideMark/>
          </w:tcPr>
          <w:p w14:paraId="3D6E56B0" w14:textId="77777777" w:rsidR="003D6B26" w:rsidRPr="003D6B26" w:rsidRDefault="003D6B26" w:rsidP="003D6B26">
            <w:pPr>
              <w:spacing w:after="0" w:line="240" w:lineRule="auto"/>
              <w:rPr>
                <w:rFonts w:eastAsia="Times New Roman" w:cs="Calibri"/>
                <w:b/>
                <w:bCs/>
                <w:color w:val="000000"/>
                <w:lang w:eastAsia="nl-NL"/>
              </w:rPr>
            </w:pPr>
            <w:r w:rsidRPr="003D6B26">
              <w:rPr>
                <w:rFonts w:eastAsia="Times New Roman" w:cs="Calibri"/>
                <w:b/>
                <w:bCs/>
                <w:color w:val="000000"/>
                <w:lang w:eastAsia="nl-NL"/>
              </w:rPr>
              <w:t>Country</w:t>
            </w:r>
          </w:p>
        </w:tc>
        <w:tc>
          <w:tcPr>
            <w:tcW w:w="2717" w:type="dxa"/>
            <w:tcBorders>
              <w:top w:val="nil"/>
              <w:left w:val="nil"/>
              <w:bottom w:val="single" w:sz="4" w:space="0" w:color="auto"/>
              <w:right w:val="single" w:sz="4" w:space="0" w:color="auto"/>
            </w:tcBorders>
            <w:shd w:val="clear" w:color="000000" w:fill="BFBFBF"/>
            <w:noWrap/>
            <w:vAlign w:val="bottom"/>
            <w:hideMark/>
          </w:tcPr>
          <w:p w14:paraId="4D006BA3" w14:textId="77777777" w:rsidR="003D6B26" w:rsidRPr="003D6B26" w:rsidRDefault="003D6B26" w:rsidP="003D6B26">
            <w:pPr>
              <w:spacing w:after="0" w:line="240" w:lineRule="auto"/>
              <w:rPr>
                <w:rFonts w:eastAsia="Times New Roman" w:cs="Calibri"/>
                <w:b/>
                <w:bCs/>
                <w:color w:val="000000"/>
                <w:lang w:eastAsia="nl-NL"/>
              </w:rPr>
            </w:pPr>
            <w:r w:rsidRPr="003D6B26">
              <w:rPr>
                <w:rFonts w:eastAsia="Times New Roman" w:cs="Calibri"/>
                <w:b/>
                <w:bCs/>
                <w:color w:val="000000"/>
                <w:lang w:eastAsia="nl-NL"/>
              </w:rPr>
              <w:t>Absolute Inequality</w:t>
            </w:r>
          </w:p>
        </w:tc>
        <w:tc>
          <w:tcPr>
            <w:tcW w:w="2583" w:type="dxa"/>
            <w:tcBorders>
              <w:top w:val="nil"/>
              <w:left w:val="nil"/>
              <w:bottom w:val="single" w:sz="4" w:space="0" w:color="auto"/>
              <w:right w:val="single" w:sz="4" w:space="0" w:color="auto"/>
            </w:tcBorders>
            <w:shd w:val="clear" w:color="000000" w:fill="BFBFBF"/>
            <w:hideMark/>
          </w:tcPr>
          <w:p w14:paraId="242E33EB" w14:textId="77777777" w:rsidR="003D6B26" w:rsidRPr="003D6B26" w:rsidRDefault="003D6B26" w:rsidP="003D6B26">
            <w:pPr>
              <w:spacing w:after="0" w:line="240" w:lineRule="auto"/>
              <w:jc w:val="center"/>
              <w:rPr>
                <w:rFonts w:eastAsia="Times New Roman" w:cs="Calibri"/>
                <w:b/>
                <w:bCs/>
                <w:color w:val="000000"/>
                <w:lang w:eastAsia="nl-NL"/>
              </w:rPr>
            </w:pPr>
            <w:r w:rsidRPr="003D6B26">
              <w:rPr>
                <w:rFonts w:eastAsia="Times New Roman" w:cs="Calibri"/>
                <w:b/>
                <w:bCs/>
                <w:color w:val="000000"/>
                <w:lang w:eastAsia="nl-NL"/>
              </w:rPr>
              <w:t xml:space="preserve">Changes group </w:t>
            </w:r>
          </w:p>
        </w:tc>
        <w:tc>
          <w:tcPr>
            <w:tcW w:w="1524" w:type="dxa"/>
            <w:tcBorders>
              <w:top w:val="nil"/>
              <w:left w:val="nil"/>
              <w:bottom w:val="single" w:sz="4" w:space="0" w:color="auto"/>
              <w:right w:val="single" w:sz="4" w:space="0" w:color="auto"/>
            </w:tcBorders>
            <w:shd w:val="clear" w:color="000000" w:fill="BFBFBF"/>
            <w:noWrap/>
            <w:vAlign w:val="bottom"/>
            <w:hideMark/>
          </w:tcPr>
          <w:p w14:paraId="1B8A80D6" w14:textId="77777777" w:rsidR="003D6B26" w:rsidRPr="003D6B26" w:rsidRDefault="003D6B26" w:rsidP="003D6B26">
            <w:pPr>
              <w:spacing w:after="0" w:line="240" w:lineRule="auto"/>
              <w:rPr>
                <w:rFonts w:eastAsia="Times New Roman" w:cs="Calibri"/>
                <w:b/>
                <w:bCs/>
                <w:color w:val="000000"/>
                <w:lang w:eastAsia="nl-NL"/>
              </w:rPr>
            </w:pPr>
            <w:r w:rsidRPr="003D6B26">
              <w:rPr>
                <w:rFonts w:eastAsia="Times New Roman" w:cs="Calibri"/>
                <w:b/>
                <w:bCs/>
                <w:color w:val="000000"/>
                <w:lang w:eastAsia="nl-NL"/>
              </w:rPr>
              <w:t>Re-ranking</w:t>
            </w:r>
          </w:p>
        </w:tc>
      </w:tr>
      <w:tr w:rsidR="003D6B26" w:rsidRPr="003D6B26" w14:paraId="1484D184"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007EDF64"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AT</w:t>
            </w:r>
          </w:p>
        </w:tc>
        <w:tc>
          <w:tcPr>
            <w:tcW w:w="2717" w:type="dxa"/>
            <w:tcBorders>
              <w:top w:val="nil"/>
              <w:left w:val="nil"/>
              <w:bottom w:val="single" w:sz="4" w:space="0" w:color="auto"/>
              <w:right w:val="single" w:sz="4" w:space="0" w:color="auto"/>
            </w:tcBorders>
            <w:shd w:val="clear" w:color="auto" w:fill="auto"/>
            <w:noWrap/>
            <w:hideMark/>
          </w:tcPr>
          <w:p w14:paraId="1E4CA565"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-0,296</w:t>
            </w:r>
          </w:p>
        </w:tc>
        <w:tc>
          <w:tcPr>
            <w:tcW w:w="2583" w:type="dxa"/>
            <w:tcBorders>
              <w:top w:val="nil"/>
              <w:left w:val="nil"/>
              <w:bottom w:val="single" w:sz="4" w:space="0" w:color="auto"/>
              <w:right w:val="single" w:sz="4" w:space="0" w:color="auto"/>
            </w:tcBorders>
            <w:shd w:val="clear" w:color="auto" w:fill="auto"/>
            <w:noWrap/>
            <w:vAlign w:val="bottom"/>
            <w:hideMark/>
          </w:tcPr>
          <w:p w14:paraId="7D71D1A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-0,296</w:t>
            </w:r>
          </w:p>
        </w:tc>
        <w:tc>
          <w:tcPr>
            <w:tcW w:w="1524" w:type="dxa"/>
            <w:tcBorders>
              <w:top w:val="nil"/>
              <w:left w:val="nil"/>
              <w:bottom w:val="single" w:sz="4" w:space="0" w:color="auto"/>
              <w:right w:val="single" w:sz="4" w:space="0" w:color="auto"/>
            </w:tcBorders>
            <w:shd w:val="clear" w:color="auto" w:fill="auto"/>
            <w:noWrap/>
            <w:vAlign w:val="bottom"/>
            <w:hideMark/>
          </w:tcPr>
          <w:p w14:paraId="128507B1"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0,000</w:t>
            </w:r>
          </w:p>
        </w:tc>
      </w:tr>
      <w:tr w:rsidR="003D6B26" w:rsidRPr="003D6B26" w14:paraId="36F2B355"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466681FB"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DE</w:t>
            </w:r>
          </w:p>
        </w:tc>
        <w:tc>
          <w:tcPr>
            <w:tcW w:w="2717" w:type="dxa"/>
            <w:tcBorders>
              <w:top w:val="nil"/>
              <w:left w:val="nil"/>
              <w:bottom w:val="single" w:sz="4" w:space="0" w:color="auto"/>
              <w:right w:val="single" w:sz="4" w:space="0" w:color="auto"/>
            </w:tcBorders>
            <w:shd w:val="clear" w:color="auto" w:fill="auto"/>
            <w:noWrap/>
            <w:hideMark/>
          </w:tcPr>
          <w:p w14:paraId="6595498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-0,193</w:t>
            </w:r>
          </w:p>
        </w:tc>
        <w:tc>
          <w:tcPr>
            <w:tcW w:w="2583" w:type="dxa"/>
            <w:tcBorders>
              <w:top w:val="nil"/>
              <w:left w:val="nil"/>
              <w:bottom w:val="single" w:sz="4" w:space="0" w:color="auto"/>
              <w:right w:val="single" w:sz="4" w:space="0" w:color="auto"/>
            </w:tcBorders>
            <w:shd w:val="clear" w:color="auto" w:fill="auto"/>
            <w:noWrap/>
            <w:vAlign w:val="bottom"/>
            <w:hideMark/>
          </w:tcPr>
          <w:p w14:paraId="2B32CDF5"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-0,193</w:t>
            </w:r>
          </w:p>
        </w:tc>
        <w:tc>
          <w:tcPr>
            <w:tcW w:w="1524" w:type="dxa"/>
            <w:tcBorders>
              <w:top w:val="nil"/>
              <w:left w:val="nil"/>
              <w:bottom w:val="single" w:sz="4" w:space="0" w:color="auto"/>
              <w:right w:val="single" w:sz="4" w:space="0" w:color="auto"/>
            </w:tcBorders>
            <w:shd w:val="clear" w:color="auto" w:fill="auto"/>
            <w:noWrap/>
            <w:vAlign w:val="bottom"/>
            <w:hideMark/>
          </w:tcPr>
          <w:p w14:paraId="57140AE4"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0,000</w:t>
            </w:r>
          </w:p>
        </w:tc>
      </w:tr>
      <w:tr w:rsidR="003D6B26" w:rsidRPr="003D6B26" w14:paraId="6D220080"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17D689F1"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SE</w:t>
            </w:r>
          </w:p>
        </w:tc>
        <w:tc>
          <w:tcPr>
            <w:tcW w:w="2717" w:type="dxa"/>
            <w:tcBorders>
              <w:top w:val="nil"/>
              <w:left w:val="nil"/>
              <w:bottom w:val="single" w:sz="4" w:space="0" w:color="auto"/>
              <w:right w:val="single" w:sz="4" w:space="0" w:color="auto"/>
            </w:tcBorders>
            <w:shd w:val="clear" w:color="auto" w:fill="auto"/>
            <w:noWrap/>
            <w:hideMark/>
          </w:tcPr>
          <w:p w14:paraId="1C768FA9"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-0,055</w:t>
            </w:r>
          </w:p>
        </w:tc>
        <w:tc>
          <w:tcPr>
            <w:tcW w:w="2583" w:type="dxa"/>
            <w:tcBorders>
              <w:top w:val="nil"/>
              <w:left w:val="nil"/>
              <w:bottom w:val="single" w:sz="4" w:space="0" w:color="auto"/>
              <w:right w:val="single" w:sz="4" w:space="0" w:color="auto"/>
            </w:tcBorders>
            <w:shd w:val="clear" w:color="auto" w:fill="auto"/>
            <w:noWrap/>
            <w:vAlign w:val="bottom"/>
            <w:hideMark/>
          </w:tcPr>
          <w:p w14:paraId="0B720736"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-0,055</w:t>
            </w:r>
          </w:p>
        </w:tc>
        <w:tc>
          <w:tcPr>
            <w:tcW w:w="1524" w:type="dxa"/>
            <w:tcBorders>
              <w:top w:val="nil"/>
              <w:left w:val="nil"/>
              <w:bottom w:val="single" w:sz="4" w:space="0" w:color="auto"/>
              <w:right w:val="single" w:sz="4" w:space="0" w:color="auto"/>
            </w:tcBorders>
            <w:shd w:val="clear" w:color="auto" w:fill="auto"/>
            <w:noWrap/>
            <w:vAlign w:val="bottom"/>
            <w:hideMark/>
          </w:tcPr>
          <w:p w14:paraId="308B5AAA"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0,000</w:t>
            </w:r>
          </w:p>
        </w:tc>
      </w:tr>
      <w:tr w:rsidR="003D6B26" w:rsidRPr="003D6B26" w14:paraId="5464716B"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4C7A190C"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NL</w:t>
            </w:r>
          </w:p>
        </w:tc>
        <w:tc>
          <w:tcPr>
            <w:tcW w:w="2717" w:type="dxa"/>
            <w:tcBorders>
              <w:top w:val="nil"/>
              <w:left w:val="nil"/>
              <w:bottom w:val="single" w:sz="4" w:space="0" w:color="auto"/>
              <w:right w:val="single" w:sz="4" w:space="0" w:color="auto"/>
            </w:tcBorders>
            <w:shd w:val="clear" w:color="auto" w:fill="auto"/>
            <w:noWrap/>
            <w:hideMark/>
          </w:tcPr>
          <w:p w14:paraId="031FC697"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-0,085</w:t>
            </w:r>
          </w:p>
        </w:tc>
        <w:tc>
          <w:tcPr>
            <w:tcW w:w="2583" w:type="dxa"/>
            <w:tcBorders>
              <w:top w:val="nil"/>
              <w:left w:val="nil"/>
              <w:bottom w:val="single" w:sz="4" w:space="0" w:color="auto"/>
              <w:right w:val="single" w:sz="4" w:space="0" w:color="auto"/>
            </w:tcBorders>
            <w:shd w:val="clear" w:color="auto" w:fill="auto"/>
            <w:noWrap/>
            <w:vAlign w:val="bottom"/>
            <w:hideMark/>
          </w:tcPr>
          <w:p w14:paraId="7512518A"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-0,085</w:t>
            </w:r>
          </w:p>
        </w:tc>
        <w:tc>
          <w:tcPr>
            <w:tcW w:w="1524" w:type="dxa"/>
            <w:tcBorders>
              <w:top w:val="nil"/>
              <w:left w:val="nil"/>
              <w:bottom w:val="single" w:sz="4" w:space="0" w:color="auto"/>
              <w:right w:val="single" w:sz="4" w:space="0" w:color="auto"/>
            </w:tcBorders>
            <w:shd w:val="clear" w:color="auto" w:fill="auto"/>
            <w:noWrap/>
            <w:vAlign w:val="bottom"/>
            <w:hideMark/>
          </w:tcPr>
          <w:p w14:paraId="5ACF0E4C"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0,000</w:t>
            </w:r>
          </w:p>
        </w:tc>
      </w:tr>
      <w:tr w:rsidR="003D6B26" w:rsidRPr="003D6B26" w14:paraId="3678350C"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2C6000B8"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ES</w:t>
            </w:r>
          </w:p>
        </w:tc>
        <w:tc>
          <w:tcPr>
            <w:tcW w:w="2717" w:type="dxa"/>
            <w:tcBorders>
              <w:top w:val="nil"/>
              <w:left w:val="nil"/>
              <w:bottom w:val="single" w:sz="4" w:space="0" w:color="auto"/>
              <w:right w:val="single" w:sz="4" w:space="0" w:color="auto"/>
            </w:tcBorders>
            <w:shd w:val="clear" w:color="auto" w:fill="auto"/>
            <w:noWrap/>
            <w:hideMark/>
          </w:tcPr>
          <w:p w14:paraId="7A086D6E"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-0,519</w:t>
            </w:r>
          </w:p>
        </w:tc>
        <w:tc>
          <w:tcPr>
            <w:tcW w:w="2583" w:type="dxa"/>
            <w:tcBorders>
              <w:top w:val="nil"/>
              <w:left w:val="nil"/>
              <w:bottom w:val="single" w:sz="4" w:space="0" w:color="auto"/>
              <w:right w:val="single" w:sz="4" w:space="0" w:color="auto"/>
            </w:tcBorders>
            <w:shd w:val="clear" w:color="auto" w:fill="auto"/>
            <w:noWrap/>
            <w:vAlign w:val="bottom"/>
            <w:hideMark/>
          </w:tcPr>
          <w:p w14:paraId="305B05F4"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-0,519</w:t>
            </w:r>
          </w:p>
        </w:tc>
        <w:tc>
          <w:tcPr>
            <w:tcW w:w="1524" w:type="dxa"/>
            <w:tcBorders>
              <w:top w:val="nil"/>
              <w:left w:val="nil"/>
              <w:bottom w:val="single" w:sz="4" w:space="0" w:color="auto"/>
              <w:right w:val="single" w:sz="4" w:space="0" w:color="auto"/>
            </w:tcBorders>
            <w:shd w:val="clear" w:color="auto" w:fill="auto"/>
            <w:noWrap/>
            <w:vAlign w:val="bottom"/>
            <w:hideMark/>
          </w:tcPr>
          <w:p w14:paraId="2F00382F"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0,000</w:t>
            </w:r>
          </w:p>
        </w:tc>
      </w:tr>
      <w:tr w:rsidR="003D6B26" w:rsidRPr="003D6B26" w14:paraId="3682C076"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3C97DC42"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IT</w:t>
            </w:r>
          </w:p>
        </w:tc>
        <w:tc>
          <w:tcPr>
            <w:tcW w:w="2717" w:type="dxa"/>
            <w:tcBorders>
              <w:top w:val="nil"/>
              <w:left w:val="nil"/>
              <w:bottom w:val="single" w:sz="4" w:space="0" w:color="auto"/>
              <w:right w:val="single" w:sz="4" w:space="0" w:color="auto"/>
            </w:tcBorders>
            <w:shd w:val="clear" w:color="auto" w:fill="auto"/>
            <w:noWrap/>
            <w:hideMark/>
          </w:tcPr>
          <w:p w14:paraId="28E9B415"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-0,343</w:t>
            </w:r>
          </w:p>
        </w:tc>
        <w:tc>
          <w:tcPr>
            <w:tcW w:w="2583" w:type="dxa"/>
            <w:tcBorders>
              <w:top w:val="nil"/>
              <w:left w:val="nil"/>
              <w:bottom w:val="single" w:sz="4" w:space="0" w:color="auto"/>
              <w:right w:val="single" w:sz="4" w:space="0" w:color="auto"/>
            </w:tcBorders>
            <w:shd w:val="clear" w:color="auto" w:fill="auto"/>
            <w:noWrap/>
            <w:vAlign w:val="bottom"/>
            <w:hideMark/>
          </w:tcPr>
          <w:p w14:paraId="28AE56E2"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-0,343</w:t>
            </w:r>
          </w:p>
        </w:tc>
        <w:tc>
          <w:tcPr>
            <w:tcW w:w="1524" w:type="dxa"/>
            <w:tcBorders>
              <w:top w:val="nil"/>
              <w:left w:val="nil"/>
              <w:bottom w:val="single" w:sz="4" w:space="0" w:color="auto"/>
              <w:right w:val="single" w:sz="4" w:space="0" w:color="auto"/>
            </w:tcBorders>
            <w:shd w:val="clear" w:color="auto" w:fill="auto"/>
            <w:noWrap/>
            <w:vAlign w:val="bottom"/>
            <w:hideMark/>
          </w:tcPr>
          <w:p w14:paraId="4347D9FE"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0,000</w:t>
            </w:r>
          </w:p>
        </w:tc>
      </w:tr>
      <w:tr w:rsidR="003D6B26" w:rsidRPr="003D6B26" w14:paraId="32A6E32B"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511E4AE1"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FR</w:t>
            </w:r>
          </w:p>
        </w:tc>
        <w:tc>
          <w:tcPr>
            <w:tcW w:w="2717" w:type="dxa"/>
            <w:tcBorders>
              <w:top w:val="nil"/>
              <w:left w:val="nil"/>
              <w:bottom w:val="single" w:sz="4" w:space="0" w:color="auto"/>
              <w:right w:val="single" w:sz="4" w:space="0" w:color="auto"/>
            </w:tcBorders>
            <w:shd w:val="clear" w:color="auto" w:fill="auto"/>
            <w:noWrap/>
            <w:hideMark/>
          </w:tcPr>
          <w:p w14:paraId="122B75AE"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-0,160</w:t>
            </w:r>
          </w:p>
        </w:tc>
        <w:tc>
          <w:tcPr>
            <w:tcW w:w="2583" w:type="dxa"/>
            <w:tcBorders>
              <w:top w:val="nil"/>
              <w:left w:val="nil"/>
              <w:bottom w:val="single" w:sz="4" w:space="0" w:color="auto"/>
              <w:right w:val="single" w:sz="4" w:space="0" w:color="auto"/>
            </w:tcBorders>
            <w:shd w:val="clear" w:color="auto" w:fill="auto"/>
            <w:noWrap/>
            <w:vAlign w:val="bottom"/>
            <w:hideMark/>
          </w:tcPr>
          <w:p w14:paraId="284E42D1"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-0,160</w:t>
            </w:r>
          </w:p>
        </w:tc>
        <w:tc>
          <w:tcPr>
            <w:tcW w:w="1524" w:type="dxa"/>
            <w:tcBorders>
              <w:top w:val="nil"/>
              <w:left w:val="nil"/>
              <w:bottom w:val="single" w:sz="4" w:space="0" w:color="auto"/>
              <w:right w:val="single" w:sz="4" w:space="0" w:color="auto"/>
            </w:tcBorders>
            <w:shd w:val="clear" w:color="auto" w:fill="auto"/>
            <w:noWrap/>
            <w:vAlign w:val="bottom"/>
            <w:hideMark/>
          </w:tcPr>
          <w:p w14:paraId="5D662504"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0,000</w:t>
            </w:r>
          </w:p>
        </w:tc>
      </w:tr>
      <w:tr w:rsidR="003D6B26" w:rsidRPr="003D6B26" w14:paraId="498076D7"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4765C4DC"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DK</w:t>
            </w:r>
          </w:p>
        </w:tc>
        <w:tc>
          <w:tcPr>
            <w:tcW w:w="2717" w:type="dxa"/>
            <w:tcBorders>
              <w:top w:val="nil"/>
              <w:left w:val="nil"/>
              <w:bottom w:val="single" w:sz="4" w:space="0" w:color="auto"/>
              <w:right w:val="single" w:sz="4" w:space="0" w:color="auto"/>
            </w:tcBorders>
            <w:shd w:val="clear" w:color="auto" w:fill="auto"/>
            <w:noWrap/>
            <w:hideMark/>
          </w:tcPr>
          <w:p w14:paraId="263DF667"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-0,109</w:t>
            </w:r>
          </w:p>
        </w:tc>
        <w:tc>
          <w:tcPr>
            <w:tcW w:w="2583" w:type="dxa"/>
            <w:tcBorders>
              <w:top w:val="nil"/>
              <w:left w:val="nil"/>
              <w:bottom w:val="single" w:sz="4" w:space="0" w:color="auto"/>
              <w:right w:val="single" w:sz="4" w:space="0" w:color="auto"/>
            </w:tcBorders>
            <w:shd w:val="clear" w:color="auto" w:fill="auto"/>
            <w:noWrap/>
            <w:vAlign w:val="bottom"/>
            <w:hideMark/>
          </w:tcPr>
          <w:p w14:paraId="32229606"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-0,109</w:t>
            </w:r>
          </w:p>
        </w:tc>
        <w:tc>
          <w:tcPr>
            <w:tcW w:w="1524" w:type="dxa"/>
            <w:tcBorders>
              <w:top w:val="nil"/>
              <w:left w:val="nil"/>
              <w:bottom w:val="single" w:sz="4" w:space="0" w:color="auto"/>
              <w:right w:val="single" w:sz="4" w:space="0" w:color="auto"/>
            </w:tcBorders>
            <w:shd w:val="clear" w:color="auto" w:fill="auto"/>
            <w:noWrap/>
            <w:vAlign w:val="bottom"/>
            <w:hideMark/>
          </w:tcPr>
          <w:p w14:paraId="73E23E64"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0,000</w:t>
            </w:r>
          </w:p>
        </w:tc>
      </w:tr>
      <w:tr w:rsidR="003D6B26" w:rsidRPr="003D6B26" w14:paraId="71F0BEDF" w14:textId="77777777" w:rsidTr="003D6B26">
        <w:trPr>
          <w:trHeight w:val="300"/>
        </w:trPr>
        <w:tc>
          <w:tcPr>
            <w:tcW w:w="1137" w:type="dxa"/>
            <w:tcBorders>
              <w:top w:val="nil"/>
              <w:left w:val="single" w:sz="4" w:space="0" w:color="auto"/>
              <w:bottom w:val="single" w:sz="4" w:space="0" w:color="auto"/>
              <w:right w:val="single" w:sz="4" w:space="0" w:color="auto"/>
            </w:tcBorders>
            <w:shd w:val="clear" w:color="000000" w:fill="DDEBF7"/>
            <w:noWrap/>
            <w:vAlign w:val="center"/>
            <w:hideMark/>
          </w:tcPr>
          <w:p w14:paraId="605C0154"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CH</w:t>
            </w:r>
          </w:p>
        </w:tc>
        <w:tc>
          <w:tcPr>
            <w:tcW w:w="2717" w:type="dxa"/>
            <w:tcBorders>
              <w:top w:val="nil"/>
              <w:left w:val="nil"/>
              <w:bottom w:val="single" w:sz="4" w:space="0" w:color="auto"/>
              <w:right w:val="single" w:sz="4" w:space="0" w:color="auto"/>
            </w:tcBorders>
            <w:shd w:val="clear" w:color="auto" w:fill="auto"/>
            <w:noWrap/>
            <w:hideMark/>
          </w:tcPr>
          <w:p w14:paraId="44ABCA95"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-0,087</w:t>
            </w:r>
          </w:p>
        </w:tc>
        <w:tc>
          <w:tcPr>
            <w:tcW w:w="2583" w:type="dxa"/>
            <w:tcBorders>
              <w:top w:val="nil"/>
              <w:left w:val="nil"/>
              <w:bottom w:val="single" w:sz="4" w:space="0" w:color="auto"/>
              <w:right w:val="single" w:sz="4" w:space="0" w:color="auto"/>
            </w:tcBorders>
            <w:shd w:val="clear" w:color="auto" w:fill="auto"/>
            <w:noWrap/>
            <w:vAlign w:val="bottom"/>
            <w:hideMark/>
          </w:tcPr>
          <w:p w14:paraId="0D879285"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-0,087</w:t>
            </w:r>
          </w:p>
        </w:tc>
        <w:tc>
          <w:tcPr>
            <w:tcW w:w="1524" w:type="dxa"/>
            <w:tcBorders>
              <w:top w:val="nil"/>
              <w:left w:val="nil"/>
              <w:bottom w:val="single" w:sz="4" w:space="0" w:color="auto"/>
              <w:right w:val="single" w:sz="4" w:space="0" w:color="auto"/>
            </w:tcBorders>
            <w:shd w:val="clear" w:color="auto" w:fill="auto"/>
            <w:noWrap/>
            <w:vAlign w:val="bottom"/>
            <w:hideMark/>
          </w:tcPr>
          <w:p w14:paraId="250CAA5F" w14:textId="77777777" w:rsidR="003D6B26" w:rsidRPr="003D6B26" w:rsidRDefault="003D6B26" w:rsidP="003D6B26">
            <w:pPr>
              <w:spacing w:after="0" w:line="240" w:lineRule="auto"/>
              <w:jc w:val="center"/>
              <w:rPr>
                <w:rFonts w:eastAsia="Times New Roman" w:cs="Calibri"/>
                <w:color w:val="000000"/>
                <w:lang w:eastAsia="nl-NL"/>
              </w:rPr>
            </w:pPr>
            <w:r w:rsidRPr="003D6B26">
              <w:rPr>
                <w:rFonts w:eastAsia="Times New Roman" w:cs="Calibri"/>
                <w:color w:val="000000"/>
                <w:lang w:eastAsia="nl-NL"/>
              </w:rPr>
              <w:t>0,000</w:t>
            </w:r>
          </w:p>
        </w:tc>
      </w:tr>
    </w:tbl>
    <w:p w14:paraId="0298B2AA" w14:textId="77777777" w:rsidR="003D6B26" w:rsidRDefault="003D6B26" w:rsidP="00AA385D">
      <w:pPr>
        <w:rPr>
          <w:b/>
          <w:lang w:val="en-US"/>
        </w:rPr>
      </w:pPr>
    </w:p>
    <w:p w14:paraId="593DABB8" w14:textId="77777777" w:rsidR="00AA385D" w:rsidRDefault="00AA385D" w:rsidP="00AA385D">
      <w:pPr>
        <w:rPr>
          <w:b/>
          <w:lang w:val="en-US"/>
        </w:rPr>
      </w:pPr>
    </w:p>
    <w:p w14:paraId="3FA74D0F" w14:textId="77777777" w:rsidR="00AA385D" w:rsidRDefault="00AA385D" w:rsidP="00AA385D">
      <w:pPr>
        <w:rPr>
          <w:b/>
          <w:lang w:val="en-US"/>
        </w:rPr>
      </w:pPr>
    </w:p>
    <w:p w14:paraId="104408C7" w14:textId="77777777" w:rsidR="00984E93" w:rsidRDefault="00984E93" w:rsidP="00AA385D">
      <w:pPr>
        <w:rPr>
          <w:b/>
          <w:lang w:val="en-US"/>
        </w:rPr>
      </w:pPr>
    </w:p>
    <w:p w14:paraId="1D1162FB" w14:textId="77777777" w:rsidR="00984E93" w:rsidRDefault="00984E93" w:rsidP="00AA385D">
      <w:pPr>
        <w:rPr>
          <w:b/>
          <w:lang w:val="en-US"/>
        </w:rPr>
      </w:pPr>
    </w:p>
    <w:p w14:paraId="3F0F02DD" w14:textId="77777777" w:rsidR="00AA385D" w:rsidRDefault="00AA385D" w:rsidP="0031293D">
      <w:pPr>
        <w:pStyle w:val="ListParagraph"/>
        <w:spacing w:line="360" w:lineRule="auto"/>
        <w:rPr>
          <w:b/>
          <w:lang w:val="en-US"/>
        </w:rPr>
      </w:pPr>
    </w:p>
    <w:sectPr w:rsidR="00AA385D" w:rsidSect="000C4FE8">
      <w:footerReference w:type="default" r:id="rId59"/>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A53C8F" w14:textId="77777777" w:rsidR="003A3FA5" w:rsidRDefault="003A3FA5" w:rsidP="001412D9">
      <w:pPr>
        <w:spacing w:after="0" w:line="240" w:lineRule="auto"/>
      </w:pPr>
      <w:r>
        <w:separator/>
      </w:r>
    </w:p>
  </w:endnote>
  <w:endnote w:type="continuationSeparator" w:id="0">
    <w:p w14:paraId="6B583742" w14:textId="77777777" w:rsidR="003A3FA5" w:rsidRDefault="003A3FA5" w:rsidP="001412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dvPED1282">
    <w:altName w:val="Times New Roman"/>
    <w:charset w:val="00"/>
    <w:family w:val="roman"/>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C73FD8" w14:textId="77777777" w:rsidR="00E36784" w:rsidRDefault="00E36784">
    <w:pPr>
      <w:pStyle w:val="Footer"/>
      <w:jc w:val="center"/>
    </w:pPr>
    <w:r>
      <w:fldChar w:fldCharType="begin"/>
    </w:r>
    <w:r>
      <w:instrText xml:space="preserve"> PAGE   \* MERGEFORMAT </w:instrText>
    </w:r>
    <w:r>
      <w:fldChar w:fldCharType="separate"/>
    </w:r>
    <w:r w:rsidR="00EC69BE">
      <w:rPr>
        <w:noProof/>
      </w:rPr>
      <w:t>8</w:t>
    </w:r>
    <w:r>
      <w:rPr>
        <w:noProof/>
      </w:rPr>
      <w:fldChar w:fldCharType="end"/>
    </w:r>
  </w:p>
  <w:p w14:paraId="29E924D3" w14:textId="77777777" w:rsidR="00E36784" w:rsidRDefault="00E367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465F87" w14:textId="77777777" w:rsidR="003A3FA5" w:rsidRDefault="003A3FA5" w:rsidP="001412D9">
      <w:pPr>
        <w:spacing w:after="0" w:line="240" w:lineRule="auto"/>
      </w:pPr>
      <w:r>
        <w:separator/>
      </w:r>
    </w:p>
  </w:footnote>
  <w:footnote w:type="continuationSeparator" w:id="0">
    <w:p w14:paraId="4CF8BA7A" w14:textId="77777777" w:rsidR="003A3FA5" w:rsidRDefault="003A3FA5" w:rsidP="001412D9">
      <w:pPr>
        <w:spacing w:after="0" w:line="240" w:lineRule="auto"/>
      </w:pPr>
      <w:r>
        <w:continuationSeparator/>
      </w:r>
    </w:p>
  </w:footnote>
  <w:footnote w:id="1">
    <w:p w14:paraId="1E0945E6" w14:textId="2F031385" w:rsidR="00E36784" w:rsidRPr="006261E3" w:rsidRDefault="00E36784">
      <w:pPr>
        <w:pStyle w:val="FootnoteText"/>
        <w:rPr>
          <w:lang w:val="en-US"/>
        </w:rPr>
      </w:pPr>
      <w:r>
        <w:rPr>
          <w:rStyle w:val="FootnoteReference"/>
        </w:rPr>
        <w:footnoteRef/>
      </w:r>
      <w:r w:rsidRPr="009F3306">
        <w:rPr>
          <w:lang w:val="en-US"/>
        </w:rPr>
        <w:t xml:space="preserve"> </w:t>
      </w:r>
      <w:r w:rsidRPr="006168E6">
        <w:rPr>
          <w:sz w:val="24"/>
          <w:szCs w:val="24"/>
          <w:vertAlign w:val="subscript"/>
          <w:lang w:val="en-US"/>
        </w:rPr>
        <w:t>Also see figure 1 of the appendix</w:t>
      </w:r>
    </w:p>
  </w:footnote>
  <w:footnote w:id="2">
    <w:p w14:paraId="64CB3B21" w14:textId="77777777" w:rsidR="00E36784" w:rsidRPr="006168E6" w:rsidRDefault="00E36784" w:rsidP="00234F6E">
      <w:pPr>
        <w:autoSpaceDE w:val="0"/>
        <w:autoSpaceDN w:val="0"/>
        <w:adjustRightInd w:val="0"/>
        <w:spacing w:after="0" w:line="240" w:lineRule="auto"/>
        <w:rPr>
          <w:sz w:val="24"/>
          <w:szCs w:val="24"/>
          <w:vertAlign w:val="subscript"/>
          <w:lang w:val="en-US"/>
        </w:rPr>
      </w:pPr>
      <w:r>
        <w:rPr>
          <w:rStyle w:val="FootnoteReference"/>
        </w:rPr>
        <w:footnoteRef/>
      </w:r>
      <w:r w:rsidRPr="002A1B83">
        <w:rPr>
          <w:lang w:val="en-US"/>
        </w:rPr>
        <w:t xml:space="preserve"> </w:t>
      </w:r>
      <w:r w:rsidRPr="006168E6">
        <w:rPr>
          <w:sz w:val="24"/>
          <w:szCs w:val="24"/>
          <w:vertAlign w:val="subscript"/>
          <w:lang w:val="en-US"/>
        </w:rPr>
        <w:t>One can never separately identify the constant and the mean error, thus the assumption that it equals zero on average is innocent.</w:t>
      </w:r>
    </w:p>
  </w:footnote>
  <w:footnote w:id="3">
    <w:p w14:paraId="70B54A16" w14:textId="5BEEEAA6" w:rsidR="00E36784" w:rsidRPr="006168E6" w:rsidRDefault="00E36784">
      <w:pPr>
        <w:pStyle w:val="FootnoteText"/>
        <w:rPr>
          <w:sz w:val="24"/>
          <w:szCs w:val="24"/>
          <w:vertAlign w:val="subscript"/>
          <w:lang w:val="en-US"/>
        </w:rPr>
      </w:pPr>
      <w:r>
        <w:rPr>
          <w:rStyle w:val="FootnoteReference"/>
        </w:rPr>
        <w:footnoteRef/>
      </w:r>
      <w:r w:rsidRPr="007077C7">
        <w:rPr>
          <w:lang w:val="en-US"/>
        </w:rPr>
        <w:t xml:space="preserve"> </w:t>
      </w:r>
      <w:r w:rsidRPr="006168E6">
        <w:rPr>
          <w:sz w:val="24"/>
          <w:szCs w:val="24"/>
          <w:vertAlign w:val="subscript"/>
          <w:lang w:val="en-US"/>
        </w:rPr>
        <w:t>Originally the OB decomposition was devised to look at wage discrimination in the labor market. Therefore, when decomposing, the two groups are defined in STATA as a high mean value and a low mean value group and not a period one and period two group. If period two corresponds with higher BMI mean than period one this notation is true. If BMI is higher in period one, the time indicators in formulas (5), (6) and (7) are exactly the opposite.</w:t>
      </w:r>
    </w:p>
  </w:footnote>
  <w:footnote w:id="4">
    <w:p w14:paraId="63A85221" w14:textId="2410B4A1" w:rsidR="00E36784" w:rsidRPr="00BE0EB6" w:rsidRDefault="00E36784" w:rsidP="00B454BA">
      <w:pPr>
        <w:pStyle w:val="FootnoteText"/>
        <w:rPr>
          <w:sz w:val="24"/>
          <w:szCs w:val="24"/>
          <w:vertAlign w:val="subscript"/>
          <w:lang w:val="en-US"/>
        </w:rPr>
      </w:pPr>
      <w:r w:rsidRPr="00BE0EB6">
        <w:rPr>
          <w:rStyle w:val="FootnoteReference"/>
          <w:sz w:val="24"/>
          <w:szCs w:val="24"/>
          <w:vertAlign w:val="subscript"/>
        </w:rPr>
        <w:footnoteRef/>
      </w:r>
      <w:r w:rsidRPr="009F3306">
        <w:rPr>
          <w:sz w:val="24"/>
          <w:szCs w:val="24"/>
          <w:vertAlign w:val="subscript"/>
          <w:lang w:val="en-US"/>
        </w:rPr>
        <w:t xml:space="preserve"> </w:t>
      </w:r>
      <w:r w:rsidRPr="00BE0EB6">
        <w:rPr>
          <w:sz w:val="24"/>
          <w:szCs w:val="24"/>
          <w:vertAlign w:val="subscript"/>
          <w:lang w:val="en-US"/>
        </w:rPr>
        <w:t xml:space="preserve">Also see </w:t>
      </w:r>
      <w:r>
        <w:rPr>
          <w:sz w:val="24"/>
          <w:szCs w:val="24"/>
          <w:vertAlign w:val="subscript"/>
          <w:lang w:val="en-US"/>
        </w:rPr>
        <w:t xml:space="preserve">figure </w:t>
      </w:r>
      <w:r w:rsidRPr="00BE0EB6">
        <w:rPr>
          <w:sz w:val="24"/>
          <w:szCs w:val="24"/>
          <w:vertAlign w:val="subscript"/>
          <w:lang w:val="en-US"/>
        </w:rPr>
        <w:t>2 of the appendix</w:t>
      </w:r>
    </w:p>
  </w:footnote>
  <w:footnote w:id="5">
    <w:p w14:paraId="6FA1632C" w14:textId="2FEE39C3" w:rsidR="00E36784" w:rsidRPr="000F4986" w:rsidRDefault="00E36784">
      <w:pPr>
        <w:pStyle w:val="FootnoteText"/>
        <w:rPr>
          <w:sz w:val="24"/>
          <w:szCs w:val="24"/>
          <w:vertAlign w:val="subscript"/>
          <w:lang w:val="en-US"/>
        </w:rPr>
      </w:pPr>
      <w:r w:rsidRPr="000F4986">
        <w:rPr>
          <w:rStyle w:val="FootnoteReference"/>
          <w:sz w:val="24"/>
          <w:szCs w:val="24"/>
          <w:vertAlign w:val="subscript"/>
        </w:rPr>
        <w:footnoteRef/>
      </w:r>
      <w:r w:rsidRPr="001442C3">
        <w:rPr>
          <w:sz w:val="24"/>
          <w:szCs w:val="24"/>
          <w:vertAlign w:val="subscript"/>
          <w:lang w:val="en-US"/>
        </w:rPr>
        <w:t xml:space="preserve"> </w:t>
      </w:r>
      <w:r>
        <w:rPr>
          <w:sz w:val="24"/>
          <w:szCs w:val="24"/>
          <w:vertAlign w:val="subscript"/>
          <w:lang w:val="en-US"/>
        </w:rPr>
        <w:t>This is done with a t-test on paired means</w:t>
      </w:r>
      <w:r w:rsidRPr="000F4986">
        <w:rPr>
          <w:sz w:val="24"/>
          <w:szCs w:val="24"/>
          <w:vertAlign w:val="subscript"/>
          <w:lang w:val="en-US"/>
        </w:rPr>
        <w:t xml:space="preserve">  </w:t>
      </w:r>
    </w:p>
  </w:footnote>
  <w:footnote w:id="6">
    <w:p w14:paraId="1D6676FD" w14:textId="4212C62F" w:rsidR="00E36784" w:rsidRPr="002257F3" w:rsidRDefault="00E36784" w:rsidP="00821BA3">
      <w:pPr>
        <w:pStyle w:val="FootnoteText"/>
        <w:rPr>
          <w:lang w:val="en-US"/>
        </w:rPr>
      </w:pPr>
      <w:r>
        <w:rPr>
          <w:rStyle w:val="FootnoteReference"/>
        </w:rPr>
        <w:footnoteRef/>
      </w:r>
      <w:r w:rsidRPr="009F3306">
        <w:rPr>
          <w:lang w:val="en-US"/>
        </w:rPr>
        <w:t xml:space="preserve"> </w:t>
      </w:r>
      <w:r>
        <w:rPr>
          <w:sz w:val="24"/>
          <w:szCs w:val="24"/>
          <w:vertAlign w:val="subscript"/>
          <w:lang w:val="en-US"/>
        </w:rPr>
        <w:t>Also see figure 3</w:t>
      </w:r>
      <w:r w:rsidRPr="00BE5F14">
        <w:rPr>
          <w:sz w:val="24"/>
          <w:szCs w:val="24"/>
          <w:vertAlign w:val="subscript"/>
          <w:lang w:val="en-US"/>
        </w:rPr>
        <w:t xml:space="preserve"> of the appendix</w:t>
      </w:r>
    </w:p>
  </w:footnote>
  <w:footnote w:id="7">
    <w:p w14:paraId="4509CEE1" w14:textId="77777777" w:rsidR="00E36784" w:rsidRPr="00AC55E5" w:rsidRDefault="00E36784">
      <w:pPr>
        <w:pStyle w:val="FootnoteText"/>
        <w:rPr>
          <w:sz w:val="24"/>
          <w:szCs w:val="24"/>
          <w:vertAlign w:val="subscript"/>
          <w:lang w:val="en-US"/>
        </w:rPr>
      </w:pPr>
      <w:r w:rsidRPr="009B2D1C">
        <w:rPr>
          <w:rStyle w:val="FootnoteReference"/>
        </w:rPr>
        <w:footnoteRef/>
      </w:r>
      <w:r w:rsidRPr="009B2D1C">
        <w:rPr>
          <w:vertAlign w:val="superscript"/>
          <w:lang w:val="en-US"/>
        </w:rPr>
        <w:t xml:space="preserve"> </w:t>
      </w:r>
      <w:r w:rsidRPr="00AC55E5">
        <w:rPr>
          <w:sz w:val="24"/>
          <w:szCs w:val="24"/>
          <w:vertAlign w:val="subscript"/>
          <w:lang w:val="en-US"/>
        </w:rPr>
        <w:t xml:space="preserve">This is confirmed when looking at the correlation statistics of the independent variables. There is little correlation between the variables of the basic and extended model higher than 10%, except for age and being active or having a low income. This explained by the fact that people are less capable of physical activity when they are getting closer to their end of life </w:t>
      </w:r>
      <w:r w:rsidRPr="000C440D">
        <w:rPr>
          <w:color w:val="000000"/>
          <w:sz w:val="24"/>
          <w:szCs w:val="24"/>
          <w:vertAlign w:val="subscript"/>
          <w:lang w:val="en-US"/>
        </w:rPr>
        <w:t xml:space="preserve">and that the sample consists of people in their retiring ages which for most people goes hand in hand with a drop in their income.  </w:t>
      </w:r>
      <w:r w:rsidRPr="009F3306">
        <w:rPr>
          <w:color w:val="000000"/>
          <w:sz w:val="24"/>
          <w:szCs w:val="24"/>
          <w:vertAlign w:val="subscript"/>
          <w:lang w:val="en-US"/>
        </w:rPr>
        <w:t xml:space="preserve">Also see table 10 of the </w:t>
      </w:r>
      <w:r w:rsidRPr="009F3306">
        <w:rPr>
          <w:sz w:val="24"/>
          <w:szCs w:val="24"/>
          <w:vertAlign w:val="subscript"/>
          <w:lang w:val="en-US"/>
        </w:rPr>
        <w:t>appendix.</w:t>
      </w:r>
    </w:p>
  </w:footnote>
  <w:footnote w:id="8">
    <w:p w14:paraId="24525632" w14:textId="77777777" w:rsidR="00E36784" w:rsidRPr="00AC55E5" w:rsidRDefault="00E36784">
      <w:pPr>
        <w:pStyle w:val="FootnoteText"/>
        <w:rPr>
          <w:sz w:val="24"/>
          <w:szCs w:val="24"/>
          <w:vertAlign w:val="subscript"/>
          <w:lang w:val="en-US"/>
        </w:rPr>
      </w:pPr>
      <w:r w:rsidRPr="00AC55E5">
        <w:rPr>
          <w:rStyle w:val="FootnoteReference"/>
          <w:sz w:val="24"/>
          <w:szCs w:val="24"/>
          <w:vertAlign w:val="subscript"/>
        </w:rPr>
        <w:footnoteRef/>
      </w:r>
      <w:r w:rsidRPr="009F3306">
        <w:rPr>
          <w:sz w:val="24"/>
          <w:szCs w:val="24"/>
          <w:vertAlign w:val="subscript"/>
          <w:lang w:val="en-US"/>
        </w:rPr>
        <w:t xml:space="preserve"> </w:t>
      </w:r>
      <w:r w:rsidRPr="00AC55E5">
        <w:rPr>
          <w:sz w:val="24"/>
          <w:szCs w:val="24"/>
          <w:vertAlign w:val="subscript"/>
          <w:lang w:val="en-US"/>
        </w:rPr>
        <w:t>This BMI evolution of the people aged 75 and over may also explain why mean BMI did not increase for every country significantly between 2004 and 2010</w:t>
      </w:r>
    </w:p>
  </w:footnote>
  <w:footnote w:id="9">
    <w:p w14:paraId="0A043CEC" w14:textId="6549D04A" w:rsidR="00E36784" w:rsidRPr="000F4986" w:rsidRDefault="00E36784">
      <w:pPr>
        <w:pStyle w:val="FootnoteText"/>
        <w:rPr>
          <w:sz w:val="24"/>
          <w:szCs w:val="24"/>
          <w:vertAlign w:val="subscript"/>
          <w:lang w:val="en-US"/>
        </w:rPr>
      </w:pPr>
      <w:r w:rsidRPr="000F4986">
        <w:rPr>
          <w:rStyle w:val="FootnoteReference"/>
          <w:sz w:val="24"/>
          <w:szCs w:val="24"/>
          <w:vertAlign w:val="subscript"/>
        </w:rPr>
        <w:footnoteRef/>
      </w:r>
      <w:r w:rsidRPr="001442C3">
        <w:rPr>
          <w:sz w:val="24"/>
          <w:szCs w:val="24"/>
          <w:vertAlign w:val="subscript"/>
          <w:lang w:val="en-US"/>
        </w:rPr>
        <w:t xml:space="preserve"> </w:t>
      </w:r>
      <w:r w:rsidRPr="000F4986">
        <w:rPr>
          <w:sz w:val="24"/>
          <w:szCs w:val="24"/>
          <w:vertAlign w:val="subscript"/>
          <w:lang w:val="en-US"/>
        </w:rPr>
        <w:t>This is the case for all countries except Austria, see table</w:t>
      </w:r>
      <w:r>
        <w:rPr>
          <w:color w:val="FF0000"/>
          <w:sz w:val="24"/>
          <w:szCs w:val="24"/>
          <w:vertAlign w:val="subscript"/>
          <w:lang w:val="en-US"/>
        </w:rPr>
        <w:t xml:space="preserve"> </w:t>
      </w:r>
      <w:r>
        <w:rPr>
          <w:sz w:val="24"/>
          <w:szCs w:val="24"/>
          <w:vertAlign w:val="subscript"/>
          <w:lang w:val="en-US"/>
        </w:rPr>
        <w:t>1 in section 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05FE3"/>
    <w:multiLevelType w:val="hybridMultilevel"/>
    <w:tmpl w:val="95BE1398"/>
    <w:lvl w:ilvl="0" w:tplc="5A665E7C">
      <w:start w:val="2"/>
      <w:numFmt w:val="decimal"/>
      <w:lvlText w:val="%1"/>
      <w:lvlJc w:val="left"/>
      <w:pPr>
        <w:ind w:left="2394" w:hanging="360"/>
      </w:pPr>
      <w:rPr>
        <w:rFonts w:hint="default"/>
      </w:rPr>
    </w:lvl>
    <w:lvl w:ilvl="1" w:tplc="04090019">
      <w:start w:val="1"/>
      <w:numFmt w:val="lowerLetter"/>
      <w:lvlText w:val="%2."/>
      <w:lvlJc w:val="left"/>
      <w:pPr>
        <w:ind w:left="2394" w:hanging="360"/>
      </w:pPr>
    </w:lvl>
    <w:lvl w:ilvl="2" w:tplc="0409001B" w:tentative="1">
      <w:start w:val="1"/>
      <w:numFmt w:val="lowerRoman"/>
      <w:lvlText w:val="%3."/>
      <w:lvlJc w:val="right"/>
      <w:pPr>
        <w:ind w:left="3114" w:hanging="180"/>
      </w:pPr>
    </w:lvl>
    <w:lvl w:ilvl="3" w:tplc="0409000F" w:tentative="1">
      <w:start w:val="1"/>
      <w:numFmt w:val="decimal"/>
      <w:lvlText w:val="%4."/>
      <w:lvlJc w:val="left"/>
      <w:pPr>
        <w:ind w:left="3834" w:hanging="360"/>
      </w:pPr>
    </w:lvl>
    <w:lvl w:ilvl="4" w:tplc="04090019" w:tentative="1">
      <w:start w:val="1"/>
      <w:numFmt w:val="lowerLetter"/>
      <w:lvlText w:val="%5."/>
      <w:lvlJc w:val="left"/>
      <w:pPr>
        <w:ind w:left="4554" w:hanging="360"/>
      </w:pPr>
    </w:lvl>
    <w:lvl w:ilvl="5" w:tplc="0409001B" w:tentative="1">
      <w:start w:val="1"/>
      <w:numFmt w:val="lowerRoman"/>
      <w:lvlText w:val="%6."/>
      <w:lvlJc w:val="right"/>
      <w:pPr>
        <w:ind w:left="5274" w:hanging="180"/>
      </w:pPr>
    </w:lvl>
    <w:lvl w:ilvl="6" w:tplc="0409000F" w:tentative="1">
      <w:start w:val="1"/>
      <w:numFmt w:val="decimal"/>
      <w:lvlText w:val="%7."/>
      <w:lvlJc w:val="left"/>
      <w:pPr>
        <w:ind w:left="5994" w:hanging="360"/>
      </w:pPr>
    </w:lvl>
    <w:lvl w:ilvl="7" w:tplc="04090019" w:tentative="1">
      <w:start w:val="1"/>
      <w:numFmt w:val="lowerLetter"/>
      <w:lvlText w:val="%8."/>
      <w:lvlJc w:val="left"/>
      <w:pPr>
        <w:ind w:left="6714" w:hanging="360"/>
      </w:pPr>
    </w:lvl>
    <w:lvl w:ilvl="8" w:tplc="0409001B" w:tentative="1">
      <w:start w:val="1"/>
      <w:numFmt w:val="lowerRoman"/>
      <w:lvlText w:val="%9."/>
      <w:lvlJc w:val="right"/>
      <w:pPr>
        <w:ind w:left="7434" w:hanging="180"/>
      </w:pPr>
    </w:lvl>
  </w:abstractNum>
  <w:abstractNum w:abstractNumId="1">
    <w:nsid w:val="0AB7510D"/>
    <w:multiLevelType w:val="hybridMultilevel"/>
    <w:tmpl w:val="40BE4982"/>
    <w:lvl w:ilvl="0" w:tplc="AAB8D7B2">
      <w:start w:val="7"/>
      <w:numFmt w:val="bullet"/>
      <w:lvlText w:val="-"/>
      <w:lvlJc w:val="left"/>
      <w:pPr>
        <w:ind w:left="1080" w:hanging="360"/>
      </w:pPr>
      <w:rPr>
        <w:rFonts w:ascii="Calibri" w:eastAsia="Calibri" w:hAnsi="Calibri" w:cs="AdvPED1282"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nsid w:val="19E34D96"/>
    <w:multiLevelType w:val="hybridMultilevel"/>
    <w:tmpl w:val="9BEA0E8E"/>
    <w:lvl w:ilvl="0" w:tplc="5A665E7C">
      <w:start w:val="2"/>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C0514AD"/>
    <w:multiLevelType w:val="hybridMultilevel"/>
    <w:tmpl w:val="C7FED5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A23546"/>
    <w:multiLevelType w:val="hybridMultilevel"/>
    <w:tmpl w:val="1E4C9D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310C36"/>
    <w:multiLevelType w:val="hybridMultilevel"/>
    <w:tmpl w:val="D95C5E6A"/>
    <w:lvl w:ilvl="0" w:tplc="F9B2C8CC">
      <w:numFmt w:val="bullet"/>
      <w:lvlText w:val="-"/>
      <w:lvlJc w:val="left"/>
      <w:pPr>
        <w:ind w:left="720" w:hanging="360"/>
      </w:pPr>
      <w:rPr>
        <w:rFonts w:ascii="Calibri" w:eastAsia="SimSu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6CE7141"/>
    <w:multiLevelType w:val="hybridMultilevel"/>
    <w:tmpl w:val="24F2D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3F63FC"/>
    <w:multiLevelType w:val="hybridMultilevel"/>
    <w:tmpl w:val="9882502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2D141BEB"/>
    <w:multiLevelType w:val="hybridMultilevel"/>
    <w:tmpl w:val="54001A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9ED7F36"/>
    <w:multiLevelType w:val="hybridMultilevel"/>
    <w:tmpl w:val="9882502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3A503BA0"/>
    <w:multiLevelType w:val="multilevel"/>
    <w:tmpl w:val="B068187E"/>
    <w:lvl w:ilvl="0">
      <w:start w:val="1"/>
      <w:numFmt w:val="decimal"/>
      <w:pStyle w:val="Heading1"/>
      <w:lvlText w:val="%1."/>
      <w:lvlJc w:val="left"/>
      <w:pPr>
        <w:ind w:left="720" w:hanging="360"/>
      </w:pPr>
      <w:rPr>
        <w:rFonts w:cs="Times New Roman" w:hint="default"/>
        <w:b w:val="0"/>
        <w:bCs w:val="0"/>
        <w:i w:val="0"/>
        <w:iCs w:val="0"/>
        <w:caps w:val="0"/>
        <w:smallCaps w:val="0"/>
        <w:strike w:val="0"/>
        <w:dstrike w:val="0"/>
        <w:noProof w:val="0"/>
        <w:vanish w:val="0"/>
        <w:color w:val="17406D" w:themeColor="text2"/>
        <w:spacing w:val="0"/>
        <w:kern w:val="0"/>
        <w:position w:val="0"/>
        <w:u w:val="none"/>
        <w:effect w:val="none"/>
        <w:vertAlign w:val="baseline"/>
        <w:em w:val="none"/>
        <w:specVanish w:val="0"/>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nsid w:val="3FE33643"/>
    <w:multiLevelType w:val="hybridMultilevel"/>
    <w:tmpl w:val="60586F24"/>
    <w:lvl w:ilvl="0" w:tplc="E208E2FC">
      <w:start w:val="1"/>
      <w:numFmt w:val="decimal"/>
      <w:lvlText w:val="(%1)"/>
      <w:lvlJc w:val="left"/>
      <w:pPr>
        <w:ind w:left="2136" w:hanging="720"/>
      </w:pPr>
      <w:rPr>
        <w:rFonts w:eastAsia="Calibri" w:hint="default"/>
      </w:rPr>
    </w:lvl>
    <w:lvl w:ilvl="1" w:tplc="04130019" w:tentative="1">
      <w:start w:val="1"/>
      <w:numFmt w:val="lowerLetter"/>
      <w:lvlText w:val="%2."/>
      <w:lvlJc w:val="left"/>
      <w:pPr>
        <w:ind w:left="2496" w:hanging="360"/>
      </w:pPr>
    </w:lvl>
    <w:lvl w:ilvl="2" w:tplc="0413001B" w:tentative="1">
      <w:start w:val="1"/>
      <w:numFmt w:val="lowerRoman"/>
      <w:lvlText w:val="%3."/>
      <w:lvlJc w:val="right"/>
      <w:pPr>
        <w:ind w:left="3216" w:hanging="180"/>
      </w:pPr>
    </w:lvl>
    <w:lvl w:ilvl="3" w:tplc="0413000F" w:tentative="1">
      <w:start w:val="1"/>
      <w:numFmt w:val="decimal"/>
      <w:lvlText w:val="%4."/>
      <w:lvlJc w:val="left"/>
      <w:pPr>
        <w:ind w:left="3936" w:hanging="360"/>
      </w:pPr>
    </w:lvl>
    <w:lvl w:ilvl="4" w:tplc="04130019" w:tentative="1">
      <w:start w:val="1"/>
      <w:numFmt w:val="lowerLetter"/>
      <w:lvlText w:val="%5."/>
      <w:lvlJc w:val="left"/>
      <w:pPr>
        <w:ind w:left="4656" w:hanging="360"/>
      </w:pPr>
    </w:lvl>
    <w:lvl w:ilvl="5" w:tplc="0413001B" w:tentative="1">
      <w:start w:val="1"/>
      <w:numFmt w:val="lowerRoman"/>
      <w:lvlText w:val="%6."/>
      <w:lvlJc w:val="right"/>
      <w:pPr>
        <w:ind w:left="5376" w:hanging="180"/>
      </w:pPr>
    </w:lvl>
    <w:lvl w:ilvl="6" w:tplc="0413000F" w:tentative="1">
      <w:start w:val="1"/>
      <w:numFmt w:val="decimal"/>
      <w:lvlText w:val="%7."/>
      <w:lvlJc w:val="left"/>
      <w:pPr>
        <w:ind w:left="6096" w:hanging="360"/>
      </w:pPr>
    </w:lvl>
    <w:lvl w:ilvl="7" w:tplc="04130019" w:tentative="1">
      <w:start w:val="1"/>
      <w:numFmt w:val="lowerLetter"/>
      <w:lvlText w:val="%8."/>
      <w:lvlJc w:val="left"/>
      <w:pPr>
        <w:ind w:left="6816" w:hanging="360"/>
      </w:pPr>
    </w:lvl>
    <w:lvl w:ilvl="8" w:tplc="0413001B" w:tentative="1">
      <w:start w:val="1"/>
      <w:numFmt w:val="lowerRoman"/>
      <w:lvlText w:val="%9."/>
      <w:lvlJc w:val="right"/>
      <w:pPr>
        <w:ind w:left="7536" w:hanging="180"/>
      </w:pPr>
    </w:lvl>
  </w:abstractNum>
  <w:abstractNum w:abstractNumId="12">
    <w:nsid w:val="43640F31"/>
    <w:multiLevelType w:val="hybridMultilevel"/>
    <w:tmpl w:val="24D0A2DA"/>
    <w:lvl w:ilvl="0" w:tplc="391068A0">
      <w:start w:val="1"/>
      <w:numFmt w:val="bullet"/>
      <w:lvlText w:val="-"/>
      <w:lvlJc w:val="left"/>
      <w:pPr>
        <w:ind w:left="1080" w:hanging="360"/>
      </w:pPr>
      <w:rPr>
        <w:rFonts w:ascii="Calibri" w:eastAsia="Calibri" w:hAnsi="Calibri"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3">
    <w:nsid w:val="43CE6DE2"/>
    <w:multiLevelType w:val="hybridMultilevel"/>
    <w:tmpl w:val="DE829FDC"/>
    <w:lvl w:ilvl="0" w:tplc="E208E2FC">
      <w:start w:val="1"/>
      <w:numFmt w:val="decimal"/>
      <w:lvlText w:val="(%1)"/>
      <w:lvlJc w:val="left"/>
      <w:pPr>
        <w:ind w:left="2136" w:hanging="360"/>
      </w:pPr>
      <w:rPr>
        <w:rFonts w:eastAsia="Calibri" w:hint="default"/>
      </w:rPr>
    </w:lvl>
    <w:lvl w:ilvl="1" w:tplc="04130019" w:tentative="1">
      <w:start w:val="1"/>
      <w:numFmt w:val="lowerLetter"/>
      <w:lvlText w:val="%2."/>
      <w:lvlJc w:val="left"/>
      <w:pPr>
        <w:ind w:left="2856" w:hanging="360"/>
      </w:pPr>
    </w:lvl>
    <w:lvl w:ilvl="2" w:tplc="0413001B" w:tentative="1">
      <w:start w:val="1"/>
      <w:numFmt w:val="lowerRoman"/>
      <w:lvlText w:val="%3."/>
      <w:lvlJc w:val="right"/>
      <w:pPr>
        <w:ind w:left="3576" w:hanging="180"/>
      </w:pPr>
    </w:lvl>
    <w:lvl w:ilvl="3" w:tplc="0413000F" w:tentative="1">
      <w:start w:val="1"/>
      <w:numFmt w:val="decimal"/>
      <w:lvlText w:val="%4."/>
      <w:lvlJc w:val="left"/>
      <w:pPr>
        <w:ind w:left="4296" w:hanging="360"/>
      </w:pPr>
    </w:lvl>
    <w:lvl w:ilvl="4" w:tplc="04130019" w:tentative="1">
      <w:start w:val="1"/>
      <w:numFmt w:val="lowerLetter"/>
      <w:lvlText w:val="%5."/>
      <w:lvlJc w:val="left"/>
      <w:pPr>
        <w:ind w:left="5016" w:hanging="360"/>
      </w:pPr>
    </w:lvl>
    <w:lvl w:ilvl="5" w:tplc="0413001B" w:tentative="1">
      <w:start w:val="1"/>
      <w:numFmt w:val="lowerRoman"/>
      <w:lvlText w:val="%6."/>
      <w:lvlJc w:val="right"/>
      <w:pPr>
        <w:ind w:left="5736" w:hanging="180"/>
      </w:pPr>
    </w:lvl>
    <w:lvl w:ilvl="6" w:tplc="0413000F" w:tentative="1">
      <w:start w:val="1"/>
      <w:numFmt w:val="decimal"/>
      <w:lvlText w:val="%7."/>
      <w:lvlJc w:val="left"/>
      <w:pPr>
        <w:ind w:left="6456" w:hanging="360"/>
      </w:pPr>
    </w:lvl>
    <w:lvl w:ilvl="7" w:tplc="04130019" w:tentative="1">
      <w:start w:val="1"/>
      <w:numFmt w:val="lowerLetter"/>
      <w:lvlText w:val="%8."/>
      <w:lvlJc w:val="left"/>
      <w:pPr>
        <w:ind w:left="7176" w:hanging="360"/>
      </w:pPr>
    </w:lvl>
    <w:lvl w:ilvl="8" w:tplc="0413001B" w:tentative="1">
      <w:start w:val="1"/>
      <w:numFmt w:val="lowerRoman"/>
      <w:lvlText w:val="%9."/>
      <w:lvlJc w:val="right"/>
      <w:pPr>
        <w:ind w:left="7896" w:hanging="180"/>
      </w:pPr>
    </w:lvl>
  </w:abstractNum>
  <w:abstractNum w:abstractNumId="14">
    <w:nsid w:val="4AC10D2E"/>
    <w:multiLevelType w:val="hybridMultilevel"/>
    <w:tmpl w:val="9460D21C"/>
    <w:lvl w:ilvl="0" w:tplc="26586FD6">
      <w:start w:val="2"/>
      <w:numFmt w:val="decimal"/>
      <w:lvlText w:val="(%1)"/>
      <w:lvlJc w:val="left"/>
      <w:pPr>
        <w:ind w:left="3216" w:hanging="360"/>
      </w:pPr>
      <w:rPr>
        <w:rFonts w:hint="default"/>
      </w:rPr>
    </w:lvl>
    <w:lvl w:ilvl="1" w:tplc="04130019" w:tentative="1">
      <w:start w:val="1"/>
      <w:numFmt w:val="lowerLetter"/>
      <w:lvlText w:val="%2."/>
      <w:lvlJc w:val="left"/>
      <w:pPr>
        <w:ind w:left="2856" w:hanging="360"/>
      </w:pPr>
    </w:lvl>
    <w:lvl w:ilvl="2" w:tplc="0413001B" w:tentative="1">
      <w:start w:val="1"/>
      <w:numFmt w:val="lowerRoman"/>
      <w:lvlText w:val="%3."/>
      <w:lvlJc w:val="right"/>
      <w:pPr>
        <w:ind w:left="3576" w:hanging="180"/>
      </w:pPr>
    </w:lvl>
    <w:lvl w:ilvl="3" w:tplc="0413000F" w:tentative="1">
      <w:start w:val="1"/>
      <w:numFmt w:val="decimal"/>
      <w:lvlText w:val="%4."/>
      <w:lvlJc w:val="left"/>
      <w:pPr>
        <w:ind w:left="4296" w:hanging="360"/>
      </w:pPr>
    </w:lvl>
    <w:lvl w:ilvl="4" w:tplc="04130019" w:tentative="1">
      <w:start w:val="1"/>
      <w:numFmt w:val="lowerLetter"/>
      <w:lvlText w:val="%5."/>
      <w:lvlJc w:val="left"/>
      <w:pPr>
        <w:ind w:left="5016" w:hanging="360"/>
      </w:pPr>
    </w:lvl>
    <w:lvl w:ilvl="5" w:tplc="0413001B" w:tentative="1">
      <w:start w:val="1"/>
      <w:numFmt w:val="lowerRoman"/>
      <w:lvlText w:val="%6."/>
      <w:lvlJc w:val="right"/>
      <w:pPr>
        <w:ind w:left="5736" w:hanging="180"/>
      </w:pPr>
    </w:lvl>
    <w:lvl w:ilvl="6" w:tplc="0413000F" w:tentative="1">
      <w:start w:val="1"/>
      <w:numFmt w:val="decimal"/>
      <w:lvlText w:val="%7."/>
      <w:lvlJc w:val="left"/>
      <w:pPr>
        <w:ind w:left="6456" w:hanging="360"/>
      </w:pPr>
    </w:lvl>
    <w:lvl w:ilvl="7" w:tplc="04130019" w:tentative="1">
      <w:start w:val="1"/>
      <w:numFmt w:val="lowerLetter"/>
      <w:lvlText w:val="%8."/>
      <w:lvlJc w:val="left"/>
      <w:pPr>
        <w:ind w:left="7176" w:hanging="360"/>
      </w:pPr>
    </w:lvl>
    <w:lvl w:ilvl="8" w:tplc="0413001B" w:tentative="1">
      <w:start w:val="1"/>
      <w:numFmt w:val="lowerRoman"/>
      <w:lvlText w:val="%9."/>
      <w:lvlJc w:val="right"/>
      <w:pPr>
        <w:ind w:left="7896" w:hanging="180"/>
      </w:pPr>
    </w:lvl>
  </w:abstractNum>
  <w:abstractNum w:abstractNumId="15">
    <w:nsid w:val="4BCC0A08"/>
    <w:multiLevelType w:val="hybridMultilevel"/>
    <w:tmpl w:val="C0FC2566"/>
    <w:lvl w:ilvl="0" w:tplc="7AC09BD4">
      <w:start w:val="7"/>
      <w:numFmt w:val="decimal"/>
      <w:lvlText w:val="%1"/>
      <w:lvlJc w:val="left"/>
      <w:pPr>
        <w:ind w:left="1068" w:hanging="360"/>
      </w:pPr>
      <w:rPr>
        <w:rFonts w:cs="Times New Roman"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6">
    <w:nsid w:val="4D840894"/>
    <w:multiLevelType w:val="hybridMultilevel"/>
    <w:tmpl w:val="9882502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4E9F7F0A"/>
    <w:multiLevelType w:val="hybridMultilevel"/>
    <w:tmpl w:val="FB348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10E5555"/>
    <w:multiLevelType w:val="hybridMultilevel"/>
    <w:tmpl w:val="BA4A2740"/>
    <w:lvl w:ilvl="0" w:tplc="3BFEDC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6845F2A"/>
    <w:multiLevelType w:val="hybridMultilevel"/>
    <w:tmpl w:val="462425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871671"/>
    <w:multiLevelType w:val="hybridMultilevel"/>
    <w:tmpl w:val="9882502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5C154936"/>
    <w:multiLevelType w:val="hybridMultilevel"/>
    <w:tmpl w:val="1B028224"/>
    <w:lvl w:ilvl="0" w:tplc="C2F6F6C2">
      <w:start w:val="7"/>
      <w:numFmt w:val="decimal"/>
      <w:lvlText w:val="%1"/>
      <w:lvlJc w:val="left"/>
      <w:pPr>
        <w:ind w:left="1776" w:hanging="360"/>
      </w:pPr>
      <w:rPr>
        <w:rFonts w:cs="Times New Roman" w:hint="default"/>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2">
    <w:nsid w:val="61C21CA5"/>
    <w:multiLevelType w:val="hybridMultilevel"/>
    <w:tmpl w:val="64B4B4E0"/>
    <w:lvl w:ilvl="0" w:tplc="647C672E">
      <w:start w:val="1"/>
      <w:numFmt w:val="decimal"/>
      <w:lvlText w:val="(%1)"/>
      <w:lvlJc w:val="left"/>
      <w:pPr>
        <w:ind w:left="2136" w:hanging="360"/>
      </w:pPr>
      <w:rPr>
        <w:rFonts w:ascii="Calibri" w:eastAsia="Calibri" w:hAnsi="Calibri" w:cs="AdvPED1282" w:hint="default"/>
        <w:i w:val="0"/>
        <w:noProof w:val="0"/>
      </w:rPr>
    </w:lvl>
    <w:lvl w:ilvl="1" w:tplc="04130019">
      <w:start w:val="1"/>
      <w:numFmt w:val="lowerLetter"/>
      <w:lvlText w:val="%2."/>
      <w:lvlJc w:val="left"/>
      <w:pPr>
        <w:ind w:left="2856" w:hanging="360"/>
      </w:pPr>
    </w:lvl>
    <w:lvl w:ilvl="2" w:tplc="0413001B" w:tentative="1">
      <w:start w:val="1"/>
      <w:numFmt w:val="lowerRoman"/>
      <w:lvlText w:val="%3."/>
      <w:lvlJc w:val="right"/>
      <w:pPr>
        <w:ind w:left="3576" w:hanging="180"/>
      </w:pPr>
    </w:lvl>
    <w:lvl w:ilvl="3" w:tplc="0413000F" w:tentative="1">
      <w:start w:val="1"/>
      <w:numFmt w:val="decimal"/>
      <w:lvlText w:val="%4."/>
      <w:lvlJc w:val="left"/>
      <w:pPr>
        <w:ind w:left="4296" w:hanging="360"/>
      </w:pPr>
    </w:lvl>
    <w:lvl w:ilvl="4" w:tplc="04130019" w:tentative="1">
      <w:start w:val="1"/>
      <w:numFmt w:val="lowerLetter"/>
      <w:lvlText w:val="%5."/>
      <w:lvlJc w:val="left"/>
      <w:pPr>
        <w:ind w:left="5016" w:hanging="360"/>
      </w:pPr>
    </w:lvl>
    <w:lvl w:ilvl="5" w:tplc="0413001B" w:tentative="1">
      <w:start w:val="1"/>
      <w:numFmt w:val="lowerRoman"/>
      <w:lvlText w:val="%6."/>
      <w:lvlJc w:val="right"/>
      <w:pPr>
        <w:ind w:left="5736" w:hanging="180"/>
      </w:pPr>
    </w:lvl>
    <w:lvl w:ilvl="6" w:tplc="0413000F" w:tentative="1">
      <w:start w:val="1"/>
      <w:numFmt w:val="decimal"/>
      <w:lvlText w:val="%7."/>
      <w:lvlJc w:val="left"/>
      <w:pPr>
        <w:ind w:left="6456" w:hanging="360"/>
      </w:pPr>
    </w:lvl>
    <w:lvl w:ilvl="7" w:tplc="04130019" w:tentative="1">
      <w:start w:val="1"/>
      <w:numFmt w:val="lowerLetter"/>
      <w:lvlText w:val="%8."/>
      <w:lvlJc w:val="left"/>
      <w:pPr>
        <w:ind w:left="7176" w:hanging="360"/>
      </w:pPr>
    </w:lvl>
    <w:lvl w:ilvl="8" w:tplc="0413001B" w:tentative="1">
      <w:start w:val="1"/>
      <w:numFmt w:val="lowerRoman"/>
      <w:lvlText w:val="%9."/>
      <w:lvlJc w:val="right"/>
      <w:pPr>
        <w:ind w:left="7896" w:hanging="180"/>
      </w:pPr>
    </w:lvl>
  </w:abstractNum>
  <w:abstractNum w:abstractNumId="23">
    <w:nsid w:val="62FE0598"/>
    <w:multiLevelType w:val="hybridMultilevel"/>
    <w:tmpl w:val="A9BAC1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1C30495"/>
    <w:multiLevelType w:val="hybridMultilevel"/>
    <w:tmpl w:val="C9484C8C"/>
    <w:lvl w:ilvl="0" w:tplc="E208E2FC">
      <w:start w:val="1"/>
      <w:numFmt w:val="decimal"/>
      <w:lvlText w:val="(%1)"/>
      <w:lvlJc w:val="left"/>
      <w:pPr>
        <w:ind w:left="1800" w:hanging="360"/>
      </w:pPr>
      <w:rPr>
        <w:rFonts w:eastAsia="Calibri" w:hint="default"/>
      </w:rPr>
    </w:lvl>
    <w:lvl w:ilvl="1" w:tplc="04130019" w:tentative="1">
      <w:start w:val="1"/>
      <w:numFmt w:val="lowerLetter"/>
      <w:lvlText w:val="%2."/>
      <w:lvlJc w:val="left"/>
      <w:pPr>
        <w:ind w:left="2520" w:hanging="360"/>
      </w:pPr>
    </w:lvl>
    <w:lvl w:ilvl="2" w:tplc="0413001B" w:tentative="1">
      <w:start w:val="1"/>
      <w:numFmt w:val="lowerRoman"/>
      <w:lvlText w:val="%3."/>
      <w:lvlJc w:val="right"/>
      <w:pPr>
        <w:ind w:left="3240" w:hanging="180"/>
      </w:pPr>
    </w:lvl>
    <w:lvl w:ilvl="3" w:tplc="0413000F" w:tentative="1">
      <w:start w:val="1"/>
      <w:numFmt w:val="decimal"/>
      <w:lvlText w:val="%4."/>
      <w:lvlJc w:val="left"/>
      <w:pPr>
        <w:ind w:left="3960" w:hanging="360"/>
      </w:pPr>
    </w:lvl>
    <w:lvl w:ilvl="4" w:tplc="04130019" w:tentative="1">
      <w:start w:val="1"/>
      <w:numFmt w:val="lowerLetter"/>
      <w:lvlText w:val="%5."/>
      <w:lvlJc w:val="left"/>
      <w:pPr>
        <w:ind w:left="4680" w:hanging="360"/>
      </w:pPr>
    </w:lvl>
    <w:lvl w:ilvl="5" w:tplc="0413001B" w:tentative="1">
      <w:start w:val="1"/>
      <w:numFmt w:val="lowerRoman"/>
      <w:lvlText w:val="%6."/>
      <w:lvlJc w:val="right"/>
      <w:pPr>
        <w:ind w:left="5400" w:hanging="180"/>
      </w:pPr>
    </w:lvl>
    <w:lvl w:ilvl="6" w:tplc="0413000F" w:tentative="1">
      <w:start w:val="1"/>
      <w:numFmt w:val="decimal"/>
      <w:lvlText w:val="%7."/>
      <w:lvlJc w:val="left"/>
      <w:pPr>
        <w:ind w:left="6120" w:hanging="360"/>
      </w:pPr>
    </w:lvl>
    <w:lvl w:ilvl="7" w:tplc="04130019" w:tentative="1">
      <w:start w:val="1"/>
      <w:numFmt w:val="lowerLetter"/>
      <w:lvlText w:val="%8."/>
      <w:lvlJc w:val="left"/>
      <w:pPr>
        <w:ind w:left="6840" w:hanging="360"/>
      </w:pPr>
    </w:lvl>
    <w:lvl w:ilvl="8" w:tplc="0413001B" w:tentative="1">
      <w:start w:val="1"/>
      <w:numFmt w:val="lowerRoman"/>
      <w:lvlText w:val="%9."/>
      <w:lvlJc w:val="right"/>
      <w:pPr>
        <w:ind w:left="7560" w:hanging="180"/>
      </w:pPr>
    </w:lvl>
  </w:abstractNum>
  <w:abstractNum w:abstractNumId="25">
    <w:nsid w:val="79FC7E15"/>
    <w:multiLevelType w:val="hybridMultilevel"/>
    <w:tmpl w:val="E7462DC6"/>
    <w:lvl w:ilvl="0" w:tplc="11F4FCD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A31068D"/>
    <w:multiLevelType w:val="hybridMultilevel"/>
    <w:tmpl w:val="F6804A1C"/>
    <w:lvl w:ilvl="0" w:tplc="4EAC849C">
      <w:start w:val="7"/>
      <w:numFmt w:val="decimal"/>
      <w:lvlText w:val="%1"/>
      <w:lvlJc w:val="left"/>
      <w:pPr>
        <w:ind w:left="1776" w:hanging="360"/>
      </w:pPr>
      <w:rPr>
        <w:rFonts w:cs="Times New Roman" w:hint="default"/>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7">
    <w:nsid w:val="7CEB2184"/>
    <w:multiLevelType w:val="hybridMultilevel"/>
    <w:tmpl w:val="9534924E"/>
    <w:lvl w:ilvl="0" w:tplc="8ED4E48C">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7E251CF6"/>
    <w:multiLevelType w:val="hybridMultilevel"/>
    <w:tmpl w:val="95488A44"/>
    <w:lvl w:ilvl="0" w:tplc="5A665E7C">
      <w:start w:val="2"/>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1"/>
  </w:num>
  <w:num w:numId="4">
    <w:abstractNumId w:val="9"/>
  </w:num>
  <w:num w:numId="5">
    <w:abstractNumId w:val="7"/>
  </w:num>
  <w:num w:numId="6">
    <w:abstractNumId w:val="5"/>
  </w:num>
  <w:num w:numId="7">
    <w:abstractNumId w:val="16"/>
  </w:num>
  <w:num w:numId="8">
    <w:abstractNumId w:val="18"/>
  </w:num>
  <w:num w:numId="9">
    <w:abstractNumId w:val="2"/>
  </w:num>
  <w:num w:numId="10">
    <w:abstractNumId w:val="27"/>
  </w:num>
  <w:num w:numId="11">
    <w:abstractNumId w:val="21"/>
  </w:num>
  <w:num w:numId="12">
    <w:abstractNumId w:val="26"/>
  </w:num>
  <w:num w:numId="13">
    <w:abstractNumId w:val="15"/>
  </w:num>
  <w:num w:numId="14">
    <w:abstractNumId w:val="28"/>
  </w:num>
  <w:num w:numId="15">
    <w:abstractNumId w:val="0"/>
  </w:num>
  <w:num w:numId="16">
    <w:abstractNumId w:val="25"/>
  </w:num>
  <w:num w:numId="17">
    <w:abstractNumId w:val="6"/>
  </w:num>
  <w:num w:numId="18">
    <w:abstractNumId w:val="8"/>
  </w:num>
  <w:num w:numId="19">
    <w:abstractNumId w:val="3"/>
  </w:num>
  <w:num w:numId="20">
    <w:abstractNumId w:val="19"/>
  </w:num>
  <w:num w:numId="21">
    <w:abstractNumId w:val="23"/>
  </w:num>
  <w:num w:numId="22">
    <w:abstractNumId w:val="4"/>
  </w:num>
  <w:num w:numId="23">
    <w:abstractNumId w:val="17"/>
  </w:num>
  <w:num w:numId="24">
    <w:abstractNumId w:val="10"/>
  </w:num>
  <w:num w:numId="25">
    <w:abstractNumId w:val="24"/>
  </w:num>
  <w:num w:numId="26">
    <w:abstractNumId w:val="14"/>
  </w:num>
  <w:num w:numId="27">
    <w:abstractNumId w:val="11"/>
  </w:num>
  <w:num w:numId="28">
    <w:abstractNumId w:val="22"/>
  </w:num>
  <w:num w:numId="29">
    <w:abstractNumId w:val="13"/>
  </w:num>
  <w:num w:numId="30">
    <w:abstractNumId w:val="10"/>
  </w:num>
  <w:num w:numId="31">
    <w:abstractNumId w:val="10"/>
  </w:num>
  <w:num w:numId="32">
    <w:abstractNumId w:val="10"/>
  </w:num>
  <w:num w:numId="33">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CD8"/>
    <w:rsid w:val="00002AEB"/>
    <w:rsid w:val="00003CB0"/>
    <w:rsid w:val="000056E5"/>
    <w:rsid w:val="000079E9"/>
    <w:rsid w:val="00007F63"/>
    <w:rsid w:val="000162ED"/>
    <w:rsid w:val="0001695D"/>
    <w:rsid w:val="00016BD9"/>
    <w:rsid w:val="0001745D"/>
    <w:rsid w:val="0002645F"/>
    <w:rsid w:val="0002694F"/>
    <w:rsid w:val="000329EE"/>
    <w:rsid w:val="000404D3"/>
    <w:rsid w:val="00040FC1"/>
    <w:rsid w:val="00043A15"/>
    <w:rsid w:val="00043D4B"/>
    <w:rsid w:val="0004574A"/>
    <w:rsid w:val="00052BC0"/>
    <w:rsid w:val="00053706"/>
    <w:rsid w:val="00053FB7"/>
    <w:rsid w:val="00055D3B"/>
    <w:rsid w:val="00055FFD"/>
    <w:rsid w:val="0006471D"/>
    <w:rsid w:val="00065321"/>
    <w:rsid w:val="00065804"/>
    <w:rsid w:val="00070D43"/>
    <w:rsid w:val="00072A51"/>
    <w:rsid w:val="00073222"/>
    <w:rsid w:val="00073CD1"/>
    <w:rsid w:val="000802AF"/>
    <w:rsid w:val="000803C8"/>
    <w:rsid w:val="00080442"/>
    <w:rsid w:val="00080524"/>
    <w:rsid w:val="00083C1B"/>
    <w:rsid w:val="000879AD"/>
    <w:rsid w:val="00095363"/>
    <w:rsid w:val="000A033D"/>
    <w:rsid w:val="000A1F20"/>
    <w:rsid w:val="000A2AFC"/>
    <w:rsid w:val="000A4CAF"/>
    <w:rsid w:val="000A7273"/>
    <w:rsid w:val="000A7B5B"/>
    <w:rsid w:val="000B1F3E"/>
    <w:rsid w:val="000B3528"/>
    <w:rsid w:val="000B79D2"/>
    <w:rsid w:val="000C06A3"/>
    <w:rsid w:val="000C440D"/>
    <w:rsid w:val="000C4FE8"/>
    <w:rsid w:val="000C62C4"/>
    <w:rsid w:val="000C6AB6"/>
    <w:rsid w:val="000D02D5"/>
    <w:rsid w:val="000D0BBA"/>
    <w:rsid w:val="000D3F43"/>
    <w:rsid w:val="000D617F"/>
    <w:rsid w:val="000D652F"/>
    <w:rsid w:val="000D6920"/>
    <w:rsid w:val="000D7384"/>
    <w:rsid w:val="000E1AF6"/>
    <w:rsid w:val="000E2774"/>
    <w:rsid w:val="000E508D"/>
    <w:rsid w:val="000F01B9"/>
    <w:rsid w:val="000F01F0"/>
    <w:rsid w:val="000F3585"/>
    <w:rsid w:val="000F3D4F"/>
    <w:rsid w:val="000F4986"/>
    <w:rsid w:val="00101728"/>
    <w:rsid w:val="001067A5"/>
    <w:rsid w:val="00107FF6"/>
    <w:rsid w:val="001106C4"/>
    <w:rsid w:val="00111084"/>
    <w:rsid w:val="00114A2D"/>
    <w:rsid w:val="00114DED"/>
    <w:rsid w:val="00117432"/>
    <w:rsid w:val="00117DB7"/>
    <w:rsid w:val="00120264"/>
    <w:rsid w:val="00122D55"/>
    <w:rsid w:val="00123143"/>
    <w:rsid w:val="001234C1"/>
    <w:rsid w:val="00125189"/>
    <w:rsid w:val="0013333A"/>
    <w:rsid w:val="00134DFD"/>
    <w:rsid w:val="001370D6"/>
    <w:rsid w:val="001412D9"/>
    <w:rsid w:val="001442C3"/>
    <w:rsid w:val="00144E85"/>
    <w:rsid w:val="001455D1"/>
    <w:rsid w:val="0015304F"/>
    <w:rsid w:val="00153401"/>
    <w:rsid w:val="00154997"/>
    <w:rsid w:val="00154C53"/>
    <w:rsid w:val="00157539"/>
    <w:rsid w:val="0015760C"/>
    <w:rsid w:val="00157E3A"/>
    <w:rsid w:val="00167396"/>
    <w:rsid w:val="00167A02"/>
    <w:rsid w:val="00171576"/>
    <w:rsid w:val="00174285"/>
    <w:rsid w:val="001751F2"/>
    <w:rsid w:val="00177C0A"/>
    <w:rsid w:val="00177FF9"/>
    <w:rsid w:val="00180F49"/>
    <w:rsid w:val="00182EF3"/>
    <w:rsid w:val="00184912"/>
    <w:rsid w:val="001856F2"/>
    <w:rsid w:val="0018665D"/>
    <w:rsid w:val="001925F6"/>
    <w:rsid w:val="00194B65"/>
    <w:rsid w:val="00195F41"/>
    <w:rsid w:val="0019645B"/>
    <w:rsid w:val="001971D6"/>
    <w:rsid w:val="001A05C7"/>
    <w:rsid w:val="001A10A5"/>
    <w:rsid w:val="001A6916"/>
    <w:rsid w:val="001B1BF9"/>
    <w:rsid w:val="001C32DB"/>
    <w:rsid w:val="001C392F"/>
    <w:rsid w:val="001C45DF"/>
    <w:rsid w:val="001C5EDD"/>
    <w:rsid w:val="001C61C0"/>
    <w:rsid w:val="001C7016"/>
    <w:rsid w:val="001C7481"/>
    <w:rsid w:val="001D44E1"/>
    <w:rsid w:val="001D5973"/>
    <w:rsid w:val="001E016E"/>
    <w:rsid w:val="001E298E"/>
    <w:rsid w:val="001E3A5F"/>
    <w:rsid w:val="001E420D"/>
    <w:rsid w:val="001E50C0"/>
    <w:rsid w:val="001E7C7C"/>
    <w:rsid w:val="001F2DB1"/>
    <w:rsid w:val="001F4ACE"/>
    <w:rsid w:val="001F67D0"/>
    <w:rsid w:val="001F7804"/>
    <w:rsid w:val="00201255"/>
    <w:rsid w:val="00204CFE"/>
    <w:rsid w:val="00207113"/>
    <w:rsid w:val="002074FC"/>
    <w:rsid w:val="00207DCB"/>
    <w:rsid w:val="0021053E"/>
    <w:rsid w:val="00210730"/>
    <w:rsid w:val="00212474"/>
    <w:rsid w:val="0021493E"/>
    <w:rsid w:val="00216F05"/>
    <w:rsid w:val="00216F5E"/>
    <w:rsid w:val="00222027"/>
    <w:rsid w:val="00222526"/>
    <w:rsid w:val="00223FFC"/>
    <w:rsid w:val="002244DD"/>
    <w:rsid w:val="002257F3"/>
    <w:rsid w:val="002273D9"/>
    <w:rsid w:val="002273E5"/>
    <w:rsid w:val="00231509"/>
    <w:rsid w:val="00231C87"/>
    <w:rsid w:val="00232F33"/>
    <w:rsid w:val="00233808"/>
    <w:rsid w:val="00234F6E"/>
    <w:rsid w:val="00235396"/>
    <w:rsid w:val="00240CD0"/>
    <w:rsid w:val="0024219D"/>
    <w:rsid w:val="00244464"/>
    <w:rsid w:val="00246FF9"/>
    <w:rsid w:val="00251DA7"/>
    <w:rsid w:val="00253727"/>
    <w:rsid w:val="00256DCE"/>
    <w:rsid w:val="002627BE"/>
    <w:rsid w:val="0026648F"/>
    <w:rsid w:val="00266A69"/>
    <w:rsid w:val="00267AEB"/>
    <w:rsid w:val="0027238E"/>
    <w:rsid w:val="00273BEA"/>
    <w:rsid w:val="0028001E"/>
    <w:rsid w:val="002815DD"/>
    <w:rsid w:val="00281D95"/>
    <w:rsid w:val="002851C7"/>
    <w:rsid w:val="0028565D"/>
    <w:rsid w:val="00290327"/>
    <w:rsid w:val="00292F72"/>
    <w:rsid w:val="002963F6"/>
    <w:rsid w:val="002A0421"/>
    <w:rsid w:val="002A1A2D"/>
    <w:rsid w:val="002A1D26"/>
    <w:rsid w:val="002A23D3"/>
    <w:rsid w:val="002A2BE5"/>
    <w:rsid w:val="002A2F14"/>
    <w:rsid w:val="002A4AAE"/>
    <w:rsid w:val="002A525B"/>
    <w:rsid w:val="002B6D9E"/>
    <w:rsid w:val="002C4ADA"/>
    <w:rsid w:val="002D1912"/>
    <w:rsid w:val="002D58A0"/>
    <w:rsid w:val="002D5DB8"/>
    <w:rsid w:val="002E26CC"/>
    <w:rsid w:val="002E323F"/>
    <w:rsid w:val="002E32F2"/>
    <w:rsid w:val="002E3723"/>
    <w:rsid w:val="002E6DE6"/>
    <w:rsid w:val="002E7DAB"/>
    <w:rsid w:val="002F261F"/>
    <w:rsid w:val="002F3BB6"/>
    <w:rsid w:val="002F5A5F"/>
    <w:rsid w:val="00300100"/>
    <w:rsid w:val="00302E25"/>
    <w:rsid w:val="00303585"/>
    <w:rsid w:val="003035B4"/>
    <w:rsid w:val="00304163"/>
    <w:rsid w:val="00304398"/>
    <w:rsid w:val="00307B3B"/>
    <w:rsid w:val="0031293D"/>
    <w:rsid w:val="00313209"/>
    <w:rsid w:val="003147CE"/>
    <w:rsid w:val="003163B6"/>
    <w:rsid w:val="003172EE"/>
    <w:rsid w:val="003233C8"/>
    <w:rsid w:val="003240AB"/>
    <w:rsid w:val="00331D93"/>
    <w:rsid w:val="00331E46"/>
    <w:rsid w:val="00332265"/>
    <w:rsid w:val="00334588"/>
    <w:rsid w:val="00336389"/>
    <w:rsid w:val="00340377"/>
    <w:rsid w:val="00340485"/>
    <w:rsid w:val="00343353"/>
    <w:rsid w:val="00344D07"/>
    <w:rsid w:val="00345994"/>
    <w:rsid w:val="00350146"/>
    <w:rsid w:val="003510F9"/>
    <w:rsid w:val="00351945"/>
    <w:rsid w:val="003567C7"/>
    <w:rsid w:val="00360F4E"/>
    <w:rsid w:val="003614A7"/>
    <w:rsid w:val="00366F56"/>
    <w:rsid w:val="003752C8"/>
    <w:rsid w:val="0038142E"/>
    <w:rsid w:val="00386ED5"/>
    <w:rsid w:val="003900EF"/>
    <w:rsid w:val="00394C46"/>
    <w:rsid w:val="003952F6"/>
    <w:rsid w:val="003A09E0"/>
    <w:rsid w:val="003A1655"/>
    <w:rsid w:val="003A2C20"/>
    <w:rsid w:val="003A37DF"/>
    <w:rsid w:val="003A3E4F"/>
    <w:rsid w:val="003A3EAF"/>
    <w:rsid w:val="003A3FA5"/>
    <w:rsid w:val="003A551A"/>
    <w:rsid w:val="003B055F"/>
    <w:rsid w:val="003B3F02"/>
    <w:rsid w:val="003C62E4"/>
    <w:rsid w:val="003C67E8"/>
    <w:rsid w:val="003C77EF"/>
    <w:rsid w:val="003D28E6"/>
    <w:rsid w:val="003D2B73"/>
    <w:rsid w:val="003D6B26"/>
    <w:rsid w:val="003D7EEF"/>
    <w:rsid w:val="003E0A4F"/>
    <w:rsid w:val="003E0B3B"/>
    <w:rsid w:val="003E0BBB"/>
    <w:rsid w:val="003E1737"/>
    <w:rsid w:val="003E2405"/>
    <w:rsid w:val="003E3596"/>
    <w:rsid w:val="003E73BE"/>
    <w:rsid w:val="003F12C7"/>
    <w:rsid w:val="003F149C"/>
    <w:rsid w:val="003F5D7D"/>
    <w:rsid w:val="003F5D87"/>
    <w:rsid w:val="00401F25"/>
    <w:rsid w:val="00402499"/>
    <w:rsid w:val="0040614F"/>
    <w:rsid w:val="004065F6"/>
    <w:rsid w:val="00411C63"/>
    <w:rsid w:val="00411F4E"/>
    <w:rsid w:val="00412F59"/>
    <w:rsid w:val="00413697"/>
    <w:rsid w:val="00416E23"/>
    <w:rsid w:val="00425FA6"/>
    <w:rsid w:val="0042683F"/>
    <w:rsid w:val="00434257"/>
    <w:rsid w:val="0043515E"/>
    <w:rsid w:val="0043561A"/>
    <w:rsid w:val="0043574F"/>
    <w:rsid w:val="00436094"/>
    <w:rsid w:val="00436E42"/>
    <w:rsid w:val="0043763C"/>
    <w:rsid w:val="00440004"/>
    <w:rsid w:val="00441EDF"/>
    <w:rsid w:val="00442102"/>
    <w:rsid w:val="0044262D"/>
    <w:rsid w:val="00443DE0"/>
    <w:rsid w:val="00445FF5"/>
    <w:rsid w:val="00450272"/>
    <w:rsid w:val="004505AC"/>
    <w:rsid w:val="004506E0"/>
    <w:rsid w:val="00451842"/>
    <w:rsid w:val="004533EA"/>
    <w:rsid w:val="00454F2F"/>
    <w:rsid w:val="0045734C"/>
    <w:rsid w:val="004573A4"/>
    <w:rsid w:val="00460273"/>
    <w:rsid w:val="00461E3E"/>
    <w:rsid w:val="004621F0"/>
    <w:rsid w:val="004622F1"/>
    <w:rsid w:val="004641B3"/>
    <w:rsid w:val="00464804"/>
    <w:rsid w:val="00464A14"/>
    <w:rsid w:val="00466654"/>
    <w:rsid w:val="004674B9"/>
    <w:rsid w:val="004714C8"/>
    <w:rsid w:val="0047241F"/>
    <w:rsid w:val="00472BC8"/>
    <w:rsid w:val="00472F52"/>
    <w:rsid w:val="00475DFB"/>
    <w:rsid w:val="004762D0"/>
    <w:rsid w:val="00482B8E"/>
    <w:rsid w:val="004856F6"/>
    <w:rsid w:val="0048668C"/>
    <w:rsid w:val="004871F5"/>
    <w:rsid w:val="004900FB"/>
    <w:rsid w:val="0049038E"/>
    <w:rsid w:val="004909D7"/>
    <w:rsid w:val="004933E5"/>
    <w:rsid w:val="00495A1F"/>
    <w:rsid w:val="004973AB"/>
    <w:rsid w:val="004A4CB3"/>
    <w:rsid w:val="004A4D02"/>
    <w:rsid w:val="004A5CC8"/>
    <w:rsid w:val="004A6740"/>
    <w:rsid w:val="004A78B0"/>
    <w:rsid w:val="004A79C8"/>
    <w:rsid w:val="004B55AC"/>
    <w:rsid w:val="004C6049"/>
    <w:rsid w:val="004D1DB1"/>
    <w:rsid w:val="004D48E4"/>
    <w:rsid w:val="004D71FF"/>
    <w:rsid w:val="004D7D14"/>
    <w:rsid w:val="004E0C16"/>
    <w:rsid w:val="004E1681"/>
    <w:rsid w:val="004E2DE4"/>
    <w:rsid w:val="004E3622"/>
    <w:rsid w:val="004E6EF2"/>
    <w:rsid w:val="004F3A00"/>
    <w:rsid w:val="004F3C86"/>
    <w:rsid w:val="004F4BD5"/>
    <w:rsid w:val="00500DE6"/>
    <w:rsid w:val="005010E7"/>
    <w:rsid w:val="005018A5"/>
    <w:rsid w:val="005025BA"/>
    <w:rsid w:val="00504B93"/>
    <w:rsid w:val="00513115"/>
    <w:rsid w:val="00525376"/>
    <w:rsid w:val="0053010D"/>
    <w:rsid w:val="00532616"/>
    <w:rsid w:val="00537A73"/>
    <w:rsid w:val="00540D30"/>
    <w:rsid w:val="005466AA"/>
    <w:rsid w:val="00547D83"/>
    <w:rsid w:val="005501A7"/>
    <w:rsid w:val="00550D20"/>
    <w:rsid w:val="00551CEE"/>
    <w:rsid w:val="00552B11"/>
    <w:rsid w:val="0055383E"/>
    <w:rsid w:val="00555C93"/>
    <w:rsid w:val="00562669"/>
    <w:rsid w:val="00567A89"/>
    <w:rsid w:val="00570E8D"/>
    <w:rsid w:val="00571BAA"/>
    <w:rsid w:val="0057435D"/>
    <w:rsid w:val="00574E30"/>
    <w:rsid w:val="00580496"/>
    <w:rsid w:val="005820B0"/>
    <w:rsid w:val="005829D6"/>
    <w:rsid w:val="00582BA6"/>
    <w:rsid w:val="00583203"/>
    <w:rsid w:val="005838D8"/>
    <w:rsid w:val="005927F2"/>
    <w:rsid w:val="005941E5"/>
    <w:rsid w:val="005951A0"/>
    <w:rsid w:val="005951FC"/>
    <w:rsid w:val="00596D94"/>
    <w:rsid w:val="005A010C"/>
    <w:rsid w:val="005A298F"/>
    <w:rsid w:val="005A3EA5"/>
    <w:rsid w:val="005A44F0"/>
    <w:rsid w:val="005A469D"/>
    <w:rsid w:val="005A76BA"/>
    <w:rsid w:val="005A7F08"/>
    <w:rsid w:val="005B1F5B"/>
    <w:rsid w:val="005B5AF9"/>
    <w:rsid w:val="005B5D27"/>
    <w:rsid w:val="005B6312"/>
    <w:rsid w:val="005B7603"/>
    <w:rsid w:val="005C08F3"/>
    <w:rsid w:val="005C552B"/>
    <w:rsid w:val="005C5649"/>
    <w:rsid w:val="005C7AAA"/>
    <w:rsid w:val="005C7D0B"/>
    <w:rsid w:val="005D2BF0"/>
    <w:rsid w:val="005D339F"/>
    <w:rsid w:val="005D405B"/>
    <w:rsid w:val="005D5E37"/>
    <w:rsid w:val="005E19A6"/>
    <w:rsid w:val="005E36A2"/>
    <w:rsid w:val="005E58D2"/>
    <w:rsid w:val="005F0525"/>
    <w:rsid w:val="005F2CBC"/>
    <w:rsid w:val="005F3CDE"/>
    <w:rsid w:val="005F5E2B"/>
    <w:rsid w:val="005F5F1D"/>
    <w:rsid w:val="00601C3B"/>
    <w:rsid w:val="00604573"/>
    <w:rsid w:val="00604D01"/>
    <w:rsid w:val="006077FC"/>
    <w:rsid w:val="00610004"/>
    <w:rsid w:val="006118C2"/>
    <w:rsid w:val="00613F50"/>
    <w:rsid w:val="00614E4E"/>
    <w:rsid w:val="0061503F"/>
    <w:rsid w:val="006160FB"/>
    <w:rsid w:val="0061664D"/>
    <w:rsid w:val="006168E6"/>
    <w:rsid w:val="00617487"/>
    <w:rsid w:val="00617A9F"/>
    <w:rsid w:val="006208B0"/>
    <w:rsid w:val="00621034"/>
    <w:rsid w:val="006261E3"/>
    <w:rsid w:val="00626FB3"/>
    <w:rsid w:val="0063059E"/>
    <w:rsid w:val="00630687"/>
    <w:rsid w:val="006327D1"/>
    <w:rsid w:val="006347BF"/>
    <w:rsid w:val="0063713F"/>
    <w:rsid w:val="00637B06"/>
    <w:rsid w:val="006419FD"/>
    <w:rsid w:val="0064350A"/>
    <w:rsid w:val="00643F1D"/>
    <w:rsid w:val="006461EE"/>
    <w:rsid w:val="00654E3C"/>
    <w:rsid w:val="00655BA8"/>
    <w:rsid w:val="006615E3"/>
    <w:rsid w:val="00662B0B"/>
    <w:rsid w:val="00663F53"/>
    <w:rsid w:val="00665261"/>
    <w:rsid w:val="006652E8"/>
    <w:rsid w:val="006666A8"/>
    <w:rsid w:val="0067010C"/>
    <w:rsid w:val="006757AA"/>
    <w:rsid w:val="00676B67"/>
    <w:rsid w:val="00680B7E"/>
    <w:rsid w:val="006829D3"/>
    <w:rsid w:val="00685A8C"/>
    <w:rsid w:val="00686688"/>
    <w:rsid w:val="00690383"/>
    <w:rsid w:val="00696570"/>
    <w:rsid w:val="006970AE"/>
    <w:rsid w:val="006A1560"/>
    <w:rsid w:val="006A15F8"/>
    <w:rsid w:val="006A1700"/>
    <w:rsid w:val="006A17A2"/>
    <w:rsid w:val="006A3224"/>
    <w:rsid w:val="006A3E45"/>
    <w:rsid w:val="006B04A9"/>
    <w:rsid w:val="006B3B64"/>
    <w:rsid w:val="006B5F18"/>
    <w:rsid w:val="006B7CF5"/>
    <w:rsid w:val="006C09A3"/>
    <w:rsid w:val="006C1D2D"/>
    <w:rsid w:val="006C27BE"/>
    <w:rsid w:val="006C53A7"/>
    <w:rsid w:val="006C6A9E"/>
    <w:rsid w:val="006D10A1"/>
    <w:rsid w:val="006D1F6C"/>
    <w:rsid w:val="006D2DB3"/>
    <w:rsid w:val="006D388B"/>
    <w:rsid w:val="006D6B15"/>
    <w:rsid w:val="006D7415"/>
    <w:rsid w:val="006D74B3"/>
    <w:rsid w:val="006D7D88"/>
    <w:rsid w:val="006E15D6"/>
    <w:rsid w:val="006E26EF"/>
    <w:rsid w:val="006E3732"/>
    <w:rsid w:val="006E37CB"/>
    <w:rsid w:val="006E4DFB"/>
    <w:rsid w:val="006E4E90"/>
    <w:rsid w:val="006E59F0"/>
    <w:rsid w:val="006E6852"/>
    <w:rsid w:val="006E7E27"/>
    <w:rsid w:val="006F0C3F"/>
    <w:rsid w:val="006F159E"/>
    <w:rsid w:val="006F2D05"/>
    <w:rsid w:val="006F4FF0"/>
    <w:rsid w:val="006F561C"/>
    <w:rsid w:val="006F5AA4"/>
    <w:rsid w:val="006F725B"/>
    <w:rsid w:val="006F7A52"/>
    <w:rsid w:val="006F7E64"/>
    <w:rsid w:val="00701CA9"/>
    <w:rsid w:val="00702284"/>
    <w:rsid w:val="007035B8"/>
    <w:rsid w:val="00707649"/>
    <w:rsid w:val="007077C7"/>
    <w:rsid w:val="00710508"/>
    <w:rsid w:val="00711288"/>
    <w:rsid w:val="00712DE1"/>
    <w:rsid w:val="00713C37"/>
    <w:rsid w:val="007207FC"/>
    <w:rsid w:val="00725D36"/>
    <w:rsid w:val="0072714B"/>
    <w:rsid w:val="00727807"/>
    <w:rsid w:val="0073064B"/>
    <w:rsid w:val="007309A8"/>
    <w:rsid w:val="00733586"/>
    <w:rsid w:val="0073464F"/>
    <w:rsid w:val="007349DD"/>
    <w:rsid w:val="007355C6"/>
    <w:rsid w:val="00735B55"/>
    <w:rsid w:val="0073629D"/>
    <w:rsid w:val="0073649D"/>
    <w:rsid w:val="007405F9"/>
    <w:rsid w:val="00740642"/>
    <w:rsid w:val="0074172F"/>
    <w:rsid w:val="00741B4C"/>
    <w:rsid w:val="00742F7D"/>
    <w:rsid w:val="007430CC"/>
    <w:rsid w:val="007437AD"/>
    <w:rsid w:val="00744B94"/>
    <w:rsid w:val="00746C40"/>
    <w:rsid w:val="0074748C"/>
    <w:rsid w:val="00752578"/>
    <w:rsid w:val="00752F28"/>
    <w:rsid w:val="00753B08"/>
    <w:rsid w:val="00760A49"/>
    <w:rsid w:val="00762229"/>
    <w:rsid w:val="007639D8"/>
    <w:rsid w:val="007651B0"/>
    <w:rsid w:val="00766150"/>
    <w:rsid w:val="00770954"/>
    <w:rsid w:val="007714BC"/>
    <w:rsid w:val="00774FA4"/>
    <w:rsid w:val="007764AC"/>
    <w:rsid w:val="00782E81"/>
    <w:rsid w:val="0078441C"/>
    <w:rsid w:val="00785A3B"/>
    <w:rsid w:val="007918B3"/>
    <w:rsid w:val="007926AA"/>
    <w:rsid w:val="00792B99"/>
    <w:rsid w:val="007945F7"/>
    <w:rsid w:val="00796DFE"/>
    <w:rsid w:val="00797B76"/>
    <w:rsid w:val="007A1E4B"/>
    <w:rsid w:val="007A3ADD"/>
    <w:rsid w:val="007A56B6"/>
    <w:rsid w:val="007A5AA7"/>
    <w:rsid w:val="007B01C8"/>
    <w:rsid w:val="007B112B"/>
    <w:rsid w:val="007B266F"/>
    <w:rsid w:val="007B3607"/>
    <w:rsid w:val="007B3D79"/>
    <w:rsid w:val="007B6432"/>
    <w:rsid w:val="007B6DB5"/>
    <w:rsid w:val="007C1DB3"/>
    <w:rsid w:val="007C3BA8"/>
    <w:rsid w:val="007D1365"/>
    <w:rsid w:val="007D35F0"/>
    <w:rsid w:val="007D488C"/>
    <w:rsid w:val="007D4FF3"/>
    <w:rsid w:val="007D5470"/>
    <w:rsid w:val="007D59D0"/>
    <w:rsid w:val="007E0FD9"/>
    <w:rsid w:val="007E18EB"/>
    <w:rsid w:val="007E48AB"/>
    <w:rsid w:val="007E490C"/>
    <w:rsid w:val="007E6336"/>
    <w:rsid w:val="007E68CF"/>
    <w:rsid w:val="007E6C3F"/>
    <w:rsid w:val="007E6C4C"/>
    <w:rsid w:val="007F2629"/>
    <w:rsid w:val="007F60D8"/>
    <w:rsid w:val="007F7CAF"/>
    <w:rsid w:val="007F7DF1"/>
    <w:rsid w:val="0080040A"/>
    <w:rsid w:val="008007E0"/>
    <w:rsid w:val="0080171E"/>
    <w:rsid w:val="00802448"/>
    <w:rsid w:val="00802EF9"/>
    <w:rsid w:val="00804B3B"/>
    <w:rsid w:val="008052AE"/>
    <w:rsid w:val="0080637C"/>
    <w:rsid w:val="00810E00"/>
    <w:rsid w:val="0081341B"/>
    <w:rsid w:val="00817187"/>
    <w:rsid w:val="008215AD"/>
    <w:rsid w:val="00821BA3"/>
    <w:rsid w:val="008229D4"/>
    <w:rsid w:val="00822E12"/>
    <w:rsid w:val="008231E6"/>
    <w:rsid w:val="008235EE"/>
    <w:rsid w:val="00823611"/>
    <w:rsid w:val="0082419E"/>
    <w:rsid w:val="00824BA7"/>
    <w:rsid w:val="00833220"/>
    <w:rsid w:val="00833D5B"/>
    <w:rsid w:val="008342F5"/>
    <w:rsid w:val="008347D1"/>
    <w:rsid w:val="00835FB7"/>
    <w:rsid w:val="00837231"/>
    <w:rsid w:val="008410DB"/>
    <w:rsid w:val="00841E46"/>
    <w:rsid w:val="008422D1"/>
    <w:rsid w:val="008448AD"/>
    <w:rsid w:val="0085021D"/>
    <w:rsid w:val="0085109A"/>
    <w:rsid w:val="008527D9"/>
    <w:rsid w:val="00855969"/>
    <w:rsid w:val="00862481"/>
    <w:rsid w:val="00870191"/>
    <w:rsid w:val="0087240B"/>
    <w:rsid w:val="00876167"/>
    <w:rsid w:val="00881032"/>
    <w:rsid w:val="00885B6E"/>
    <w:rsid w:val="008904A0"/>
    <w:rsid w:val="00892A19"/>
    <w:rsid w:val="00893E9A"/>
    <w:rsid w:val="0089506F"/>
    <w:rsid w:val="00895DC3"/>
    <w:rsid w:val="0089627A"/>
    <w:rsid w:val="00896A14"/>
    <w:rsid w:val="008A1158"/>
    <w:rsid w:val="008A2294"/>
    <w:rsid w:val="008A3361"/>
    <w:rsid w:val="008A4DCF"/>
    <w:rsid w:val="008A5778"/>
    <w:rsid w:val="008A6402"/>
    <w:rsid w:val="008B16B6"/>
    <w:rsid w:val="008B4DB9"/>
    <w:rsid w:val="008B589A"/>
    <w:rsid w:val="008B5B43"/>
    <w:rsid w:val="008B7113"/>
    <w:rsid w:val="008C022E"/>
    <w:rsid w:val="008C06BC"/>
    <w:rsid w:val="008C3041"/>
    <w:rsid w:val="008C4514"/>
    <w:rsid w:val="008D148B"/>
    <w:rsid w:val="008D2EF6"/>
    <w:rsid w:val="008E01DF"/>
    <w:rsid w:val="008E097F"/>
    <w:rsid w:val="008E116B"/>
    <w:rsid w:val="008E1FE1"/>
    <w:rsid w:val="008E2A0C"/>
    <w:rsid w:val="008F0DF0"/>
    <w:rsid w:val="008F3C05"/>
    <w:rsid w:val="008F46F7"/>
    <w:rsid w:val="008F4AD8"/>
    <w:rsid w:val="008F5739"/>
    <w:rsid w:val="00901D8D"/>
    <w:rsid w:val="0090281B"/>
    <w:rsid w:val="00903FCF"/>
    <w:rsid w:val="00907EBD"/>
    <w:rsid w:val="00910359"/>
    <w:rsid w:val="00911FAD"/>
    <w:rsid w:val="009274CE"/>
    <w:rsid w:val="0093043B"/>
    <w:rsid w:val="00931390"/>
    <w:rsid w:val="00936BE4"/>
    <w:rsid w:val="00942618"/>
    <w:rsid w:val="00950B4E"/>
    <w:rsid w:val="00952488"/>
    <w:rsid w:val="009530E6"/>
    <w:rsid w:val="00963C73"/>
    <w:rsid w:val="00967CDB"/>
    <w:rsid w:val="0097117D"/>
    <w:rsid w:val="0097137A"/>
    <w:rsid w:val="00972F22"/>
    <w:rsid w:val="00973EC1"/>
    <w:rsid w:val="00974E78"/>
    <w:rsid w:val="0098069D"/>
    <w:rsid w:val="00981DCB"/>
    <w:rsid w:val="00983432"/>
    <w:rsid w:val="00984CCA"/>
    <w:rsid w:val="00984E93"/>
    <w:rsid w:val="00985366"/>
    <w:rsid w:val="0098553D"/>
    <w:rsid w:val="00986BAB"/>
    <w:rsid w:val="00990A8E"/>
    <w:rsid w:val="00991DDB"/>
    <w:rsid w:val="009933B6"/>
    <w:rsid w:val="00994430"/>
    <w:rsid w:val="00995362"/>
    <w:rsid w:val="009955FA"/>
    <w:rsid w:val="00995A40"/>
    <w:rsid w:val="009A1626"/>
    <w:rsid w:val="009A53AF"/>
    <w:rsid w:val="009B0492"/>
    <w:rsid w:val="009B299B"/>
    <w:rsid w:val="009B2D1C"/>
    <w:rsid w:val="009B6C52"/>
    <w:rsid w:val="009B7EE5"/>
    <w:rsid w:val="009C095A"/>
    <w:rsid w:val="009C1099"/>
    <w:rsid w:val="009C4A35"/>
    <w:rsid w:val="009C683A"/>
    <w:rsid w:val="009C68E6"/>
    <w:rsid w:val="009D06C0"/>
    <w:rsid w:val="009D257B"/>
    <w:rsid w:val="009D2ACD"/>
    <w:rsid w:val="009D345B"/>
    <w:rsid w:val="009D58E4"/>
    <w:rsid w:val="009D5AD2"/>
    <w:rsid w:val="009D613F"/>
    <w:rsid w:val="009E0944"/>
    <w:rsid w:val="009E0D86"/>
    <w:rsid w:val="009E1D55"/>
    <w:rsid w:val="009E1E8D"/>
    <w:rsid w:val="009E2D17"/>
    <w:rsid w:val="009E2F43"/>
    <w:rsid w:val="009E4D9B"/>
    <w:rsid w:val="009E5A58"/>
    <w:rsid w:val="009F0B91"/>
    <w:rsid w:val="009F0FDC"/>
    <w:rsid w:val="009F24A0"/>
    <w:rsid w:val="009F31A7"/>
    <w:rsid w:val="009F3306"/>
    <w:rsid w:val="009F3C12"/>
    <w:rsid w:val="009F47FA"/>
    <w:rsid w:val="009F642D"/>
    <w:rsid w:val="009F722C"/>
    <w:rsid w:val="00A005C1"/>
    <w:rsid w:val="00A00AB7"/>
    <w:rsid w:val="00A0105E"/>
    <w:rsid w:val="00A02663"/>
    <w:rsid w:val="00A0421E"/>
    <w:rsid w:val="00A045F9"/>
    <w:rsid w:val="00A079BD"/>
    <w:rsid w:val="00A10623"/>
    <w:rsid w:val="00A11928"/>
    <w:rsid w:val="00A134AE"/>
    <w:rsid w:val="00A13618"/>
    <w:rsid w:val="00A142C5"/>
    <w:rsid w:val="00A143D0"/>
    <w:rsid w:val="00A17720"/>
    <w:rsid w:val="00A21825"/>
    <w:rsid w:val="00A237BD"/>
    <w:rsid w:val="00A240FC"/>
    <w:rsid w:val="00A255EA"/>
    <w:rsid w:val="00A25A9F"/>
    <w:rsid w:val="00A2737A"/>
    <w:rsid w:val="00A31732"/>
    <w:rsid w:val="00A35CBB"/>
    <w:rsid w:val="00A402B8"/>
    <w:rsid w:val="00A40FB8"/>
    <w:rsid w:val="00A44C2F"/>
    <w:rsid w:val="00A45A31"/>
    <w:rsid w:val="00A469FE"/>
    <w:rsid w:val="00A513A9"/>
    <w:rsid w:val="00A57983"/>
    <w:rsid w:val="00A612AA"/>
    <w:rsid w:val="00A649F0"/>
    <w:rsid w:val="00A65015"/>
    <w:rsid w:val="00A6533C"/>
    <w:rsid w:val="00A7234A"/>
    <w:rsid w:val="00A7235E"/>
    <w:rsid w:val="00A72977"/>
    <w:rsid w:val="00A73059"/>
    <w:rsid w:val="00A733FF"/>
    <w:rsid w:val="00A74943"/>
    <w:rsid w:val="00A802F1"/>
    <w:rsid w:val="00A81F56"/>
    <w:rsid w:val="00A857CB"/>
    <w:rsid w:val="00A9060E"/>
    <w:rsid w:val="00A913D8"/>
    <w:rsid w:val="00A9188A"/>
    <w:rsid w:val="00A92C95"/>
    <w:rsid w:val="00A93908"/>
    <w:rsid w:val="00AA0C06"/>
    <w:rsid w:val="00AA385D"/>
    <w:rsid w:val="00AA3A7D"/>
    <w:rsid w:val="00AA4A53"/>
    <w:rsid w:val="00AA57C7"/>
    <w:rsid w:val="00AA609D"/>
    <w:rsid w:val="00AA6A55"/>
    <w:rsid w:val="00AB23E8"/>
    <w:rsid w:val="00AB3ADA"/>
    <w:rsid w:val="00AC2953"/>
    <w:rsid w:val="00AC55E5"/>
    <w:rsid w:val="00AD0CDF"/>
    <w:rsid w:val="00AD16BB"/>
    <w:rsid w:val="00AD590F"/>
    <w:rsid w:val="00AD592A"/>
    <w:rsid w:val="00AE01C9"/>
    <w:rsid w:val="00AE0279"/>
    <w:rsid w:val="00AE2642"/>
    <w:rsid w:val="00AE2B17"/>
    <w:rsid w:val="00AE2DC3"/>
    <w:rsid w:val="00AE5371"/>
    <w:rsid w:val="00AE5AB4"/>
    <w:rsid w:val="00AE6B99"/>
    <w:rsid w:val="00AF5818"/>
    <w:rsid w:val="00B0119E"/>
    <w:rsid w:val="00B01F96"/>
    <w:rsid w:val="00B02CA6"/>
    <w:rsid w:val="00B04D90"/>
    <w:rsid w:val="00B14252"/>
    <w:rsid w:val="00B15C75"/>
    <w:rsid w:val="00B1678D"/>
    <w:rsid w:val="00B16B10"/>
    <w:rsid w:val="00B1770C"/>
    <w:rsid w:val="00B2028E"/>
    <w:rsid w:val="00B2479F"/>
    <w:rsid w:val="00B30720"/>
    <w:rsid w:val="00B3115B"/>
    <w:rsid w:val="00B32BFA"/>
    <w:rsid w:val="00B35A11"/>
    <w:rsid w:val="00B36647"/>
    <w:rsid w:val="00B400E3"/>
    <w:rsid w:val="00B4410B"/>
    <w:rsid w:val="00B45285"/>
    <w:rsid w:val="00B454BA"/>
    <w:rsid w:val="00B4614D"/>
    <w:rsid w:val="00B471D6"/>
    <w:rsid w:val="00B5192D"/>
    <w:rsid w:val="00B525D4"/>
    <w:rsid w:val="00B52999"/>
    <w:rsid w:val="00B53799"/>
    <w:rsid w:val="00B56575"/>
    <w:rsid w:val="00B570C1"/>
    <w:rsid w:val="00B60CC2"/>
    <w:rsid w:val="00B67919"/>
    <w:rsid w:val="00B70739"/>
    <w:rsid w:val="00B70783"/>
    <w:rsid w:val="00B70F26"/>
    <w:rsid w:val="00B7304A"/>
    <w:rsid w:val="00B769AA"/>
    <w:rsid w:val="00B83339"/>
    <w:rsid w:val="00B83ACE"/>
    <w:rsid w:val="00B85F4B"/>
    <w:rsid w:val="00B86CAA"/>
    <w:rsid w:val="00B92AFF"/>
    <w:rsid w:val="00B93925"/>
    <w:rsid w:val="00B9419B"/>
    <w:rsid w:val="00B95A2A"/>
    <w:rsid w:val="00B96852"/>
    <w:rsid w:val="00BA01DE"/>
    <w:rsid w:val="00BA22C1"/>
    <w:rsid w:val="00BA302D"/>
    <w:rsid w:val="00BA535A"/>
    <w:rsid w:val="00BA55F0"/>
    <w:rsid w:val="00BA6793"/>
    <w:rsid w:val="00BA6A50"/>
    <w:rsid w:val="00BA7DCB"/>
    <w:rsid w:val="00BB1998"/>
    <w:rsid w:val="00BB3CDD"/>
    <w:rsid w:val="00BB447A"/>
    <w:rsid w:val="00BB479C"/>
    <w:rsid w:val="00BB5EEF"/>
    <w:rsid w:val="00BB6479"/>
    <w:rsid w:val="00BC1737"/>
    <w:rsid w:val="00BC2467"/>
    <w:rsid w:val="00BC27CA"/>
    <w:rsid w:val="00BC32E0"/>
    <w:rsid w:val="00BD08AD"/>
    <w:rsid w:val="00BD11F0"/>
    <w:rsid w:val="00BD31EB"/>
    <w:rsid w:val="00BD36D4"/>
    <w:rsid w:val="00BD53B7"/>
    <w:rsid w:val="00BD6366"/>
    <w:rsid w:val="00BD6ECB"/>
    <w:rsid w:val="00BD7D2B"/>
    <w:rsid w:val="00BE0EB6"/>
    <w:rsid w:val="00BE1823"/>
    <w:rsid w:val="00BE37A9"/>
    <w:rsid w:val="00BE3A98"/>
    <w:rsid w:val="00BE48B8"/>
    <w:rsid w:val="00BE5381"/>
    <w:rsid w:val="00BE5F14"/>
    <w:rsid w:val="00BE64BC"/>
    <w:rsid w:val="00BE7856"/>
    <w:rsid w:val="00BE7FDA"/>
    <w:rsid w:val="00BF07AA"/>
    <w:rsid w:val="00BF1630"/>
    <w:rsid w:val="00BF344C"/>
    <w:rsid w:val="00BF769B"/>
    <w:rsid w:val="00C00D4F"/>
    <w:rsid w:val="00C02540"/>
    <w:rsid w:val="00C03793"/>
    <w:rsid w:val="00C03B02"/>
    <w:rsid w:val="00C03B67"/>
    <w:rsid w:val="00C11E6A"/>
    <w:rsid w:val="00C15716"/>
    <w:rsid w:val="00C15BE6"/>
    <w:rsid w:val="00C16761"/>
    <w:rsid w:val="00C1775A"/>
    <w:rsid w:val="00C22FD5"/>
    <w:rsid w:val="00C24474"/>
    <w:rsid w:val="00C25E3A"/>
    <w:rsid w:val="00C303D3"/>
    <w:rsid w:val="00C328A0"/>
    <w:rsid w:val="00C35CB8"/>
    <w:rsid w:val="00C37DEF"/>
    <w:rsid w:val="00C41DE3"/>
    <w:rsid w:val="00C52AE1"/>
    <w:rsid w:val="00C55209"/>
    <w:rsid w:val="00C55625"/>
    <w:rsid w:val="00C56C08"/>
    <w:rsid w:val="00C60342"/>
    <w:rsid w:val="00C6264B"/>
    <w:rsid w:val="00C71E25"/>
    <w:rsid w:val="00C82258"/>
    <w:rsid w:val="00C86075"/>
    <w:rsid w:val="00C87653"/>
    <w:rsid w:val="00C9073B"/>
    <w:rsid w:val="00C90CD8"/>
    <w:rsid w:val="00C92119"/>
    <w:rsid w:val="00C93EFD"/>
    <w:rsid w:val="00C94C28"/>
    <w:rsid w:val="00C97682"/>
    <w:rsid w:val="00C978DA"/>
    <w:rsid w:val="00C97FD8"/>
    <w:rsid w:val="00CA2298"/>
    <w:rsid w:val="00CA5968"/>
    <w:rsid w:val="00CA699B"/>
    <w:rsid w:val="00CA7F05"/>
    <w:rsid w:val="00CB1F15"/>
    <w:rsid w:val="00CB33D8"/>
    <w:rsid w:val="00CB6973"/>
    <w:rsid w:val="00CC19E5"/>
    <w:rsid w:val="00CC4782"/>
    <w:rsid w:val="00CC577C"/>
    <w:rsid w:val="00CC6A26"/>
    <w:rsid w:val="00CD1A0A"/>
    <w:rsid w:val="00CD4217"/>
    <w:rsid w:val="00CD4B7E"/>
    <w:rsid w:val="00CD5B6C"/>
    <w:rsid w:val="00CD6948"/>
    <w:rsid w:val="00CD6DCF"/>
    <w:rsid w:val="00CD711F"/>
    <w:rsid w:val="00CE0BBA"/>
    <w:rsid w:val="00CE1B19"/>
    <w:rsid w:val="00CE479A"/>
    <w:rsid w:val="00CF050B"/>
    <w:rsid w:val="00CF217B"/>
    <w:rsid w:val="00CF5916"/>
    <w:rsid w:val="00D0413C"/>
    <w:rsid w:val="00D05744"/>
    <w:rsid w:val="00D119CA"/>
    <w:rsid w:val="00D12281"/>
    <w:rsid w:val="00D126F9"/>
    <w:rsid w:val="00D14E30"/>
    <w:rsid w:val="00D150E0"/>
    <w:rsid w:val="00D158F0"/>
    <w:rsid w:val="00D1728A"/>
    <w:rsid w:val="00D2060E"/>
    <w:rsid w:val="00D23FA9"/>
    <w:rsid w:val="00D26926"/>
    <w:rsid w:val="00D31503"/>
    <w:rsid w:val="00D33770"/>
    <w:rsid w:val="00D33FA1"/>
    <w:rsid w:val="00D34A31"/>
    <w:rsid w:val="00D34DE1"/>
    <w:rsid w:val="00D3759C"/>
    <w:rsid w:val="00D37F1C"/>
    <w:rsid w:val="00D4020B"/>
    <w:rsid w:val="00D418B4"/>
    <w:rsid w:val="00D4207A"/>
    <w:rsid w:val="00D45DEC"/>
    <w:rsid w:val="00D51956"/>
    <w:rsid w:val="00D522FE"/>
    <w:rsid w:val="00D57E5D"/>
    <w:rsid w:val="00D600D0"/>
    <w:rsid w:val="00D60434"/>
    <w:rsid w:val="00D60B1F"/>
    <w:rsid w:val="00D63989"/>
    <w:rsid w:val="00D65349"/>
    <w:rsid w:val="00D65DB8"/>
    <w:rsid w:val="00D66074"/>
    <w:rsid w:val="00D677EE"/>
    <w:rsid w:val="00D70C0F"/>
    <w:rsid w:val="00D73DB1"/>
    <w:rsid w:val="00D751F4"/>
    <w:rsid w:val="00D76499"/>
    <w:rsid w:val="00D76B27"/>
    <w:rsid w:val="00D80934"/>
    <w:rsid w:val="00D84CD1"/>
    <w:rsid w:val="00D85E20"/>
    <w:rsid w:val="00D86C0F"/>
    <w:rsid w:val="00D91787"/>
    <w:rsid w:val="00D93877"/>
    <w:rsid w:val="00DA1479"/>
    <w:rsid w:val="00DA37AB"/>
    <w:rsid w:val="00DA4B4D"/>
    <w:rsid w:val="00DA6B3F"/>
    <w:rsid w:val="00DB0BBA"/>
    <w:rsid w:val="00DB203A"/>
    <w:rsid w:val="00DB22D2"/>
    <w:rsid w:val="00DB24EA"/>
    <w:rsid w:val="00DB469A"/>
    <w:rsid w:val="00DB763A"/>
    <w:rsid w:val="00DC2129"/>
    <w:rsid w:val="00DC24BD"/>
    <w:rsid w:val="00DC26CB"/>
    <w:rsid w:val="00DC50F8"/>
    <w:rsid w:val="00DC599B"/>
    <w:rsid w:val="00DD3755"/>
    <w:rsid w:val="00DD37A7"/>
    <w:rsid w:val="00DD39E1"/>
    <w:rsid w:val="00DD59D6"/>
    <w:rsid w:val="00DD75B5"/>
    <w:rsid w:val="00DD7ED3"/>
    <w:rsid w:val="00DE35B4"/>
    <w:rsid w:val="00DE597B"/>
    <w:rsid w:val="00DE63AD"/>
    <w:rsid w:val="00DE71AB"/>
    <w:rsid w:val="00DF1230"/>
    <w:rsid w:val="00DF2781"/>
    <w:rsid w:val="00DF3AB5"/>
    <w:rsid w:val="00DF5F97"/>
    <w:rsid w:val="00DF795C"/>
    <w:rsid w:val="00E003D0"/>
    <w:rsid w:val="00E00CC3"/>
    <w:rsid w:val="00E06C2C"/>
    <w:rsid w:val="00E072E6"/>
    <w:rsid w:val="00E16822"/>
    <w:rsid w:val="00E16D0A"/>
    <w:rsid w:val="00E22F0B"/>
    <w:rsid w:val="00E24E98"/>
    <w:rsid w:val="00E30484"/>
    <w:rsid w:val="00E330C1"/>
    <w:rsid w:val="00E36784"/>
    <w:rsid w:val="00E42C7F"/>
    <w:rsid w:val="00E464E7"/>
    <w:rsid w:val="00E54679"/>
    <w:rsid w:val="00E55161"/>
    <w:rsid w:val="00E55973"/>
    <w:rsid w:val="00E574E9"/>
    <w:rsid w:val="00E60BA8"/>
    <w:rsid w:val="00E639F4"/>
    <w:rsid w:val="00E63C61"/>
    <w:rsid w:val="00E7493C"/>
    <w:rsid w:val="00E76D33"/>
    <w:rsid w:val="00E77E10"/>
    <w:rsid w:val="00E80294"/>
    <w:rsid w:val="00E82647"/>
    <w:rsid w:val="00E83265"/>
    <w:rsid w:val="00E85EBA"/>
    <w:rsid w:val="00E86C78"/>
    <w:rsid w:val="00EA7E89"/>
    <w:rsid w:val="00EB0B13"/>
    <w:rsid w:val="00EB111B"/>
    <w:rsid w:val="00EB185F"/>
    <w:rsid w:val="00EB4CB4"/>
    <w:rsid w:val="00EB7A13"/>
    <w:rsid w:val="00EC09F4"/>
    <w:rsid w:val="00EC0F8A"/>
    <w:rsid w:val="00EC32E0"/>
    <w:rsid w:val="00EC3838"/>
    <w:rsid w:val="00EC44DE"/>
    <w:rsid w:val="00EC69BE"/>
    <w:rsid w:val="00ED1FD4"/>
    <w:rsid w:val="00ED2BD1"/>
    <w:rsid w:val="00ED2CFF"/>
    <w:rsid w:val="00ED3737"/>
    <w:rsid w:val="00ED37A9"/>
    <w:rsid w:val="00ED50DA"/>
    <w:rsid w:val="00ED531C"/>
    <w:rsid w:val="00ED6335"/>
    <w:rsid w:val="00ED7B7D"/>
    <w:rsid w:val="00EE2632"/>
    <w:rsid w:val="00EE5A7A"/>
    <w:rsid w:val="00EF224F"/>
    <w:rsid w:val="00F0023A"/>
    <w:rsid w:val="00F05B23"/>
    <w:rsid w:val="00F05DC5"/>
    <w:rsid w:val="00F07D41"/>
    <w:rsid w:val="00F10096"/>
    <w:rsid w:val="00F110FE"/>
    <w:rsid w:val="00F14515"/>
    <w:rsid w:val="00F15C28"/>
    <w:rsid w:val="00F15C7D"/>
    <w:rsid w:val="00F177BE"/>
    <w:rsid w:val="00F22A48"/>
    <w:rsid w:val="00F2321C"/>
    <w:rsid w:val="00F245D5"/>
    <w:rsid w:val="00F24A7D"/>
    <w:rsid w:val="00F24C91"/>
    <w:rsid w:val="00F34A61"/>
    <w:rsid w:val="00F55607"/>
    <w:rsid w:val="00F55FDA"/>
    <w:rsid w:val="00F60A15"/>
    <w:rsid w:val="00F64B6C"/>
    <w:rsid w:val="00F66EFB"/>
    <w:rsid w:val="00F70611"/>
    <w:rsid w:val="00F712A3"/>
    <w:rsid w:val="00F75F5F"/>
    <w:rsid w:val="00F8001D"/>
    <w:rsid w:val="00F814AF"/>
    <w:rsid w:val="00F82D51"/>
    <w:rsid w:val="00F850D2"/>
    <w:rsid w:val="00F910AD"/>
    <w:rsid w:val="00F91198"/>
    <w:rsid w:val="00F92DD6"/>
    <w:rsid w:val="00F968B1"/>
    <w:rsid w:val="00FA0660"/>
    <w:rsid w:val="00FA0DA0"/>
    <w:rsid w:val="00FA0E3B"/>
    <w:rsid w:val="00FA1704"/>
    <w:rsid w:val="00FA6567"/>
    <w:rsid w:val="00FA6B05"/>
    <w:rsid w:val="00FA6E3D"/>
    <w:rsid w:val="00FA757E"/>
    <w:rsid w:val="00FB0179"/>
    <w:rsid w:val="00FB0CD6"/>
    <w:rsid w:val="00FB1C05"/>
    <w:rsid w:val="00FB49A9"/>
    <w:rsid w:val="00FB7572"/>
    <w:rsid w:val="00FB75F9"/>
    <w:rsid w:val="00FB76DE"/>
    <w:rsid w:val="00FC2F10"/>
    <w:rsid w:val="00FC6E3C"/>
    <w:rsid w:val="00FC76A2"/>
    <w:rsid w:val="00FC7F86"/>
    <w:rsid w:val="00FD005D"/>
    <w:rsid w:val="00FD0E6C"/>
    <w:rsid w:val="00FD52A0"/>
    <w:rsid w:val="00FD5BE7"/>
    <w:rsid w:val="00FD5FBA"/>
    <w:rsid w:val="00FD76F5"/>
    <w:rsid w:val="00FE014D"/>
    <w:rsid w:val="00FE2E89"/>
    <w:rsid w:val="00FE3F06"/>
    <w:rsid w:val="00FE44B5"/>
    <w:rsid w:val="00FE5D9B"/>
    <w:rsid w:val="00FF2256"/>
    <w:rsid w:val="00FF3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ECFA88"/>
  <w15:docId w15:val="{C169F6A3-D1D8-4BDC-9D78-A8FBD1F76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CF"/>
    <w:pPr>
      <w:spacing w:after="160" w:line="259" w:lineRule="auto"/>
    </w:pPr>
    <w:rPr>
      <w:sz w:val="22"/>
      <w:szCs w:val="22"/>
      <w:lang w:eastAsia="en-US"/>
    </w:rPr>
  </w:style>
  <w:style w:type="paragraph" w:styleId="Heading1">
    <w:name w:val="heading 1"/>
    <w:basedOn w:val="Normal"/>
    <w:next w:val="Normal"/>
    <w:link w:val="Heading1Char"/>
    <w:uiPriority w:val="9"/>
    <w:qFormat/>
    <w:rsid w:val="00994430"/>
    <w:pPr>
      <w:keepNext/>
      <w:keepLines/>
      <w:numPr>
        <w:numId w:val="32"/>
      </w:numPr>
      <w:spacing w:before="480" w:after="0" w:line="276" w:lineRule="auto"/>
      <w:outlineLvl w:val="0"/>
    </w:pPr>
    <w:rPr>
      <w:rFonts w:ascii="Cambria" w:eastAsia="MS Gothic" w:hAnsi="Cambria"/>
      <w:b/>
      <w:bCs/>
      <w:color w:val="365F91"/>
      <w:sz w:val="28"/>
      <w:szCs w:val="28"/>
      <w:lang w:eastAsia="ja-JP"/>
    </w:rPr>
  </w:style>
  <w:style w:type="paragraph" w:styleId="Heading2">
    <w:name w:val="heading 2"/>
    <w:basedOn w:val="Normal"/>
    <w:next w:val="Normal"/>
    <w:link w:val="Heading2Char"/>
    <w:uiPriority w:val="9"/>
    <w:unhideWhenUsed/>
    <w:qFormat/>
    <w:rsid w:val="00B70739"/>
    <w:pPr>
      <w:keepNext/>
      <w:keepLines/>
      <w:spacing w:before="40" w:after="0"/>
      <w:outlineLvl w:val="1"/>
    </w:pPr>
    <w:rPr>
      <w:rFonts w:ascii="Calibri Light" w:eastAsia="SimSun" w:hAnsi="Calibri Light"/>
      <w:color w:val="2E74B5"/>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0CD8"/>
    <w:pPr>
      <w:ind w:left="720"/>
      <w:contextualSpacing/>
    </w:pPr>
  </w:style>
  <w:style w:type="character" w:customStyle="1" w:styleId="Heading1Char">
    <w:name w:val="Heading 1 Char"/>
    <w:link w:val="Heading1"/>
    <w:uiPriority w:val="9"/>
    <w:rsid w:val="00994430"/>
    <w:rPr>
      <w:rFonts w:ascii="Cambria" w:eastAsia="MS Gothic" w:hAnsi="Cambria" w:cs="Times New Roman"/>
      <w:b/>
      <w:bCs/>
      <w:color w:val="365F91"/>
      <w:sz w:val="28"/>
      <w:szCs w:val="28"/>
      <w:lang w:eastAsia="ja-JP"/>
    </w:rPr>
  </w:style>
  <w:style w:type="character" w:styleId="CommentReference">
    <w:name w:val="annotation reference"/>
    <w:uiPriority w:val="99"/>
    <w:semiHidden/>
    <w:unhideWhenUsed/>
    <w:rsid w:val="0074172F"/>
    <w:rPr>
      <w:sz w:val="16"/>
      <w:szCs w:val="16"/>
    </w:rPr>
  </w:style>
  <w:style w:type="paragraph" w:styleId="CommentText">
    <w:name w:val="annotation text"/>
    <w:basedOn w:val="Normal"/>
    <w:link w:val="CommentTextChar"/>
    <w:uiPriority w:val="99"/>
    <w:unhideWhenUsed/>
    <w:rsid w:val="0074172F"/>
    <w:pPr>
      <w:spacing w:after="200" w:line="276" w:lineRule="auto"/>
    </w:pPr>
    <w:rPr>
      <w:rFonts w:eastAsia="SimSun"/>
      <w:sz w:val="20"/>
      <w:szCs w:val="20"/>
      <w:lang w:eastAsia="zh-CN"/>
    </w:rPr>
  </w:style>
  <w:style w:type="character" w:customStyle="1" w:styleId="CommentTextChar">
    <w:name w:val="Comment Text Char"/>
    <w:link w:val="CommentText"/>
    <w:uiPriority w:val="99"/>
    <w:rsid w:val="0074172F"/>
    <w:rPr>
      <w:rFonts w:ascii="Calibri" w:eastAsia="SimSun" w:hAnsi="Calibri" w:cs="Times New Roman"/>
      <w:sz w:val="20"/>
      <w:szCs w:val="20"/>
      <w:lang w:eastAsia="zh-CN"/>
    </w:rPr>
  </w:style>
  <w:style w:type="paragraph" w:styleId="BalloonText">
    <w:name w:val="Balloon Text"/>
    <w:basedOn w:val="Normal"/>
    <w:link w:val="BalloonTextChar"/>
    <w:uiPriority w:val="99"/>
    <w:semiHidden/>
    <w:unhideWhenUsed/>
    <w:rsid w:val="0074172F"/>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74172F"/>
    <w:rPr>
      <w:rFonts w:ascii="Segoe UI" w:hAnsi="Segoe UI" w:cs="Segoe UI"/>
      <w:sz w:val="18"/>
      <w:szCs w:val="18"/>
    </w:rPr>
  </w:style>
  <w:style w:type="paragraph" w:styleId="Caption">
    <w:name w:val="caption"/>
    <w:basedOn w:val="Normal"/>
    <w:next w:val="Normal"/>
    <w:uiPriority w:val="35"/>
    <w:unhideWhenUsed/>
    <w:qFormat/>
    <w:rsid w:val="009D613F"/>
    <w:pPr>
      <w:spacing w:after="200" w:line="240" w:lineRule="auto"/>
    </w:pPr>
    <w:rPr>
      <w:i/>
      <w:iCs/>
      <w:color w:val="44546A"/>
      <w:sz w:val="18"/>
      <w:szCs w:val="18"/>
    </w:rPr>
  </w:style>
  <w:style w:type="paragraph" w:styleId="NoSpacing">
    <w:name w:val="No Spacing"/>
    <w:link w:val="NoSpacingChar"/>
    <w:uiPriority w:val="1"/>
    <w:qFormat/>
    <w:rsid w:val="007F7CAF"/>
    <w:rPr>
      <w:sz w:val="22"/>
      <w:szCs w:val="22"/>
      <w:lang w:eastAsia="en-US"/>
    </w:rPr>
  </w:style>
  <w:style w:type="paragraph" w:styleId="CommentSubject">
    <w:name w:val="annotation subject"/>
    <w:basedOn w:val="CommentText"/>
    <w:next w:val="CommentText"/>
    <w:link w:val="CommentSubjectChar"/>
    <w:uiPriority w:val="99"/>
    <w:semiHidden/>
    <w:unhideWhenUsed/>
    <w:rsid w:val="00055FFD"/>
    <w:pPr>
      <w:spacing w:after="160" w:line="240" w:lineRule="auto"/>
    </w:pPr>
    <w:rPr>
      <w:rFonts w:eastAsia="Calibri"/>
      <w:b/>
      <w:bCs/>
      <w:lang w:eastAsia="en-US"/>
    </w:rPr>
  </w:style>
  <w:style w:type="character" w:customStyle="1" w:styleId="CommentSubjectChar">
    <w:name w:val="Comment Subject Char"/>
    <w:link w:val="CommentSubject"/>
    <w:uiPriority w:val="99"/>
    <w:semiHidden/>
    <w:rsid w:val="00055FFD"/>
    <w:rPr>
      <w:rFonts w:ascii="Calibri" w:eastAsia="SimSun" w:hAnsi="Calibri" w:cs="Times New Roman"/>
      <w:b/>
      <w:bCs/>
      <w:sz w:val="20"/>
      <w:szCs w:val="20"/>
      <w:lang w:eastAsia="zh-CN"/>
    </w:rPr>
  </w:style>
  <w:style w:type="character" w:customStyle="1" w:styleId="apple-converted-space">
    <w:name w:val="apple-converted-space"/>
    <w:basedOn w:val="DefaultParagraphFont"/>
    <w:rsid w:val="0038142E"/>
  </w:style>
  <w:style w:type="character" w:styleId="PlaceholderText">
    <w:name w:val="Placeholder Text"/>
    <w:uiPriority w:val="99"/>
    <w:semiHidden/>
    <w:rsid w:val="008B4DB9"/>
    <w:rPr>
      <w:color w:val="808080"/>
    </w:rPr>
  </w:style>
  <w:style w:type="paragraph" w:styleId="Header">
    <w:name w:val="header"/>
    <w:basedOn w:val="Normal"/>
    <w:link w:val="HeaderChar"/>
    <w:uiPriority w:val="99"/>
    <w:unhideWhenUsed/>
    <w:rsid w:val="001412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12D9"/>
  </w:style>
  <w:style w:type="paragraph" w:styleId="Footer">
    <w:name w:val="footer"/>
    <w:basedOn w:val="Normal"/>
    <w:link w:val="FooterChar"/>
    <w:uiPriority w:val="99"/>
    <w:unhideWhenUsed/>
    <w:rsid w:val="001412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12D9"/>
  </w:style>
  <w:style w:type="paragraph" w:styleId="FootnoteText">
    <w:name w:val="footnote text"/>
    <w:basedOn w:val="Normal"/>
    <w:link w:val="FootnoteTextChar"/>
    <w:uiPriority w:val="99"/>
    <w:semiHidden/>
    <w:unhideWhenUsed/>
    <w:rsid w:val="001412D9"/>
    <w:pPr>
      <w:spacing w:after="0" w:line="240" w:lineRule="auto"/>
    </w:pPr>
    <w:rPr>
      <w:sz w:val="20"/>
      <w:szCs w:val="20"/>
    </w:rPr>
  </w:style>
  <w:style w:type="character" w:customStyle="1" w:styleId="FootnoteTextChar">
    <w:name w:val="Footnote Text Char"/>
    <w:link w:val="FootnoteText"/>
    <w:uiPriority w:val="99"/>
    <w:semiHidden/>
    <w:rsid w:val="001412D9"/>
    <w:rPr>
      <w:sz w:val="20"/>
      <w:szCs w:val="20"/>
    </w:rPr>
  </w:style>
  <w:style w:type="character" w:styleId="FootnoteReference">
    <w:name w:val="footnote reference"/>
    <w:uiPriority w:val="99"/>
    <w:semiHidden/>
    <w:unhideWhenUsed/>
    <w:rsid w:val="001412D9"/>
    <w:rPr>
      <w:vertAlign w:val="superscript"/>
    </w:rPr>
  </w:style>
  <w:style w:type="paragraph" w:styleId="Bibliography">
    <w:name w:val="Bibliography"/>
    <w:basedOn w:val="Normal"/>
    <w:next w:val="Normal"/>
    <w:uiPriority w:val="37"/>
    <w:unhideWhenUsed/>
    <w:rsid w:val="0061503F"/>
  </w:style>
  <w:style w:type="paragraph" w:styleId="TOCHeading">
    <w:name w:val="TOC Heading"/>
    <w:basedOn w:val="Heading1"/>
    <w:next w:val="Normal"/>
    <w:uiPriority w:val="39"/>
    <w:unhideWhenUsed/>
    <w:qFormat/>
    <w:rsid w:val="007639D8"/>
    <w:pPr>
      <w:spacing w:before="240" w:line="259" w:lineRule="auto"/>
      <w:outlineLvl w:val="9"/>
    </w:pPr>
    <w:rPr>
      <w:rFonts w:ascii="Calibri Light" w:eastAsia="SimSun" w:hAnsi="Calibri Light"/>
      <w:b w:val="0"/>
      <w:bCs w:val="0"/>
      <w:color w:val="2E74B5"/>
      <w:sz w:val="32"/>
      <w:szCs w:val="32"/>
      <w:lang w:val="en-US" w:eastAsia="en-US"/>
    </w:rPr>
  </w:style>
  <w:style w:type="paragraph" w:styleId="TOC1">
    <w:name w:val="toc 1"/>
    <w:basedOn w:val="Normal"/>
    <w:next w:val="Normal"/>
    <w:autoRedefine/>
    <w:uiPriority w:val="39"/>
    <w:unhideWhenUsed/>
    <w:rsid w:val="007639D8"/>
    <w:pPr>
      <w:spacing w:after="100"/>
    </w:pPr>
  </w:style>
  <w:style w:type="character" w:styleId="Hyperlink">
    <w:name w:val="Hyperlink"/>
    <w:uiPriority w:val="99"/>
    <w:unhideWhenUsed/>
    <w:rsid w:val="007639D8"/>
    <w:rPr>
      <w:color w:val="0563C1"/>
      <w:u w:val="single"/>
    </w:rPr>
  </w:style>
  <w:style w:type="character" w:customStyle="1" w:styleId="Heading2Char">
    <w:name w:val="Heading 2 Char"/>
    <w:link w:val="Heading2"/>
    <w:uiPriority w:val="9"/>
    <w:rsid w:val="00B70739"/>
    <w:rPr>
      <w:rFonts w:ascii="Calibri Light" w:eastAsia="SimSun" w:hAnsi="Calibri Light" w:cs="Times New Roman"/>
      <w:color w:val="2E74B5"/>
      <w:sz w:val="26"/>
      <w:szCs w:val="26"/>
    </w:rPr>
  </w:style>
  <w:style w:type="paragraph" w:styleId="Revision">
    <w:name w:val="Revision"/>
    <w:hidden/>
    <w:uiPriority w:val="99"/>
    <w:semiHidden/>
    <w:rsid w:val="009F3306"/>
    <w:rPr>
      <w:sz w:val="22"/>
      <w:szCs w:val="22"/>
      <w:lang w:eastAsia="en-US"/>
    </w:rPr>
  </w:style>
  <w:style w:type="paragraph" w:styleId="TOC2">
    <w:name w:val="toc 2"/>
    <w:basedOn w:val="Normal"/>
    <w:next w:val="Normal"/>
    <w:autoRedefine/>
    <w:uiPriority w:val="39"/>
    <w:unhideWhenUsed/>
    <w:rsid w:val="00EA7E89"/>
    <w:pPr>
      <w:spacing w:after="100"/>
      <w:ind w:left="220"/>
    </w:pPr>
  </w:style>
  <w:style w:type="character" w:customStyle="1" w:styleId="NoSpacingChar">
    <w:name w:val="No Spacing Char"/>
    <w:basedOn w:val="DefaultParagraphFont"/>
    <w:link w:val="NoSpacing"/>
    <w:uiPriority w:val="1"/>
    <w:rsid w:val="000C4FE8"/>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15818">
      <w:bodyDiv w:val="1"/>
      <w:marLeft w:val="0"/>
      <w:marRight w:val="0"/>
      <w:marTop w:val="0"/>
      <w:marBottom w:val="0"/>
      <w:divBdr>
        <w:top w:val="none" w:sz="0" w:space="0" w:color="auto"/>
        <w:left w:val="none" w:sz="0" w:space="0" w:color="auto"/>
        <w:bottom w:val="none" w:sz="0" w:space="0" w:color="auto"/>
        <w:right w:val="none" w:sz="0" w:space="0" w:color="auto"/>
      </w:divBdr>
    </w:div>
    <w:div w:id="14355356">
      <w:bodyDiv w:val="1"/>
      <w:marLeft w:val="0"/>
      <w:marRight w:val="0"/>
      <w:marTop w:val="0"/>
      <w:marBottom w:val="0"/>
      <w:divBdr>
        <w:top w:val="none" w:sz="0" w:space="0" w:color="auto"/>
        <w:left w:val="none" w:sz="0" w:space="0" w:color="auto"/>
        <w:bottom w:val="none" w:sz="0" w:space="0" w:color="auto"/>
        <w:right w:val="none" w:sz="0" w:space="0" w:color="auto"/>
      </w:divBdr>
    </w:div>
    <w:div w:id="18168882">
      <w:bodyDiv w:val="1"/>
      <w:marLeft w:val="0"/>
      <w:marRight w:val="0"/>
      <w:marTop w:val="0"/>
      <w:marBottom w:val="0"/>
      <w:divBdr>
        <w:top w:val="none" w:sz="0" w:space="0" w:color="auto"/>
        <w:left w:val="none" w:sz="0" w:space="0" w:color="auto"/>
        <w:bottom w:val="none" w:sz="0" w:space="0" w:color="auto"/>
        <w:right w:val="none" w:sz="0" w:space="0" w:color="auto"/>
      </w:divBdr>
    </w:div>
    <w:div w:id="27149338">
      <w:bodyDiv w:val="1"/>
      <w:marLeft w:val="0"/>
      <w:marRight w:val="0"/>
      <w:marTop w:val="0"/>
      <w:marBottom w:val="0"/>
      <w:divBdr>
        <w:top w:val="none" w:sz="0" w:space="0" w:color="auto"/>
        <w:left w:val="none" w:sz="0" w:space="0" w:color="auto"/>
        <w:bottom w:val="none" w:sz="0" w:space="0" w:color="auto"/>
        <w:right w:val="none" w:sz="0" w:space="0" w:color="auto"/>
      </w:divBdr>
    </w:div>
    <w:div w:id="31267770">
      <w:bodyDiv w:val="1"/>
      <w:marLeft w:val="0"/>
      <w:marRight w:val="0"/>
      <w:marTop w:val="0"/>
      <w:marBottom w:val="0"/>
      <w:divBdr>
        <w:top w:val="none" w:sz="0" w:space="0" w:color="auto"/>
        <w:left w:val="none" w:sz="0" w:space="0" w:color="auto"/>
        <w:bottom w:val="none" w:sz="0" w:space="0" w:color="auto"/>
        <w:right w:val="none" w:sz="0" w:space="0" w:color="auto"/>
      </w:divBdr>
    </w:div>
    <w:div w:id="37630707">
      <w:bodyDiv w:val="1"/>
      <w:marLeft w:val="0"/>
      <w:marRight w:val="0"/>
      <w:marTop w:val="0"/>
      <w:marBottom w:val="0"/>
      <w:divBdr>
        <w:top w:val="none" w:sz="0" w:space="0" w:color="auto"/>
        <w:left w:val="none" w:sz="0" w:space="0" w:color="auto"/>
        <w:bottom w:val="none" w:sz="0" w:space="0" w:color="auto"/>
        <w:right w:val="none" w:sz="0" w:space="0" w:color="auto"/>
      </w:divBdr>
    </w:div>
    <w:div w:id="41055569">
      <w:bodyDiv w:val="1"/>
      <w:marLeft w:val="0"/>
      <w:marRight w:val="0"/>
      <w:marTop w:val="0"/>
      <w:marBottom w:val="0"/>
      <w:divBdr>
        <w:top w:val="none" w:sz="0" w:space="0" w:color="auto"/>
        <w:left w:val="none" w:sz="0" w:space="0" w:color="auto"/>
        <w:bottom w:val="none" w:sz="0" w:space="0" w:color="auto"/>
        <w:right w:val="none" w:sz="0" w:space="0" w:color="auto"/>
      </w:divBdr>
    </w:div>
    <w:div w:id="55319499">
      <w:bodyDiv w:val="1"/>
      <w:marLeft w:val="0"/>
      <w:marRight w:val="0"/>
      <w:marTop w:val="0"/>
      <w:marBottom w:val="0"/>
      <w:divBdr>
        <w:top w:val="none" w:sz="0" w:space="0" w:color="auto"/>
        <w:left w:val="none" w:sz="0" w:space="0" w:color="auto"/>
        <w:bottom w:val="none" w:sz="0" w:space="0" w:color="auto"/>
        <w:right w:val="none" w:sz="0" w:space="0" w:color="auto"/>
      </w:divBdr>
    </w:div>
    <w:div w:id="58480007">
      <w:bodyDiv w:val="1"/>
      <w:marLeft w:val="0"/>
      <w:marRight w:val="0"/>
      <w:marTop w:val="0"/>
      <w:marBottom w:val="0"/>
      <w:divBdr>
        <w:top w:val="none" w:sz="0" w:space="0" w:color="auto"/>
        <w:left w:val="none" w:sz="0" w:space="0" w:color="auto"/>
        <w:bottom w:val="none" w:sz="0" w:space="0" w:color="auto"/>
        <w:right w:val="none" w:sz="0" w:space="0" w:color="auto"/>
      </w:divBdr>
    </w:div>
    <w:div w:id="78331176">
      <w:bodyDiv w:val="1"/>
      <w:marLeft w:val="0"/>
      <w:marRight w:val="0"/>
      <w:marTop w:val="0"/>
      <w:marBottom w:val="0"/>
      <w:divBdr>
        <w:top w:val="none" w:sz="0" w:space="0" w:color="auto"/>
        <w:left w:val="none" w:sz="0" w:space="0" w:color="auto"/>
        <w:bottom w:val="none" w:sz="0" w:space="0" w:color="auto"/>
        <w:right w:val="none" w:sz="0" w:space="0" w:color="auto"/>
      </w:divBdr>
    </w:div>
    <w:div w:id="78529083">
      <w:bodyDiv w:val="1"/>
      <w:marLeft w:val="0"/>
      <w:marRight w:val="0"/>
      <w:marTop w:val="0"/>
      <w:marBottom w:val="0"/>
      <w:divBdr>
        <w:top w:val="none" w:sz="0" w:space="0" w:color="auto"/>
        <w:left w:val="none" w:sz="0" w:space="0" w:color="auto"/>
        <w:bottom w:val="none" w:sz="0" w:space="0" w:color="auto"/>
        <w:right w:val="none" w:sz="0" w:space="0" w:color="auto"/>
      </w:divBdr>
    </w:div>
    <w:div w:id="94056767">
      <w:bodyDiv w:val="1"/>
      <w:marLeft w:val="0"/>
      <w:marRight w:val="0"/>
      <w:marTop w:val="0"/>
      <w:marBottom w:val="0"/>
      <w:divBdr>
        <w:top w:val="none" w:sz="0" w:space="0" w:color="auto"/>
        <w:left w:val="none" w:sz="0" w:space="0" w:color="auto"/>
        <w:bottom w:val="none" w:sz="0" w:space="0" w:color="auto"/>
        <w:right w:val="none" w:sz="0" w:space="0" w:color="auto"/>
      </w:divBdr>
    </w:div>
    <w:div w:id="103037559">
      <w:bodyDiv w:val="1"/>
      <w:marLeft w:val="0"/>
      <w:marRight w:val="0"/>
      <w:marTop w:val="0"/>
      <w:marBottom w:val="0"/>
      <w:divBdr>
        <w:top w:val="none" w:sz="0" w:space="0" w:color="auto"/>
        <w:left w:val="none" w:sz="0" w:space="0" w:color="auto"/>
        <w:bottom w:val="none" w:sz="0" w:space="0" w:color="auto"/>
        <w:right w:val="none" w:sz="0" w:space="0" w:color="auto"/>
      </w:divBdr>
    </w:div>
    <w:div w:id="104007855">
      <w:bodyDiv w:val="1"/>
      <w:marLeft w:val="0"/>
      <w:marRight w:val="0"/>
      <w:marTop w:val="0"/>
      <w:marBottom w:val="0"/>
      <w:divBdr>
        <w:top w:val="none" w:sz="0" w:space="0" w:color="auto"/>
        <w:left w:val="none" w:sz="0" w:space="0" w:color="auto"/>
        <w:bottom w:val="none" w:sz="0" w:space="0" w:color="auto"/>
        <w:right w:val="none" w:sz="0" w:space="0" w:color="auto"/>
      </w:divBdr>
    </w:div>
    <w:div w:id="109010356">
      <w:bodyDiv w:val="1"/>
      <w:marLeft w:val="0"/>
      <w:marRight w:val="0"/>
      <w:marTop w:val="0"/>
      <w:marBottom w:val="0"/>
      <w:divBdr>
        <w:top w:val="none" w:sz="0" w:space="0" w:color="auto"/>
        <w:left w:val="none" w:sz="0" w:space="0" w:color="auto"/>
        <w:bottom w:val="none" w:sz="0" w:space="0" w:color="auto"/>
        <w:right w:val="none" w:sz="0" w:space="0" w:color="auto"/>
      </w:divBdr>
    </w:div>
    <w:div w:id="167521790">
      <w:bodyDiv w:val="1"/>
      <w:marLeft w:val="0"/>
      <w:marRight w:val="0"/>
      <w:marTop w:val="0"/>
      <w:marBottom w:val="0"/>
      <w:divBdr>
        <w:top w:val="none" w:sz="0" w:space="0" w:color="auto"/>
        <w:left w:val="none" w:sz="0" w:space="0" w:color="auto"/>
        <w:bottom w:val="none" w:sz="0" w:space="0" w:color="auto"/>
        <w:right w:val="none" w:sz="0" w:space="0" w:color="auto"/>
      </w:divBdr>
    </w:div>
    <w:div w:id="169879289">
      <w:bodyDiv w:val="1"/>
      <w:marLeft w:val="0"/>
      <w:marRight w:val="0"/>
      <w:marTop w:val="0"/>
      <w:marBottom w:val="0"/>
      <w:divBdr>
        <w:top w:val="none" w:sz="0" w:space="0" w:color="auto"/>
        <w:left w:val="none" w:sz="0" w:space="0" w:color="auto"/>
        <w:bottom w:val="none" w:sz="0" w:space="0" w:color="auto"/>
        <w:right w:val="none" w:sz="0" w:space="0" w:color="auto"/>
      </w:divBdr>
    </w:div>
    <w:div w:id="173695743">
      <w:bodyDiv w:val="1"/>
      <w:marLeft w:val="0"/>
      <w:marRight w:val="0"/>
      <w:marTop w:val="0"/>
      <w:marBottom w:val="0"/>
      <w:divBdr>
        <w:top w:val="none" w:sz="0" w:space="0" w:color="auto"/>
        <w:left w:val="none" w:sz="0" w:space="0" w:color="auto"/>
        <w:bottom w:val="none" w:sz="0" w:space="0" w:color="auto"/>
        <w:right w:val="none" w:sz="0" w:space="0" w:color="auto"/>
      </w:divBdr>
    </w:div>
    <w:div w:id="186138634">
      <w:bodyDiv w:val="1"/>
      <w:marLeft w:val="0"/>
      <w:marRight w:val="0"/>
      <w:marTop w:val="0"/>
      <w:marBottom w:val="0"/>
      <w:divBdr>
        <w:top w:val="none" w:sz="0" w:space="0" w:color="auto"/>
        <w:left w:val="none" w:sz="0" w:space="0" w:color="auto"/>
        <w:bottom w:val="none" w:sz="0" w:space="0" w:color="auto"/>
        <w:right w:val="none" w:sz="0" w:space="0" w:color="auto"/>
      </w:divBdr>
    </w:div>
    <w:div w:id="187523928">
      <w:bodyDiv w:val="1"/>
      <w:marLeft w:val="0"/>
      <w:marRight w:val="0"/>
      <w:marTop w:val="0"/>
      <w:marBottom w:val="0"/>
      <w:divBdr>
        <w:top w:val="none" w:sz="0" w:space="0" w:color="auto"/>
        <w:left w:val="none" w:sz="0" w:space="0" w:color="auto"/>
        <w:bottom w:val="none" w:sz="0" w:space="0" w:color="auto"/>
        <w:right w:val="none" w:sz="0" w:space="0" w:color="auto"/>
      </w:divBdr>
    </w:div>
    <w:div w:id="187721254">
      <w:bodyDiv w:val="1"/>
      <w:marLeft w:val="0"/>
      <w:marRight w:val="0"/>
      <w:marTop w:val="0"/>
      <w:marBottom w:val="0"/>
      <w:divBdr>
        <w:top w:val="none" w:sz="0" w:space="0" w:color="auto"/>
        <w:left w:val="none" w:sz="0" w:space="0" w:color="auto"/>
        <w:bottom w:val="none" w:sz="0" w:space="0" w:color="auto"/>
        <w:right w:val="none" w:sz="0" w:space="0" w:color="auto"/>
      </w:divBdr>
    </w:div>
    <w:div w:id="214440142">
      <w:bodyDiv w:val="1"/>
      <w:marLeft w:val="0"/>
      <w:marRight w:val="0"/>
      <w:marTop w:val="0"/>
      <w:marBottom w:val="0"/>
      <w:divBdr>
        <w:top w:val="none" w:sz="0" w:space="0" w:color="auto"/>
        <w:left w:val="none" w:sz="0" w:space="0" w:color="auto"/>
        <w:bottom w:val="none" w:sz="0" w:space="0" w:color="auto"/>
        <w:right w:val="none" w:sz="0" w:space="0" w:color="auto"/>
      </w:divBdr>
    </w:div>
    <w:div w:id="230652593">
      <w:bodyDiv w:val="1"/>
      <w:marLeft w:val="0"/>
      <w:marRight w:val="0"/>
      <w:marTop w:val="0"/>
      <w:marBottom w:val="0"/>
      <w:divBdr>
        <w:top w:val="none" w:sz="0" w:space="0" w:color="auto"/>
        <w:left w:val="none" w:sz="0" w:space="0" w:color="auto"/>
        <w:bottom w:val="none" w:sz="0" w:space="0" w:color="auto"/>
        <w:right w:val="none" w:sz="0" w:space="0" w:color="auto"/>
      </w:divBdr>
    </w:div>
    <w:div w:id="255289012">
      <w:bodyDiv w:val="1"/>
      <w:marLeft w:val="0"/>
      <w:marRight w:val="0"/>
      <w:marTop w:val="0"/>
      <w:marBottom w:val="0"/>
      <w:divBdr>
        <w:top w:val="none" w:sz="0" w:space="0" w:color="auto"/>
        <w:left w:val="none" w:sz="0" w:space="0" w:color="auto"/>
        <w:bottom w:val="none" w:sz="0" w:space="0" w:color="auto"/>
        <w:right w:val="none" w:sz="0" w:space="0" w:color="auto"/>
      </w:divBdr>
    </w:div>
    <w:div w:id="256401046">
      <w:bodyDiv w:val="1"/>
      <w:marLeft w:val="0"/>
      <w:marRight w:val="0"/>
      <w:marTop w:val="0"/>
      <w:marBottom w:val="0"/>
      <w:divBdr>
        <w:top w:val="none" w:sz="0" w:space="0" w:color="auto"/>
        <w:left w:val="none" w:sz="0" w:space="0" w:color="auto"/>
        <w:bottom w:val="none" w:sz="0" w:space="0" w:color="auto"/>
        <w:right w:val="none" w:sz="0" w:space="0" w:color="auto"/>
      </w:divBdr>
    </w:div>
    <w:div w:id="268049108">
      <w:bodyDiv w:val="1"/>
      <w:marLeft w:val="0"/>
      <w:marRight w:val="0"/>
      <w:marTop w:val="0"/>
      <w:marBottom w:val="0"/>
      <w:divBdr>
        <w:top w:val="none" w:sz="0" w:space="0" w:color="auto"/>
        <w:left w:val="none" w:sz="0" w:space="0" w:color="auto"/>
        <w:bottom w:val="none" w:sz="0" w:space="0" w:color="auto"/>
        <w:right w:val="none" w:sz="0" w:space="0" w:color="auto"/>
      </w:divBdr>
    </w:div>
    <w:div w:id="269627799">
      <w:bodyDiv w:val="1"/>
      <w:marLeft w:val="0"/>
      <w:marRight w:val="0"/>
      <w:marTop w:val="0"/>
      <w:marBottom w:val="0"/>
      <w:divBdr>
        <w:top w:val="none" w:sz="0" w:space="0" w:color="auto"/>
        <w:left w:val="none" w:sz="0" w:space="0" w:color="auto"/>
        <w:bottom w:val="none" w:sz="0" w:space="0" w:color="auto"/>
        <w:right w:val="none" w:sz="0" w:space="0" w:color="auto"/>
      </w:divBdr>
    </w:div>
    <w:div w:id="279410538">
      <w:bodyDiv w:val="1"/>
      <w:marLeft w:val="0"/>
      <w:marRight w:val="0"/>
      <w:marTop w:val="0"/>
      <w:marBottom w:val="0"/>
      <w:divBdr>
        <w:top w:val="none" w:sz="0" w:space="0" w:color="auto"/>
        <w:left w:val="none" w:sz="0" w:space="0" w:color="auto"/>
        <w:bottom w:val="none" w:sz="0" w:space="0" w:color="auto"/>
        <w:right w:val="none" w:sz="0" w:space="0" w:color="auto"/>
      </w:divBdr>
    </w:div>
    <w:div w:id="286813984">
      <w:bodyDiv w:val="1"/>
      <w:marLeft w:val="0"/>
      <w:marRight w:val="0"/>
      <w:marTop w:val="0"/>
      <w:marBottom w:val="0"/>
      <w:divBdr>
        <w:top w:val="none" w:sz="0" w:space="0" w:color="auto"/>
        <w:left w:val="none" w:sz="0" w:space="0" w:color="auto"/>
        <w:bottom w:val="none" w:sz="0" w:space="0" w:color="auto"/>
        <w:right w:val="none" w:sz="0" w:space="0" w:color="auto"/>
      </w:divBdr>
    </w:div>
    <w:div w:id="303193499">
      <w:bodyDiv w:val="1"/>
      <w:marLeft w:val="0"/>
      <w:marRight w:val="0"/>
      <w:marTop w:val="0"/>
      <w:marBottom w:val="0"/>
      <w:divBdr>
        <w:top w:val="none" w:sz="0" w:space="0" w:color="auto"/>
        <w:left w:val="none" w:sz="0" w:space="0" w:color="auto"/>
        <w:bottom w:val="none" w:sz="0" w:space="0" w:color="auto"/>
        <w:right w:val="none" w:sz="0" w:space="0" w:color="auto"/>
      </w:divBdr>
    </w:div>
    <w:div w:id="307707801">
      <w:bodyDiv w:val="1"/>
      <w:marLeft w:val="0"/>
      <w:marRight w:val="0"/>
      <w:marTop w:val="0"/>
      <w:marBottom w:val="0"/>
      <w:divBdr>
        <w:top w:val="none" w:sz="0" w:space="0" w:color="auto"/>
        <w:left w:val="none" w:sz="0" w:space="0" w:color="auto"/>
        <w:bottom w:val="none" w:sz="0" w:space="0" w:color="auto"/>
        <w:right w:val="none" w:sz="0" w:space="0" w:color="auto"/>
      </w:divBdr>
    </w:div>
    <w:div w:id="316693495">
      <w:bodyDiv w:val="1"/>
      <w:marLeft w:val="0"/>
      <w:marRight w:val="0"/>
      <w:marTop w:val="0"/>
      <w:marBottom w:val="0"/>
      <w:divBdr>
        <w:top w:val="none" w:sz="0" w:space="0" w:color="auto"/>
        <w:left w:val="none" w:sz="0" w:space="0" w:color="auto"/>
        <w:bottom w:val="none" w:sz="0" w:space="0" w:color="auto"/>
        <w:right w:val="none" w:sz="0" w:space="0" w:color="auto"/>
      </w:divBdr>
    </w:div>
    <w:div w:id="324207262">
      <w:bodyDiv w:val="1"/>
      <w:marLeft w:val="0"/>
      <w:marRight w:val="0"/>
      <w:marTop w:val="0"/>
      <w:marBottom w:val="0"/>
      <w:divBdr>
        <w:top w:val="none" w:sz="0" w:space="0" w:color="auto"/>
        <w:left w:val="none" w:sz="0" w:space="0" w:color="auto"/>
        <w:bottom w:val="none" w:sz="0" w:space="0" w:color="auto"/>
        <w:right w:val="none" w:sz="0" w:space="0" w:color="auto"/>
      </w:divBdr>
    </w:div>
    <w:div w:id="331687071">
      <w:bodyDiv w:val="1"/>
      <w:marLeft w:val="0"/>
      <w:marRight w:val="0"/>
      <w:marTop w:val="0"/>
      <w:marBottom w:val="0"/>
      <w:divBdr>
        <w:top w:val="none" w:sz="0" w:space="0" w:color="auto"/>
        <w:left w:val="none" w:sz="0" w:space="0" w:color="auto"/>
        <w:bottom w:val="none" w:sz="0" w:space="0" w:color="auto"/>
        <w:right w:val="none" w:sz="0" w:space="0" w:color="auto"/>
      </w:divBdr>
    </w:div>
    <w:div w:id="331689736">
      <w:bodyDiv w:val="1"/>
      <w:marLeft w:val="0"/>
      <w:marRight w:val="0"/>
      <w:marTop w:val="0"/>
      <w:marBottom w:val="0"/>
      <w:divBdr>
        <w:top w:val="none" w:sz="0" w:space="0" w:color="auto"/>
        <w:left w:val="none" w:sz="0" w:space="0" w:color="auto"/>
        <w:bottom w:val="none" w:sz="0" w:space="0" w:color="auto"/>
        <w:right w:val="none" w:sz="0" w:space="0" w:color="auto"/>
      </w:divBdr>
    </w:div>
    <w:div w:id="358044958">
      <w:bodyDiv w:val="1"/>
      <w:marLeft w:val="0"/>
      <w:marRight w:val="0"/>
      <w:marTop w:val="0"/>
      <w:marBottom w:val="0"/>
      <w:divBdr>
        <w:top w:val="none" w:sz="0" w:space="0" w:color="auto"/>
        <w:left w:val="none" w:sz="0" w:space="0" w:color="auto"/>
        <w:bottom w:val="none" w:sz="0" w:space="0" w:color="auto"/>
        <w:right w:val="none" w:sz="0" w:space="0" w:color="auto"/>
      </w:divBdr>
    </w:div>
    <w:div w:id="358431211">
      <w:bodyDiv w:val="1"/>
      <w:marLeft w:val="0"/>
      <w:marRight w:val="0"/>
      <w:marTop w:val="0"/>
      <w:marBottom w:val="0"/>
      <w:divBdr>
        <w:top w:val="none" w:sz="0" w:space="0" w:color="auto"/>
        <w:left w:val="none" w:sz="0" w:space="0" w:color="auto"/>
        <w:bottom w:val="none" w:sz="0" w:space="0" w:color="auto"/>
        <w:right w:val="none" w:sz="0" w:space="0" w:color="auto"/>
      </w:divBdr>
    </w:div>
    <w:div w:id="359161970">
      <w:bodyDiv w:val="1"/>
      <w:marLeft w:val="0"/>
      <w:marRight w:val="0"/>
      <w:marTop w:val="0"/>
      <w:marBottom w:val="0"/>
      <w:divBdr>
        <w:top w:val="none" w:sz="0" w:space="0" w:color="auto"/>
        <w:left w:val="none" w:sz="0" w:space="0" w:color="auto"/>
        <w:bottom w:val="none" w:sz="0" w:space="0" w:color="auto"/>
        <w:right w:val="none" w:sz="0" w:space="0" w:color="auto"/>
      </w:divBdr>
    </w:div>
    <w:div w:id="370227964">
      <w:bodyDiv w:val="1"/>
      <w:marLeft w:val="0"/>
      <w:marRight w:val="0"/>
      <w:marTop w:val="0"/>
      <w:marBottom w:val="0"/>
      <w:divBdr>
        <w:top w:val="none" w:sz="0" w:space="0" w:color="auto"/>
        <w:left w:val="none" w:sz="0" w:space="0" w:color="auto"/>
        <w:bottom w:val="none" w:sz="0" w:space="0" w:color="auto"/>
        <w:right w:val="none" w:sz="0" w:space="0" w:color="auto"/>
      </w:divBdr>
    </w:div>
    <w:div w:id="388118407">
      <w:bodyDiv w:val="1"/>
      <w:marLeft w:val="0"/>
      <w:marRight w:val="0"/>
      <w:marTop w:val="0"/>
      <w:marBottom w:val="0"/>
      <w:divBdr>
        <w:top w:val="none" w:sz="0" w:space="0" w:color="auto"/>
        <w:left w:val="none" w:sz="0" w:space="0" w:color="auto"/>
        <w:bottom w:val="none" w:sz="0" w:space="0" w:color="auto"/>
        <w:right w:val="none" w:sz="0" w:space="0" w:color="auto"/>
      </w:divBdr>
    </w:div>
    <w:div w:id="400563786">
      <w:bodyDiv w:val="1"/>
      <w:marLeft w:val="0"/>
      <w:marRight w:val="0"/>
      <w:marTop w:val="0"/>
      <w:marBottom w:val="0"/>
      <w:divBdr>
        <w:top w:val="none" w:sz="0" w:space="0" w:color="auto"/>
        <w:left w:val="none" w:sz="0" w:space="0" w:color="auto"/>
        <w:bottom w:val="none" w:sz="0" w:space="0" w:color="auto"/>
        <w:right w:val="none" w:sz="0" w:space="0" w:color="auto"/>
      </w:divBdr>
    </w:div>
    <w:div w:id="413936330">
      <w:bodyDiv w:val="1"/>
      <w:marLeft w:val="0"/>
      <w:marRight w:val="0"/>
      <w:marTop w:val="0"/>
      <w:marBottom w:val="0"/>
      <w:divBdr>
        <w:top w:val="none" w:sz="0" w:space="0" w:color="auto"/>
        <w:left w:val="none" w:sz="0" w:space="0" w:color="auto"/>
        <w:bottom w:val="none" w:sz="0" w:space="0" w:color="auto"/>
        <w:right w:val="none" w:sz="0" w:space="0" w:color="auto"/>
      </w:divBdr>
    </w:div>
    <w:div w:id="430860444">
      <w:bodyDiv w:val="1"/>
      <w:marLeft w:val="0"/>
      <w:marRight w:val="0"/>
      <w:marTop w:val="0"/>
      <w:marBottom w:val="0"/>
      <w:divBdr>
        <w:top w:val="none" w:sz="0" w:space="0" w:color="auto"/>
        <w:left w:val="none" w:sz="0" w:space="0" w:color="auto"/>
        <w:bottom w:val="none" w:sz="0" w:space="0" w:color="auto"/>
        <w:right w:val="none" w:sz="0" w:space="0" w:color="auto"/>
      </w:divBdr>
    </w:div>
    <w:div w:id="436759795">
      <w:bodyDiv w:val="1"/>
      <w:marLeft w:val="0"/>
      <w:marRight w:val="0"/>
      <w:marTop w:val="0"/>
      <w:marBottom w:val="0"/>
      <w:divBdr>
        <w:top w:val="none" w:sz="0" w:space="0" w:color="auto"/>
        <w:left w:val="none" w:sz="0" w:space="0" w:color="auto"/>
        <w:bottom w:val="none" w:sz="0" w:space="0" w:color="auto"/>
        <w:right w:val="none" w:sz="0" w:space="0" w:color="auto"/>
      </w:divBdr>
    </w:div>
    <w:div w:id="440999491">
      <w:bodyDiv w:val="1"/>
      <w:marLeft w:val="0"/>
      <w:marRight w:val="0"/>
      <w:marTop w:val="0"/>
      <w:marBottom w:val="0"/>
      <w:divBdr>
        <w:top w:val="none" w:sz="0" w:space="0" w:color="auto"/>
        <w:left w:val="none" w:sz="0" w:space="0" w:color="auto"/>
        <w:bottom w:val="none" w:sz="0" w:space="0" w:color="auto"/>
        <w:right w:val="none" w:sz="0" w:space="0" w:color="auto"/>
      </w:divBdr>
    </w:div>
    <w:div w:id="443814603">
      <w:bodyDiv w:val="1"/>
      <w:marLeft w:val="0"/>
      <w:marRight w:val="0"/>
      <w:marTop w:val="0"/>
      <w:marBottom w:val="0"/>
      <w:divBdr>
        <w:top w:val="none" w:sz="0" w:space="0" w:color="auto"/>
        <w:left w:val="none" w:sz="0" w:space="0" w:color="auto"/>
        <w:bottom w:val="none" w:sz="0" w:space="0" w:color="auto"/>
        <w:right w:val="none" w:sz="0" w:space="0" w:color="auto"/>
      </w:divBdr>
    </w:div>
    <w:div w:id="453669437">
      <w:bodyDiv w:val="1"/>
      <w:marLeft w:val="0"/>
      <w:marRight w:val="0"/>
      <w:marTop w:val="0"/>
      <w:marBottom w:val="0"/>
      <w:divBdr>
        <w:top w:val="none" w:sz="0" w:space="0" w:color="auto"/>
        <w:left w:val="none" w:sz="0" w:space="0" w:color="auto"/>
        <w:bottom w:val="none" w:sz="0" w:space="0" w:color="auto"/>
        <w:right w:val="none" w:sz="0" w:space="0" w:color="auto"/>
      </w:divBdr>
    </w:div>
    <w:div w:id="453712462">
      <w:bodyDiv w:val="1"/>
      <w:marLeft w:val="0"/>
      <w:marRight w:val="0"/>
      <w:marTop w:val="0"/>
      <w:marBottom w:val="0"/>
      <w:divBdr>
        <w:top w:val="none" w:sz="0" w:space="0" w:color="auto"/>
        <w:left w:val="none" w:sz="0" w:space="0" w:color="auto"/>
        <w:bottom w:val="none" w:sz="0" w:space="0" w:color="auto"/>
        <w:right w:val="none" w:sz="0" w:space="0" w:color="auto"/>
      </w:divBdr>
    </w:div>
    <w:div w:id="456917100">
      <w:bodyDiv w:val="1"/>
      <w:marLeft w:val="0"/>
      <w:marRight w:val="0"/>
      <w:marTop w:val="0"/>
      <w:marBottom w:val="0"/>
      <w:divBdr>
        <w:top w:val="none" w:sz="0" w:space="0" w:color="auto"/>
        <w:left w:val="none" w:sz="0" w:space="0" w:color="auto"/>
        <w:bottom w:val="none" w:sz="0" w:space="0" w:color="auto"/>
        <w:right w:val="none" w:sz="0" w:space="0" w:color="auto"/>
      </w:divBdr>
    </w:div>
    <w:div w:id="459954934">
      <w:bodyDiv w:val="1"/>
      <w:marLeft w:val="0"/>
      <w:marRight w:val="0"/>
      <w:marTop w:val="0"/>
      <w:marBottom w:val="0"/>
      <w:divBdr>
        <w:top w:val="none" w:sz="0" w:space="0" w:color="auto"/>
        <w:left w:val="none" w:sz="0" w:space="0" w:color="auto"/>
        <w:bottom w:val="none" w:sz="0" w:space="0" w:color="auto"/>
        <w:right w:val="none" w:sz="0" w:space="0" w:color="auto"/>
      </w:divBdr>
    </w:div>
    <w:div w:id="465633884">
      <w:bodyDiv w:val="1"/>
      <w:marLeft w:val="0"/>
      <w:marRight w:val="0"/>
      <w:marTop w:val="0"/>
      <w:marBottom w:val="0"/>
      <w:divBdr>
        <w:top w:val="none" w:sz="0" w:space="0" w:color="auto"/>
        <w:left w:val="none" w:sz="0" w:space="0" w:color="auto"/>
        <w:bottom w:val="none" w:sz="0" w:space="0" w:color="auto"/>
        <w:right w:val="none" w:sz="0" w:space="0" w:color="auto"/>
      </w:divBdr>
    </w:div>
    <w:div w:id="466241734">
      <w:bodyDiv w:val="1"/>
      <w:marLeft w:val="0"/>
      <w:marRight w:val="0"/>
      <w:marTop w:val="0"/>
      <w:marBottom w:val="0"/>
      <w:divBdr>
        <w:top w:val="none" w:sz="0" w:space="0" w:color="auto"/>
        <w:left w:val="none" w:sz="0" w:space="0" w:color="auto"/>
        <w:bottom w:val="none" w:sz="0" w:space="0" w:color="auto"/>
        <w:right w:val="none" w:sz="0" w:space="0" w:color="auto"/>
      </w:divBdr>
    </w:div>
    <w:div w:id="477235869">
      <w:bodyDiv w:val="1"/>
      <w:marLeft w:val="0"/>
      <w:marRight w:val="0"/>
      <w:marTop w:val="0"/>
      <w:marBottom w:val="0"/>
      <w:divBdr>
        <w:top w:val="none" w:sz="0" w:space="0" w:color="auto"/>
        <w:left w:val="none" w:sz="0" w:space="0" w:color="auto"/>
        <w:bottom w:val="none" w:sz="0" w:space="0" w:color="auto"/>
        <w:right w:val="none" w:sz="0" w:space="0" w:color="auto"/>
      </w:divBdr>
    </w:div>
    <w:div w:id="492188248">
      <w:bodyDiv w:val="1"/>
      <w:marLeft w:val="0"/>
      <w:marRight w:val="0"/>
      <w:marTop w:val="0"/>
      <w:marBottom w:val="0"/>
      <w:divBdr>
        <w:top w:val="none" w:sz="0" w:space="0" w:color="auto"/>
        <w:left w:val="none" w:sz="0" w:space="0" w:color="auto"/>
        <w:bottom w:val="none" w:sz="0" w:space="0" w:color="auto"/>
        <w:right w:val="none" w:sz="0" w:space="0" w:color="auto"/>
      </w:divBdr>
    </w:div>
    <w:div w:id="498425783">
      <w:bodyDiv w:val="1"/>
      <w:marLeft w:val="0"/>
      <w:marRight w:val="0"/>
      <w:marTop w:val="0"/>
      <w:marBottom w:val="0"/>
      <w:divBdr>
        <w:top w:val="none" w:sz="0" w:space="0" w:color="auto"/>
        <w:left w:val="none" w:sz="0" w:space="0" w:color="auto"/>
        <w:bottom w:val="none" w:sz="0" w:space="0" w:color="auto"/>
        <w:right w:val="none" w:sz="0" w:space="0" w:color="auto"/>
      </w:divBdr>
    </w:div>
    <w:div w:id="499277227">
      <w:bodyDiv w:val="1"/>
      <w:marLeft w:val="0"/>
      <w:marRight w:val="0"/>
      <w:marTop w:val="0"/>
      <w:marBottom w:val="0"/>
      <w:divBdr>
        <w:top w:val="none" w:sz="0" w:space="0" w:color="auto"/>
        <w:left w:val="none" w:sz="0" w:space="0" w:color="auto"/>
        <w:bottom w:val="none" w:sz="0" w:space="0" w:color="auto"/>
        <w:right w:val="none" w:sz="0" w:space="0" w:color="auto"/>
      </w:divBdr>
    </w:div>
    <w:div w:id="499850967">
      <w:bodyDiv w:val="1"/>
      <w:marLeft w:val="0"/>
      <w:marRight w:val="0"/>
      <w:marTop w:val="0"/>
      <w:marBottom w:val="0"/>
      <w:divBdr>
        <w:top w:val="none" w:sz="0" w:space="0" w:color="auto"/>
        <w:left w:val="none" w:sz="0" w:space="0" w:color="auto"/>
        <w:bottom w:val="none" w:sz="0" w:space="0" w:color="auto"/>
        <w:right w:val="none" w:sz="0" w:space="0" w:color="auto"/>
      </w:divBdr>
    </w:div>
    <w:div w:id="507601189">
      <w:bodyDiv w:val="1"/>
      <w:marLeft w:val="0"/>
      <w:marRight w:val="0"/>
      <w:marTop w:val="0"/>
      <w:marBottom w:val="0"/>
      <w:divBdr>
        <w:top w:val="none" w:sz="0" w:space="0" w:color="auto"/>
        <w:left w:val="none" w:sz="0" w:space="0" w:color="auto"/>
        <w:bottom w:val="none" w:sz="0" w:space="0" w:color="auto"/>
        <w:right w:val="none" w:sz="0" w:space="0" w:color="auto"/>
      </w:divBdr>
    </w:div>
    <w:div w:id="508645218">
      <w:bodyDiv w:val="1"/>
      <w:marLeft w:val="0"/>
      <w:marRight w:val="0"/>
      <w:marTop w:val="0"/>
      <w:marBottom w:val="0"/>
      <w:divBdr>
        <w:top w:val="none" w:sz="0" w:space="0" w:color="auto"/>
        <w:left w:val="none" w:sz="0" w:space="0" w:color="auto"/>
        <w:bottom w:val="none" w:sz="0" w:space="0" w:color="auto"/>
        <w:right w:val="none" w:sz="0" w:space="0" w:color="auto"/>
      </w:divBdr>
    </w:div>
    <w:div w:id="525563229">
      <w:bodyDiv w:val="1"/>
      <w:marLeft w:val="0"/>
      <w:marRight w:val="0"/>
      <w:marTop w:val="0"/>
      <w:marBottom w:val="0"/>
      <w:divBdr>
        <w:top w:val="none" w:sz="0" w:space="0" w:color="auto"/>
        <w:left w:val="none" w:sz="0" w:space="0" w:color="auto"/>
        <w:bottom w:val="none" w:sz="0" w:space="0" w:color="auto"/>
        <w:right w:val="none" w:sz="0" w:space="0" w:color="auto"/>
      </w:divBdr>
    </w:div>
    <w:div w:id="535116132">
      <w:bodyDiv w:val="1"/>
      <w:marLeft w:val="0"/>
      <w:marRight w:val="0"/>
      <w:marTop w:val="0"/>
      <w:marBottom w:val="0"/>
      <w:divBdr>
        <w:top w:val="none" w:sz="0" w:space="0" w:color="auto"/>
        <w:left w:val="none" w:sz="0" w:space="0" w:color="auto"/>
        <w:bottom w:val="none" w:sz="0" w:space="0" w:color="auto"/>
        <w:right w:val="none" w:sz="0" w:space="0" w:color="auto"/>
      </w:divBdr>
    </w:div>
    <w:div w:id="543324585">
      <w:bodyDiv w:val="1"/>
      <w:marLeft w:val="0"/>
      <w:marRight w:val="0"/>
      <w:marTop w:val="0"/>
      <w:marBottom w:val="0"/>
      <w:divBdr>
        <w:top w:val="none" w:sz="0" w:space="0" w:color="auto"/>
        <w:left w:val="none" w:sz="0" w:space="0" w:color="auto"/>
        <w:bottom w:val="none" w:sz="0" w:space="0" w:color="auto"/>
        <w:right w:val="none" w:sz="0" w:space="0" w:color="auto"/>
      </w:divBdr>
    </w:div>
    <w:div w:id="548222355">
      <w:bodyDiv w:val="1"/>
      <w:marLeft w:val="0"/>
      <w:marRight w:val="0"/>
      <w:marTop w:val="0"/>
      <w:marBottom w:val="0"/>
      <w:divBdr>
        <w:top w:val="none" w:sz="0" w:space="0" w:color="auto"/>
        <w:left w:val="none" w:sz="0" w:space="0" w:color="auto"/>
        <w:bottom w:val="none" w:sz="0" w:space="0" w:color="auto"/>
        <w:right w:val="none" w:sz="0" w:space="0" w:color="auto"/>
      </w:divBdr>
    </w:div>
    <w:div w:id="549729571">
      <w:bodyDiv w:val="1"/>
      <w:marLeft w:val="0"/>
      <w:marRight w:val="0"/>
      <w:marTop w:val="0"/>
      <w:marBottom w:val="0"/>
      <w:divBdr>
        <w:top w:val="none" w:sz="0" w:space="0" w:color="auto"/>
        <w:left w:val="none" w:sz="0" w:space="0" w:color="auto"/>
        <w:bottom w:val="none" w:sz="0" w:space="0" w:color="auto"/>
        <w:right w:val="none" w:sz="0" w:space="0" w:color="auto"/>
      </w:divBdr>
    </w:div>
    <w:div w:id="558588228">
      <w:bodyDiv w:val="1"/>
      <w:marLeft w:val="0"/>
      <w:marRight w:val="0"/>
      <w:marTop w:val="0"/>
      <w:marBottom w:val="0"/>
      <w:divBdr>
        <w:top w:val="none" w:sz="0" w:space="0" w:color="auto"/>
        <w:left w:val="none" w:sz="0" w:space="0" w:color="auto"/>
        <w:bottom w:val="none" w:sz="0" w:space="0" w:color="auto"/>
        <w:right w:val="none" w:sz="0" w:space="0" w:color="auto"/>
      </w:divBdr>
    </w:div>
    <w:div w:id="566065710">
      <w:bodyDiv w:val="1"/>
      <w:marLeft w:val="0"/>
      <w:marRight w:val="0"/>
      <w:marTop w:val="0"/>
      <w:marBottom w:val="0"/>
      <w:divBdr>
        <w:top w:val="none" w:sz="0" w:space="0" w:color="auto"/>
        <w:left w:val="none" w:sz="0" w:space="0" w:color="auto"/>
        <w:bottom w:val="none" w:sz="0" w:space="0" w:color="auto"/>
        <w:right w:val="none" w:sz="0" w:space="0" w:color="auto"/>
      </w:divBdr>
    </w:div>
    <w:div w:id="586380281">
      <w:bodyDiv w:val="1"/>
      <w:marLeft w:val="0"/>
      <w:marRight w:val="0"/>
      <w:marTop w:val="0"/>
      <w:marBottom w:val="0"/>
      <w:divBdr>
        <w:top w:val="none" w:sz="0" w:space="0" w:color="auto"/>
        <w:left w:val="none" w:sz="0" w:space="0" w:color="auto"/>
        <w:bottom w:val="none" w:sz="0" w:space="0" w:color="auto"/>
        <w:right w:val="none" w:sz="0" w:space="0" w:color="auto"/>
      </w:divBdr>
    </w:div>
    <w:div w:id="600912615">
      <w:bodyDiv w:val="1"/>
      <w:marLeft w:val="0"/>
      <w:marRight w:val="0"/>
      <w:marTop w:val="0"/>
      <w:marBottom w:val="0"/>
      <w:divBdr>
        <w:top w:val="none" w:sz="0" w:space="0" w:color="auto"/>
        <w:left w:val="none" w:sz="0" w:space="0" w:color="auto"/>
        <w:bottom w:val="none" w:sz="0" w:space="0" w:color="auto"/>
        <w:right w:val="none" w:sz="0" w:space="0" w:color="auto"/>
      </w:divBdr>
    </w:div>
    <w:div w:id="601760385">
      <w:bodyDiv w:val="1"/>
      <w:marLeft w:val="0"/>
      <w:marRight w:val="0"/>
      <w:marTop w:val="0"/>
      <w:marBottom w:val="0"/>
      <w:divBdr>
        <w:top w:val="none" w:sz="0" w:space="0" w:color="auto"/>
        <w:left w:val="none" w:sz="0" w:space="0" w:color="auto"/>
        <w:bottom w:val="none" w:sz="0" w:space="0" w:color="auto"/>
        <w:right w:val="none" w:sz="0" w:space="0" w:color="auto"/>
      </w:divBdr>
    </w:div>
    <w:div w:id="605842856">
      <w:bodyDiv w:val="1"/>
      <w:marLeft w:val="0"/>
      <w:marRight w:val="0"/>
      <w:marTop w:val="0"/>
      <w:marBottom w:val="0"/>
      <w:divBdr>
        <w:top w:val="none" w:sz="0" w:space="0" w:color="auto"/>
        <w:left w:val="none" w:sz="0" w:space="0" w:color="auto"/>
        <w:bottom w:val="none" w:sz="0" w:space="0" w:color="auto"/>
        <w:right w:val="none" w:sz="0" w:space="0" w:color="auto"/>
      </w:divBdr>
    </w:div>
    <w:div w:id="610402375">
      <w:bodyDiv w:val="1"/>
      <w:marLeft w:val="0"/>
      <w:marRight w:val="0"/>
      <w:marTop w:val="0"/>
      <w:marBottom w:val="0"/>
      <w:divBdr>
        <w:top w:val="none" w:sz="0" w:space="0" w:color="auto"/>
        <w:left w:val="none" w:sz="0" w:space="0" w:color="auto"/>
        <w:bottom w:val="none" w:sz="0" w:space="0" w:color="auto"/>
        <w:right w:val="none" w:sz="0" w:space="0" w:color="auto"/>
      </w:divBdr>
    </w:div>
    <w:div w:id="619187560">
      <w:bodyDiv w:val="1"/>
      <w:marLeft w:val="0"/>
      <w:marRight w:val="0"/>
      <w:marTop w:val="0"/>
      <w:marBottom w:val="0"/>
      <w:divBdr>
        <w:top w:val="none" w:sz="0" w:space="0" w:color="auto"/>
        <w:left w:val="none" w:sz="0" w:space="0" w:color="auto"/>
        <w:bottom w:val="none" w:sz="0" w:space="0" w:color="auto"/>
        <w:right w:val="none" w:sz="0" w:space="0" w:color="auto"/>
      </w:divBdr>
    </w:div>
    <w:div w:id="620115398">
      <w:bodyDiv w:val="1"/>
      <w:marLeft w:val="0"/>
      <w:marRight w:val="0"/>
      <w:marTop w:val="0"/>
      <w:marBottom w:val="0"/>
      <w:divBdr>
        <w:top w:val="none" w:sz="0" w:space="0" w:color="auto"/>
        <w:left w:val="none" w:sz="0" w:space="0" w:color="auto"/>
        <w:bottom w:val="none" w:sz="0" w:space="0" w:color="auto"/>
        <w:right w:val="none" w:sz="0" w:space="0" w:color="auto"/>
      </w:divBdr>
    </w:div>
    <w:div w:id="622157157">
      <w:bodyDiv w:val="1"/>
      <w:marLeft w:val="0"/>
      <w:marRight w:val="0"/>
      <w:marTop w:val="0"/>
      <w:marBottom w:val="0"/>
      <w:divBdr>
        <w:top w:val="none" w:sz="0" w:space="0" w:color="auto"/>
        <w:left w:val="none" w:sz="0" w:space="0" w:color="auto"/>
        <w:bottom w:val="none" w:sz="0" w:space="0" w:color="auto"/>
        <w:right w:val="none" w:sz="0" w:space="0" w:color="auto"/>
      </w:divBdr>
    </w:div>
    <w:div w:id="625352137">
      <w:bodyDiv w:val="1"/>
      <w:marLeft w:val="0"/>
      <w:marRight w:val="0"/>
      <w:marTop w:val="0"/>
      <w:marBottom w:val="0"/>
      <w:divBdr>
        <w:top w:val="none" w:sz="0" w:space="0" w:color="auto"/>
        <w:left w:val="none" w:sz="0" w:space="0" w:color="auto"/>
        <w:bottom w:val="none" w:sz="0" w:space="0" w:color="auto"/>
        <w:right w:val="none" w:sz="0" w:space="0" w:color="auto"/>
      </w:divBdr>
    </w:div>
    <w:div w:id="636761977">
      <w:bodyDiv w:val="1"/>
      <w:marLeft w:val="0"/>
      <w:marRight w:val="0"/>
      <w:marTop w:val="0"/>
      <w:marBottom w:val="0"/>
      <w:divBdr>
        <w:top w:val="none" w:sz="0" w:space="0" w:color="auto"/>
        <w:left w:val="none" w:sz="0" w:space="0" w:color="auto"/>
        <w:bottom w:val="none" w:sz="0" w:space="0" w:color="auto"/>
        <w:right w:val="none" w:sz="0" w:space="0" w:color="auto"/>
      </w:divBdr>
    </w:div>
    <w:div w:id="644625468">
      <w:bodyDiv w:val="1"/>
      <w:marLeft w:val="0"/>
      <w:marRight w:val="0"/>
      <w:marTop w:val="0"/>
      <w:marBottom w:val="0"/>
      <w:divBdr>
        <w:top w:val="none" w:sz="0" w:space="0" w:color="auto"/>
        <w:left w:val="none" w:sz="0" w:space="0" w:color="auto"/>
        <w:bottom w:val="none" w:sz="0" w:space="0" w:color="auto"/>
        <w:right w:val="none" w:sz="0" w:space="0" w:color="auto"/>
      </w:divBdr>
    </w:div>
    <w:div w:id="649094000">
      <w:bodyDiv w:val="1"/>
      <w:marLeft w:val="0"/>
      <w:marRight w:val="0"/>
      <w:marTop w:val="0"/>
      <w:marBottom w:val="0"/>
      <w:divBdr>
        <w:top w:val="none" w:sz="0" w:space="0" w:color="auto"/>
        <w:left w:val="none" w:sz="0" w:space="0" w:color="auto"/>
        <w:bottom w:val="none" w:sz="0" w:space="0" w:color="auto"/>
        <w:right w:val="none" w:sz="0" w:space="0" w:color="auto"/>
      </w:divBdr>
    </w:div>
    <w:div w:id="656809195">
      <w:bodyDiv w:val="1"/>
      <w:marLeft w:val="0"/>
      <w:marRight w:val="0"/>
      <w:marTop w:val="0"/>
      <w:marBottom w:val="0"/>
      <w:divBdr>
        <w:top w:val="none" w:sz="0" w:space="0" w:color="auto"/>
        <w:left w:val="none" w:sz="0" w:space="0" w:color="auto"/>
        <w:bottom w:val="none" w:sz="0" w:space="0" w:color="auto"/>
        <w:right w:val="none" w:sz="0" w:space="0" w:color="auto"/>
      </w:divBdr>
    </w:div>
    <w:div w:id="662438361">
      <w:bodyDiv w:val="1"/>
      <w:marLeft w:val="0"/>
      <w:marRight w:val="0"/>
      <w:marTop w:val="0"/>
      <w:marBottom w:val="0"/>
      <w:divBdr>
        <w:top w:val="none" w:sz="0" w:space="0" w:color="auto"/>
        <w:left w:val="none" w:sz="0" w:space="0" w:color="auto"/>
        <w:bottom w:val="none" w:sz="0" w:space="0" w:color="auto"/>
        <w:right w:val="none" w:sz="0" w:space="0" w:color="auto"/>
      </w:divBdr>
    </w:div>
    <w:div w:id="664237634">
      <w:bodyDiv w:val="1"/>
      <w:marLeft w:val="0"/>
      <w:marRight w:val="0"/>
      <w:marTop w:val="0"/>
      <w:marBottom w:val="0"/>
      <w:divBdr>
        <w:top w:val="none" w:sz="0" w:space="0" w:color="auto"/>
        <w:left w:val="none" w:sz="0" w:space="0" w:color="auto"/>
        <w:bottom w:val="none" w:sz="0" w:space="0" w:color="auto"/>
        <w:right w:val="none" w:sz="0" w:space="0" w:color="auto"/>
      </w:divBdr>
    </w:div>
    <w:div w:id="669219920">
      <w:bodyDiv w:val="1"/>
      <w:marLeft w:val="0"/>
      <w:marRight w:val="0"/>
      <w:marTop w:val="0"/>
      <w:marBottom w:val="0"/>
      <w:divBdr>
        <w:top w:val="none" w:sz="0" w:space="0" w:color="auto"/>
        <w:left w:val="none" w:sz="0" w:space="0" w:color="auto"/>
        <w:bottom w:val="none" w:sz="0" w:space="0" w:color="auto"/>
        <w:right w:val="none" w:sz="0" w:space="0" w:color="auto"/>
      </w:divBdr>
    </w:div>
    <w:div w:id="683634682">
      <w:bodyDiv w:val="1"/>
      <w:marLeft w:val="0"/>
      <w:marRight w:val="0"/>
      <w:marTop w:val="0"/>
      <w:marBottom w:val="0"/>
      <w:divBdr>
        <w:top w:val="none" w:sz="0" w:space="0" w:color="auto"/>
        <w:left w:val="none" w:sz="0" w:space="0" w:color="auto"/>
        <w:bottom w:val="none" w:sz="0" w:space="0" w:color="auto"/>
        <w:right w:val="none" w:sz="0" w:space="0" w:color="auto"/>
      </w:divBdr>
    </w:div>
    <w:div w:id="684553651">
      <w:bodyDiv w:val="1"/>
      <w:marLeft w:val="0"/>
      <w:marRight w:val="0"/>
      <w:marTop w:val="0"/>
      <w:marBottom w:val="0"/>
      <w:divBdr>
        <w:top w:val="none" w:sz="0" w:space="0" w:color="auto"/>
        <w:left w:val="none" w:sz="0" w:space="0" w:color="auto"/>
        <w:bottom w:val="none" w:sz="0" w:space="0" w:color="auto"/>
        <w:right w:val="none" w:sz="0" w:space="0" w:color="auto"/>
      </w:divBdr>
    </w:div>
    <w:div w:id="689143643">
      <w:bodyDiv w:val="1"/>
      <w:marLeft w:val="0"/>
      <w:marRight w:val="0"/>
      <w:marTop w:val="0"/>
      <w:marBottom w:val="0"/>
      <w:divBdr>
        <w:top w:val="none" w:sz="0" w:space="0" w:color="auto"/>
        <w:left w:val="none" w:sz="0" w:space="0" w:color="auto"/>
        <w:bottom w:val="none" w:sz="0" w:space="0" w:color="auto"/>
        <w:right w:val="none" w:sz="0" w:space="0" w:color="auto"/>
      </w:divBdr>
    </w:div>
    <w:div w:id="690186116">
      <w:bodyDiv w:val="1"/>
      <w:marLeft w:val="0"/>
      <w:marRight w:val="0"/>
      <w:marTop w:val="0"/>
      <w:marBottom w:val="0"/>
      <w:divBdr>
        <w:top w:val="none" w:sz="0" w:space="0" w:color="auto"/>
        <w:left w:val="none" w:sz="0" w:space="0" w:color="auto"/>
        <w:bottom w:val="none" w:sz="0" w:space="0" w:color="auto"/>
        <w:right w:val="none" w:sz="0" w:space="0" w:color="auto"/>
      </w:divBdr>
    </w:div>
    <w:div w:id="696540160">
      <w:bodyDiv w:val="1"/>
      <w:marLeft w:val="0"/>
      <w:marRight w:val="0"/>
      <w:marTop w:val="0"/>
      <w:marBottom w:val="0"/>
      <w:divBdr>
        <w:top w:val="none" w:sz="0" w:space="0" w:color="auto"/>
        <w:left w:val="none" w:sz="0" w:space="0" w:color="auto"/>
        <w:bottom w:val="none" w:sz="0" w:space="0" w:color="auto"/>
        <w:right w:val="none" w:sz="0" w:space="0" w:color="auto"/>
      </w:divBdr>
    </w:div>
    <w:div w:id="714082684">
      <w:bodyDiv w:val="1"/>
      <w:marLeft w:val="0"/>
      <w:marRight w:val="0"/>
      <w:marTop w:val="0"/>
      <w:marBottom w:val="0"/>
      <w:divBdr>
        <w:top w:val="none" w:sz="0" w:space="0" w:color="auto"/>
        <w:left w:val="none" w:sz="0" w:space="0" w:color="auto"/>
        <w:bottom w:val="none" w:sz="0" w:space="0" w:color="auto"/>
        <w:right w:val="none" w:sz="0" w:space="0" w:color="auto"/>
      </w:divBdr>
    </w:div>
    <w:div w:id="731465593">
      <w:bodyDiv w:val="1"/>
      <w:marLeft w:val="0"/>
      <w:marRight w:val="0"/>
      <w:marTop w:val="0"/>
      <w:marBottom w:val="0"/>
      <w:divBdr>
        <w:top w:val="none" w:sz="0" w:space="0" w:color="auto"/>
        <w:left w:val="none" w:sz="0" w:space="0" w:color="auto"/>
        <w:bottom w:val="none" w:sz="0" w:space="0" w:color="auto"/>
        <w:right w:val="none" w:sz="0" w:space="0" w:color="auto"/>
      </w:divBdr>
    </w:div>
    <w:div w:id="737165148">
      <w:bodyDiv w:val="1"/>
      <w:marLeft w:val="0"/>
      <w:marRight w:val="0"/>
      <w:marTop w:val="0"/>
      <w:marBottom w:val="0"/>
      <w:divBdr>
        <w:top w:val="none" w:sz="0" w:space="0" w:color="auto"/>
        <w:left w:val="none" w:sz="0" w:space="0" w:color="auto"/>
        <w:bottom w:val="none" w:sz="0" w:space="0" w:color="auto"/>
        <w:right w:val="none" w:sz="0" w:space="0" w:color="auto"/>
      </w:divBdr>
    </w:div>
    <w:div w:id="766539072">
      <w:bodyDiv w:val="1"/>
      <w:marLeft w:val="0"/>
      <w:marRight w:val="0"/>
      <w:marTop w:val="0"/>
      <w:marBottom w:val="0"/>
      <w:divBdr>
        <w:top w:val="none" w:sz="0" w:space="0" w:color="auto"/>
        <w:left w:val="none" w:sz="0" w:space="0" w:color="auto"/>
        <w:bottom w:val="none" w:sz="0" w:space="0" w:color="auto"/>
        <w:right w:val="none" w:sz="0" w:space="0" w:color="auto"/>
      </w:divBdr>
    </w:div>
    <w:div w:id="767383566">
      <w:bodyDiv w:val="1"/>
      <w:marLeft w:val="0"/>
      <w:marRight w:val="0"/>
      <w:marTop w:val="0"/>
      <w:marBottom w:val="0"/>
      <w:divBdr>
        <w:top w:val="none" w:sz="0" w:space="0" w:color="auto"/>
        <w:left w:val="none" w:sz="0" w:space="0" w:color="auto"/>
        <w:bottom w:val="none" w:sz="0" w:space="0" w:color="auto"/>
        <w:right w:val="none" w:sz="0" w:space="0" w:color="auto"/>
      </w:divBdr>
    </w:div>
    <w:div w:id="770785205">
      <w:bodyDiv w:val="1"/>
      <w:marLeft w:val="0"/>
      <w:marRight w:val="0"/>
      <w:marTop w:val="0"/>
      <w:marBottom w:val="0"/>
      <w:divBdr>
        <w:top w:val="none" w:sz="0" w:space="0" w:color="auto"/>
        <w:left w:val="none" w:sz="0" w:space="0" w:color="auto"/>
        <w:bottom w:val="none" w:sz="0" w:space="0" w:color="auto"/>
        <w:right w:val="none" w:sz="0" w:space="0" w:color="auto"/>
      </w:divBdr>
    </w:div>
    <w:div w:id="786002932">
      <w:bodyDiv w:val="1"/>
      <w:marLeft w:val="0"/>
      <w:marRight w:val="0"/>
      <w:marTop w:val="0"/>
      <w:marBottom w:val="0"/>
      <w:divBdr>
        <w:top w:val="none" w:sz="0" w:space="0" w:color="auto"/>
        <w:left w:val="none" w:sz="0" w:space="0" w:color="auto"/>
        <w:bottom w:val="none" w:sz="0" w:space="0" w:color="auto"/>
        <w:right w:val="none" w:sz="0" w:space="0" w:color="auto"/>
      </w:divBdr>
    </w:div>
    <w:div w:id="787434554">
      <w:bodyDiv w:val="1"/>
      <w:marLeft w:val="0"/>
      <w:marRight w:val="0"/>
      <w:marTop w:val="0"/>
      <w:marBottom w:val="0"/>
      <w:divBdr>
        <w:top w:val="none" w:sz="0" w:space="0" w:color="auto"/>
        <w:left w:val="none" w:sz="0" w:space="0" w:color="auto"/>
        <w:bottom w:val="none" w:sz="0" w:space="0" w:color="auto"/>
        <w:right w:val="none" w:sz="0" w:space="0" w:color="auto"/>
      </w:divBdr>
    </w:div>
    <w:div w:id="797263090">
      <w:bodyDiv w:val="1"/>
      <w:marLeft w:val="0"/>
      <w:marRight w:val="0"/>
      <w:marTop w:val="0"/>
      <w:marBottom w:val="0"/>
      <w:divBdr>
        <w:top w:val="none" w:sz="0" w:space="0" w:color="auto"/>
        <w:left w:val="none" w:sz="0" w:space="0" w:color="auto"/>
        <w:bottom w:val="none" w:sz="0" w:space="0" w:color="auto"/>
        <w:right w:val="none" w:sz="0" w:space="0" w:color="auto"/>
      </w:divBdr>
    </w:div>
    <w:div w:id="817454775">
      <w:bodyDiv w:val="1"/>
      <w:marLeft w:val="0"/>
      <w:marRight w:val="0"/>
      <w:marTop w:val="0"/>
      <w:marBottom w:val="0"/>
      <w:divBdr>
        <w:top w:val="none" w:sz="0" w:space="0" w:color="auto"/>
        <w:left w:val="none" w:sz="0" w:space="0" w:color="auto"/>
        <w:bottom w:val="none" w:sz="0" w:space="0" w:color="auto"/>
        <w:right w:val="none" w:sz="0" w:space="0" w:color="auto"/>
      </w:divBdr>
    </w:div>
    <w:div w:id="824931257">
      <w:bodyDiv w:val="1"/>
      <w:marLeft w:val="0"/>
      <w:marRight w:val="0"/>
      <w:marTop w:val="0"/>
      <w:marBottom w:val="0"/>
      <w:divBdr>
        <w:top w:val="none" w:sz="0" w:space="0" w:color="auto"/>
        <w:left w:val="none" w:sz="0" w:space="0" w:color="auto"/>
        <w:bottom w:val="none" w:sz="0" w:space="0" w:color="auto"/>
        <w:right w:val="none" w:sz="0" w:space="0" w:color="auto"/>
      </w:divBdr>
    </w:div>
    <w:div w:id="825897961">
      <w:bodyDiv w:val="1"/>
      <w:marLeft w:val="0"/>
      <w:marRight w:val="0"/>
      <w:marTop w:val="0"/>
      <w:marBottom w:val="0"/>
      <w:divBdr>
        <w:top w:val="none" w:sz="0" w:space="0" w:color="auto"/>
        <w:left w:val="none" w:sz="0" w:space="0" w:color="auto"/>
        <w:bottom w:val="none" w:sz="0" w:space="0" w:color="auto"/>
        <w:right w:val="none" w:sz="0" w:space="0" w:color="auto"/>
      </w:divBdr>
    </w:div>
    <w:div w:id="832062305">
      <w:bodyDiv w:val="1"/>
      <w:marLeft w:val="0"/>
      <w:marRight w:val="0"/>
      <w:marTop w:val="0"/>
      <w:marBottom w:val="0"/>
      <w:divBdr>
        <w:top w:val="none" w:sz="0" w:space="0" w:color="auto"/>
        <w:left w:val="none" w:sz="0" w:space="0" w:color="auto"/>
        <w:bottom w:val="none" w:sz="0" w:space="0" w:color="auto"/>
        <w:right w:val="none" w:sz="0" w:space="0" w:color="auto"/>
      </w:divBdr>
    </w:div>
    <w:div w:id="842282639">
      <w:bodyDiv w:val="1"/>
      <w:marLeft w:val="0"/>
      <w:marRight w:val="0"/>
      <w:marTop w:val="0"/>
      <w:marBottom w:val="0"/>
      <w:divBdr>
        <w:top w:val="none" w:sz="0" w:space="0" w:color="auto"/>
        <w:left w:val="none" w:sz="0" w:space="0" w:color="auto"/>
        <w:bottom w:val="none" w:sz="0" w:space="0" w:color="auto"/>
        <w:right w:val="none" w:sz="0" w:space="0" w:color="auto"/>
      </w:divBdr>
    </w:div>
    <w:div w:id="846558268">
      <w:bodyDiv w:val="1"/>
      <w:marLeft w:val="0"/>
      <w:marRight w:val="0"/>
      <w:marTop w:val="0"/>
      <w:marBottom w:val="0"/>
      <w:divBdr>
        <w:top w:val="none" w:sz="0" w:space="0" w:color="auto"/>
        <w:left w:val="none" w:sz="0" w:space="0" w:color="auto"/>
        <w:bottom w:val="none" w:sz="0" w:space="0" w:color="auto"/>
        <w:right w:val="none" w:sz="0" w:space="0" w:color="auto"/>
      </w:divBdr>
    </w:div>
    <w:div w:id="857742977">
      <w:bodyDiv w:val="1"/>
      <w:marLeft w:val="0"/>
      <w:marRight w:val="0"/>
      <w:marTop w:val="0"/>
      <w:marBottom w:val="0"/>
      <w:divBdr>
        <w:top w:val="none" w:sz="0" w:space="0" w:color="auto"/>
        <w:left w:val="none" w:sz="0" w:space="0" w:color="auto"/>
        <w:bottom w:val="none" w:sz="0" w:space="0" w:color="auto"/>
        <w:right w:val="none" w:sz="0" w:space="0" w:color="auto"/>
      </w:divBdr>
    </w:div>
    <w:div w:id="869144096">
      <w:bodyDiv w:val="1"/>
      <w:marLeft w:val="0"/>
      <w:marRight w:val="0"/>
      <w:marTop w:val="0"/>
      <w:marBottom w:val="0"/>
      <w:divBdr>
        <w:top w:val="none" w:sz="0" w:space="0" w:color="auto"/>
        <w:left w:val="none" w:sz="0" w:space="0" w:color="auto"/>
        <w:bottom w:val="none" w:sz="0" w:space="0" w:color="auto"/>
        <w:right w:val="none" w:sz="0" w:space="0" w:color="auto"/>
      </w:divBdr>
    </w:div>
    <w:div w:id="875393255">
      <w:bodyDiv w:val="1"/>
      <w:marLeft w:val="0"/>
      <w:marRight w:val="0"/>
      <w:marTop w:val="0"/>
      <w:marBottom w:val="0"/>
      <w:divBdr>
        <w:top w:val="none" w:sz="0" w:space="0" w:color="auto"/>
        <w:left w:val="none" w:sz="0" w:space="0" w:color="auto"/>
        <w:bottom w:val="none" w:sz="0" w:space="0" w:color="auto"/>
        <w:right w:val="none" w:sz="0" w:space="0" w:color="auto"/>
      </w:divBdr>
    </w:div>
    <w:div w:id="882715401">
      <w:bodyDiv w:val="1"/>
      <w:marLeft w:val="0"/>
      <w:marRight w:val="0"/>
      <w:marTop w:val="0"/>
      <w:marBottom w:val="0"/>
      <w:divBdr>
        <w:top w:val="none" w:sz="0" w:space="0" w:color="auto"/>
        <w:left w:val="none" w:sz="0" w:space="0" w:color="auto"/>
        <w:bottom w:val="none" w:sz="0" w:space="0" w:color="auto"/>
        <w:right w:val="none" w:sz="0" w:space="0" w:color="auto"/>
      </w:divBdr>
    </w:div>
    <w:div w:id="900289357">
      <w:bodyDiv w:val="1"/>
      <w:marLeft w:val="0"/>
      <w:marRight w:val="0"/>
      <w:marTop w:val="0"/>
      <w:marBottom w:val="0"/>
      <w:divBdr>
        <w:top w:val="none" w:sz="0" w:space="0" w:color="auto"/>
        <w:left w:val="none" w:sz="0" w:space="0" w:color="auto"/>
        <w:bottom w:val="none" w:sz="0" w:space="0" w:color="auto"/>
        <w:right w:val="none" w:sz="0" w:space="0" w:color="auto"/>
      </w:divBdr>
    </w:div>
    <w:div w:id="902983203">
      <w:bodyDiv w:val="1"/>
      <w:marLeft w:val="0"/>
      <w:marRight w:val="0"/>
      <w:marTop w:val="0"/>
      <w:marBottom w:val="0"/>
      <w:divBdr>
        <w:top w:val="none" w:sz="0" w:space="0" w:color="auto"/>
        <w:left w:val="none" w:sz="0" w:space="0" w:color="auto"/>
        <w:bottom w:val="none" w:sz="0" w:space="0" w:color="auto"/>
        <w:right w:val="none" w:sz="0" w:space="0" w:color="auto"/>
      </w:divBdr>
    </w:div>
    <w:div w:id="907957549">
      <w:bodyDiv w:val="1"/>
      <w:marLeft w:val="0"/>
      <w:marRight w:val="0"/>
      <w:marTop w:val="0"/>
      <w:marBottom w:val="0"/>
      <w:divBdr>
        <w:top w:val="none" w:sz="0" w:space="0" w:color="auto"/>
        <w:left w:val="none" w:sz="0" w:space="0" w:color="auto"/>
        <w:bottom w:val="none" w:sz="0" w:space="0" w:color="auto"/>
        <w:right w:val="none" w:sz="0" w:space="0" w:color="auto"/>
      </w:divBdr>
    </w:div>
    <w:div w:id="909658072">
      <w:bodyDiv w:val="1"/>
      <w:marLeft w:val="0"/>
      <w:marRight w:val="0"/>
      <w:marTop w:val="0"/>
      <w:marBottom w:val="0"/>
      <w:divBdr>
        <w:top w:val="none" w:sz="0" w:space="0" w:color="auto"/>
        <w:left w:val="none" w:sz="0" w:space="0" w:color="auto"/>
        <w:bottom w:val="none" w:sz="0" w:space="0" w:color="auto"/>
        <w:right w:val="none" w:sz="0" w:space="0" w:color="auto"/>
      </w:divBdr>
    </w:div>
    <w:div w:id="913321436">
      <w:bodyDiv w:val="1"/>
      <w:marLeft w:val="0"/>
      <w:marRight w:val="0"/>
      <w:marTop w:val="0"/>
      <w:marBottom w:val="0"/>
      <w:divBdr>
        <w:top w:val="none" w:sz="0" w:space="0" w:color="auto"/>
        <w:left w:val="none" w:sz="0" w:space="0" w:color="auto"/>
        <w:bottom w:val="none" w:sz="0" w:space="0" w:color="auto"/>
        <w:right w:val="none" w:sz="0" w:space="0" w:color="auto"/>
      </w:divBdr>
    </w:div>
    <w:div w:id="915363470">
      <w:bodyDiv w:val="1"/>
      <w:marLeft w:val="0"/>
      <w:marRight w:val="0"/>
      <w:marTop w:val="0"/>
      <w:marBottom w:val="0"/>
      <w:divBdr>
        <w:top w:val="none" w:sz="0" w:space="0" w:color="auto"/>
        <w:left w:val="none" w:sz="0" w:space="0" w:color="auto"/>
        <w:bottom w:val="none" w:sz="0" w:space="0" w:color="auto"/>
        <w:right w:val="none" w:sz="0" w:space="0" w:color="auto"/>
      </w:divBdr>
    </w:div>
    <w:div w:id="916672550">
      <w:bodyDiv w:val="1"/>
      <w:marLeft w:val="0"/>
      <w:marRight w:val="0"/>
      <w:marTop w:val="0"/>
      <w:marBottom w:val="0"/>
      <w:divBdr>
        <w:top w:val="none" w:sz="0" w:space="0" w:color="auto"/>
        <w:left w:val="none" w:sz="0" w:space="0" w:color="auto"/>
        <w:bottom w:val="none" w:sz="0" w:space="0" w:color="auto"/>
        <w:right w:val="none" w:sz="0" w:space="0" w:color="auto"/>
      </w:divBdr>
    </w:div>
    <w:div w:id="930889419">
      <w:bodyDiv w:val="1"/>
      <w:marLeft w:val="0"/>
      <w:marRight w:val="0"/>
      <w:marTop w:val="0"/>
      <w:marBottom w:val="0"/>
      <w:divBdr>
        <w:top w:val="none" w:sz="0" w:space="0" w:color="auto"/>
        <w:left w:val="none" w:sz="0" w:space="0" w:color="auto"/>
        <w:bottom w:val="none" w:sz="0" w:space="0" w:color="auto"/>
        <w:right w:val="none" w:sz="0" w:space="0" w:color="auto"/>
      </w:divBdr>
    </w:div>
    <w:div w:id="940575136">
      <w:bodyDiv w:val="1"/>
      <w:marLeft w:val="0"/>
      <w:marRight w:val="0"/>
      <w:marTop w:val="0"/>
      <w:marBottom w:val="0"/>
      <w:divBdr>
        <w:top w:val="none" w:sz="0" w:space="0" w:color="auto"/>
        <w:left w:val="none" w:sz="0" w:space="0" w:color="auto"/>
        <w:bottom w:val="none" w:sz="0" w:space="0" w:color="auto"/>
        <w:right w:val="none" w:sz="0" w:space="0" w:color="auto"/>
      </w:divBdr>
    </w:div>
    <w:div w:id="943805454">
      <w:bodyDiv w:val="1"/>
      <w:marLeft w:val="0"/>
      <w:marRight w:val="0"/>
      <w:marTop w:val="0"/>
      <w:marBottom w:val="0"/>
      <w:divBdr>
        <w:top w:val="none" w:sz="0" w:space="0" w:color="auto"/>
        <w:left w:val="none" w:sz="0" w:space="0" w:color="auto"/>
        <w:bottom w:val="none" w:sz="0" w:space="0" w:color="auto"/>
        <w:right w:val="none" w:sz="0" w:space="0" w:color="auto"/>
      </w:divBdr>
    </w:div>
    <w:div w:id="965816890">
      <w:bodyDiv w:val="1"/>
      <w:marLeft w:val="0"/>
      <w:marRight w:val="0"/>
      <w:marTop w:val="0"/>
      <w:marBottom w:val="0"/>
      <w:divBdr>
        <w:top w:val="none" w:sz="0" w:space="0" w:color="auto"/>
        <w:left w:val="none" w:sz="0" w:space="0" w:color="auto"/>
        <w:bottom w:val="none" w:sz="0" w:space="0" w:color="auto"/>
        <w:right w:val="none" w:sz="0" w:space="0" w:color="auto"/>
      </w:divBdr>
    </w:div>
    <w:div w:id="969365412">
      <w:bodyDiv w:val="1"/>
      <w:marLeft w:val="0"/>
      <w:marRight w:val="0"/>
      <w:marTop w:val="0"/>
      <w:marBottom w:val="0"/>
      <w:divBdr>
        <w:top w:val="none" w:sz="0" w:space="0" w:color="auto"/>
        <w:left w:val="none" w:sz="0" w:space="0" w:color="auto"/>
        <w:bottom w:val="none" w:sz="0" w:space="0" w:color="auto"/>
        <w:right w:val="none" w:sz="0" w:space="0" w:color="auto"/>
      </w:divBdr>
    </w:div>
    <w:div w:id="1011831724">
      <w:bodyDiv w:val="1"/>
      <w:marLeft w:val="0"/>
      <w:marRight w:val="0"/>
      <w:marTop w:val="0"/>
      <w:marBottom w:val="0"/>
      <w:divBdr>
        <w:top w:val="none" w:sz="0" w:space="0" w:color="auto"/>
        <w:left w:val="none" w:sz="0" w:space="0" w:color="auto"/>
        <w:bottom w:val="none" w:sz="0" w:space="0" w:color="auto"/>
        <w:right w:val="none" w:sz="0" w:space="0" w:color="auto"/>
      </w:divBdr>
    </w:div>
    <w:div w:id="1025668225">
      <w:bodyDiv w:val="1"/>
      <w:marLeft w:val="0"/>
      <w:marRight w:val="0"/>
      <w:marTop w:val="0"/>
      <w:marBottom w:val="0"/>
      <w:divBdr>
        <w:top w:val="none" w:sz="0" w:space="0" w:color="auto"/>
        <w:left w:val="none" w:sz="0" w:space="0" w:color="auto"/>
        <w:bottom w:val="none" w:sz="0" w:space="0" w:color="auto"/>
        <w:right w:val="none" w:sz="0" w:space="0" w:color="auto"/>
      </w:divBdr>
    </w:div>
    <w:div w:id="1027095483">
      <w:bodyDiv w:val="1"/>
      <w:marLeft w:val="0"/>
      <w:marRight w:val="0"/>
      <w:marTop w:val="0"/>
      <w:marBottom w:val="0"/>
      <w:divBdr>
        <w:top w:val="none" w:sz="0" w:space="0" w:color="auto"/>
        <w:left w:val="none" w:sz="0" w:space="0" w:color="auto"/>
        <w:bottom w:val="none" w:sz="0" w:space="0" w:color="auto"/>
        <w:right w:val="none" w:sz="0" w:space="0" w:color="auto"/>
      </w:divBdr>
    </w:div>
    <w:div w:id="1048071850">
      <w:bodyDiv w:val="1"/>
      <w:marLeft w:val="0"/>
      <w:marRight w:val="0"/>
      <w:marTop w:val="0"/>
      <w:marBottom w:val="0"/>
      <w:divBdr>
        <w:top w:val="none" w:sz="0" w:space="0" w:color="auto"/>
        <w:left w:val="none" w:sz="0" w:space="0" w:color="auto"/>
        <w:bottom w:val="none" w:sz="0" w:space="0" w:color="auto"/>
        <w:right w:val="none" w:sz="0" w:space="0" w:color="auto"/>
      </w:divBdr>
    </w:div>
    <w:div w:id="1058553325">
      <w:bodyDiv w:val="1"/>
      <w:marLeft w:val="0"/>
      <w:marRight w:val="0"/>
      <w:marTop w:val="0"/>
      <w:marBottom w:val="0"/>
      <w:divBdr>
        <w:top w:val="none" w:sz="0" w:space="0" w:color="auto"/>
        <w:left w:val="none" w:sz="0" w:space="0" w:color="auto"/>
        <w:bottom w:val="none" w:sz="0" w:space="0" w:color="auto"/>
        <w:right w:val="none" w:sz="0" w:space="0" w:color="auto"/>
      </w:divBdr>
    </w:div>
    <w:div w:id="1059863380">
      <w:bodyDiv w:val="1"/>
      <w:marLeft w:val="0"/>
      <w:marRight w:val="0"/>
      <w:marTop w:val="0"/>
      <w:marBottom w:val="0"/>
      <w:divBdr>
        <w:top w:val="none" w:sz="0" w:space="0" w:color="auto"/>
        <w:left w:val="none" w:sz="0" w:space="0" w:color="auto"/>
        <w:bottom w:val="none" w:sz="0" w:space="0" w:color="auto"/>
        <w:right w:val="none" w:sz="0" w:space="0" w:color="auto"/>
      </w:divBdr>
    </w:div>
    <w:div w:id="1073353353">
      <w:bodyDiv w:val="1"/>
      <w:marLeft w:val="0"/>
      <w:marRight w:val="0"/>
      <w:marTop w:val="0"/>
      <w:marBottom w:val="0"/>
      <w:divBdr>
        <w:top w:val="none" w:sz="0" w:space="0" w:color="auto"/>
        <w:left w:val="none" w:sz="0" w:space="0" w:color="auto"/>
        <w:bottom w:val="none" w:sz="0" w:space="0" w:color="auto"/>
        <w:right w:val="none" w:sz="0" w:space="0" w:color="auto"/>
      </w:divBdr>
    </w:div>
    <w:div w:id="1079132035">
      <w:bodyDiv w:val="1"/>
      <w:marLeft w:val="0"/>
      <w:marRight w:val="0"/>
      <w:marTop w:val="0"/>
      <w:marBottom w:val="0"/>
      <w:divBdr>
        <w:top w:val="none" w:sz="0" w:space="0" w:color="auto"/>
        <w:left w:val="none" w:sz="0" w:space="0" w:color="auto"/>
        <w:bottom w:val="none" w:sz="0" w:space="0" w:color="auto"/>
        <w:right w:val="none" w:sz="0" w:space="0" w:color="auto"/>
      </w:divBdr>
    </w:div>
    <w:div w:id="1081413635">
      <w:bodyDiv w:val="1"/>
      <w:marLeft w:val="0"/>
      <w:marRight w:val="0"/>
      <w:marTop w:val="0"/>
      <w:marBottom w:val="0"/>
      <w:divBdr>
        <w:top w:val="none" w:sz="0" w:space="0" w:color="auto"/>
        <w:left w:val="none" w:sz="0" w:space="0" w:color="auto"/>
        <w:bottom w:val="none" w:sz="0" w:space="0" w:color="auto"/>
        <w:right w:val="none" w:sz="0" w:space="0" w:color="auto"/>
      </w:divBdr>
    </w:div>
    <w:div w:id="1082138750">
      <w:bodyDiv w:val="1"/>
      <w:marLeft w:val="0"/>
      <w:marRight w:val="0"/>
      <w:marTop w:val="0"/>
      <w:marBottom w:val="0"/>
      <w:divBdr>
        <w:top w:val="none" w:sz="0" w:space="0" w:color="auto"/>
        <w:left w:val="none" w:sz="0" w:space="0" w:color="auto"/>
        <w:bottom w:val="none" w:sz="0" w:space="0" w:color="auto"/>
        <w:right w:val="none" w:sz="0" w:space="0" w:color="auto"/>
      </w:divBdr>
    </w:div>
    <w:div w:id="1084649878">
      <w:bodyDiv w:val="1"/>
      <w:marLeft w:val="0"/>
      <w:marRight w:val="0"/>
      <w:marTop w:val="0"/>
      <w:marBottom w:val="0"/>
      <w:divBdr>
        <w:top w:val="none" w:sz="0" w:space="0" w:color="auto"/>
        <w:left w:val="none" w:sz="0" w:space="0" w:color="auto"/>
        <w:bottom w:val="none" w:sz="0" w:space="0" w:color="auto"/>
        <w:right w:val="none" w:sz="0" w:space="0" w:color="auto"/>
      </w:divBdr>
    </w:div>
    <w:div w:id="1093478006">
      <w:bodyDiv w:val="1"/>
      <w:marLeft w:val="0"/>
      <w:marRight w:val="0"/>
      <w:marTop w:val="0"/>
      <w:marBottom w:val="0"/>
      <w:divBdr>
        <w:top w:val="none" w:sz="0" w:space="0" w:color="auto"/>
        <w:left w:val="none" w:sz="0" w:space="0" w:color="auto"/>
        <w:bottom w:val="none" w:sz="0" w:space="0" w:color="auto"/>
        <w:right w:val="none" w:sz="0" w:space="0" w:color="auto"/>
      </w:divBdr>
    </w:div>
    <w:div w:id="1102066900">
      <w:bodyDiv w:val="1"/>
      <w:marLeft w:val="0"/>
      <w:marRight w:val="0"/>
      <w:marTop w:val="0"/>
      <w:marBottom w:val="0"/>
      <w:divBdr>
        <w:top w:val="none" w:sz="0" w:space="0" w:color="auto"/>
        <w:left w:val="none" w:sz="0" w:space="0" w:color="auto"/>
        <w:bottom w:val="none" w:sz="0" w:space="0" w:color="auto"/>
        <w:right w:val="none" w:sz="0" w:space="0" w:color="auto"/>
      </w:divBdr>
    </w:div>
    <w:div w:id="1102921052">
      <w:bodyDiv w:val="1"/>
      <w:marLeft w:val="0"/>
      <w:marRight w:val="0"/>
      <w:marTop w:val="0"/>
      <w:marBottom w:val="0"/>
      <w:divBdr>
        <w:top w:val="none" w:sz="0" w:space="0" w:color="auto"/>
        <w:left w:val="none" w:sz="0" w:space="0" w:color="auto"/>
        <w:bottom w:val="none" w:sz="0" w:space="0" w:color="auto"/>
        <w:right w:val="none" w:sz="0" w:space="0" w:color="auto"/>
      </w:divBdr>
    </w:div>
    <w:div w:id="1123497792">
      <w:bodyDiv w:val="1"/>
      <w:marLeft w:val="0"/>
      <w:marRight w:val="0"/>
      <w:marTop w:val="0"/>
      <w:marBottom w:val="0"/>
      <w:divBdr>
        <w:top w:val="none" w:sz="0" w:space="0" w:color="auto"/>
        <w:left w:val="none" w:sz="0" w:space="0" w:color="auto"/>
        <w:bottom w:val="none" w:sz="0" w:space="0" w:color="auto"/>
        <w:right w:val="none" w:sz="0" w:space="0" w:color="auto"/>
      </w:divBdr>
    </w:div>
    <w:div w:id="1135877083">
      <w:bodyDiv w:val="1"/>
      <w:marLeft w:val="0"/>
      <w:marRight w:val="0"/>
      <w:marTop w:val="0"/>
      <w:marBottom w:val="0"/>
      <w:divBdr>
        <w:top w:val="none" w:sz="0" w:space="0" w:color="auto"/>
        <w:left w:val="none" w:sz="0" w:space="0" w:color="auto"/>
        <w:bottom w:val="none" w:sz="0" w:space="0" w:color="auto"/>
        <w:right w:val="none" w:sz="0" w:space="0" w:color="auto"/>
      </w:divBdr>
    </w:div>
    <w:div w:id="1161002770">
      <w:bodyDiv w:val="1"/>
      <w:marLeft w:val="0"/>
      <w:marRight w:val="0"/>
      <w:marTop w:val="0"/>
      <w:marBottom w:val="0"/>
      <w:divBdr>
        <w:top w:val="none" w:sz="0" w:space="0" w:color="auto"/>
        <w:left w:val="none" w:sz="0" w:space="0" w:color="auto"/>
        <w:bottom w:val="none" w:sz="0" w:space="0" w:color="auto"/>
        <w:right w:val="none" w:sz="0" w:space="0" w:color="auto"/>
      </w:divBdr>
    </w:div>
    <w:div w:id="1191603925">
      <w:bodyDiv w:val="1"/>
      <w:marLeft w:val="0"/>
      <w:marRight w:val="0"/>
      <w:marTop w:val="0"/>
      <w:marBottom w:val="0"/>
      <w:divBdr>
        <w:top w:val="none" w:sz="0" w:space="0" w:color="auto"/>
        <w:left w:val="none" w:sz="0" w:space="0" w:color="auto"/>
        <w:bottom w:val="none" w:sz="0" w:space="0" w:color="auto"/>
        <w:right w:val="none" w:sz="0" w:space="0" w:color="auto"/>
      </w:divBdr>
    </w:div>
    <w:div w:id="1203057463">
      <w:bodyDiv w:val="1"/>
      <w:marLeft w:val="0"/>
      <w:marRight w:val="0"/>
      <w:marTop w:val="0"/>
      <w:marBottom w:val="0"/>
      <w:divBdr>
        <w:top w:val="none" w:sz="0" w:space="0" w:color="auto"/>
        <w:left w:val="none" w:sz="0" w:space="0" w:color="auto"/>
        <w:bottom w:val="none" w:sz="0" w:space="0" w:color="auto"/>
        <w:right w:val="none" w:sz="0" w:space="0" w:color="auto"/>
      </w:divBdr>
    </w:div>
    <w:div w:id="1209993693">
      <w:bodyDiv w:val="1"/>
      <w:marLeft w:val="0"/>
      <w:marRight w:val="0"/>
      <w:marTop w:val="0"/>
      <w:marBottom w:val="0"/>
      <w:divBdr>
        <w:top w:val="none" w:sz="0" w:space="0" w:color="auto"/>
        <w:left w:val="none" w:sz="0" w:space="0" w:color="auto"/>
        <w:bottom w:val="none" w:sz="0" w:space="0" w:color="auto"/>
        <w:right w:val="none" w:sz="0" w:space="0" w:color="auto"/>
      </w:divBdr>
    </w:div>
    <w:div w:id="1222786006">
      <w:bodyDiv w:val="1"/>
      <w:marLeft w:val="0"/>
      <w:marRight w:val="0"/>
      <w:marTop w:val="0"/>
      <w:marBottom w:val="0"/>
      <w:divBdr>
        <w:top w:val="none" w:sz="0" w:space="0" w:color="auto"/>
        <w:left w:val="none" w:sz="0" w:space="0" w:color="auto"/>
        <w:bottom w:val="none" w:sz="0" w:space="0" w:color="auto"/>
        <w:right w:val="none" w:sz="0" w:space="0" w:color="auto"/>
      </w:divBdr>
    </w:div>
    <w:div w:id="1227104556">
      <w:bodyDiv w:val="1"/>
      <w:marLeft w:val="0"/>
      <w:marRight w:val="0"/>
      <w:marTop w:val="0"/>
      <w:marBottom w:val="0"/>
      <w:divBdr>
        <w:top w:val="none" w:sz="0" w:space="0" w:color="auto"/>
        <w:left w:val="none" w:sz="0" w:space="0" w:color="auto"/>
        <w:bottom w:val="none" w:sz="0" w:space="0" w:color="auto"/>
        <w:right w:val="none" w:sz="0" w:space="0" w:color="auto"/>
      </w:divBdr>
    </w:div>
    <w:div w:id="1269966032">
      <w:bodyDiv w:val="1"/>
      <w:marLeft w:val="0"/>
      <w:marRight w:val="0"/>
      <w:marTop w:val="0"/>
      <w:marBottom w:val="0"/>
      <w:divBdr>
        <w:top w:val="none" w:sz="0" w:space="0" w:color="auto"/>
        <w:left w:val="none" w:sz="0" w:space="0" w:color="auto"/>
        <w:bottom w:val="none" w:sz="0" w:space="0" w:color="auto"/>
        <w:right w:val="none" w:sz="0" w:space="0" w:color="auto"/>
      </w:divBdr>
    </w:div>
    <w:div w:id="1271430863">
      <w:bodyDiv w:val="1"/>
      <w:marLeft w:val="0"/>
      <w:marRight w:val="0"/>
      <w:marTop w:val="0"/>
      <w:marBottom w:val="0"/>
      <w:divBdr>
        <w:top w:val="none" w:sz="0" w:space="0" w:color="auto"/>
        <w:left w:val="none" w:sz="0" w:space="0" w:color="auto"/>
        <w:bottom w:val="none" w:sz="0" w:space="0" w:color="auto"/>
        <w:right w:val="none" w:sz="0" w:space="0" w:color="auto"/>
      </w:divBdr>
    </w:div>
    <w:div w:id="1327634047">
      <w:bodyDiv w:val="1"/>
      <w:marLeft w:val="0"/>
      <w:marRight w:val="0"/>
      <w:marTop w:val="0"/>
      <w:marBottom w:val="0"/>
      <w:divBdr>
        <w:top w:val="none" w:sz="0" w:space="0" w:color="auto"/>
        <w:left w:val="none" w:sz="0" w:space="0" w:color="auto"/>
        <w:bottom w:val="none" w:sz="0" w:space="0" w:color="auto"/>
        <w:right w:val="none" w:sz="0" w:space="0" w:color="auto"/>
      </w:divBdr>
    </w:div>
    <w:div w:id="1343052066">
      <w:bodyDiv w:val="1"/>
      <w:marLeft w:val="0"/>
      <w:marRight w:val="0"/>
      <w:marTop w:val="0"/>
      <w:marBottom w:val="0"/>
      <w:divBdr>
        <w:top w:val="none" w:sz="0" w:space="0" w:color="auto"/>
        <w:left w:val="none" w:sz="0" w:space="0" w:color="auto"/>
        <w:bottom w:val="none" w:sz="0" w:space="0" w:color="auto"/>
        <w:right w:val="none" w:sz="0" w:space="0" w:color="auto"/>
      </w:divBdr>
    </w:div>
    <w:div w:id="1359625592">
      <w:bodyDiv w:val="1"/>
      <w:marLeft w:val="0"/>
      <w:marRight w:val="0"/>
      <w:marTop w:val="0"/>
      <w:marBottom w:val="0"/>
      <w:divBdr>
        <w:top w:val="none" w:sz="0" w:space="0" w:color="auto"/>
        <w:left w:val="none" w:sz="0" w:space="0" w:color="auto"/>
        <w:bottom w:val="none" w:sz="0" w:space="0" w:color="auto"/>
        <w:right w:val="none" w:sz="0" w:space="0" w:color="auto"/>
      </w:divBdr>
    </w:div>
    <w:div w:id="1362051687">
      <w:bodyDiv w:val="1"/>
      <w:marLeft w:val="0"/>
      <w:marRight w:val="0"/>
      <w:marTop w:val="0"/>
      <w:marBottom w:val="0"/>
      <w:divBdr>
        <w:top w:val="none" w:sz="0" w:space="0" w:color="auto"/>
        <w:left w:val="none" w:sz="0" w:space="0" w:color="auto"/>
        <w:bottom w:val="none" w:sz="0" w:space="0" w:color="auto"/>
        <w:right w:val="none" w:sz="0" w:space="0" w:color="auto"/>
      </w:divBdr>
    </w:div>
    <w:div w:id="1369263024">
      <w:bodyDiv w:val="1"/>
      <w:marLeft w:val="0"/>
      <w:marRight w:val="0"/>
      <w:marTop w:val="0"/>
      <w:marBottom w:val="0"/>
      <w:divBdr>
        <w:top w:val="none" w:sz="0" w:space="0" w:color="auto"/>
        <w:left w:val="none" w:sz="0" w:space="0" w:color="auto"/>
        <w:bottom w:val="none" w:sz="0" w:space="0" w:color="auto"/>
        <w:right w:val="none" w:sz="0" w:space="0" w:color="auto"/>
      </w:divBdr>
    </w:div>
    <w:div w:id="1380864192">
      <w:bodyDiv w:val="1"/>
      <w:marLeft w:val="0"/>
      <w:marRight w:val="0"/>
      <w:marTop w:val="0"/>
      <w:marBottom w:val="0"/>
      <w:divBdr>
        <w:top w:val="none" w:sz="0" w:space="0" w:color="auto"/>
        <w:left w:val="none" w:sz="0" w:space="0" w:color="auto"/>
        <w:bottom w:val="none" w:sz="0" w:space="0" w:color="auto"/>
        <w:right w:val="none" w:sz="0" w:space="0" w:color="auto"/>
      </w:divBdr>
    </w:div>
    <w:div w:id="1388991030">
      <w:bodyDiv w:val="1"/>
      <w:marLeft w:val="0"/>
      <w:marRight w:val="0"/>
      <w:marTop w:val="0"/>
      <w:marBottom w:val="0"/>
      <w:divBdr>
        <w:top w:val="none" w:sz="0" w:space="0" w:color="auto"/>
        <w:left w:val="none" w:sz="0" w:space="0" w:color="auto"/>
        <w:bottom w:val="none" w:sz="0" w:space="0" w:color="auto"/>
        <w:right w:val="none" w:sz="0" w:space="0" w:color="auto"/>
      </w:divBdr>
    </w:div>
    <w:div w:id="1396052079">
      <w:bodyDiv w:val="1"/>
      <w:marLeft w:val="0"/>
      <w:marRight w:val="0"/>
      <w:marTop w:val="0"/>
      <w:marBottom w:val="0"/>
      <w:divBdr>
        <w:top w:val="none" w:sz="0" w:space="0" w:color="auto"/>
        <w:left w:val="none" w:sz="0" w:space="0" w:color="auto"/>
        <w:bottom w:val="none" w:sz="0" w:space="0" w:color="auto"/>
        <w:right w:val="none" w:sz="0" w:space="0" w:color="auto"/>
      </w:divBdr>
    </w:div>
    <w:div w:id="1413891550">
      <w:bodyDiv w:val="1"/>
      <w:marLeft w:val="0"/>
      <w:marRight w:val="0"/>
      <w:marTop w:val="0"/>
      <w:marBottom w:val="0"/>
      <w:divBdr>
        <w:top w:val="none" w:sz="0" w:space="0" w:color="auto"/>
        <w:left w:val="none" w:sz="0" w:space="0" w:color="auto"/>
        <w:bottom w:val="none" w:sz="0" w:space="0" w:color="auto"/>
        <w:right w:val="none" w:sz="0" w:space="0" w:color="auto"/>
      </w:divBdr>
    </w:div>
    <w:div w:id="1446195204">
      <w:bodyDiv w:val="1"/>
      <w:marLeft w:val="0"/>
      <w:marRight w:val="0"/>
      <w:marTop w:val="0"/>
      <w:marBottom w:val="0"/>
      <w:divBdr>
        <w:top w:val="none" w:sz="0" w:space="0" w:color="auto"/>
        <w:left w:val="none" w:sz="0" w:space="0" w:color="auto"/>
        <w:bottom w:val="none" w:sz="0" w:space="0" w:color="auto"/>
        <w:right w:val="none" w:sz="0" w:space="0" w:color="auto"/>
      </w:divBdr>
    </w:div>
    <w:div w:id="1476145783">
      <w:bodyDiv w:val="1"/>
      <w:marLeft w:val="0"/>
      <w:marRight w:val="0"/>
      <w:marTop w:val="0"/>
      <w:marBottom w:val="0"/>
      <w:divBdr>
        <w:top w:val="none" w:sz="0" w:space="0" w:color="auto"/>
        <w:left w:val="none" w:sz="0" w:space="0" w:color="auto"/>
        <w:bottom w:val="none" w:sz="0" w:space="0" w:color="auto"/>
        <w:right w:val="none" w:sz="0" w:space="0" w:color="auto"/>
      </w:divBdr>
    </w:div>
    <w:div w:id="1478720916">
      <w:bodyDiv w:val="1"/>
      <w:marLeft w:val="0"/>
      <w:marRight w:val="0"/>
      <w:marTop w:val="0"/>
      <w:marBottom w:val="0"/>
      <w:divBdr>
        <w:top w:val="none" w:sz="0" w:space="0" w:color="auto"/>
        <w:left w:val="none" w:sz="0" w:space="0" w:color="auto"/>
        <w:bottom w:val="none" w:sz="0" w:space="0" w:color="auto"/>
        <w:right w:val="none" w:sz="0" w:space="0" w:color="auto"/>
      </w:divBdr>
    </w:div>
    <w:div w:id="1479762329">
      <w:bodyDiv w:val="1"/>
      <w:marLeft w:val="0"/>
      <w:marRight w:val="0"/>
      <w:marTop w:val="0"/>
      <w:marBottom w:val="0"/>
      <w:divBdr>
        <w:top w:val="none" w:sz="0" w:space="0" w:color="auto"/>
        <w:left w:val="none" w:sz="0" w:space="0" w:color="auto"/>
        <w:bottom w:val="none" w:sz="0" w:space="0" w:color="auto"/>
        <w:right w:val="none" w:sz="0" w:space="0" w:color="auto"/>
      </w:divBdr>
    </w:div>
    <w:div w:id="1491096236">
      <w:bodyDiv w:val="1"/>
      <w:marLeft w:val="0"/>
      <w:marRight w:val="0"/>
      <w:marTop w:val="0"/>
      <w:marBottom w:val="0"/>
      <w:divBdr>
        <w:top w:val="none" w:sz="0" w:space="0" w:color="auto"/>
        <w:left w:val="none" w:sz="0" w:space="0" w:color="auto"/>
        <w:bottom w:val="none" w:sz="0" w:space="0" w:color="auto"/>
        <w:right w:val="none" w:sz="0" w:space="0" w:color="auto"/>
      </w:divBdr>
    </w:div>
    <w:div w:id="1492259942">
      <w:bodyDiv w:val="1"/>
      <w:marLeft w:val="0"/>
      <w:marRight w:val="0"/>
      <w:marTop w:val="0"/>
      <w:marBottom w:val="0"/>
      <w:divBdr>
        <w:top w:val="none" w:sz="0" w:space="0" w:color="auto"/>
        <w:left w:val="none" w:sz="0" w:space="0" w:color="auto"/>
        <w:bottom w:val="none" w:sz="0" w:space="0" w:color="auto"/>
        <w:right w:val="none" w:sz="0" w:space="0" w:color="auto"/>
      </w:divBdr>
    </w:div>
    <w:div w:id="1508405139">
      <w:bodyDiv w:val="1"/>
      <w:marLeft w:val="0"/>
      <w:marRight w:val="0"/>
      <w:marTop w:val="0"/>
      <w:marBottom w:val="0"/>
      <w:divBdr>
        <w:top w:val="none" w:sz="0" w:space="0" w:color="auto"/>
        <w:left w:val="none" w:sz="0" w:space="0" w:color="auto"/>
        <w:bottom w:val="none" w:sz="0" w:space="0" w:color="auto"/>
        <w:right w:val="none" w:sz="0" w:space="0" w:color="auto"/>
      </w:divBdr>
    </w:div>
    <w:div w:id="1513108655">
      <w:bodyDiv w:val="1"/>
      <w:marLeft w:val="0"/>
      <w:marRight w:val="0"/>
      <w:marTop w:val="0"/>
      <w:marBottom w:val="0"/>
      <w:divBdr>
        <w:top w:val="none" w:sz="0" w:space="0" w:color="auto"/>
        <w:left w:val="none" w:sz="0" w:space="0" w:color="auto"/>
        <w:bottom w:val="none" w:sz="0" w:space="0" w:color="auto"/>
        <w:right w:val="none" w:sz="0" w:space="0" w:color="auto"/>
      </w:divBdr>
    </w:div>
    <w:div w:id="1525364903">
      <w:bodyDiv w:val="1"/>
      <w:marLeft w:val="0"/>
      <w:marRight w:val="0"/>
      <w:marTop w:val="0"/>
      <w:marBottom w:val="0"/>
      <w:divBdr>
        <w:top w:val="none" w:sz="0" w:space="0" w:color="auto"/>
        <w:left w:val="none" w:sz="0" w:space="0" w:color="auto"/>
        <w:bottom w:val="none" w:sz="0" w:space="0" w:color="auto"/>
        <w:right w:val="none" w:sz="0" w:space="0" w:color="auto"/>
      </w:divBdr>
    </w:div>
    <w:div w:id="1528716437">
      <w:bodyDiv w:val="1"/>
      <w:marLeft w:val="0"/>
      <w:marRight w:val="0"/>
      <w:marTop w:val="0"/>
      <w:marBottom w:val="0"/>
      <w:divBdr>
        <w:top w:val="none" w:sz="0" w:space="0" w:color="auto"/>
        <w:left w:val="none" w:sz="0" w:space="0" w:color="auto"/>
        <w:bottom w:val="none" w:sz="0" w:space="0" w:color="auto"/>
        <w:right w:val="none" w:sz="0" w:space="0" w:color="auto"/>
      </w:divBdr>
    </w:div>
    <w:div w:id="1538162368">
      <w:bodyDiv w:val="1"/>
      <w:marLeft w:val="0"/>
      <w:marRight w:val="0"/>
      <w:marTop w:val="0"/>
      <w:marBottom w:val="0"/>
      <w:divBdr>
        <w:top w:val="none" w:sz="0" w:space="0" w:color="auto"/>
        <w:left w:val="none" w:sz="0" w:space="0" w:color="auto"/>
        <w:bottom w:val="none" w:sz="0" w:space="0" w:color="auto"/>
        <w:right w:val="none" w:sz="0" w:space="0" w:color="auto"/>
      </w:divBdr>
    </w:div>
    <w:div w:id="1538271599">
      <w:bodyDiv w:val="1"/>
      <w:marLeft w:val="0"/>
      <w:marRight w:val="0"/>
      <w:marTop w:val="0"/>
      <w:marBottom w:val="0"/>
      <w:divBdr>
        <w:top w:val="none" w:sz="0" w:space="0" w:color="auto"/>
        <w:left w:val="none" w:sz="0" w:space="0" w:color="auto"/>
        <w:bottom w:val="none" w:sz="0" w:space="0" w:color="auto"/>
        <w:right w:val="none" w:sz="0" w:space="0" w:color="auto"/>
      </w:divBdr>
    </w:div>
    <w:div w:id="1538394164">
      <w:bodyDiv w:val="1"/>
      <w:marLeft w:val="0"/>
      <w:marRight w:val="0"/>
      <w:marTop w:val="0"/>
      <w:marBottom w:val="0"/>
      <w:divBdr>
        <w:top w:val="none" w:sz="0" w:space="0" w:color="auto"/>
        <w:left w:val="none" w:sz="0" w:space="0" w:color="auto"/>
        <w:bottom w:val="none" w:sz="0" w:space="0" w:color="auto"/>
        <w:right w:val="none" w:sz="0" w:space="0" w:color="auto"/>
      </w:divBdr>
    </w:div>
    <w:div w:id="1539007740">
      <w:bodyDiv w:val="1"/>
      <w:marLeft w:val="0"/>
      <w:marRight w:val="0"/>
      <w:marTop w:val="0"/>
      <w:marBottom w:val="0"/>
      <w:divBdr>
        <w:top w:val="none" w:sz="0" w:space="0" w:color="auto"/>
        <w:left w:val="none" w:sz="0" w:space="0" w:color="auto"/>
        <w:bottom w:val="none" w:sz="0" w:space="0" w:color="auto"/>
        <w:right w:val="none" w:sz="0" w:space="0" w:color="auto"/>
      </w:divBdr>
    </w:div>
    <w:div w:id="1551961695">
      <w:bodyDiv w:val="1"/>
      <w:marLeft w:val="0"/>
      <w:marRight w:val="0"/>
      <w:marTop w:val="0"/>
      <w:marBottom w:val="0"/>
      <w:divBdr>
        <w:top w:val="none" w:sz="0" w:space="0" w:color="auto"/>
        <w:left w:val="none" w:sz="0" w:space="0" w:color="auto"/>
        <w:bottom w:val="none" w:sz="0" w:space="0" w:color="auto"/>
        <w:right w:val="none" w:sz="0" w:space="0" w:color="auto"/>
      </w:divBdr>
    </w:div>
    <w:div w:id="1556355075">
      <w:bodyDiv w:val="1"/>
      <w:marLeft w:val="0"/>
      <w:marRight w:val="0"/>
      <w:marTop w:val="0"/>
      <w:marBottom w:val="0"/>
      <w:divBdr>
        <w:top w:val="none" w:sz="0" w:space="0" w:color="auto"/>
        <w:left w:val="none" w:sz="0" w:space="0" w:color="auto"/>
        <w:bottom w:val="none" w:sz="0" w:space="0" w:color="auto"/>
        <w:right w:val="none" w:sz="0" w:space="0" w:color="auto"/>
      </w:divBdr>
    </w:div>
    <w:div w:id="1557468151">
      <w:bodyDiv w:val="1"/>
      <w:marLeft w:val="0"/>
      <w:marRight w:val="0"/>
      <w:marTop w:val="0"/>
      <w:marBottom w:val="0"/>
      <w:divBdr>
        <w:top w:val="none" w:sz="0" w:space="0" w:color="auto"/>
        <w:left w:val="none" w:sz="0" w:space="0" w:color="auto"/>
        <w:bottom w:val="none" w:sz="0" w:space="0" w:color="auto"/>
        <w:right w:val="none" w:sz="0" w:space="0" w:color="auto"/>
      </w:divBdr>
    </w:div>
    <w:div w:id="1559707748">
      <w:bodyDiv w:val="1"/>
      <w:marLeft w:val="0"/>
      <w:marRight w:val="0"/>
      <w:marTop w:val="0"/>
      <w:marBottom w:val="0"/>
      <w:divBdr>
        <w:top w:val="none" w:sz="0" w:space="0" w:color="auto"/>
        <w:left w:val="none" w:sz="0" w:space="0" w:color="auto"/>
        <w:bottom w:val="none" w:sz="0" w:space="0" w:color="auto"/>
        <w:right w:val="none" w:sz="0" w:space="0" w:color="auto"/>
      </w:divBdr>
    </w:div>
    <w:div w:id="1572933590">
      <w:bodyDiv w:val="1"/>
      <w:marLeft w:val="0"/>
      <w:marRight w:val="0"/>
      <w:marTop w:val="0"/>
      <w:marBottom w:val="0"/>
      <w:divBdr>
        <w:top w:val="none" w:sz="0" w:space="0" w:color="auto"/>
        <w:left w:val="none" w:sz="0" w:space="0" w:color="auto"/>
        <w:bottom w:val="none" w:sz="0" w:space="0" w:color="auto"/>
        <w:right w:val="none" w:sz="0" w:space="0" w:color="auto"/>
      </w:divBdr>
    </w:div>
    <w:div w:id="1577209025">
      <w:bodyDiv w:val="1"/>
      <w:marLeft w:val="0"/>
      <w:marRight w:val="0"/>
      <w:marTop w:val="0"/>
      <w:marBottom w:val="0"/>
      <w:divBdr>
        <w:top w:val="none" w:sz="0" w:space="0" w:color="auto"/>
        <w:left w:val="none" w:sz="0" w:space="0" w:color="auto"/>
        <w:bottom w:val="none" w:sz="0" w:space="0" w:color="auto"/>
        <w:right w:val="none" w:sz="0" w:space="0" w:color="auto"/>
      </w:divBdr>
    </w:div>
    <w:div w:id="1585382465">
      <w:bodyDiv w:val="1"/>
      <w:marLeft w:val="0"/>
      <w:marRight w:val="0"/>
      <w:marTop w:val="0"/>
      <w:marBottom w:val="0"/>
      <w:divBdr>
        <w:top w:val="none" w:sz="0" w:space="0" w:color="auto"/>
        <w:left w:val="none" w:sz="0" w:space="0" w:color="auto"/>
        <w:bottom w:val="none" w:sz="0" w:space="0" w:color="auto"/>
        <w:right w:val="none" w:sz="0" w:space="0" w:color="auto"/>
      </w:divBdr>
    </w:div>
    <w:div w:id="1642425458">
      <w:bodyDiv w:val="1"/>
      <w:marLeft w:val="0"/>
      <w:marRight w:val="0"/>
      <w:marTop w:val="0"/>
      <w:marBottom w:val="0"/>
      <w:divBdr>
        <w:top w:val="none" w:sz="0" w:space="0" w:color="auto"/>
        <w:left w:val="none" w:sz="0" w:space="0" w:color="auto"/>
        <w:bottom w:val="none" w:sz="0" w:space="0" w:color="auto"/>
        <w:right w:val="none" w:sz="0" w:space="0" w:color="auto"/>
      </w:divBdr>
    </w:div>
    <w:div w:id="1642468147">
      <w:bodyDiv w:val="1"/>
      <w:marLeft w:val="0"/>
      <w:marRight w:val="0"/>
      <w:marTop w:val="0"/>
      <w:marBottom w:val="0"/>
      <w:divBdr>
        <w:top w:val="none" w:sz="0" w:space="0" w:color="auto"/>
        <w:left w:val="none" w:sz="0" w:space="0" w:color="auto"/>
        <w:bottom w:val="none" w:sz="0" w:space="0" w:color="auto"/>
        <w:right w:val="none" w:sz="0" w:space="0" w:color="auto"/>
      </w:divBdr>
    </w:div>
    <w:div w:id="1663463042">
      <w:bodyDiv w:val="1"/>
      <w:marLeft w:val="0"/>
      <w:marRight w:val="0"/>
      <w:marTop w:val="0"/>
      <w:marBottom w:val="0"/>
      <w:divBdr>
        <w:top w:val="none" w:sz="0" w:space="0" w:color="auto"/>
        <w:left w:val="none" w:sz="0" w:space="0" w:color="auto"/>
        <w:bottom w:val="none" w:sz="0" w:space="0" w:color="auto"/>
        <w:right w:val="none" w:sz="0" w:space="0" w:color="auto"/>
      </w:divBdr>
    </w:div>
    <w:div w:id="1680889446">
      <w:bodyDiv w:val="1"/>
      <w:marLeft w:val="0"/>
      <w:marRight w:val="0"/>
      <w:marTop w:val="0"/>
      <w:marBottom w:val="0"/>
      <w:divBdr>
        <w:top w:val="none" w:sz="0" w:space="0" w:color="auto"/>
        <w:left w:val="none" w:sz="0" w:space="0" w:color="auto"/>
        <w:bottom w:val="none" w:sz="0" w:space="0" w:color="auto"/>
        <w:right w:val="none" w:sz="0" w:space="0" w:color="auto"/>
      </w:divBdr>
    </w:div>
    <w:div w:id="1699038239">
      <w:bodyDiv w:val="1"/>
      <w:marLeft w:val="0"/>
      <w:marRight w:val="0"/>
      <w:marTop w:val="0"/>
      <w:marBottom w:val="0"/>
      <w:divBdr>
        <w:top w:val="none" w:sz="0" w:space="0" w:color="auto"/>
        <w:left w:val="none" w:sz="0" w:space="0" w:color="auto"/>
        <w:bottom w:val="none" w:sz="0" w:space="0" w:color="auto"/>
        <w:right w:val="none" w:sz="0" w:space="0" w:color="auto"/>
      </w:divBdr>
    </w:div>
    <w:div w:id="1721588919">
      <w:bodyDiv w:val="1"/>
      <w:marLeft w:val="0"/>
      <w:marRight w:val="0"/>
      <w:marTop w:val="0"/>
      <w:marBottom w:val="0"/>
      <w:divBdr>
        <w:top w:val="none" w:sz="0" w:space="0" w:color="auto"/>
        <w:left w:val="none" w:sz="0" w:space="0" w:color="auto"/>
        <w:bottom w:val="none" w:sz="0" w:space="0" w:color="auto"/>
        <w:right w:val="none" w:sz="0" w:space="0" w:color="auto"/>
      </w:divBdr>
    </w:div>
    <w:div w:id="1721706976">
      <w:bodyDiv w:val="1"/>
      <w:marLeft w:val="0"/>
      <w:marRight w:val="0"/>
      <w:marTop w:val="0"/>
      <w:marBottom w:val="0"/>
      <w:divBdr>
        <w:top w:val="none" w:sz="0" w:space="0" w:color="auto"/>
        <w:left w:val="none" w:sz="0" w:space="0" w:color="auto"/>
        <w:bottom w:val="none" w:sz="0" w:space="0" w:color="auto"/>
        <w:right w:val="none" w:sz="0" w:space="0" w:color="auto"/>
      </w:divBdr>
    </w:div>
    <w:div w:id="1731029166">
      <w:bodyDiv w:val="1"/>
      <w:marLeft w:val="0"/>
      <w:marRight w:val="0"/>
      <w:marTop w:val="0"/>
      <w:marBottom w:val="0"/>
      <w:divBdr>
        <w:top w:val="none" w:sz="0" w:space="0" w:color="auto"/>
        <w:left w:val="none" w:sz="0" w:space="0" w:color="auto"/>
        <w:bottom w:val="none" w:sz="0" w:space="0" w:color="auto"/>
        <w:right w:val="none" w:sz="0" w:space="0" w:color="auto"/>
      </w:divBdr>
    </w:div>
    <w:div w:id="1752652852">
      <w:bodyDiv w:val="1"/>
      <w:marLeft w:val="0"/>
      <w:marRight w:val="0"/>
      <w:marTop w:val="0"/>
      <w:marBottom w:val="0"/>
      <w:divBdr>
        <w:top w:val="none" w:sz="0" w:space="0" w:color="auto"/>
        <w:left w:val="none" w:sz="0" w:space="0" w:color="auto"/>
        <w:bottom w:val="none" w:sz="0" w:space="0" w:color="auto"/>
        <w:right w:val="none" w:sz="0" w:space="0" w:color="auto"/>
      </w:divBdr>
    </w:div>
    <w:div w:id="1763255005">
      <w:bodyDiv w:val="1"/>
      <w:marLeft w:val="0"/>
      <w:marRight w:val="0"/>
      <w:marTop w:val="0"/>
      <w:marBottom w:val="0"/>
      <w:divBdr>
        <w:top w:val="none" w:sz="0" w:space="0" w:color="auto"/>
        <w:left w:val="none" w:sz="0" w:space="0" w:color="auto"/>
        <w:bottom w:val="none" w:sz="0" w:space="0" w:color="auto"/>
        <w:right w:val="none" w:sz="0" w:space="0" w:color="auto"/>
      </w:divBdr>
    </w:div>
    <w:div w:id="1764260672">
      <w:bodyDiv w:val="1"/>
      <w:marLeft w:val="0"/>
      <w:marRight w:val="0"/>
      <w:marTop w:val="0"/>
      <w:marBottom w:val="0"/>
      <w:divBdr>
        <w:top w:val="none" w:sz="0" w:space="0" w:color="auto"/>
        <w:left w:val="none" w:sz="0" w:space="0" w:color="auto"/>
        <w:bottom w:val="none" w:sz="0" w:space="0" w:color="auto"/>
        <w:right w:val="none" w:sz="0" w:space="0" w:color="auto"/>
      </w:divBdr>
    </w:div>
    <w:div w:id="1772554944">
      <w:bodyDiv w:val="1"/>
      <w:marLeft w:val="0"/>
      <w:marRight w:val="0"/>
      <w:marTop w:val="0"/>
      <w:marBottom w:val="0"/>
      <w:divBdr>
        <w:top w:val="none" w:sz="0" w:space="0" w:color="auto"/>
        <w:left w:val="none" w:sz="0" w:space="0" w:color="auto"/>
        <w:bottom w:val="none" w:sz="0" w:space="0" w:color="auto"/>
        <w:right w:val="none" w:sz="0" w:space="0" w:color="auto"/>
      </w:divBdr>
    </w:div>
    <w:div w:id="1792431634">
      <w:bodyDiv w:val="1"/>
      <w:marLeft w:val="0"/>
      <w:marRight w:val="0"/>
      <w:marTop w:val="0"/>
      <w:marBottom w:val="0"/>
      <w:divBdr>
        <w:top w:val="none" w:sz="0" w:space="0" w:color="auto"/>
        <w:left w:val="none" w:sz="0" w:space="0" w:color="auto"/>
        <w:bottom w:val="none" w:sz="0" w:space="0" w:color="auto"/>
        <w:right w:val="none" w:sz="0" w:space="0" w:color="auto"/>
      </w:divBdr>
    </w:div>
    <w:div w:id="1803452011">
      <w:bodyDiv w:val="1"/>
      <w:marLeft w:val="0"/>
      <w:marRight w:val="0"/>
      <w:marTop w:val="0"/>
      <w:marBottom w:val="0"/>
      <w:divBdr>
        <w:top w:val="none" w:sz="0" w:space="0" w:color="auto"/>
        <w:left w:val="none" w:sz="0" w:space="0" w:color="auto"/>
        <w:bottom w:val="none" w:sz="0" w:space="0" w:color="auto"/>
        <w:right w:val="none" w:sz="0" w:space="0" w:color="auto"/>
      </w:divBdr>
    </w:div>
    <w:div w:id="1804031319">
      <w:bodyDiv w:val="1"/>
      <w:marLeft w:val="0"/>
      <w:marRight w:val="0"/>
      <w:marTop w:val="0"/>
      <w:marBottom w:val="0"/>
      <w:divBdr>
        <w:top w:val="none" w:sz="0" w:space="0" w:color="auto"/>
        <w:left w:val="none" w:sz="0" w:space="0" w:color="auto"/>
        <w:bottom w:val="none" w:sz="0" w:space="0" w:color="auto"/>
        <w:right w:val="none" w:sz="0" w:space="0" w:color="auto"/>
      </w:divBdr>
    </w:div>
    <w:div w:id="1824201296">
      <w:bodyDiv w:val="1"/>
      <w:marLeft w:val="0"/>
      <w:marRight w:val="0"/>
      <w:marTop w:val="0"/>
      <w:marBottom w:val="0"/>
      <w:divBdr>
        <w:top w:val="none" w:sz="0" w:space="0" w:color="auto"/>
        <w:left w:val="none" w:sz="0" w:space="0" w:color="auto"/>
        <w:bottom w:val="none" w:sz="0" w:space="0" w:color="auto"/>
        <w:right w:val="none" w:sz="0" w:space="0" w:color="auto"/>
      </w:divBdr>
    </w:div>
    <w:div w:id="1827936256">
      <w:bodyDiv w:val="1"/>
      <w:marLeft w:val="0"/>
      <w:marRight w:val="0"/>
      <w:marTop w:val="0"/>
      <w:marBottom w:val="0"/>
      <w:divBdr>
        <w:top w:val="none" w:sz="0" w:space="0" w:color="auto"/>
        <w:left w:val="none" w:sz="0" w:space="0" w:color="auto"/>
        <w:bottom w:val="none" w:sz="0" w:space="0" w:color="auto"/>
        <w:right w:val="none" w:sz="0" w:space="0" w:color="auto"/>
      </w:divBdr>
    </w:div>
    <w:div w:id="1828981533">
      <w:bodyDiv w:val="1"/>
      <w:marLeft w:val="0"/>
      <w:marRight w:val="0"/>
      <w:marTop w:val="0"/>
      <w:marBottom w:val="0"/>
      <w:divBdr>
        <w:top w:val="none" w:sz="0" w:space="0" w:color="auto"/>
        <w:left w:val="none" w:sz="0" w:space="0" w:color="auto"/>
        <w:bottom w:val="none" w:sz="0" w:space="0" w:color="auto"/>
        <w:right w:val="none" w:sz="0" w:space="0" w:color="auto"/>
      </w:divBdr>
    </w:div>
    <w:div w:id="1830319994">
      <w:bodyDiv w:val="1"/>
      <w:marLeft w:val="0"/>
      <w:marRight w:val="0"/>
      <w:marTop w:val="0"/>
      <w:marBottom w:val="0"/>
      <w:divBdr>
        <w:top w:val="none" w:sz="0" w:space="0" w:color="auto"/>
        <w:left w:val="none" w:sz="0" w:space="0" w:color="auto"/>
        <w:bottom w:val="none" w:sz="0" w:space="0" w:color="auto"/>
        <w:right w:val="none" w:sz="0" w:space="0" w:color="auto"/>
      </w:divBdr>
    </w:div>
    <w:div w:id="1835338330">
      <w:bodyDiv w:val="1"/>
      <w:marLeft w:val="0"/>
      <w:marRight w:val="0"/>
      <w:marTop w:val="0"/>
      <w:marBottom w:val="0"/>
      <w:divBdr>
        <w:top w:val="none" w:sz="0" w:space="0" w:color="auto"/>
        <w:left w:val="none" w:sz="0" w:space="0" w:color="auto"/>
        <w:bottom w:val="none" w:sz="0" w:space="0" w:color="auto"/>
        <w:right w:val="none" w:sz="0" w:space="0" w:color="auto"/>
      </w:divBdr>
    </w:div>
    <w:div w:id="1842963286">
      <w:bodyDiv w:val="1"/>
      <w:marLeft w:val="0"/>
      <w:marRight w:val="0"/>
      <w:marTop w:val="0"/>
      <w:marBottom w:val="0"/>
      <w:divBdr>
        <w:top w:val="none" w:sz="0" w:space="0" w:color="auto"/>
        <w:left w:val="none" w:sz="0" w:space="0" w:color="auto"/>
        <w:bottom w:val="none" w:sz="0" w:space="0" w:color="auto"/>
        <w:right w:val="none" w:sz="0" w:space="0" w:color="auto"/>
      </w:divBdr>
    </w:div>
    <w:div w:id="1846482352">
      <w:bodyDiv w:val="1"/>
      <w:marLeft w:val="0"/>
      <w:marRight w:val="0"/>
      <w:marTop w:val="0"/>
      <w:marBottom w:val="0"/>
      <w:divBdr>
        <w:top w:val="none" w:sz="0" w:space="0" w:color="auto"/>
        <w:left w:val="none" w:sz="0" w:space="0" w:color="auto"/>
        <w:bottom w:val="none" w:sz="0" w:space="0" w:color="auto"/>
        <w:right w:val="none" w:sz="0" w:space="0" w:color="auto"/>
      </w:divBdr>
    </w:div>
    <w:div w:id="1860897704">
      <w:bodyDiv w:val="1"/>
      <w:marLeft w:val="0"/>
      <w:marRight w:val="0"/>
      <w:marTop w:val="0"/>
      <w:marBottom w:val="0"/>
      <w:divBdr>
        <w:top w:val="none" w:sz="0" w:space="0" w:color="auto"/>
        <w:left w:val="none" w:sz="0" w:space="0" w:color="auto"/>
        <w:bottom w:val="none" w:sz="0" w:space="0" w:color="auto"/>
        <w:right w:val="none" w:sz="0" w:space="0" w:color="auto"/>
      </w:divBdr>
    </w:div>
    <w:div w:id="1865484152">
      <w:bodyDiv w:val="1"/>
      <w:marLeft w:val="0"/>
      <w:marRight w:val="0"/>
      <w:marTop w:val="0"/>
      <w:marBottom w:val="0"/>
      <w:divBdr>
        <w:top w:val="none" w:sz="0" w:space="0" w:color="auto"/>
        <w:left w:val="none" w:sz="0" w:space="0" w:color="auto"/>
        <w:bottom w:val="none" w:sz="0" w:space="0" w:color="auto"/>
        <w:right w:val="none" w:sz="0" w:space="0" w:color="auto"/>
      </w:divBdr>
    </w:div>
    <w:div w:id="1869219003">
      <w:bodyDiv w:val="1"/>
      <w:marLeft w:val="0"/>
      <w:marRight w:val="0"/>
      <w:marTop w:val="0"/>
      <w:marBottom w:val="0"/>
      <w:divBdr>
        <w:top w:val="none" w:sz="0" w:space="0" w:color="auto"/>
        <w:left w:val="none" w:sz="0" w:space="0" w:color="auto"/>
        <w:bottom w:val="none" w:sz="0" w:space="0" w:color="auto"/>
        <w:right w:val="none" w:sz="0" w:space="0" w:color="auto"/>
      </w:divBdr>
    </w:div>
    <w:div w:id="1892107858">
      <w:bodyDiv w:val="1"/>
      <w:marLeft w:val="0"/>
      <w:marRight w:val="0"/>
      <w:marTop w:val="0"/>
      <w:marBottom w:val="0"/>
      <w:divBdr>
        <w:top w:val="none" w:sz="0" w:space="0" w:color="auto"/>
        <w:left w:val="none" w:sz="0" w:space="0" w:color="auto"/>
        <w:bottom w:val="none" w:sz="0" w:space="0" w:color="auto"/>
        <w:right w:val="none" w:sz="0" w:space="0" w:color="auto"/>
      </w:divBdr>
    </w:div>
    <w:div w:id="1920942125">
      <w:bodyDiv w:val="1"/>
      <w:marLeft w:val="0"/>
      <w:marRight w:val="0"/>
      <w:marTop w:val="0"/>
      <w:marBottom w:val="0"/>
      <w:divBdr>
        <w:top w:val="none" w:sz="0" w:space="0" w:color="auto"/>
        <w:left w:val="none" w:sz="0" w:space="0" w:color="auto"/>
        <w:bottom w:val="none" w:sz="0" w:space="0" w:color="auto"/>
        <w:right w:val="none" w:sz="0" w:space="0" w:color="auto"/>
      </w:divBdr>
    </w:div>
    <w:div w:id="1924414335">
      <w:bodyDiv w:val="1"/>
      <w:marLeft w:val="0"/>
      <w:marRight w:val="0"/>
      <w:marTop w:val="0"/>
      <w:marBottom w:val="0"/>
      <w:divBdr>
        <w:top w:val="none" w:sz="0" w:space="0" w:color="auto"/>
        <w:left w:val="none" w:sz="0" w:space="0" w:color="auto"/>
        <w:bottom w:val="none" w:sz="0" w:space="0" w:color="auto"/>
        <w:right w:val="none" w:sz="0" w:space="0" w:color="auto"/>
      </w:divBdr>
    </w:div>
    <w:div w:id="1927810551">
      <w:bodyDiv w:val="1"/>
      <w:marLeft w:val="0"/>
      <w:marRight w:val="0"/>
      <w:marTop w:val="0"/>
      <w:marBottom w:val="0"/>
      <w:divBdr>
        <w:top w:val="none" w:sz="0" w:space="0" w:color="auto"/>
        <w:left w:val="none" w:sz="0" w:space="0" w:color="auto"/>
        <w:bottom w:val="none" w:sz="0" w:space="0" w:color="auto"/>
        <w:right w:val="none" w:sz="0" w:space="0" w:color="auto"/>
      </w:divBdr>
    </w:div>
    <w:div w:id="1936671950">
      <w:bodyDiv w:val="1"/>
      <w:marLeft w:val="0"/>
      <w:marRight w:val="0"/>
      <w:marTop w:val="0"/>
      <w:marBottom w:val="0"/>
      <w:divBdr>
        <w:top w:val="none" w:sz="0" w:space="0" w:color="auto"/>
        <w:left w:val="none" w:sz="0" w:space="0" w:color="auto"/>
        <w:bottom w:val="none" w:sz="0" w:space="0" w:color="auto"/>
        <w:right w:val="none" w:sz="0" w:space="0" w:color="auto"/>
      </w:divBdr>
    </w:div>
    <w:div w:id="1944222024">
      <w:bodyDiv w:val="1"/>
      <w:marLeft w:val="0"/>
      <w:marRight w:val="0"/>
      <w:marTop w:val="0"/>
      <w:marBottom w:val="0"/>
      <w:divBdr>
        <w:top w:val="none" w:sz="0" w:space="0" w:color="auto"/>
        <w:left w:val="none" w:sz="0" w:space="0" w:color="auto"/>
        <w:bottom w:val="none" w:sz="0" w:space="0" w:color="auto"/>
        <w:right w:val="none" w:sz="0" w:space="0" w:color="auto"/>
      </w:divBdr>
    </w:div>
    <w:div w:id="1956474728">
      <w:bodyDiv w:val="1"/>
      <w:marLeft w:val="0"/>
      <w:marRight w:val="0"/>
      <w:marTop w:val="0"/>
      <w:marBottom w:val="0"/>
      <w:divBdr>
        <w:top w:val="none" w:sz="0" w:space="0" w:color="auto"/>
        <w:left w:val="none" w:sz="0" w:space="0" w:color="auto"/>
        <w:bottom w:val="none" w:sz="0" w:space="0" w:color="auto"/>
        <w:right w:val="none" w:sz="0" w:space="0" w:color="auto"/>
      </w:divBdr>
    </w:div>
    <w:div w:id="1975674411">
      <w:bodyDiv w:val="1"/>
      <w:marLeft w:val="0"/>
      <w:marRight w:val="0"/>
      <w:marTop w:val="0"/>
      <w:marBottom w:val="0"/>
      <w:divBdr>
        <w:top w:val="none" w:sz="0" w:space="0" w:color="auto"/>
        <w:left w:val="none" w:sz="0" w:space="0" w:color="auto"/>
        <w:bottom w:val="none" w:sz="0" w:space="0" w:color="auto"/>
        <w:right w:val="none" w:sz="0" w:space="0" w:color="auto"/>
      </w:divBdr>
    </w:div>
    <w:div w:id="1986087869">
      <w:bodyDiv w:val="1"/>
      <w:marLeft w:val="0"/>
      <w:marRight w:val="0"/>
      <w:marTop w:val="0"/>
      <w:marBottom w:val="0"/>
      <w:divBdr>
        <w:top w:val="none" w:sz="0" w:space="0" w:color="auto"/>
        <w:left w:val="none" w:sz="0" w:space="0" w:color="auto"/>
        <w:bottom w:val="none" w:sz="0" w:space="0" w:color="auto"/>
        <w:right w:val="none" w:sz="0" w:space="0" w:color="auto"/>
      </w:divBdr>
    </w:div>
    <w:div w:id="1999337458">
      <w:bodyDiv w:val="1"/>
      <w:marLeft w:val="0"/>
      <w:marRight w:val="0"/>
      <w:marTop w:val="0"/>
      <w:marBottom w:val="0"/>
      <w:divBdr>
        <w:top w:val="none" w:sz="0" w:space="0" w:color="auto"/>
        <w:left w:val="none" w:sz="0" w:space="0" w:color="auto"/>
        <w:bottom w:val="none" w:sz="0" w:space="0" w:color="auto"/>
        <w:right w:val="none" w:sz="0" w:space="0" w:color="auto"/>
      </w:divBdr>
    </w:div>
    <w:div w:id="2000186693">
      <w:bodyDiv w:val="1"/>
      <w:marLeft w:val="0"/>
      <w:marRight w:val="0"/>
      <w:marTop w:val="0"/>
      <w:marBottom w:val="0"/>
      <w:divBdr>
        <w:top w:val="none" w:sz="0" w:space="0" w:color="auto"/>
        <w:left w:val="none" w:sz="0" w:space="0" w:color="auto"/>
        <w:bottom w:val="none" w:sz="0" w:space="0" w:color="auto"/>
        <w:right w:val="none" w:sz="0" w:space="0" w:color="auto"/>
      </w:divBdr>
    </w:div>
    <w:div w:id="2022050588">
      <w:bodyDiv w:val="1"/>
      <w:marLeft w:val="0"/>
      <w:marRight w:val="0"/>
      <w:marTop w:val="0"/>
      <w:marBottom w:val="0"/>
      <w:divBdr>
        <w:top w:val="none" w:sz="0" w:space="0" w:color="auto"/>
        <w:left w:val="none" w:sz="0" w:space="0" w:color="auto"/>
        <w:bottom w:val="none" w:sz="0" w:space="0" w:color="auto"/>
        <w:right w:val="none" w:sz="0" w:space="0" w:color="auto"/>
      </w:divBdr>
    </w:div>
    <w:div w:id="2023315657">
      <w:bodyDiv w:val="1"/>
      <w:marLeft w:val="0"/>
      <w:marRight w:val="0"/>
      <w:marTop w:val="0"/>
      <w:marBottom w:val="0"/>
      <w:divBdr>
        <w:top w:val="none" w:sz="0" w:space="0" w:color="auto"/>
        <w:left w:val="none" w:sz="0" w:space="0" w:color="auto"/>
        <w:bottom w:val="none" w:sz="0" w:space="0" w:color="auto"/>
        <w:right w:val="none" w:sz="0" w:space="0" w:color="auto"/>
      </w:divBdr>
    </w:div>
    <w:div w:id="2034762993">
      <w:bodyDiv w:val="1"/>
      <w:marLeft w:val="0"/>
      <w:marRight w:val="0"/>
      <w:marTop w:val="0"/>
      <w:marBottom w:val="0"/>
      <w:divBdr>
        <w:top w:val="none" w:sz="0" w:space="0" w:color="auto"/>
        <w:left w:val="none" w:sz="0" w:space="0" w:color="auto"/>
        <w:bottom w:val="none" w:sz="0" w:space="0" w:color="auto"/>
        <w:right w:val="none" w:sz="0" w:space="0" w:color="auto"/>
      </w:divBdr>
    </w:div>
    <w:div w:id="2052538653">
      <w:bodyDiv w:val="1"/>
      <w:marLeft w:val="0"/>
      <w:marRight w:val="0"/>
      <w:marTop w:val="0"/>
      <w:marBottom w:val="0"/>
      <w:divBdr>
        <w:top w:val="none" w:sz="0" w:space="0" w:color="auto"/>
        <w:left w:val="none" w:sz="0" w:space="0" w:color="auto"/>
        <w:bottom w:val="none" w:sz="0" w:space="0" w:color="auto"/>
        <w:right w:val="none" w:sz="0" w:space="0" w:color="auto"/>
      </w:divBdr>
    </w:div>
    <w:div w:id="2054226817">
      <w:bodyDiv w:val="1"/>
      <w:marLeft w:val="0"/>
      <w:marRight w:val="0"/>
      <w:marTop w:val="0"/>
      <w:marBottom w:val="0"/>
      <w:divBdr>
        <w:top w:val="none" w:sz="0" w:space="0" w:color="auto"/>
        <w:left w:val="none" w:sz="0" w:space="0" w:color="auto"/>
        <w:bottom w:val="none" w:sz="0" w:space="0" w:color="auto"/>
        <w:right w:val="none" w:sz="0" w:space="0" w:color="auto"/>
      </w:divBdr>
    </w:div>
    <w:div w:id="2130853077">
      <w:bodyDiv w:val="1"/>
      <w:marLeft w:val="0"/>
      <w:marRight w:val="0"/>
      <w:marTop w:val="0"/>
      <w:marBottom w:val="0"/>
      <w:divBdr>
        <w:top w:val="none" w:sz="0" w:space="0" w:color="auto"/>
        <w:left w:val="none" w:sz="0" w:space="0" w:color="auto"/>
        <w:bottom w:val="none" w:sz="0" w:space="0" w:color="auto"/>
        <w:right w:val="none" w:sz="0" w:space="0" w:color="auto"/>
      </w:divBdr>
    </w:div>
    <w:div w:id="2137553458">
      <w:bodyDiv w:val="1"/>
      <w:marLeft w:val="0"/>
      <w:marRight w:val="0"/>
      <w:marTop w:val="0"/>
      <w:marBottom w:val="0"/>
      <w:divBdr>
        <w:top w:val="none" w:sz="0" w:space="0" w:color="auto"/>
        <w:left w:val="none" w:sz="0" w:space="0" w:color="auto"/>
        <w:bottom w:val="none" w:sz="0" w:space="0" w:color="auto"/>
        <w:right w:val="none" w:sz="0" w:space="0" w:color="auto"/>
      </w:divBdr>
    </w:div>
    <w:div w:id="2145002133">
      <w:bodyDiv w:val="1"/>
      <w:marLeft w:val="0"/>
      <w:marRight w:val="0"/>
      <w:marTop w:val="0"/>
      <w:marBottom w:val="0"/>
      <w:divBdr>
        <w:top w:val="none" w:sz="0" w:space="0" w:color="auto"/>
        <w:left w:val="none" w:sz="0" w:space="0" w:color="auto"/>
        <w:bottom w:val="none" w:sz="0" w:space="0" w:color="auto"/>
        <w:right w:val="none" w:sz="0" w:space="0" w:color="auto"/>
      </w:divBdr>
    </w:div>
    <w:div w:id="2145850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4.xml"/><Relationship Id="rId18" Type="http://schemas.openxmlformats.org/officeDocument/2006/relationships/chart" Target="charts/chart9.xml"/><Relationship Id="rId26" Type="http://schemas.openxmlformats.org/officeDocument/2006/relationships/image" Target="media/image5.png"/><Relationship Id="rId39" Type="http://schemas.openxmlformats.org/officeDocument/2006/relationships/image" Target="media/image12.png"/><Relationship Id="rId21" Type="http://schemas.openxmlformats.org/officeDocument/2006/relationships/chart" Target="charts/chart11.xml"/><Relationship Id="rId34" Type="http://schemas.openxmlformats.org/officeDocument/2006/relationships/image" Target="media/image7.png"/><Relationship Id="rId42" Type="http://schemas.openxmlformats.org/officeDocument/2006/relationships/chart" Target="charts/chart22.xml"/><Relationship Id="rId47" Type="http://schemas.openxmlformats.org/officeDocument/2006/relationships/image" Target="media/image14.png"/><Relationship Id="rId50" Type="http://schemas.openxmlformats.org/officeDocument/2006/relationships/image" Target="media/image17.png"/><Relationship Id="rId55" Type="http://schemas.openxmlformats.org/officeDocument/2006/relationships/image" Target="media/image20.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chart" Target="charts/chart7.xml"/><Relationship Id="rId20" Type="http://schemas.openxmlformats.org/officeDocument/2006/relationships/chart" Target="charts/chart10.xml"/><Relationship Id="rId29" Type="http://schemas.openxmlformats.org/officeDocument/2006/relationships/chart" Target="charts/chart15.xml"/><Relationship Id="rId41" Type="http://schemas.openxmlformats.org/officeDocument/2006/relationships/chart" Target="charts/chart21.xml"/><Relationship Id="rId54"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24" Type="http://schemas.openxmlformats.org/officeDocument/2006/relationships/image" Target="media/image3.png"/><Relationship Id="rId32" Type="http://schemas.openxmlformats.org/officeDocument/2006/relationships/chart" Target="charts/chart18.xml"/><Relationship Id="rId37" Type="http://schemas.openxmlformats.org/officeDocument/2006/relationships/image" Target="media/image10.png"/><Relationship Id="rId40" Type="http://schemas.openxmlformats.org/officeDocument/2006/relationships/chart" Target="charts/chart20.xml"/><Relationship Id="rId45" Type="http://schemas.openxmlformats.org/officeDocument/2006/relationships/chart" Target="charts/chart25.xml"/><Relationship Id="rId53" Type="http://schemas.openxmlformats.org/officeDocument/2006/relationships/chart" Target="charts/chart27.xml"/><Relationship Id="rId58" Type="http://schemas.openxmlformats.org/officeDocument/2006/relationships/image" Target="media/image23.png"/><Relationship Id="rId5" Type="http://schemas.openxmlformats.org/officeDocument/2006/relationships/settings" Target="settings.xml"/><Relationship Id="rId15" Type="http://schemas.openxmlformats.org/officeDocument/2006/relationships/chart" Target="charts/chart6.xml"/><Relationship Id="rId23" Type="http://schemas.openxmlformats.org/officeDocument/2006/relationships/chart" Target="charts/chart13.xml"/><Relationship Id="rId28" Type="http://schemas.openxmlformats.org/officeDocument/2006/relationships/chart" Target="charts/chart14.xml"/><Relationship Id="rId36" Type="http://schemas.openxmlformats.org/officeDocument/2006/relationships/image" Target="media/image9.png"/><Relationship Id="rId49" Type="http://schemas.openxmlformats.org/officeDocument/2006/relationships/image" Target="media/image16.png"/><Relationship Id="rId57" Type="http://schemas.openxmlformats.org/officeDocument/2006/relationships/image" Target="media/image22.png"/><Relationship Id="rId61"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image" Target="media/image2.emf"/><Relationship Id="rId31" Type="http://schemas.openxmlformats.org/officeDocument/2006/relationships/chart" Target="charts/chart17.xml"/><Relationship Id="rId44" Type="http://schemas.openxmlformats.org/officeDocument/2006/relationships/chart" Target="charts/chart24.xml"/><Relationship Id="rId52" Type="http://schemas.openxmlformats.org/officeDocument/2006/relationships/chart" Target="charts/chart26.xml"/><Relationship Id="rId6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chart" Target="charts/chart5.xml"/><Relationship Id="rId22" Type="http://schemas.openxmlformats.org/officeDocument/2006/relationships/chart" Target="charts/chart12.xml"/><Relationship Id="rId27" Type="http://schemas.openxmlformats.org/officeDocument/2006/relationships/image" Target="media/image6.png"/><Relationship Id="rId30" Type="http://schemas.openxmlformats.org/officeDocument/2006/relationships/chart" Target="charts/chart16.xml"/><Relationship Id="rId35" Type="http://schemas.openxmlformats.org/officeDocument/2006/relationships/image" Target="media/image8.png"/><Relationship Id="rId43" Type="http://schemas.openxmlformats.org/officeDocument/2006/relationships/chart" Target="charts/chart23.xml"/><Relationship Id="rId48" Type="http://schemas.openxmlformats.org/officeDocument/2006/relationships/image" Target="media/image15.png"/><Relationship Id="rId56" Type="http://schemas.openxmlformats.org/officeDocument/2006/relationships/image" Target="media/image21.png"/><Relationship Id="rId8" Type="http://schemas.openxmlformats.org/officeDocument/2006/relationships/endnotes" Target="endnotes.xml"/><Relationship Id="rId51" Type="http://schemas.openxmlformats.org/officeDocument/2006/relationships/image" Target="media/image18.png"/><Relationship Id="rId3" Type="http://schemas.openxmlformats.org/officeDocument/2006/relationships/numbering" Target="numbering.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image" Target="media/image4.png"/><Relationship Id="rId33" Type="http://schemas.openxmlformats.org/officeDocument/2006/relationships/chart" Target="charts/chart19.xml"/><Relationship Id="rId38" Type="http://schemas.openxmlformats.org/officeDocument/2006/relationships/image" Target="media/image11.png"/><Relationship Id="rId46" Type="http://schemas.openxmlformats.org/officeDocument/2006/relationships/image" Target="media/image13.png"/><Relationship Id="rId59" Type="http://schemas.openxmlformats.org/officeDocument/2006/relationships/footer" Target="footer1.xml"/></Relationships>
</file>

<file path=word/charts/_rels/chart1.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1" Type="http://schemas.openxmlformats.org/officeDocument/2006/relationships/oleObject" Target="file:///E:\studie\Master_Thesis\Tabellen\tables%20oaxaca%20BMI.xls" TargetMode="External"/></Relationships>
</file>

<file path=word/charts/_rels/chart12.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11.xml"/></Relationships>
</file>

<file path=word/charts/_rels/chart13.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12.xml"/></Relationships>
</file>

<file path=word/charts/_rels/chart14.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13.xml"/></Relationships>
</file>

<file path=word/charts/_rels/chart15.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14.xml"/></Relationships>
</file>

<file path=word/charts/_rels/chart16.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15.xml"/></Relationships>
</file>

<file path=word/charts/_rels/chart17.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16.xml"/></Relationships>
</file>

<file path=word/charts/_rels/chart18.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17.xml"/></Relationships>
</file>

<file path=word/charts/_rels/chart19.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18.xml"/></Relationships>
</file>

<file path=word/charts/_rels/chart20.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19.xml"/></Relationships>
</file>

<file path=word/charts/_rels/chart21.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20.xml"/></Relationships>
</file>

<file path=word/charts/_rels/chart22.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21.xml"/></Relationships>
</file>

<file path=word/charts/_rels/chart23.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22.xml"/></Relationships>
</file>

<file path=word/charts/_rels/chart24.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23.xml"/></Relationships>
</file>

<file path=word/charts/_rels/chart25.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24.xml"/></Relationships>
</file>

<file path=word/charts/_rels/chart26.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25.xml"/></Relationships>
</file>

<file path=word/charts/_rels/chart27.xml.rels><?xml version="1.0" encoding="UTF-8" standalone="yes"?>
<Relationships xmlns="http://schemas.openxmlformats.org/package/2006/relationships"><Relationship Id="rId2" Type="http://schemas.openxmlformats.org/officeDocument/2006/relationships/oleObject" Target="file:///E:\studie\Master_Thesis\Tabellen\tables%20oaxaca%20BMI.xls" TargetMode="External"/><Relationship Id="rId1" Type="http://schemas.openxmlformats.org/officeDocument/2006/relationships/themeOverride" Target="../theme/themeOverride26.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Austria</a:t>
            </a:r>
          </a:p>
        </c:rich>
      </c:tx>
      <c:layout/>
      <c:overlay val="0"/>
    </c:title>
    <c:autoTitleDeleted val="0"/>
    <c:plotArea>
      <c:layout/>
      <c:barChart>
        <c:barDir val="col"/>
        <c:grouping val="stacked"/>
        <c:varyColors val="0"/>
        <c:ser>
          <c:idx val="0"/>
          <c:order val="0"/>
          <c:tx>
            <c:strRef>
              <c:f>'with reference'!$B$5</c:f>
              <c:strCache>
                <c:ptCount val="1"/>
              </c:strCache>
            </c:strRef>
          </c:tx>
          <c:invertIfNegative val="0"/>
          <c:cat>
            <c:strRef>
              <c:f>'with reference'!$C$4:$E$4</c:f>
              <c:strCache>
                <c:ptCount val="3"/>
                <c:pt idx="0">
                  <c:v>Endowments</c:v>
                </c:pt>
                <c:pt idx="1">
                  <c:v>Coefficients</c:v>
                </c:pt>
                <c:pt idx="2">
                  <c:v>Change BMI</c:v>
                </c:pt>
              </c:strCache>
            </c:strRef>
          </c:cat>
          <c:val>
            <c:numRef>
              <c:f>'with reference'!$C$5:$E$5</c:f>
              <c:numCache>
                <c:formatCode>General</c:formatCode>
                <c:ptCount val="3"/>
              </c:numCache>
            </c:numRef>
          </c:val>
        </c:ser>
        <c:ser>
          <c:idx val="1"/>
          <c:order val="1"/>
          <c:tx>
            <c:strRef>
              <c:f>'with reference'!$B$6</c:f>
              <c:strCache>
                <c:ptCount val="1"/>
                <c:pt idx="0">
                  <c:v>Female</c:v>
                </c:pt>
              </c:strCache>
            </c:strRef>
          </c:tx>
          <c:spPr>
            <a:solidFill>
              <a:srgbClr val="4F81BD"/>
            </a:solidFill>
          </c:spPr>
          <c:invertIfNegative val="0"/>
          <c:cat>
            <c:strRef>
              <c:f>'with reference'!$C$4:$E$4</c:f>
              <c:strCache>
                <c:ptCount val="3"/>
                <c:pt idx="0">
                  <c:v>Endowments</c:v>
                </c:pt>
                <c:pt idx="1">
                  <c:v>Coefficients</c:v>
                </c:pt>
                <c:pt idx="2">
                  <c:v>Change BMI</c:v>
                </c:pt>
              </c:strCache>
            </c:strRef>
          </c:cat>
          <c:val>
            <c:numRef>
              <c:f>'with reference'!$C$6:$E$6</c:f>
              <c:numCache>
                <c:formatCode>General</c:formatCode>
                <c:ptCount val="3"/>
                <c:pt idx="0">
                  <c:v>0</c:v>
                </c:pt>
                <c:pt idx="1">
                  <c:v>0.05</c:v>
                </c:pt>
              </c:numCache>
            </c:numRef>
          </c:val>
        </c:ser>
        <c:ser>
          <c:idx val="2"/>
          <c:order val="2"/>
          <c:tx>
            <c:strRef>
              <c:f>'with reference'!$B$7</c:f>
              <c:strCache>
                <c:ptCount val="1"/>
                <c:pt idx="0">
                  <c:v>agegroup1</c:v>
                </c:pt>
              </c:strCache>
            </c:strRef>
          </c:tx>
          <c:spPr>
            <a:solidFill>
              <a:srgbClr val="92D050"/>
            </a:solidFill>
          </c:spPr>
          <c:invertIfNegative val="0"/>
          <c:cat>
            <c:strRef>
              <c:f>'with reference'!$C$4:$E$4</c:f>
              <c:strCache>
                <c:ptCount val="3"/>
                <c:pt idx="0">
                  <c:v>Endowments</c:v>
                </c:pt>
                <c:pt idx="1">
                  <c:v>Coefficients</c:v>
                </c:pt>
                <c:pt idx="2">
                  <c:v>Change BMI</c:v>
                </c:pt>
              </c:strCache>
            </c:strRef>
          </c:cat>
          <c:val>
            <c:numRef>
              <c:f>'with reference'!$C$7:$E$7</c:f>
              <c:numCache>
                <c:formatCode>General</c:formatCode>
                <c:ptCount val="3"/>
                <c:pt idx="0">
                  <c:v>0</c:v>
                </c:pt>
                <c:pt idx="1">
                  <c:v>-3.0000000000000002E-2</c:v>
                </c:pt>
              </c:numCache>
            </c:numRef>
          </c:val>
        </c:ser>
        <c:ser>
          <c:idx val="3"/>
          <c:order val="3"/>
          <c:tx>
            <c:strRef>
              <c:f>'with reference'!$B$8</c:f>
              <c:strCache>
                <c:ptCount val="1"/>
                <c:pt idx="0">
                  <c:v>agegroup2</c:v>
                </c:pt>
              </c:strCache>
            </c:strRef>
          </c:tx>
          <c:spPr>
            <a:solidFill>
              <a:srgbClr val="9BBB59">
                <a:lumMod val="50000"/>
              </a:srgbClr>
            </a:solidFill>
          </c:spPr>
          <c:invertIfNegative val="0"/>
          <c:cat>
            <c:strRef>
              <c:f>'with reference'!$C$4:$E$4</c:f>
              <c:strCache>
                <c:ptCount val="3"/>
                <c:pt idx="0">
                  <c:v>Endowments</c:v>
                </c:pt>
                <c:pt idx="1">
                  <c:v>Coefficients</c:v>
                </c:pt>
                <c:pt idx="2">
                  <c:v>Change BMI</c:v>
                </c:pt>
              </c:strCache>
            </c:strRef>
          </c:cat>
          <c:val>
            <c:numRef>
              <c:f>'with reference'!$C$8:$E$8</c:f>
              <c:numCache>
                <c:formatCode>General</c:formatCode>
                <c:ptCount val="3"/>
                <c:pt idx="0">
                  <c:v>0</c:v>
                </c:pt>
                <c:pt idx="1">
                  <c:v>-2.8000000000000001E-2</c:v>
                </c:pt>
              </c:numCache>
            </c:numRef>
          </c:val>
        </c:ser>
        <c:ser>
          <c:idx val="4"/>
          <c:order val="4"/>
          <c:tx>
            <c:strRef>
              <c:f>'with reference'!$B$9</c:f>
              <c:strCache>
                <c:ptCount val="1"/>
                <c:pt idx="0">
                  <c:v>ISCEDmid</c:v>
                </c:pt>
              </c:strCache>
            </c:strRef>
          </c:tx>
          <c:spPr>
            <a:solidFill>
              <a:srgbClr val="F79646"/>
            </a:solidFill>
          </c:spPr>
          <c:invertIfNegative val="0"/>
          <c:cat>
            <c:strRef>
              <c:f>'with reference'!$C$4:$E$4</c:f>
              <c:strCache>
                <c:ptCount val="3"/>
                <c:pt idx="0">
                  <c:v>Endowments</c:v>
                </c:pt>
                <c:pt idx="1">
                  <c:v>Coefficients</c:v>
                </c:pt>
                <c:pt idx="2">
                  <c:v>Change BMI</c:v>
                </c:pt>
              </c:strCache>
            </c:strRef>
          </c:cat>
          <c:val>
            <c:numRef>
              <c:f>'with reference'!$C$9:$E$9</c:f>
              <c:numCache>
                <c:formatCode>General</c:formatCode>
                <c:ptCount val="3"/>
                <c:pt idx="0">
                  <c:v>0</c:v>
                </c:pt>
                <c:pt idx="1">
                  <c:v>0</c:v>
                </c:pt>
              </c:numCache>
            </c:numRef>
          </c:val>
        </c:ser>
        <c:ser>
          <c:idx val="5"/>
          <c:order val="5"/>
          <c:tx>
            <c:strRef>
              <c:f>'with reference'!$B$10</c:f>
              <c:strCache>
                <c:ptCount val="1"/>
                <c:pt idx="0">
                  <c:v>ISCEDhigh</c:v>
                </c:pt>
              </c:strCache>
            </c:strRef>
          </c:tx>
          <c:spPr>
            <a:solidFill>
              <a:srgbClr val="F79646">
                <a:lumMod val="50000"/>
              </a:srgbClr>
            </a:solidFill>
          </c:spPr>
          <c:invertIfNegative val="0"/>
          <c:cat>
            <c:strRef>
              <c:f>'with reference'!$C$4:$E$4</c:f>
              <c:strCache>
                <c:ptCount val="3"/>
                <c:pt idx="0">
                  <c:v>Endowments</c:v>
                </c:pt>
                <c:pt idx="1">
                  <c:v>Coefficients</c:v>
                </c:pt>
                <c:pt idx="2">
                  <c:v>Change BMI</c:v>
                </c:pt>
              </c:strCache>
            </c:strRef>
          </c:cat>
          <c:val>
            <c:numRef>
              <c:f>'with reference'!$C$10:$E$10</c:f>
              <c:numCache>
                <c:formatCode>General</c:formatCode>
                <c:ptCount val="3"/>
                <c:pt idx="0">
                  <c:v>0</c:v>
                </c:pt>
                <c:pt idx="1">
                  <c:v>2.0000000000000009E-3</c:v>
                </c:pt>
              </c:numCache>
            </c:numRef>
          </c:val>
        </c:ser>
        <c:ser>
          <c:idx val="6"/>
          <c:order val="6"/>
          <c:tx>
            <c:strRef>
              <c:f>'with reference'!$B$11</c:f>
              <c:strCache>
                <c:ptCount val="1"/>
                <c:pt idx="0">
                  <c:v>_cons</c:v>
                </c:pt>
              </c:strCache>
            </c:strRef>
          </c:tx>
          <c:spPr>
            <a:solidFill>
              <a:sysClr val="window" lastClr="FFFFFF">
                <a:lumMod val="65000"/>
              </a:sysClr>
            </a:solidFill>
          </c:spPr>
          <c:invertIfNegative val="0"/>
          <c:dPt>
            <c:idx val="2"/>
            <c:invertIfNegative val="0"/>
            <c:bubble3D val="0"/>
            <c:spPr>
              <a:solidFill>
                <a:sysClr val="windowText" lastClr="000000"/>
              </a:solidFill>
            </c:spPr>
          </c:dPt>
          <c:dPt>
            <c:idx val="3"/>
            <c:invertIfNegative val="0"/>
            <c:bubble3D val="0"/>
            <c:spPr>
              <a:solidFill>
                <a:sysClr val="windowText" lastClr="000000"/>
              </a:solidFill>
            </c:spPr>
          </c:dPt>
          <c:cat>
            <c:strRef>
              <c:f>'with reference'!$C$4:$E$4</c:f>
              <c:strCache>
                <c:ptCount val="3"/>
                <c:pt idx="0">
                  <c:v>Endowments</c:v>
                </c:pt>
                <c:pt idx="1">
                  <c:v>Coefficients</c:v>
                </c:pt>
                <c:pt idx="2">
                  <c:v>Change BMI</c:v>
                </c:pt>
              </c:strCache>
            </c:strRef>
          </c:cat>
          <c:val>
            <c:numRef>
              <c:f>'with reference'!$C$11:$E$11</c:f>
              <c:numCache>
                <c:formatCode>General</c:formatCode>
                <c:ptCount val="3"/>
                <c:pt idx="0">
                  <c:v>0</c:v>
                </c:pt>
                <c:pt idx="1">
                  <c:v>-5.3000000000000012E-2</c:v>
                </c:pt>
                <c:pt idx="2" formatCode="0.000">
                  <c:v>-5.9000000000000011E-2</c:v>
                </c:pt>
              </c:numCache>
            </c:numRef>
          </c:val>
        </c:ser>
        <c:dLbls>
          <c:showLegendKey val="0"/>
          <c:showVal val="0"/>
          <c:showCatName val="0"/>
          <c:showSerName val="0"/>
          <c:showPercent val="0"/>
          <c:showBubbleSize val="0"/>
        </c:dLbls>
        <c:gapWidth val="150"/>
        <c:overlap val="100"/>
        <c:axId val="160446144"/>
        <c:axId val="6238296"/>
      </c:barChart>
      <c:catAx>
        <c:axId val="160446144"/>
        <c:scaling>
          <c:orientation val="minMax"/>
        </c:scaling>
        <c:delete val="0"/>
        <c:axPos val="b"/>
        <c:numFmt formatCode="General" sourceLinked="1"/>
        <c:majorTickMark val="out"/>
        <c:minorTickMark val="none"/>
        <c:tickLblPos val="nextTo"/>
        <c:crossAx val="6238296"/>
        <c:crosses val="autoZero"/>
        <c:auto val="1"/>
        <c:lblAlgn val="ctr"/>
        <c:lblOffset val="100"/>
        <c:noMultiLvlLbl val="0"/>
      </c:catAx>
      <c:valAx>
        <c:axId val="6238296"/>
        <c:scaling>
          <c:orientation val="minMax"/>
          <c:max val="0.60000000000000031"/>
          <c:min val="-0.60000000000000031"/>
        </c:scaling>
        <c:delete val="0"/>
        <c:axPos val="l"/>
        <c:majorGridlines/>
        <c:numFmt formatCode="General" sourceLinked="1"/>
        <c:majorTickMark val="out"/>
        <c:minorTickMark val="none"/>
        <c:tickLblPos val="nextTo"/>
        <c:crossAx val="160446144"/>
        <c:crosses val="autoZero"/>
        <c:crossBetween val="between"/>
      </c:valAx>
    </c:plotArea>
    <c:legend>
      <c:legendPos val="r"/>
      <c:legendEntry>
        <c:idx val="6"/>
        <c:delete val="1"/>
      </c:legendEntry>
      <c:layout/>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Germany</a:t>
            </a:r>
          </a:p>
        </c:rich>
      </c:tx>
      <c:layout/>
      <c:overlay val="0"/>
    </c:title>
    <c:autoTitleDeleted val="0"/>
    <c:plotArea>
      <c:layout/>
      <c:barChart>
        <c:barDir val="col"/>
        <c:grouping val="stacked"/>
        <c:varyColors val="0"/>
        <c:ser>
          <c:idx val="0"/>
          <c:order val="0"/>
          <c:tx>
            <c:strRef>
              <c:f>'with reference'!$B$27</c:f>
              <c:strCache>
                <c:ptCount val="1"/>
              </c:strCache>
            </c:strRef>
          </c:tx>
          <c:invertIfNegative val="0"/>
          <c:cat>
            <c:strRef>
              <c:f>'with reference'!$C$26:$E$26</c:f>
              <c:strCache>
                <c:ptCount val="3"/>
                <c:pt idx="0">
                  <c:v>Endowments</c:v>
                </c:pt>
                <c:pt idx="1">
                  <c:v>Coefficients</c:v>
                </c:pt>
                <c:pt idx="2">
                  <c:v>Change BMI</c:v>
                </c:pt>
              </c:strCache>
            </c:strRef>
          </c:cat>
          <c:val>
            <c:numRef>
              <c:f>'with reference'!$C$27:$E$27</c:f>
              <c:numCache>
                <c:formatCode>General</c:formatCode>
                <c:ptCount val="3"/>
              </c:numCache>
            </c:numRef>
          </c:val>
        </c:ser>
        <c:ser>
          <c:idx val="1"/>
          <c:order val="1"/>
          <c:tx>
            <c:strRef>
              <c:f>'with reference'!$B$28</c:f>
              <c:strCache>
                <c:ptCount val="1"/>
                <c:pt idx="0">
                  <c:v>Female</c:v>
                </c:pt>
              </c:strCache>
            </c:strRef>
          </c:tx>
          <c:spPr>
            <a:solidFill>
              <a:srgbClr val="4F81BD"/>
            </a:solidFill>
          </c:spPr>
          <c:invertIfNegative val="0"/>
          <c:cat>
            <c:strRef>
              <c:f>'with reference'!$C$26:$E$26</c:f>
              <c:strCache>
                <c:ptCount val="3"/>
                <c:pt idx="0">
                  <c:v>Endowments</c:v>
                </c:pt>
                <c:pt idx="1">
                  <c:v>Coefficients</c:v>
                </c:pt>
                <c:pt idx="2">
                  <c:v>Change BMI</c:v>
                </c:pt>
              </c:strCache>
            </c:strRef>
          </c:cat>
          <c:val>
            <c:numRef>
              <c:f>'with reference'!$C$28:$E$28</c:f>
              <c:numCache>
                <c:formatCode>General</c:formatCode>
                <c:ptCount val="3"/>
                <c:pt idx="0">
                  <c:v>0</c:v>
                </c:pt>
                <c:pt idx="1">
                  <c:v>-0.12400000000000003</c:v>
                </c:pt>
              </c:numCache>
            </c:numRef>
          </c:val>
        </c:ser>
        <c:ser>
          <c:idx val="2"/>
          <c:order val="2"/>
          <c:tx>
            <c:strRef>
              <c:f>'with reference'!$B$29</c:f>
              <c:strCache>
                <c:ptCount val="1"/>
                <c:pt idx="0">
                  <c:v>agegroup1</c:v>
                </c:pt>
              </c:strCache>
            </c:strRef>
          </c:tx>
          <c:spPr>
            <a:solidFill>
              <a:srgbClr val="92D050"/>
            </a:solidFill>
          </c:spPr>
          <c:invertIfNegative val="0"/>
          <c:cat>
            <c:strRef>
              <c:f>'with reference'!$C$26:$E$26</c:f>
              <c:strCache>
                <c:ptCount val="3"/>
                <c:pt idx="0">
                  <c:v>Endowments</c:v>
                </c:pt>
                <c:pt idx="1">
                  <c:v>Coefficients</c:v>
                </c:pt>
                <c:pt idx="2">
                  <c:v>Change BMI</c:v>
                </c:pt>
              </c:strCache>
            </c:strRef>
          </c:cat>
          <c:val>
            <c:numRef>
              <c:f>'with reference'!$C$29:$E$29</c:f>
              <c:numCache>
                <c:formatCode>General</c:formatCode>
                <c:ptCount val="3"/>
                <c:pt idx="0">
                  <c:v>0</c:v>
                </c:pt>
                <c:pt idx="1">
                  <c:v>-0.16600000000000001</c:v>
                </c:pt>
              </c:numCache>
            </c:numRef>
          </c:val>
        </c:ser>
        <c:ser>
          <c:idx val="3"/>
          <c:order val="3"/>
          <c:tx>
            <c:strRef>
              <c:f>'with reference'!$B$30</c:f>
              <c:strCache>
                <c:ptCount val="1"/>
                <c:pt idx="0">
                  <c:v>agegroup2</c:v>
                </c:pt>
              </c:strCache>
            </c:strRef>
          </c:tx>
          <c:spPr>
            <a:solidFill>
              <a:srgbClr val="9BBB59">
                <a:lumMod val="50000"/>
              </a:srgbClr>
            </a:solidFill>
          </c:spPr>
          <c:invertIfNegative val="0"/>
          <c:cat>
            <c:strRef>
              <c:f>'with reference'!$C$26:$E$26</c:f>
              <c:strCache>
                <c:ptCount val="3"/>
                <c:pt idx="0">
                  <c:v>Endowments</c:v>
                </c:pt>
                <c:pt idx="1">
                  <c:v>Coefficients</c:v>
                </c:pt>
                <c:pt idx="2">
                  <c:v>Change BMI</c:v>
                </c:pt>
              </c:strCache>
            </c:strRef>
          </c:cat>
          <c:val>
            <c:numRef>
              <c:f>'with reference'!$C$30:$E$30</c:f>
              <c:numCache>
                <c:formatCode>General</c:formatCode>
                <c:ptCount val="3"/>
                <c:pt idx="0">
                  <c:v>0</c:v>
                </c:pt>
                <c:pt idx="1">
                  <c:v>-5.3999999999999999E-2</c:v>
                </c:pt>
              </c:numCache>
            </c:numRef>
          </c:val>
        </c:ser>
        <c:ser>
          <c:idx val="4"/>
          <c:order val="4"/>
          <c:tx>
            <c:strRef>
              <c:f>'with reference'!$B$31</c:f>
              <c:strCache>
                <c:ptCount val="1"/>
                <c:pt idx="0">
                  <c:v>ISCEDmid</c:v>
                </c:pt>
              </c:strCache>
            </c:strRef>
          </c:tx>
          <c:spPr>
            <a:solidFill>
              <a:srgbClr val="F79646"/>
            </a:solidFill>
          </c:spPr>
          <c:invertIfNegative val="0"/>
          <c:cat>
            <c:strRef>
              <c:f>'with reference'!$C$26:$E$26</c:f>
              <c:strCache>
                <c:ptCount val="3"/>
                <c:pt idx="0">
                  <c:v>Endowments</c:v>
                </c:pt>
                <c:pt idx="1">
                  <c:v>Coefficients</c:v>
                </c:pt>
                <c:pt idx="2">
                  <c:v>Change BMI</c:v>
                </c:pt>
              </c:strCache>
            </c:strRef>
          </c:cat>
          <c:val>
            <c:numRef>
              <c:f>'with reference'!$C$31:$E$31</c:f>
              <c:numCache>
                <c:formatCode>General</c:formatCode>
                <c:ptCount val="3"/>
                <c:pt idx="0">
                  <c:v>0</c:v>
                </c:pt>
                <c:pt idx="1">
                  <c:v>0.13</c:v>
                </c:pt>
              </c:numCache>
            </c:numRef>
          </c:val>
        </c:ser>
        <c:ser>
          <c:idx val="5"/>
          <c:order val="5"/>
          <c:tx>
            <c:strRef>
              <c:f>'with reference'!$B$32</c:f>
              <c:strCache>
                <c:ptCount val="1"/>
                <c:pt idx="0">
                  <c:v>ISCEDhigh</c:v>
                </c:pt>
              </c:strCache>
            </c:strRef>
          </c:tx>
          <c:spPr>
            <a:solidFill>
              <a:srgbClr val="F79646">
                <a:lumMod val="50000"/>
              </a:srgbClr>
            </a:solidFill>
          </c:spPr>
          <c:invertIfNegative val="0"/>
          <c:cat>
            <c:strRef>
              <c:f>'with reference'!$C$26:$E$26</c:f>
              <c:strCache>
                <c:ptCount val="3"/>
                <c:pt idx="0">
                  <c:v>Endowments</c:v>
                </c:pt>
                <c:pt idx="1">
                  <c:v>Coefficients</c:v>
                </c:pt>
                <c:pt idx="2">
                  <c:v>Change BMI</c:v>
                </c:pt>
              </c:strCache>
            </c:strRef>
          </c:cat>
          <c:val>
            <c:numRef>
              <c:f>'with reference'!$C$32:$E$32</c:f>
              <c:numCache>
                <c:formatCode>General</c:formatCode>
                <c:ptCount val="3"/>
                <c:pt idx="0">
                  <c:v>0</c:v>
                </c:pt>
                <c:pt idx="1">
                  <c:v>-7.6999999999999999E-2</c:v>
                </c:pt>
              </c:numCache>
            </c:numRef>
          </c:val>
        </c:ser>
        <c:ser>
          <c:idx val="6"/>
          <c:order val="6"/>
          <c:tx>
            <c:strRef>
              <c:f>'with reference'!$B$33</c:f>
              <c:strCache>
                <c:ptCount val="1"/>
                <c:pt idx="0">
                  <c:v>_cons</c:v>
                </c:pt>
              </c:strCache>
            </c:strRef>
          </c:tx>
          <c:spPr>
            <a:solidFill>
              <a:sysClr val="window" lastClr="FFFFFF">
                <a:lumMod val="65000"/>
              </a:sysClr>
            </a:solidFill>
          </c:spPr>
          <c:invertIfNegative val="0"/>
          <c:dPt>
            <c:idx val="2"/>
            <c:invertIfNegative val="0"/>
            <c:bubble3D val="0"/>
            <c:spPr>
              <a:solidFill>
                <a:sysClr val="windowText" lastClr="000000"/>
              </a:solidFill>
            </c:spPr>
          </c:dPt>
          <c:dPt>
            <c:idx val="3"/>
            <c:invertIfNegative val="0"/>
            <c:bubble3D val="0"/>
            <c:spPr>
              <a:solidFill>
                <a:sysClr val="windowText" lastClr="000000"/>
              </a:solidFill>
            </c:spPr>
          </c:dPt>
          <c:cat>
            <c:strRef>
              <c:f>'with reference'!$C$26:$E$26</c:f>
              <c:strCache>
                <c:ptCount val="3"/>
                <c:pt idx="0">
                  <c:v>Endowments</c:v>
                </c:pt>
                <c:pt idx="1">
                  <c:v>Coefficients</c:v>
                </c:pt>
                <c:pt idx="2">
                  <c:v>Change BMI</c:v>
                </c:pt>
              </c:strCache>
            </c:strRef>
          </c:cat>
          <c:val>
            <c:numRef>
              <c:f>'with reference'!$C$33:$E$33</c:f>
              <c:numCache>
                <c:formatCode>General</c:formatCode>
                <c:ptCount val="3"/>
                <c:pt idx="0">
                  <c:v>0</c:v>
                </c:pt>
                <c:pt idx="1">
                  <c:v>0.46800000000000008</c:v>
                </c:pt>
                <c:pt idx="2" formatCode="0.000">
                  <c:v>0.17700000000000005</c:v>
                </c:pt>
              </c:numCache>
            </c:numRef>
          </c:val>
        </c:ser>
        <c:dLbls>
          <c:showLegendKey val="0"/>
          <c:showVal val="0"/>
          <c:showCatName val="0"/>
          <c:showSerName val="0"/>
          <c:showPercent val="0"/>
          <c:showBubbleSize val="0"/>
        </c:dLbls>
        <c:gapWidth val="150"/>
        <c:overlap val="100"/>
        <c:axId val="159963808"/>
        <c:axId val="137909520"/>
      </c:barChart>
      <c:catAx>
        <c:axId val="159963808"/>
        <c:scaling>
          <c:orientation val="minMax"/>
        </c:scaling>
        <c:delete val="0"/>
        <c:axPos val="b"/>
        <c:numFmt formatCode="General" sourceLinked="1"/>
        <c:majorTickMark val="out"/>
        <c:minorTickMark val="none"/>
        <c:tickLblPos val="nextTo"/>
        <c:crossAx val="137909520"/>
        <c:crosses val="autoZero"/>
        <c:auto val="1"/>
        <c:lblAlgn val="ctr"/>
        <c:lblOffset val="100"/>
        <c:noMultiLvlLbl val="0"/>
      </c:catAx>
      <c:valAx>
        <c:axId val="137909520"/>
        <c:scaling>
          <c:orientation val="minMax"/>
          <c:max val="0.60000000000000031"/>
          <c:min val="-0.60000000000000031"/>
        </c:scaling>
        <c:delete val="0"/>
        <c:axPos val="l"/>
        <c:majorGridlines/>
        <c:numFmt formatCode="General" sourceLinked="1"/>
        <c:majorTickMark val="out"/>
        <c:minorTickMark val="none"/>
        <c:tickLblPos val="nextTo"/>
        <c:crossAx val="159963808"/>
        <c:crosses val="autoZero"/>
        <c:crossBetween val="between"/>
      </c:valAx>
    </c:plotArea>
    <c:legend>
      <c:legendPos val="r"/>
      <c:legendEntry>
        <c:idx val="6"/>
        <c:delete val="1"/>
      </c:legendEntry>
      <c:layout/>
      <c:overlay val="0"/>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Sweden</a:t>
            </a:r>
          </a:p>
        </c:rich>
      </c:tx>
      <c:overlay val="0"/>
    </c:title>
    <c:autoTitleDeleted val="0"/>
    <c:plotArea>
      <c:layout/>
      <c:barChart>
        <c:barDir val="col"/>
        <c:grouping val="stacked"/>
        <c:varyColors val="0"/>
        <c:ser>
          <c:idx val="0"/>
          <c:order val="0"/>
          <c:tx>
            <c:strRef>
              <c:f>'with reference'!$B$49</c:f>
              <c:strCache>
                <c:ptCount val="1"/>
              </c:strCache>
            </c:strRef>
          </c:tx>
          <c:invertIfNegative val="0"/>
          <c:cat>
            <c:strRef>
              <c:f>'with reference'!$C$48:$E$48</c:f>
              <c:strCache>
                <c:ptCount val="3"/>
                <c:pt idx="0">
                  <c:v>Endowments</c:v>
                </c:pt>
                <c:pt idx="1">
                  <c:v>Coefficients</c:v>
                </c:pt>
                <c:pt idx="2">
                  <c:v>Change BMI</c:v>
                </c:pt>
              </c:strCache>
            </c:strRef>
          </c:cat>
          <c:val>
            <c:numRef>
              <c:f>'with reference'!$C$49:$E$49</c:f>
              <c:numCache>
                <c:formatCode>General</c:formatCode>
                <c:ptCount val="3"/>
              </c:numCache>
            </c:numRef>
          </c:val>
        </c:ser>
        <c:ser>
          <c:idx val="1"/>
          <c:order val="1"/>
          <c:tx>
            <c:strRef>
              <c:f>'with reference'!$B$50</c:f>
              <c:strCache>
                <c:ptCount val="1"/>
                <c:pt idx="0">
                  <c:v>Female</c:v>
                </c:pt>
              </c:strCache>
            </c:strRef>
          </c:tx>
          <c:spPr>
            <a:solidFill>
              <a:srgbClr val="4F81BD"/>
            </a:solidFill>
          </c:spPr>
          <c:invertIfNegative val="0"/>
          <c:cat>
            <c:strRef>
              <c:f>'with reference'!$C$48:$E$48</c:f>
              <c:strCache>
                <c:ptCount val="3"/>
                <c:pt idx="0">
                  <c:v>Endowments</c:v>
                </c:pt>
                <c:pt idx="1">
                  <c:v>Coefficients</c:v>
                </c:pt>
                <c:pt idx="2">
                  <c:v>Change BMI</c:v>
                </c:pt>
              </c:strCache>
            </c:strRef>
          </c:cat>
          <c:val>
            <c:numRef>
              <c:f>'with reference'!$C$50:$E$50</c:f>
              <c:numCache>
                <c:formatCode>General</c:formatCode>
                <c:ptCount val="3"/>
                <c:pt idx="0">
                  <c:v>0</c:v>
                </c:pt>
                <c:pt idx="1">
                  <c:v>3.9000000000000014E-2</c:v>
                </c:pt>
              </c:numCache>
            </c:numRef>
          </c:val>
        </c:ser>
        <c:ser>
          <c:idx val="2"/>
          <c:order val="2"/>
          <c:tx>
            <c:strRef>
              <c:f>'with reference'!$B$51</c:f>
              <c:strCache>
                <c:ptCount val="1"/>
                <c:pt idx="0">
                  <c:v>agegroup1</c:v>
                </c:pt>
              </c:strCache>
            </c:strRef>
          </c:tx>
          <c:spPr>
            <a:solidFill>
              <a:srgbClr val="92D050"/>
            </a:solidFill>
          </c:spPr>
          <c:invertIfNegative val="0"/>
          <c:cat>
            <c:strRef>
              <c:f>'with reference'!$C$48:$E$48</c:f>
              <c:strCache>
                <c:ptCount val="3"/>
                <c:pt idx="0">
                  <c:v>Endowments</c:v>
                </c:pt>
                <c:pt idx="1">
                  <c:v>Coefficients</c:v>
                </c:pt>
                <c:pt idx="2">
                  <c:v>Change BMI</c:v>
                </c:pt>
              </c:strCache>
            </c:strRef>
          </c:cat>
          <c:val>
            <c:numRef>
              <c:f>'with reference'!$C$51:$E$51</c:f>
              <c:numCache>
                <c:formatCode>General</c:formatCode>
                <c:ptCount val="3"/>
                <c:pt idx="0">
                  <c:v>0</c:v>
                </c:pt>
                <c:pt idx="1">
                  <c:v>-4.7000000000000014E-2</c:v>
                </c:pt>
              </c:numCache>
            </c:numRef>
          </c:val>
        </c:ser>
        <c:ser>
          <c:idx val="3"/>
          <c:order val="3"/>
          <c:tx>
            <c:strRef>
              <c:f>'with reference'!$B$52</c:f>
              <c:strCache>
                <c:ptCount val="1"/>
                <c:pt idx="0">
                  <c:v>agegroup2</c:v>
                </c:pt>
              </c:strCache>
            </c:strRef>
          </c:tx>
          <c:spPr>
            <a:solidFill>
              <a:srgbClr val="9BBB59">
                <a:lumMod val="50000"/>
              </a:srgbClr>
            </a:solidFill>
          </c:spPr>
          <c:invertIfNegative val="0"/>
          <c:cat>
            <c:strRef>
              <c:f>'with reference'!$C$48:$E$48</c:f>
              <c:strCache>
                <c:ptCount val="3"/>
                <c:pt idx="0">
                  <c:v>Endowments</c:v>
                </c:pt>
                <c:pt idx="1">
                  <c:v>Coefficients</c:v>
                </c:pt>
                <c:pt idx="2">
                  <c:v>Change BMI</c:v>
                </c:pt>
              </c:strCache>
            </c:strRef>
          </c:cat>
          <c:val>
            <c:numRef>
              <c:f>'with reference'!$C$52:$E$52</c:f>
              <c:numCache>
                <c:formatCode>General</c:formatCode>
                <c:ptCount val="3"/>
                <c:pt idx="0">
                  <c:v>0</c:v>
                </c:pt>
                <c:pt idx="1">
                  <c:v>-9.8000000000000032E-2</c:v>
                </c:pt>
              </c:numCache>
            </c:numRef>
          </c:val>
        </c:ser>
        <c:ser>
          <c:idx val="4"/>
          <c:order val="4"/>
          <c:tx>
            <c:strRef>
              <c:f>'with reference'!$B$53</c:f>
              <c:strCache>
                <c:ptCount val="1"/>
                <c:pt idx="0">
                  <c:v>ISCEDmid</c:v>
                </c:pt>
              </c:strCache>
            </c:strRef>
          </c:tx>
          <c:spPr>
            <a:solidFill>
              <a:srgbClr val="F79646"/>
            </a:solidFill>
          </c:spPr>
          <c:invertIfNegative val="0"/>
          <c:cat>
            <c:strRef>
              <c:f>'with reference'!$C$48:$E$48</c:f>
              <c:strCache>
                <c:ptCount val="3"/>
                <c:pt idx="0">
                  <c:v>Endowments</c:v>
                </c:pt>
                <c:pt idx="1">
                  <c:v>Coefficients</c:v>
                </c:pt>
                <c:pt idx="2">
                  <c:v>Change BMI</c:v>
                </c:pt>
              </c:strCache>
            </c:strRef>
          </c:cat>
          <c:val>
            <c:numRef>
              <c:f>'with reference'!$C$53:$E$53</c:f>
              <c:numCache>
                <c:formatCode>General</c:formatCode>
                <c:ptCount val="3"/>
                <c:pt idx="0">
                  <c:v>0</c:v>
                </c:pt>
                <c:pt idx="1">
                  <c:v>6.4000000000000029E-2</c:v>
                </c:pt>
              </c:numCache>
            </c:numRef>
          </c:val>
        </c:ser>
        <c:ser>
          <c:idx val="5"/>
          <c:order val="5"/>
          <c:tx>
            <c:strRef>
              <c:f>'with reference'!$B$54</c:f>
              <c:strCache>
                <c:ptCount val="1"/>
                <c:pt idx="0">
                  <c:v>ISCEDhigh</c:v>
                </c:pt>
              </c:strCache>
            </c:strRef>
          </c:tx>
          <c:spPr>
            <a:solidFill>
              <a:srgbClr val="F79646">
                <a:lumMod val="50000"/>
              </a:srgbClr>
            </a:solidFill>
          </c:spPr>
          <c:invertIfNegative val="0"/>
          <c:cat>
            <c:strRef>
              <c:f>'with reference'!$C$48:$E$48</c:f>
              <c:strCache>
                <c:ptCount val="3"/>
                <c:pt idx="0">
                  <c:v>Endowments</c:v>
                </c:pt>
                <c:pt idx="1">
                  <c:v>Coefficients</c:v>
                </c:pt>
                <c:pt idx="2">
                  <c:v>Change BMI</c:v>
                </c:pt>
              </c:strCache>
            </c:strRef>
          </c:cat>
          <c:val>
            <c:numRef>
              <c:f>'with reference'!$C$54:$E$54</c:f>
              <c:numCache>
                <c:formatCode>General</c:formatCode>
                <c:ptCount val="3"/>
                <c:pt idx="0">
                  <c:v>0</c:v>
                </c:pt>
                <c:pt idx="1">
                  <c:v>6.9000000000000034E-2</c:v>
                </c:pt>
              </c:numCache>
            </c:numRef>
          </c:val>
        </c:ser>
        <c:ser>
          <c:idx val="6"/>
          <c:order val="6"/>
          <c:tx>
            <c:strRef>
              <c:f>'with reference'!$B$55</c:f>
              <c:strCache>
                <c:ptCount val="1"/>
                <c:pt idx="0">
                  <c:v>_cons</c:v>
                </c:pt>
              </c:strCache>
            </c:strRef>
          </c:tx>
          <c:spPr>
            <a:solidFill>
              <a:sysClr val="window" lastClr="FFFFFF">
                <a:lumMod val="65000"/>
              </a:sysClr>
            </a:solidFill>
          </c:spPr>
          <c:invertIfNegative val="0"/>
          <c:dPt>
            <c:idx val="2"/>
            <c:invertIfNegative val="0"/>
            <c:bubble3D val="0"/>
            <c:spPr>
              <a:solidFill>
                <a:sysClr val="windowText" lastClr="000000"/>
              </a:solidFill>
            </c:spPr>
          </c:dPt>
          <c:dPt>
            <c:idx val="3"/>
            <c:invertIfNegative val="0"/>
            <c:bubble3D val="0"/>
            <c:spPr>
              <a:solidFill>
                <a:sysClr val="windowText" lastClr="000000"/>
              </a:solidFill>
            </c:spPr>
          </c:dPt>
          <c:cat>
            <c:strRef>
              <c:f>'with reference'!$C$48:$E$48</c:f>
              <c:strCache>
                <c:ptCount val="3"/>
                <c:pt idx="0">
                  <c:v>Endowments</c:v>
                </c:pt>
                <c:pt idx="1">
                  <c:v>Coefficients</c:v>
                </c:pt>
                <c:pt idx="2">
                  <c:v>Change BMI</c:v>
                </c:pt>
              </c:strCache>
            </c:strRef>
          </c:cat>
          <c:val>
            <c:numRef>
              <c:f>'with reference'!$C$55:$E$55</c:f>
              <c:numCache>
                <c:formatCode>General</c:formatCode>
                <c:ptCount val="3"/>
                <c:pt idx="0">
                  <c:v>0</c:v>
                </c:pt>
                <c:pt idx="1">
                  <c:v>0.16600000000000001</c:v>
                </c:pt>
                <c:pt idx="2" formatCode="0.000">
                  <c:v>0.193</c:v>
                </c:pt>
              </c:numCache>
            </c:numRef>
          </c:val>
        </c:ser>
        <c:dLbls>
          <c:showLegendKey val="0"/>
          <c:showVal val="0"/>
          <c:showCatName val="0"/>
          <c:showSerName val="0"/>
          <c:showPercent val="0"/>
          <c:showBubbleSize val="0"/>
        </c:dLbls>
        <c:gapWidth val="150"/>
        <c:overlap val="100"/>
        <c:axId val="160788480"/>
        <c:axId val="160842104"/>
      </c:barChart>
      <c:catAx>
        <c:axId val="160788480"/>
        <c:scaling>
          <c:orientation val="minMax"/>
        </c:scaling>
        <c:delete val="0"/>
        <c:axPos val="b"/>
        <c:numFmt formatCode="General" sourceLinked="1"/>
        <c:majorTickMark val="out"/>
        <c:minorTickMark val="none"/>
        <c:tickLblPos val="nextTo"/>
        <c:crossAx val="160842104"/>
        <c:crosses val="autoZero"/>
        <c:auto val="1"/>
        <c:lblAlgn val="ctr"/>
        <c:lblOffset val="100"/>
        <c:noMultiLvlLbl val="0"/>
      </c:catAx>
      <c:valAx>
        <c:axId val="160842104"/>
        <c:scaling>
          <c:orientation val="minMax"/>
          <c:max val="0.4"/>
          <c:min val="-0.4"/>
        </c:scaling>
        <c:delete val="0"/>
        <c:axPos val="l"/>
        <c:majorGridlines/>
        <c:numFmt formatCode="General" sourceLinked="1"/>
        <c:majorTickMark val="out"/>
        <c:minorTickMark val="none"/>
        <c:tickLblPos val="nextTo"/>
        <c:crossAx val="160788480"/>
        <c:crosses val="autoZero"/>
        <c:crossBetween val="between"/>
      </c:valAx>
    </c:plotArea>
    <c:legend>
      <c:legendPos val="r"/>
      <c:legendEntry>
        <c:idx val="6"/>
        <c:delete val="1"/>
      </c:legendEntry>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The Netherlands</a:t>
            </a:r>
          </a:p>
        </c:rich>
      </c:tx>
      <c:overlay val="0"/>
    </c:title>
    <c:autoTitleDeleted val="0"/>
    <c:plotArea>
      <c:layout/>
      <c:barChart>
        <c:barDir val="col"/>
        <c:grouping val="stacked"/>
        <c:varyColors val="0"/>
        <c:ser>
          <c:idx val="0"/>
          <c:order val="0"/>
          <c:tx>
            <c:strRef>
              <c:f>'with reference'!$B$71</c:f>
              <c:strCache>
                <c:ptCount val="1"/>
              </c:strCache>
            </c:strRef>
          </c:tx>
          <c:invertIfNegative val="0"/>
          <c:cat>
            <c:strRef>
              <c:f>'with reference'!$C$70:$E$70</c:f>
              <c:strCache>
                <c:ptCount val="3"/>
                <c:pt idx="0">
                  <c:v>Endowments</c:v>
                </c:pt>
                <c:pt idx="1">
                  <c:v>Coefficients</c:v>
                </c:pt>
                <c:pt idx="2">
                  <c:v>Change BMI</c:v>
                </c:pt>
              </c:strCache>
            </c:strRef>
          </c:cat>
          <c:val>
            <c:numRef>
              <c:f>'with reference'!$C$71:$E$71</c:f>
              <c:numCache>
                <c:formatCode>General</c:formatCode>
                <c:ptCount val="3"/>
              </c:numCache>
            </c:numRef>
          </c:val>
        </c:ser>
        <c:ser>
          <c:idx val="1"/>
          <c:order val="1"/>
          <c:tx>
            <c:strRef>
              <c:f>'with reference'!$B$72</c:f>
              <c:strCache>
                <c:ptCount val="1"/>
                <c:pt idx="0">
                  <c:v>Female</c:v>
                </c:pt>
              </c:strCache>
            </c:strRef>
          </c:tx>
          <c:spPr>
            <a:solidFill>
              <a:srgbClr val="4F81BD"/>
            </a:solidFill>
          </c:spPr>
          <c:invertIfNegative val="0"/>
          <c:cat>
            <c:strRef>
              <c:f>'with reference'!$C$70:$E$70</c:f>
              <c:strCache>
                <c:ptCount val="3"/>
                <c:pt idx="0">
                  <c:v>Endowments</c:v>
                </c:pt>
                <c:pt idx="1">
                  <c:v>Coefficients</c:v>
                </c:pt>
                <c:pt idx="2">
                  <c:v>Change BMI</c:v>
                </c:pt>
              </c:strCache>
            </c:strRef>
          </c:cat>
          <c:val>
            <c:numRef>
              <c:f>'with reference'!$C$72:$E$72</c:f>
              <c:numCache>
                <c:formatCode>General</c:formatCode>
                <c:ptCount val="3"/>
                <c:pt idx="0">
                  <c:v>0</c:v>
                </c:pt>
                <c:pt idx="1">
                  <c:v>-4.3000000000000003E-2</c:v>
                </c:pt>
              </c:numCache>
            </c:numRef>
          </c:val>
        </c:ser>
        <c:ser>
          <c:idx val="2"/>
          <c:order val="2"/>
          <c:tx>
            <c:strRef>
              <c:f>'with reference'!$B$73</c:f>
              <c:strCache>
                <c:ptCount val="1"/>
                <c:pt idx="0">
                  <c:v>agegroup1</c:v>
                </c:pt>
              </c:strCache>
            </c:strRef>
          </c:tx>
          <c:spPr>
            <a:solidFill>
              <a:srgbClr val="92D050"/>
            </a:solidFill>
          </c:spPr>
          <c:invertIfNegative val="0"/>
          <c:cat>
            <c:strRef>
              <c:f>'with reference'!$C$70:$E$70</c:f>
              <c:strCache>
                <c:ptCount val="3"/>
                <c:pt idx="0">
                  <c:v>Endowments</c:v>
                </c:pt>
                <c:pt idx="1">
                  <c:v>Coefficients</c:v>
                </c:pt>
                <c:pt idx="2">
                  <c:v>Change BMI</c:v>
                </c:pt>
              </c:strCache>
            </c:strRef>
          </c:cat>
          <c:val>
            <c:numRef>
              <c:f>'with reference'!$C$73:$E$73</c:f>
              <c:numCache>
                <c:formatCode>General</c:formatCode>
                <c:ptCount val="3"/>
                <c:pt idx="0">
                  <c:v>0</c:v>
                </c:pt>
                <c:pt idx="1">
                  <c:v>-0.13900000000000001</c:v>
                </c:pt>
              </c:numCache>
            </c:numRef>
          </c:val>
        </c:ser>
        <c:ser>
          <c:idx val="3"/>
          <c:order val="3"/>
          <c:tx>
            <c:strRef>
              <c:f>'with reference'!$B$74</c:f>
              <c:strCache>
                <c:ptCount val="1"/>
                <c:pt idx="0">
                  <c:v>agegroup2</c:v>
                </c:pt>
              </c:strCache>
            </c:strRef>
          </c:tx>
          <c:spPr>
            <a:solidFill>
              <a:srgbClr val="9BBB59">
                <a:lumMod val="50000"/>
              </a:srgbClr>
            </a:solidFill>
          </c:spPr>
          <c:invertIfNegative val="0"/>
          <c:cat>
            <c:strRef>
              <c:f>'with reference'!$C$70:$E$70</c:f>
              <c:strCache>
                <c:ptCount val="3"/>
                <c:pt idx="0">
                  <c:v>Endowments</c:v>
                </c:pt>
                <c:pt idx="1">
                  <c:v>Coefficients</c:v>
                </c:pt>
                <c:pt idx="2">
                  <c:v>Change BMI</c:v>
                </c:pt>
              </c:strCache>
            </c:strRef>
          </c:cat>
          <c:val>
            <c:numRef>
              <c:f>'with reference'!$C$74:$E$74</c:f>
              <c:numCache>
                <c:formatCode>General</c:formatCode>
                <c:ptCount val="3"/>
                <c:pt idx="0">
                  <c:v>0</c:v>
                </c:pt>
                <c:pt idx="1">
                  <c:v>-8.3000000000000032E-2</c:v>
                </c:pt>
              </c:numCache>
            </c:numRef>
          </c:val>
        </c:ser>
        <c:ser>
          <c:idx val="4"/>
          <c:order val="4"/>
          <c:tx>
            <c:strRef>
              <c:f>'with reference'!$B$75</c:f>
              <c:strCache>
                <c:ptCount val="1"/>
                <c:pt idx="0">
                  <c:v>ISCEDmid</c:v>
                </c:pt>
              </c:strCache>
            </c:strRef>
          </c:tx>
          <c:spPr>
            <a:solidFill>
              <a:srgbClr val="F79646"/>
            </a:solidFill>
          </c:spPr>
          <c:invertIfNegative val="0"/>
          <c:cat>
            <c:strRef>
              <c:f>'with reference'!$C$70:$E$70</c:f>
              <c:strCache>
                <c:ptCount val="3"/>
                <c:pt idx="0">
                  <c:v>Endowments</c:v>
                </c:pt>
                <c:pt idx="1">
                  <c:v>Coefficients</c:v>
                </c:pt>
                <c:pt idx="2">
                  <c:v>Change BMI</c:v>
                </c:pt>
              </c:strCache>
            </c:strRef>
          </c:cat>
          <c:val>
            <c:numRef>
              <c:f>'with reference'!$C$75:$E$75</c:f>
              <c:numCache>
                <c:formatCode>General</c:formatCode>
                <c:ptCount val="3"/>
                <c:pt idx="0">
                  <c:v>0</c:v>
                </c:pt>
                <c:pt idx="1">
                  <c:v>-8.0000000000000029E-2</c:v>
                </c:pt>
              </c:numCache>
            </c:numRef>
          </c:val>
        </c:ser>
        <c:ser>
          <c:idx val="5"/>
          <c:order val="5"/>
          <c:tx>
            <c:strRef>
              <c:f>'with reference'!$B$76</c:f>
              <c:strCache>
                <c:ptCount val="1"/>
                <c:pt idx="0">
                  <c:v>ISCEDhigh</c:v>
                </c:pt>
              </c:strCache>
            </c:strRef>
          </c:tx>
          <c:spPr>
            <a:solidFill>
              <a:srgbClr val="F79646">
                <a:lumMod val="50000"/>
              </a:srgbClr>
            </a:solidFill>
          </c:spPr>
          <c:invertIfNegative val="0"/>
          <c:cat>
            <c:strRef>
              <c:f>'with reference'!$C$70:$E$70</c:f>
              <c:strCache>
                <c:ptCount val="3"/>
                <c:pt idx="0">
                  <c:v>Endowments</c:v>
                </c:pt>
                <c:pt idx="1">
                  <c:v>Coefficients</c:v>
                </c:pt>
                <c:pt idx="2">
                  <c:v>Change BMI</c:v>
                </c:pt>
              </c:strCache>
            </c:strRef>
          </c:cat>
          <c:val>
            <c:numRef>
              <c:f>'with reference'!$C$76:$E$76</c:f>
              <c:numCache>
                <c:formatCode>General</c:formatCode>
                <c:ptCount val="3"/>
                <c:pt idx="0">
                  <c:v>0</c:v>
                </c:pt>
                <c:pt idx="1">
                  <c:v>-9.8000000000000032E-2</c:v>
                </c:pt>
              </c:numCache>
            </c:numRef>
          </c:val>
        </c:ser>
        <c:ser>
          <c:idx val="6"/>
          <c:order val="6"/>
          <c:tx>
            <c:strRef>
              <c:f>'with reference'!$B$77</c:f>
              <c:strCache>
                <c:ptCount val="1"/>
                <c:pt idx="0">
                  <c:v>_cons</c:v>
                </c:pt>
              </c:strCache>
            </c:strRef>
          </c:tx>
          <c:spPr>
            <a:solidFill>
              <a:sysClr val="window" lastClr="FFFFFF">
                <a:lumMod val="65000"/>
              </a:sysClr>
            </a:solidFill>
          </c:spPr>
          <c:invertIfNegative val="0"/>
          <c:dPt>
            <c:idx val="2"/>
            <c:invertIfNegative val="0"/>
            <c:bubble3D val="0"/>
            <c:spPr>
              <a:solidFill>
                <a:sysClr val="windowText" lastClr="000000"/>
              </a:solidFill>
            </c:spPr>
          </c:dPt>
          <c:dPt>
            <c:idx val="3"/>
            <c:invertIfNegative val="0"/>
            <c:bubble3D val="0"/>
            <c:spPr>
              <a:solidFill>
                <a:sysClr val="windowText" lastClr="000000"/>
              </a:solidFill>
            </c:spPr>
          </c:dPt>
          <c:cat>
            <c:strRef>
              <c:f>'with reference'!$C$70:$E$70</c:f>
              <c:strCache>
                <c:ptCount val="3"/>
                <c:pt idx="0">
                  <c:v>Endowments</c:v>
                </c:pt>
                <c:pt idx="1">
                  <c:v>Coefficients</c:v>
                </c:pt>
                <c:pt idx="2">
                  <c:v>Change BMI</c:v>
                </c:pt>
              </c:strCache>
            </c:strRef>
          </c:cat>
          <c:val>
            <c:numRef>
              <c:f>'with reference'!$C$77:$E$77</c:f>
              <c:numCache>
                <c:formatCode>General</c:formatCode>
                <c:ptCount val="3"/>
                <c:pt idx="0">
                  <c:v>0</c:v>
                </c:pt>
                <c:pt idx="1">
                  <c:v>0.49100000000000016</c:v>
                </c:pt>
                <c:pt idx="2" formatCode="0.000">
                  <c:v>4.7999999999999932E-2</c:v>
                </c:pt>
              </c:numCache>
            </c:numRef>
          </c:val>
        </c:ser>
        <c:dLbls>
          <c:showLegendKey val="0"/>
          <c:showVal val="0"/>
          <c:showCatName val="0"/>
          <c:showSerName val="0"/>
          <c:showPercent val="0"/>
          <c:showBubbleSize val="0"/>
        </c:dLbls>
        <c:gapWidth val="150"/>
        <c:overlap val="100"/>
        <c:axId val="138396696"/>
        <c:axId val="138396304"/>
      </c:barChart>
      <c:catAx>
        <c:axId val="138396696"/>
        <c:scaling>
          <c:orientation val="minMax"/>
        </c:scaling>
        <c:delete val="0"/>
        <c:axPos val="b"/>
        <c:numFmt formatCode="General" sourceLinked="1"/>
        <c:majorTickMark val="out"/>
        <c:minorTickMark val="none"/>
        <c:tickLblPos val="nextTo"/>
        <c:crossAx val="138396304"/>
        <c:crosses val="autoZero"/>
        <c:auto val="1"/>
        <c:lblAlgn val="ctr"/>
        <c:lblOffset val="100"/>
        <c:noMultiLvlLbl val="0"/>
      </c:catAx>
      <c:valAx>
        <c:axId val="138396304"/>
        <c:scaling>
          <c:orientation val="minMax"/>
          <c:max val="0.60000000000000031"/>
          <c:min val="-0.60000000000000031"/>
        </c:scaling>
        <c:delete val="0"/>
        <c:axPos val="l"/>
        <c:majorGridlines/>
        <c:numFmt formatCode="General" sourceLinked="1"/>
        <c:majorTickMark val="out"/>
        <c:minorTickMark val="none"/>
        <c:tickLblPos val="nextTo"/>
        <c:crossAx val="138396696"/>
        <c:crosses val="autoZero"/>
        <c:crossBetween val="between"/>
      </c:valAx>
    </c:plotArea>
    <c:legend>
      <c:legendPos val="r"/>
      <c:legendEntry>
        <c:idx val="6"/>
        <c:delete val="1"/>
      </c:legendEntry>
      <c:overlay val="0"/>
    </c:legend>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Spain</a:t>
            </a:r>
          </a:p>
        </c:rich>
      </c:tx>
      <c:overlay val="0"/>
    </c:title>
    <c:autoTitleDeleted val="0"/>
    <c:plotArea>
      <c:layout/>
      <c:barChart>
        <c:barDir val="col"/>
        <c:grouping val="stacked"/>
        <c:varyColors val="0"/>
        <c:ser>
          <c:idx val="0"/>
          <c:order val="0"/>
          <c:tx>
            <c:strRef>
              <c:f>'with reference'!$B$96</c:f>
              <c:strCache>
                <c:ptCount val="1"/>
              </c:strCache>
            </c:strRef>
          </c:tx>
          <c:invertIfNegative val="0"/>
          <c:cat>
            <c:strRef>
              <c:f>'with reference'!$C$95:$E$95</c:f>
              <c:strCache>
                <c:ptCount val="3"/>
                <c:pt idx="0">
                  <c:v>Endowments</c:v>
                </c:pt>
                <c:pt idx="1">
                  <c:v>Coefficients</c:v>
                </c:pt>
                <c:pt idx="2">
                  <c:v>Change BMI</c:v>
                </c:pt>
              </c:strCache>
            </c:strRef>
          </c:cat>
          <c:val>
            <c:numRef>
              <c:f>'with reference'!$C$96:$E$96</c:f>
              <c:numCache>
                <c:formatCode>General</c:formatCode>
                <c:ptCount val="3"/>
              </c:numCache>
            </c:numRef>
          </c:val>
        </c:ser>
        <c:ser>
          <c:idx val="1"/>
          <c:order val="1"/>
          <c:tx>
            <c:strRef>
              <c:f>'with reference'!$B$97</c:f>
              <c:strCache>
                <c:ptCount val="1"/>
                <c:pt idx="0">
                  <c:v>Female</c:v>
                </c:pt>
              </c:strCache>
            </c:strRef>
          </c:tx>
          <c:spPr>
            <a:solidFill>
              <a:srgbClr val="4F81BD"/>
            </a:solidFill>
          </c:spPr>
          <c:invertIfNegative val="0"/>
          <c:cat>
            <c:strRef>
              <c:f>'with reference'!$C$95:$E$95</c:f>
              <c:strCache>
                <c:ptCount val="3"/>
                <c:pt idx="0">
                  <c:v>Endowments</c:v>
                </c:pt>
                <c:pt idx="1">
                  <c:v>Coefficients</c:v>
                </c:pt>
                <c:pt idx="2">
                  <c:v>Change BMI</c:v>
                </c:pt>
              </c:strCache>
            </c:strRef>
          </c:cat>
          <c:val>
            <c:numRef>
              <c:f>'with reference'!$C$97:$E$97</c:f>
              <c:numCache>
                <c:formatCode>General</c:formatCode>
                <c:ptCount val="3"/>
                <c:pt idx="0">
                  <c:v>0</c:v>
                </c:pt>
                <c:pt idx="1">
                  <c:v>-7.1999999999999995E-2</c:v>
                </c:pt>
              </c:numCache>
            </c:numRef>
          </c:val>
        </c:ser>
        <c:ser>
          <c:idx val="2"/>
          <c:order val="2"/>
          <c:tx>
            <c:strRef>
              <c:f>'with reference'!$B$98</c:f>
              <c:strCache>
                <c:ptCount val="1"/>
                <c:pt idx="0">
                  <c:v>agegroup1</c:v>
                </c:pt>
              </c:strCache>
            </c:strRef>
          </c:tx>
          <c:spPr>
            <a:solidFill>
              <a:srgbClr val="92D050"/>
            </a:solidFill>
          </c:spPr>
          <c:invertIfNegative val="0"/>
          <c:cat>
            <c:strRef>
              <c:f>'with reference'!$C$95:$E$95</c:f>
              <c:strCache>
                <c:ptCount val="3"/>
                <c:pt idx="0">
                  <c:v>Endowments</c:v>
                </c:pt>
                <c:pt idx="1">
                  <c:v>Coefficients</c:v>
                </c:pt>
                <c:pt idx="2">
                  <c:v>Change BMI</c:v>
                </c:pt>
              </c:strCache>
            </c:strRef>
          </c:cat>
          <c:val>
            <c:numRef>
              <c:f>'with reference'!$C$98:$E$98</c:f>
              <c:numCache>
                <c:formatCode>General</c:formatCode>
                <c:ptCount val="3"/>
                <c:pt idx="0">
                  <c:v>0</c:v>
                </c:pt>
                <c:pt idx="1">
                  <c:v>-0.13700000000000001</c:v>
                </c:pt>
              </c:numCache>
            </c:numRef>
          </c:val>
        </c:ser>
        <c:ser>
          <c:idx val="3"/>
          <c:order val="3"/>
          <c:tx>
            <c:strRef>
              <c:f>'with reference'!$B$99</c:f>
              <c:strCache>
                <c:ptCount val="1"/>
                <c:pt idx="0">
                  <c:v>agegroup2</c:v>
                </c:pt>
              </c:strCache>
            </c:strRef>
          </c:tx>
          <c:spPr>
            <a:solidFill>
              <a:srgbClr val="9BBB59">
                <a:lumMod val="50000"/>
              </a:srgbClr>
            </a:solidFill>
          </c:spPr>
          <c:invertIfNegative val="0"/>
          <c:cat>
            <c:strRef>
              <c:f>'with reference'!$C$95:$E$95</c:f>
              <c:strCache>
                <c:ptCount val="3"/>
                <c:pt idx="0">
                  <c:v>Endowments</c:v>
                </c:pt>
                <c:pt idx="1">
                  <c:v>Coefficients</c:v>
                </c:pt>
                <c:pt idx="2">
                  <c:v>Change BMI</c:v>
                </c:pt>
              </c:strCache>
            </c:strRef>
          </c:cat>
          <c:val>
            <c:numRef>
              <c:f>'with reference'!$C$99:$E$99</c:f>
              <c:numCache>
                <c:formatCode>General</c:formatCode>
                <c:ptCount val="3"/>
                <c:pt idx="0">
                  <c:v>0</c:v>
                </c:pt>
                <c:pt idx="1">
                  <c:v>-5.0000000000000018E-3</c:v>
                </c:pt>
              </c:numCache>
            </c:numRef>
          </c:val>
        </c:ser>
        <c:ser>
          <c:idx val="4"/>
          <c:order val="4"/>
          <c:tx>
            <c:strRef>
              <c:f>'with reference'!$B$100</c:f>
              <c:strCache>
                <c:ptCount val="1"/>
                <c:pt idx="0">
                  <c:v>ISCEDmid</c:v>
                </c:pt>
              </c:strCache>
            </c:strRef>
          </c:tx>
          <c:spPr>
            <a:solidFill>
              <a:srgbClr val="F79646"/>
            </a:solidFill>
          </c:spPr>
          <c:invertIfNegative val="0"/>
          <c:cat>
            <c:strRef>
              <c:f>'with reference'!$C$95:$E$95</c:f>
              <c:strCache>
                <c:ptCount val="3"/>
                <c:pt idx="0">
                  <c:v>Endowments</c:v>
                </c:pt>
                <c:pt idx="1">
                  <c:v>Coefficients</c:v>
                </c:pt>
                <c:pt idx="2">
                  <c:v>Change BMI</c:v>
                </c:pt>
              </c:strCache>
            </c:strRef>
          </c:cat>
          <c:val>
            <c:numRef>
              <c:f>'with reference'!$C$100:$E$100</c:f>
              <c:numCache>
                <c:formatCode>General</c:formatCode>
                <c:ptCount val="3"/>
                <c:pt idx="0">
                  <c:v>0</c:v>
                </c:pt>
                <c:pt idx="1">
                  <c:v>-4.1000000000000002E-2</c:v>
                </c:pt>
              </c:numCache>
            </c:numRef>
          </c:val>
        </c:ser>
        <c:ser>
          <c:idx val="5"/>
          <c:order val="5"/>
          <c:tx>
            <c:strRef>
              <c:f>'with reference'!$B$101</c:f>
              <c:strCache>
                <c:ptCount val="1"/>
                <c:pt idx="0">
                  <c:v>ISCEDhigh</c:v>
                </c:pt>
              </c:strCache>
            </c:strRef>
          </c:tx>
          <c:spPr>
            <a:solidFill>
              <a:srgbClr val="F79646">
                <a:lumMod val="50000"/>
              </a:srgbClr>
            </a:solidFill>
          </c:spPr>
          <c:invertIfNegative val="0"/>
          <c:cat>
            <c:strRef>
              <c:f>'with reference'!$C$95:$E$95</c:f>
              <c:strCache>
                <c:ptCount val="3"/>
                <c:pt idx="0">
                  <c:v>Endowments</c:v>
                </c:pt>
                <c:pt idx="1">
                  <c:v>Coefficients</c:v>
                </c:pt>
                <c:pt idx="2">
                  <c:v>Change BMI</c:v>
                </c:pt>
              </c:strCache>
            </c:strRef>
          </c:cat>
          <c:val>
            <c:numRef>
              <c:f>'with reference'!$C$101:$E$101</c:f>
              <c:numCache>
                <c:formatCode>General</c:formatCode>
                <c:ptCount val="3"/>
                <c:pt idx="0">
                  <c:v>0</c:v>
                </c:pt>
                <c:pt idx="1">
                  <c:v>1.2999999999999998E-2</c:v>
                </c:pt>
              </c:numCache>
            </c:numRef>
          </c:val>
        </c:ser>
        <c:ser>
          <c:idx val="6"/>
          <c:order val="6"/>
          <c:tx>
            <c:strRef>
              <c:f>'with reference'!$B$102</c:f>
              <c:strCache>
                <c:ptCount val="1"/>
                <c:pt idx="0">
                  <c:v>_cons</c:v>
                </c:pt>
              </c:strCache>
            </c:strRef>
          </c:tx>
          <c:spPr>
            <a:solidFill>
              <a:sysClr val="window" lastClr="FFFFFF">
                <a:lumMod val="65000"/>
              </a:sysClr>
            </a:solidFill>
          </c:spPr>
          <c:invertIfNegative val="0"/>
          <c:dPt>
            <c:idx val="2"/>
            <c:invertIfNegative val="0"/>
            <c:bubble3D val="0"/>
            <c:spPr>
              <a:solidFill>
                <a:sysClr val="windowText" lastClr="000000"/>
              </a:solidFill>
            </c:spPr>
          </c:dPt>
          <c:dPt>
            <c:idx val="3"/>
            <c:invertIfNegative val="0"/>
            <c:bubble3D val="0"/>
            <c:spPr>
              <a:solidFill>
                <a:sysClr val="windowText" lastClr="000000"/>
              </a:solidFill>
            </c:spPr>
          </c:dPt>
          <c:cat>
            <c:strRef>
              <c:f>'with reference'!$C$95:$E$95</c:f>
              <c:strCache>
                <c:ptCount val="3"/>
                <c:pt idx="0">
                  <c:v>Endowments</c:v>
                </c:pt>
                <c:pt idx="1">
                  <c:v>Coefficients</c:v>
                </c:pt>
                <c:pt idx="2">
                  <c:v>Change BMI</c:v>
                </c:pt>
              </c:strCache>
            </c:strRef>
          </c:cat>
          <c:val>
            <c:numRef>
              <c:f>'with reference'!$C$102:$E$102</c:f>
              <c:numCache>
                <c:formatCode>General</c:formatCode>
                <c:ptCount val="3"/>
                <c:pt idx="0">
                  <c:v>0</c:v>
                </c:pt>
                <c:pt idx="1">
                  <c:v>0.30400000000000016</c:v>
                </c:pt>
                <c:pt idx="2" formatCode="0.000">
                  <c:v>6.200000000000002E-2</c:v>
                </c:pt>
              </c:numCache>
            </c:numRef>
          </c:val>
        </c:ser>
        <c:dLbls>
          <c:showLegendKey val="0"/>
          <c:showVal val="0"/>
          <c:showCatName val="0"/>
          <c:showSerName val="0"/>
          <c:showPercent val="0"/>
          <c:showBubbleSize val="0"/>
        </c:dLbls>
        <c:gapWidth val="150"/>
        <c:overlap val="100"/>
        <c:axId val="138395520"/>
        <c:axId val="159825544"/>
      </c:barChart>
      <c:catAx>
        <c:axId val="138395520"/>
        <c:scaling>
          <c:orientation val="minMax"/>
        </c:scaling>
        <c:delete val="0"/>
        <c:axPos val="b"/>
        <c:numFmt formatCode="General" sourceLinked="1"/>
        <c:majorTickMark val="out"/>
        <c:minorTickMark val="none"/>
        <c:tickLblPos val="nextTo"/>
        <c:crossAx val="159825544"/>
        <c:crosses val="autoZero"/>
        <c:auto val="1"/>
        <c:lblAlgn val="ctr"/>
        <c:lblOffset val="100"/>
        <c:noMultiLvlLbl val="0"/>
      </c:catAx>
      <c:valAx>
        <c:axId val="159825544"/>
        <c:scaling>
          <c:orientation val="minMax"/>
          <c:max val="0.60000000000000031"/>
          <c:min val="-0.60000000000000031"/>
        </c:scaling>
        <c:delete val="0"/>
        <c:axPos val="l"/>
        <c:majorGridlines/>
        <c:numFmt formatCode="General" sourceLinked="1"/>
        <c:majorTickMark val="out"/>
        <c:minorTickMark val="none"/>
        <c:tickLblPos val="nextTo"/>
        <c:crossAx val="138395520"/>
        <c:crosses val="autoZero"/>
        <c:crossBetween val="between"/>
      </c:valAx>
    </c:plotArea>
    <c:legend>
      <c:legendPos val="r"/>
      <c:legendEntry>
        <c:idx val="6"/>
        <c:delete val="1"/>
      </c:legendEntry>
      <c:overlay val="0"/>
    </c:legend>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Italy</a:t>
            </a:r>
          </a:p>
        </c:rich>
      </c:tx>
      <c:overlay val="0"/>
    </c:title>
    <c:autoTitleDeleted val="0"/>
    <c:plotArea>
      <c:layout/>
      <c:barChart>
        <c:barDir val="col"/>
        <c:grouping val="stacked"/>
        <c:varyColors val="0"/>
        <c:ser>
          <c:idx val="0"/>
          <c:order val="0"/>
          <c:tx>
            <c:strRef>
              <c:f>'with reference'!$S$5</c:f>
              <c:strCache>
                <c:ptCount val="1"/>
              </c:strCache>
            </c:strRef>
          </c:tx>
          <c:invertIfNegative val="0"/>
          <c:cat>
            <c:strRef>
              <c:f>'with reference'!$T$4:$V$4</c:f>
              <c:strCache>
                <c:ptCount val="3"/>
                <c:pt idx="0">
                  <c:v>Endowments</c:v>
                </c:pt>
                <c:pt idx="1">
                  <c:v>Coefficients</c:v>
                </c:pt>
                <c:pt idx="2">
                  <c:v>Change BMI</c:v>
                </c:pt>
              </c:strCache>
            </c:strRef>
          </c:cat>
          <c:val>
            <c:numRef>
              <c:f>'with reference'!$T$5:$V$5</c:f>
              <c:numCache>
                <c:formatCode>General</c:formatCode>
                <c:ptCount val="3"/>
              </c:numCache>
            </c:numRef>
          </c:val>
        </c:ser>
        <c:ser>
          <c:idx val="1"/>
          <c:order val="1"/>
          <c:tx>
            <c:strRef>
              <c:f>'with reference'!$S$6</c:f>
              <c:strCache>
                <c:ptCount val="1"/>
                <c:pt idx="0">
                  <c:v>Female</c:v>
                </c:pt>
              </c:strCache>
            </c:strRef>
          </c:tx>
          <c:spPr>
            <a:solidFill>
              <a:srgbClr val="4F81BD"/>
            </a:solidFill>
          </c:spPr>
          <c:invertIfNegative val="0"/>
          <c:cat>
            <c:strRef>
              <c:f>'with reference'!$T$4:$V$4</c:f>
              <c:strCache>
                <c:ptCount val="3"/>
                <c:pt idx="0">
                  <c:v>Endowments</c:v>
                </c:pt>
                <c:pt idx="1">
                  <c:v>Coefficients</c:v>
                </c:pt>
                <c:pt idx="2">
                  <c:v>Change BMI</c:v>
                </c:pt>
              </c:strCache>
            </c:strRef>
          </c:cat>
          <c:val>
            <c:numRef>
              <c:f>'with reference'!$T$6:$V$6</c:f>
              <c:numCache>
                <c:formatCode>General</c:formatCode>
                <c:ptCount val="3"/>
                <c:pt idx="0">
                  <c:v>0</c:v>
                </c:pt>
                <c:pt idx="1">
                  <c:v>-6.6000000000000003E-2</c:v>
                </c:pt>
              </c:numCache>
            </c:numRef>
          </c:val>
        </c:ser>
        <c:ser>
          <c:idx val="2"/>
          <c:order val="2"/>
          <c:tx>
            <c:strRef>
              <c:f>'with reference'!$S$7</c:f>
              <c:strCache>
                <c:ptCount val="1"/>
                <c:pt idx="0">
                  <c:v>agegroup1</c:v>
                </c:pt>
              </c:strCache>
            </c:strRef>
          </c:tx>
          <c:spPr>
            <a:solidFill>
              <a:srgbClr val="92D050"/>
            </a:solidFill>
          </c:spPr>
          <c:invertIfNegative val="0"/>
          <c:cat>
            <c:strRef>
              <c:f>'with reference'!$T$4:$V$4</c:f>
              <c:strCache>
                <c:ptCount val="3"/>
                <c:pt idx="0">
                  <c:v>Endowments</c:v>
                </c:pt>
                <c:pt idx="1">
                  <c:v>Coefficients</c:v>
                </c:pt>
                <c:pt idx="2">
                  <c:v>Change BMI</c:v>
                </c:pt>
              </c:strCache>
            </c:strRef>
          </c:cat>
          <c:val>
            <c:numRef>
              <c:f>'with reference'!$T$7:$V$7</c:f>
              <c:numCache>
                <c:formatCode>General</c:formatCode>
                <c:ptCount val="3"/>
                <c:pt idx="0">
                  <c:v>0</c:v>
                </c:pt>
                <c:pt idx="1">
                  <c:v>-9.8000000000000032E-2</c:v>
                </c:pt>
              </c:numCache>
            </c:numRef>
          </c:val>
        </c:ser>
        <c:ser>
          <c:idx val="3"/>
          <c:order val="3"/>
          <c:tx>
            <c:strRef>
              <c:f>'with reference'!$S$8</c:f>
              <c:strCache>
                <c:ptCount val="1"/>
                <c:pt idx="0">
                  <c:v>agegroup2</c:v>
                </c:pt>
              </c:strCache>
            </c:strRef>
          </c:tx>
          <c:spPr>
            <a:solidFill>
              <a:srgbClr val="9BBB59">
                <a:lumMod val="50000"/>
              </a:srgbClr>
            </a:solidFill>
          </c:spPr>
          <c:invertIfNegative val="0"/>
          <c:cat>
            <c:strRef>
              <c:f>'with reference'!$T$4:$V$4</c:f>
              <c:strCache>
                <c:ptCount val="3"/>
                <c:pt idx="0">
                  <c:v>Endowments</c:v>
                </c:pt>
                <c:pt idx="1">
                  <c:v>Coefficients</c:v>
                </c:pt>
                <c:pt idx="2">
                  <c:v>Change BMI</c:v>
                </c:pt>
              </c:strCache>
            </c:strRef>
          </c:cat>
          <c:val>
            <c:numRef>
              <c:f>'with reference'!$T$8:$V$8</c:f>
              <c:numCache>
                <c:formatCode>General</c:formatCode>
                <c:ptCount val="3"/>
                <c:pt idx="0">
                  <c:v>0</c:v>
                </c:pt>
                <c:pt idx="1">
                  <c:v>-3.9000000000000014E-2</c:v>
                </c:pt>
              </c:numCache>
            </c:numRef>
          </c:val>
        </c:ser>
        <c:ser>
          <c:idx val="4"/>
          <c:order val="4"/>
          <c:tx>
            <c:strRef>
              <c:f>'with reference'!$S$9</c:f>
              <c:strCache>
                <c:ptCount val="1"/>
                <c:pt idx="0">
                  <c:v>ISCEDmid</c:v>
                </c:pt>
              </c:strCache>
            </c:strRef>
          </c:tx>
          <c:spPr>
            <a:solidFill>
              <a:srgbClr val="F79646"/>
            </a:solidFill>
          </c:spPr>
          <c:invertIfNegative val="0"/>
          <c:cat>
            <c:strRef>
              <c:f>'with reference'!$T$4:$V$4</c:f>
              <c:strCache>
                <c:ptCount val="3"/>
                <c:pt idx="0">
                  <c:v>Endowments</c:v>
                </c:pt>
                <c:pt idx="1">
                  <c:v>Coefficients</c:v>
                </c:pt>
                <c:pt idx="2">
                  <c:v>Change BMI</c:v>
                </c:pt>
              </c:strCache>
            </c:strRef>
          </c:cat>
          <c:val>
            <c:numRef>
              <c:f>'with reference'!$T$9:$V$9</c:f>
              <c:numCache>
                <c:formatCode>General</c:formatCode>
                <c:ptCount val="3"/>
                <c:pt idx="0">
                  <c:v>0</c:v>
                </c:pt>
                <c:pt idx="1">
                  <c:v>-2.3E-2</c:v>
                </c:pt>
              </c:numCache>
            </c:numRef>
          </c:val>
        </c:ser>
        <c:ser>
          <c:idx val="5"/>
          <c:order val="5"/>
          <c:tx>
            <c:strRef>
              <c:f>'with reference'!$S$10</c:f>
              <c:strCache>
                <c:ptCount val="1"/>
                <c:pt idx="0">
                  <c:v>ISCEDhigh</c:v>
                </c:pt>
              </c:strCache>
            </c:strRef>
          </c:tx>
          <c:spPr>
            <a:solidFill>
              <a:srgbClr val="F79646">
                <a:lumMod val="50000"/>
              </a:srgbClr>
            </a:solidFill>
          </c:spPr>
          <c:invertIfNegative val="0"/>
          <c:cat>
            <c:strRef>
              <c:f>'with reference'!$T$4:$V$4</c:f>
              <c:strCache>
                <c:ptCount val="3"/>
                <c:pt idx="0">
                  <c:v>Endowments</c:v>
                </c:pt>
                <c:pt idx="1">
                  <c:v>Coefficients</c:v>
                </c:pt>
                <c:pt idx="2">
                  <c:v>Change BMI</c:v>
                </c:pt>
              </c:strCache>
            </c:strRef>
          </c:cat>
          <c:val>
            <c:numRef>
              <c:f>'with reference'!$T$10:$V$10</c:f>
              <c:numCache>
                <c:formatCode>General</c:formatCode>
                <c:ptCount val="3"/>
                <c:pt idx="0">
                  <c:v>0</c:v>
                </c:pt>
                <c:pt idx="1">
                  <c:v>3.0000000000000002E-2</c:v>
                </c:pt>
              </c:numCache>
            </c:numRef>
          </c:val>
        </c:ser>
        <c:ser>
          <c:idx val="6"/>
          <c:order val="6"/>
          <c:tx>
            <c:strRef>
              <c:f>'with reference'!$S$11</c:f>
              <c:strCache>
                <c:ptCount val="1"/>
                <c:pt idx="0">
                  <c:v>_cons</c:v>
                </c:pt>
              </c:strCache>
            </c:strRef>
          </c:tx>
          <c:spPr>
            <a:solidFill>
              <a:sysClr val="windowText" lastClr="000000"/>
            </a:solidFill>
          </c:spPr>
          <c:invertIfNegative val="0"/>
          <c:dPt>
            <c:idx val="1"/>
            <c:invertIfNegative val="0"/>
            <c:bubble3D val="0"/>
            <c:spPr>
              <a:solidFill>
                <a:sysClr val="window" lastClr="FFFFFF">
                  <a:lumMod val="65000"/>
                </a:sysClr>
              </a:solidFill>
            </c:spPr>
          </c:dPt>
          <c:cat>
            <c:strRef>
              <c:f>'with reference'!$T$4:$V$4</c:f>
              <c:strCache>
                <c:ptCount val="3"/>
                <c:pt idx="0">
                  <c:v>Endowments</c:v>
                </c:pt>
                <c:pt idx="1">
                  <c:v>Coefficients</c:v>
                </c:pt>
                <c:pt idx="2">
                  <c:v>Change BMI</c:v>
                </c:pt>
              </c:strCache>
            </c:strRef>
          </c:cat>
          <c:val>
            <c:numRef>
              <c:f>'with reference'!$T$11:$V$11</c:f>
              <c:numCache>
                <c:formatCode>General</c:formatCode>
                <c:ptCount val="3"/>
                <c:pt idx="0">
                  <c:v>0</c:v>
                </c:pt>
                <c:pt idx="1">
                  <c:v>0.222</c:v>
                </c:pt>
                <c:pt idx="2" formatCode="0.000">
                  <c:v>2.5999999999999995E-2</c:v>
                </c:pt>
              </c:numCache>
            </c:numRef>
          </c:val>
        </c:ser>
        <c:dLbls>
          <c:showLegendKey val="0"/>
          <c:showVal val="0"/>
          <c:showCatName val="0"/>
          <c:showSerName val="0"/>
          <c:showPercent val="0"/>
          <c:showBubbleSize val="0"/>
        </c:dLbls>
        <c:gapWidth val="150"/>
        <c:overlap val="100"/>
        <c:axId val="159826720"/>
        <c:axId val="159827112"/>
      </c:barChart>
      <c:catAx>
        <c:axId val="159826720"/>
        <c:scaling>
          <c:orientation val="minMax"/>
        </c:scaling>
        <c:delete val="0"/>
        <c:axPos val="b"/>
        <c:numFmt formatCode="General" sourceLinked="1"/>
        <c:majorTickMark val="out"/>
        <c:minorTickMark val="none"/>
        <c:tickLblPos val="nextTo"/>
        <c:crossAx val="159827112"/>
        <c:crosses val="autoZero"/>
        <c:auto val="1"/>
        <c:lblAlgn val="ctr"/>
        <c:lblOffset val="100"/>
        <c:noMultiLvlLbl val="0"/>
      </c:catAx>
      <c:valAx>
        <c:axId val="159827112"/>
        <c:scaling>
          <c:orientation val="minMax"/>
          <c:max val="0.60000000000000031"/>
          <c:min val="-0.60000000000000031"/>
        </c:scaling>
        <c:delete val="0"/>
        <c:axPos val="l"/>
        <c:majorGridlines/>
        <c:numFmt formatCode="General" sourceLinked="1"/>
        <c:majorTickMark val="out"/>
        <c:minorTickMark val="none"/>
        <c:tickLblPos val="nextTo"/>
        <c:crossAx val="159826720"/>
        <c:crosses val="autoZero"/>
        <c:crossBetween val="between"/>
      </c:valAx>
    </c:plotArea>
    <c:legend>
      <c:legendPos val="r"/>
      <c:legendEntry>
        <c:idx val="6"/>
        <c:delete val="1"/>
      </c:legendEntry>
      <c:overlay val="0"/>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Denmark</a:t>
            </a:r>
          </a:p>
        </c:rich>
      </c:tx>
      <c:overlay val="0"/>
    </c:title>
    <c:autoTitleDeleted val="0"/>
    <c:plotArea>
      <c:layout/>
      <c:barChart>
        <c:barDir val="col"/>
        <c:grouping val="stacked"/>
        <c:varyColors val="0"/>
        <c:ser>
          <c:idx val="0"/>
          <c:order val="0"/>
          <c:tx>
            <c:strRef>
              <c:f>'with reference'!$S$49</c:f>
              <c:strCache>
                <c:ptCount val="1"/>
              </c:strCache>
            </c:strRef>
          </c:tx>
          <c:invertIfNegative val="0"/>
          <c:cat>
            <c:strRef>
              <c:f>'with reference'!$T$48:$V$48</c:f>
              <c:strCache>
                <c:ptCount val="3"/>
                <c:pt idx="0">
                  <c:v>Endowments</c:v>
                </c:pt>
                <c:pt idx="1">
                  <c:v>Coefficients</c:v>
                </c:pt>
                <c:pt idx="2">
                  <c:v>Change BMI</c:v>
                </c:pt>
              </c:strCache>
            </c:strRef>
          </c:cat>
          <c:val>
            <c:numRef>
              <c:f>'with reference'!$T$49:$V$49</c:f>
              <c:numCache>
                <c:formatCode>General</c:formatCode>
                <c:ptCount val="3"/>
              </c:numCache>
            </c:numRef>
          </c:val>
        </c:ser>
        <c:ser>
          <c:idx val="1"/>
          <c:order val="1"/>
          <c:tx>
            <c:strRef>
              <c:f>'with reference'!$S$50</c:f>
              <c:strCache>
                <c:ptCount val="1"/>
                <c:pt idx="0">
                  <c:v>Female</c:v>
                </c:pt>
              </c:strCache>
            </c:strRef>
          </c:tx>
          <c:spPr>
            <a:solidFill>
              <a:srgbClr val="4F81BD"/>
            </a:solidFill>
          </c:spPr>
          <c:invertIfNegative val="0"/>
          <c:cat>
            <c:strRef>
              <c:f>'with reference'!$T$48:$V$48</c:f>
              <c:strCache>
                <c:ptCount val="3"/>
                <c:pt idx="0">
                  <c:v>Endowments</c:v>
                </c:pt>
                <c:pt idx="1">
                  <c:v>Coefficients</c:v>
                </c:pt>
                <c:pt idx="2">
                  <c:v>Change BMI</c:v>
                </c:pt>
              </c:strCache>
            </c:strRef>
          </c:cat>
          <c:val>
            <c:numRef>
              <c:f>'with reference'!$T$50:$V$50</c:f>
              <c:numCache>
                <c:formatCode>General</c:formatCode>
                <c:ptCount val="3"/>
                <c:pt idx="0">
                  <c:v>0</c:v>
                </c:pt>
                <c:pt idx="1">
                  <c:v>6.2E-2</c:v>
                </c:pt>
              </c:numCache>
            </c:numRef>
          </c:val>
        </c:ser>
        <c:ser>
          <c:idx val="2"/>
          <c:order val="2"/>
          <c:tx>
            <c:strRef>
              <c:f>'with reference'!$S$51</c:f>
              <c:strCache>
                <c:ptCount val="1"/>
                <c:pt idx="0">
                  <c:v>agegroup1</c:v>
                </c:pt>
              </c:strCache>
            </c:strRef>
          </c:tx>
          <c:spPr>
            <a:solidFill>
              <a:srgbClr val="92D050"/>
            </a:solidFill>
          </c:spPr>
          <c:invertIfNegative val="0"/>
          <c:cat>
            <c:strRef>
              <c:f>'with reference'!$T$48:$V$48</c:f>
              <c:strCache>
                <c:ptCount val="3"/>
                <c:pt idx="0">
                  <c:v>Endowments</c:v>
                </c:pt>
                <c:pt idx="1">
                  <c:v>Coefficients</c:v>
                </c:pt>
                <c:pt idx="2">
                  <c:v>Change BMI</c:v>
                </c:pt>
              </c:strCache>
            </c:strRef>
          </c:cat>
          <c:val>
            <c:numRef>
              <c:f>'with reference'!$T$51:$V$51</c:f>
              <c:numCache>
                <c:formatCode>General</c:formatCode>
                <c:ptCount val="3"/>
                <c:pt idx="0">
                  <c:v>0</c:v>
                </c:pt>
                <c:pt idx="1">
                  <c:v>-0.121</c:v>
                </c:pt>
              </c:numCache>
            </c:numRef>
          </c:val>
        </c:ser>
        <c:ser>
          <c:idx val="3"/>
          <c:order val="3"/>
          <c:tx>
            <c:strRef>
              <c:f>'with reference'!$S$52</c:f>
              <c:strCache>
                <c:ptCount val="1"/>
                <c:pt idx="0">
                  <c:v>agegroup2</c:v>
                </c:pt>
              </c:strCache>
            </c:strRef>
          </c:tx>
          <c:spPr>
            <a:solidFill>
              <a:srgbClr val="9BBB59">
                <a:lumMod val="50000"/>
              </a:srgbClr>
            </a:solidFill>
          </c:spPr>
          <c:invertIfNegative val="0"/>
          <c:cat>
            <c:strRef>
              <c:f>'with reference'!$T$48:$V$48</c:f>
              <c:strCache>
                <c:ptCount val="3"/>
                <c:pt idx="0">
                  <c:v>Endowments</c:v>
                </c:pt>
                <c:pt idx="1">
                  <c:v>Coefficients</c:v>
                </c:pt>
                <c:pt idx="2">
                  <c:v>Change BMI</c:v>
                </c:pt>
              </c:strCache>
            </c:strRef>
          </c:cat>
          <c:val>
            <c:numRef>
              <c:f>'with reference'!$T$52:$V$52</c:f>
              <c:numCache>
                <c:formatCode>General</c:formatCode>
                <c:ptCount val="3"/>
                <c:pt idx="0">
                  <c:v>0</c:v>
                </c:pt>
                <c:pt idx="1">
                  <c:v>-0.16300000000000001</c:v>
                </c:pt>
              </c:numCache>
            </c:numRef>
          </c:val>
        </c:ser>
        <c:ser>
          <c:idx val="4"/>
          <c:order val="4"/>
          <c:tx>
            <c:strRef>
              <c:f>'with reference'!$S$53</c:f>
              <c:strCache>
                <c:ptCount val="1"/>
                <c:pt idx="0">
                  <c:v>ISCEDmid</c:v>
                </c:pt>
              </c:strCache>
            </c:strRef>
          </c:tx>
          <c:spPr>
            <a:solidFill>
              <a:srgbClr val="F79646"/>
            </a:solidFill>
          </c:spPr>
          <c:invertIfNegative val="0"/>
          <c:cat>
            <c:strRef>
              <c:f>'with reference'!$T$48:$V$48</c:f>
              <c:strCache>
                <c:ptCount val="3"/>
                <c:pt idx="0">
                  <c:v>Endowments</c:v>
                </c:pt>
                <c:pt idx="1">
                  <c:v>Coefficients</c:v>
                </c:pt>
                <c:pt idx="2">
                  <c:v>Change BMI</c:v>
                </c:pt>
              </c:strCache>
            </c:strRef>
          </c:cat>
          <c:val>
            <c:numRef>
              <c:f>'with reference'!$T$53:$V$53</c:f>
              <c:numCache>
                <c:formatCode>General</c:formatCode>
                <c:ptCount val="3"/>
                <c:pt idx="0">
                  <c:v>0</c:v>
                </c:pt>
                <c:pt idx="1">
                  <c:v>-0.13500000000000001</c:v>
                </c:pt>
              </c:numCache>
            </c:numRef>
          </c:val>
        </c:ser>
        <c:ser>
          <c:idx val="5"/>
          <c:order val="5"/>
          <c:tx>
            <c:strRef>
              <c:f>'with reference'!$S$54</c:f>
              <c:strCache>
                <c:ptCount val="1"/>
                <c:pt idx="0">
                  <c:v>ISCEDhigh</c:v>
                </c:pt>
              </c:strCache>
            </c:strRef>
          </c:tx>
          <c:spPr>
            <a:solidFill>
              <a:srgbClr val="F79646">
                <a:lumMod val="50000"/>
              </a:srgbClr>
            </a:solidFill>
          </c:spPr>
          <c:invertIfNegative val="0"/>
          <c:cat>
            <c:strRef>
              <c:f>'with reference'!$T$48:$V$48</c:f>
              <c:strCache>
                <c:ptCount val="3"/>
                <c:pt idx="0">
                  <c:v>Endowments</c:v>
                </c:pt>
                <c:pt idx="1">
                  <c:v>Coefficients</c:v>
                </c:pt>
                <c:pt idx="2">
                  <c:v>Change BMI</c:v>
                </c:pt>
              </c:strCache>
            </c:strRef>
          </c:cat>
          <c:val>
            <c:numRef>
              <c:f>'with reference'!$T$54:$V$54</c:f>
              <c:numCache>
                <c:formatCode>General</c:formatCode>
                <c:ptCount val="3"/>
                <c:pt idx="0">
                  <c:v>0</c:v>
                </c:pt>
                <c:pt idx="1">
                  <c:v>-4.4999999999999998E-2</c:v>
                </c:pt>
              </c:numCache>
            </c:numRef>
          </c:val>
        </c:ser>
        <c:ser>
          <c:idx val="6"/>
          <c:order val="6"/>
          <c:tx>
            <c:strRef>
              <c:f>'with reference'!$S$55</c:f>
              <c:strCache>
                <c:ptCount val="1"/>
                <c:pt idx="0">
                  <c:v>_cons</c:v>
                </c:pt>
              </c:strCache>
            </c:strRef>
          </c:tx>
          <c:spPr>
            <a:solidFill>
              <a:sysClr val="window" lastClr="FFFFFF">
                <a:lumMod val="65000"/>
              </a:sysClr>
            </a:solidFill>
          </c:spPr>
          <c:invertIfNegative val="0"/>
          <c:dPt>
            <c:idx val="2"/>
            <c:invertIfNegative val="0"/>
            <c:bubble3D val="0"/>
            <c:spPr>
              <a:solidFill>
                <a:sysClr val="windowText" lastClr="000000"/>
              </a:solidFill>
            </c:spPr>
          </c:dPt>
          <c:dPt>
            <c:idx val="3"/>
            <c:invertIfNegative val="0"/>
            <c:bubble3D val="0"/>
            <c:spPr>
              <a:solidFill>
                <a:sysClr val="windowText" lastClr="000000"/>
              </a:solidFill>
            </c:spPr>
          </c:dPt>
          <c:cat>
            <c:strRef>
              <c:f>'with reference'!$T$48:$V$48</c:f>
              <c:strCache>
                <c:ptCount val="3"/>
                <c:pt idx="0">
                  <c:v>Endowments</c:v>
                </c:pt>
                <c:pt idx="1">
                  <c:v>Coefficients</c:v>
                </c:pt>
                <c:pt idx="2">
                  <c:v>Change BMI</c:v>
                </c:pt>
              </c:strCache>
            </c:strRef>
          </c:cat>
          <c:val>
            <c:numRef>
              <c:f>'with reference'!$T$55:$V$55</c:f>
              <c:numCache>
                <c:formatCode>General</c:formatCode>
                <c:ptCount val="3"/>
                <c:pt idx="0">
                  <c:v>0</c:v>
                </c:pt>
                <c:pt idx="1">
                  <c:v>0.49</c:v>
                </c:pt>
                <c:pt idx="2" formatCode="0.000">
                  <c:v>8.8000000000000023E-2</c:v>
                </c:pt>
              </c:numCache>
            </c:numRef>
          </c:val>
        </c:ser>
        <c:dLbls>
          <c:showLegendKey val="0"/>
          <c:showVal val="0"/>
          <c:showCatName val="0"/>
          <c:showSerName val="0"/>
          <c:showPercent val="0"/>
          <c:showBubbleSize val="0"/>
        </c:dLbls>
        <c:gapWidth val="150"/>
        <c:overlap val="100"/>
        <c:axId val="159826328"/>
        <c:axId val="159827896"/>
      </c:barChart>
      <c:catAx>
        <c:axId val="159826328"/>
        <c:scaling>
          <c:orientation val="minMax"/>
        </c:scaling>
        <c:delete val="0"/>
        <c:axPos val="b"/>
        <c:numFmt formatCode="General" sourceLinked="1"/>
        <c:majorTickMark val="out"/>
        <c:minorTickMark val="none"/>
        <c:tickLblPos val="nextTo"/>
        <c:crossAx val="159827896"/>
        <c:crosses val="autoZero"/>
        <c:auto val="1"/>
        <c:lblAlgn val="ctr"/>
        <c:lblOffset val="100"/>
        <c:noMultiLvlLbl val="0"/>
      </c:catAx>
      <c:valAx>
        <c:axId val="159827896"/>
        <c:scaling>
          <c:orientation val="minMax"/>
          <c:max val="0.60000000000000031"/>
          <c:min val="-0.60000000000000031"/>
        </c:scaling>
        <c:delete val="0"/>
        <c:axPos val="l"/>
        <c:majorGridlines/>
        <c:numFmt formatCode="General" sourceLinked="1"/>
        <c:majorTickMark val="out"/>
        <c:minorTickMark val="none"/>
        <c:tickLblPos val="nextTo"/>
        <c:crossAx val="159826328"/>
        <c:crosses val="autoZero"/>
        <c:crossBetween val="between"/>
      </c:valAx>
    </c:plotArea>
    <c:legend>
      <c:legendPos val="r"/>
      <c:legendEntry>
        <c:idx val="6"/>
        <c:delete val="1"/>
      </c:legendEntry>
      <c:overlay val="0"/>
    </c:legend>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en-US"/>
              <a:t>France</a:t>
            </a:r>
          </a:p>
        </c:rich>
      </c:tx>
      <c:overlay val="0"/>
    </c:title>
    <c:autoTitleDeleted val="0"/>
    <c:plotArea>
      <c:layout/>
      <c:barChart>
        <c:barDir val="col"/>
        <c:grouping val="stacked"/>
        <c:varyColors val="0"/>
        <c:ser>
          <c:idx val="0"/>
          <c:order val="0"/>
          <c:tx>
            <c:strRef>
              <c:f>'with reference'!$S$27</c:f>
              <c:strCache>
                <c:ptCount val="1"/>
              </c:strCache>
            </c:strRef>
          </c:tx>
          <c:invertIfNegative val="0"/>
          <c:cat>
            <c:strRef>
              <c:f>'with reference'!$T$26:$V$26</c:f>
              <c:strCache>
                <c:ptCount val="3"/>
                <c:pt idx="0">
                  <c:v>Endowments</c:v>
                </c:pt>
                <c:pt idx="1">
                  <c:v>Coefficients</c:v>
                </c:pt>
                <c:pt idx="2">
                  <c:v>Change BMI</c:v>
                </c:pt>
              </c:strCache>
            </c:strRef>
          </c:cat>
          <c:val>
            <c:numRef>
              <c:f>'with reference'!$T$27:$V$27</c:f>
              <c:numCache>
                <c:formatCode>General</c:formatCode>
                <c:ptCount val="3"/>
              </c:numCache>
            </c:numRef>
          </c:val>
        </c:ser>
        <c:ser>
          <c:idx val="1"/>
          <c:order val="1"/>
          <c:tx>
            <c:strRef>
              <c:f>'with reference'!$S$28</c:f>
              <c:strCache>
                <c:ptCount val="1"/>
                <c:pt idx="0">
                  <c:v>Female</c:v>
                </c:pt>
              </c:strCache>
            </c:strRef>
          </c:tx>
          <c:spPr>
            <a:solidFill>
              <a:srgbClr val="4F81BD"/>
            </a:solidFill>
          </c:spPr>
          <c:invertIfNegative val="0"/>
          <c:cat>
            <c:strRef>
              <c:f>'with reference'!$T$26:$V$26</c:f>
              <c:strCache>
                <c:ptCount val="3"/>
                <c:pt idx="0">
                  <c:v>Endowments</c:v>
                </c:pt>
                <c:pt idx="1">
                  <c:v>Coefficients</c:v>
                </c:pt>
                <c:pt idx="2">
                  <c:v>Change BMI</c:v>
                </c:pt>
              </c:strCache>
            </c:strRef>
          </c:cat>
          <c:val>
            <c:numRef>
              <c:f>'with reference'!$T$28:$V$28</c:f>
              <c:numCache>
                <c:formatCode>General</c:formatCode>
                <c:ptCount val="3"/>
                <c:pt idx="0">
                  <c:v>0</c:v>
                </c:pt>
                <c:pt idx="1">
                  <c:v>6.8000000000000019E-2</c:v>
                </c:pt>
              </c:numCache>
            </c:numRef>
          </c:val>
        </c:ser>
        <c:ser>
          <c:idx val="2"/>
          <c:order val="2"/>
          <c:tx>
            <c:strRef>
              <c:f>'with reference'!$S$29</c:f>
              <c:strCache>
                <c:ptCount val="1"/>
                <c:pt idx="0">
                  <c:v>agegroup1</c:v>
                </c:pt>
              </c:strCache>
            </c:strRef>
          </c:tx>
          <c:spPr>
            <a:solidFill>
              <a:srgbClr val="92D050"/>
            </a:solidFill>
          </c:spPr>
          <c:invertIfNegative val="0"/>
          <c:cat>
            <c:strRef>
              <c:f>'with reference'!$T$26:$V$26</c:f>
              <c:strCache>
                <c:ptCount val="3"/>
                <c:pt idx="0">
                  <c:v>Endowments</c:v>
                </c:pt>
                <c:pt idx="1">
                  <c:v>Coefficients</c:v>
                </c:pt>
                <c:pt idx="2">
                  <c:v>Change BMI</c:v>
                </c:pt>
              </c:strCache>
            </c:strRef>
          </c:cat>
          <c:val>
            <c:numRef>
              <c:f>'with reference'!$T$29:$V$29</c:f>
              <c:numCache>
                <c:formatCode>General</c:formatCode>
                <c:ptCount val="3"/>
                <c:pt idx="0">
                  <c:v>0</c:v>
                </c:pt>
                <c:pt idx="1">
                  <c:v>-0.13700000000000001</c:v>
                </c:pt>
              </c:numCache>
            </c:numRef>
          </c:val>
        </c:ser>
        <c:ser>
          <c:idx val="3"/>
          <c:order val="3"/>
          <c:tx>
            <c:strRef>
              <c:f>'with reference'!$S$30</c:f>
              <c:strCache>
                <c:ptCount val="1"/>
                <c:pt idx="0">
                  <c:v>agegroup2</c:v>
                </c:pt>
              </c:strCache>
            </c:strRef>
          </c:tx>
          <c:spPr>
            <a:solidFill>
              <a:srgbClr val="9BBB59">
                <a:lumMod val="50000"/>
              </a:srgbClr>
            </a:solidFill>
          </c:spPr>
          <c:invertIfNegative val="0"/>
          <c:cat>
            <c:strRef>
              <c:f>'with reference'!$T$26:$V$26</c:f>
              <c:strCache>
                <c:ptCount val="3"/>
                <c:pt idx="0">
                  <c:v>Endowments</c:v>
                </c:pt>
                <c:pt idx="1">
                  <c:v>Coefficients</c:v>
                </c:pt>
                <c:pt idx="2">
                  <c:v>Change BMI</c:v>
                </c:pt>
              </c:strCache>
            </c:strRef>
          </c:cat>
          <c:val>
            <c:numRef>
              <c:f>'with reference'!$T$30:$V$30</c:f>
              <c:numCache>
                <c:formatCode>General</c:formatCode>
                <c:ptCount val="3"/>
                <c:pt idx="0">
                  <c:v>0</c:v>
                </c:pt>
                <c:pt idx="1">
                  <c:v>-0.16300000000000001</c:v>
                </c:pt>
              </c:numCache>
            </c:numRef>
          </c:val>
        </c:ser>
        <c:ser>
          <c:idx val="4"/>
          <c:order val="4"/>
          <c:tx>
            <c:strRef>
              <c:f>'with reference'!$S$31</c:f>
              <c:strCache>
                <c:ptCount val="1"/>
                <c:pt idx="0">
                  <c:v>ISCEDmid</c:v>
                </c:pt>
              </c:strCache>
            </c:strRef>
          </c:tx>
          <c:spPr>
            <a:solidFill>
              <a:srgbClr val="F79646"/>
            </a:solidFill>
          </c:spPr>
          <c:invertIfNegative val="0"/>
          <c:cat>
            <c:strRef>
              <c:f>'with reference'!$T$26:$V$26</c:f>
              <c:strCache>
                <c:ptCount val="3"/>
                <c:pt idx="0">
                  <c:v>Endowments</c:v>
                </c:pt>
                <c:pt idx="1">
                  <c:v>Coefficients</c:v>
                </c:pt>
                <c:pt idx="2">
                  <c:v>Change BMI</c:v>
                </c:pt>
              </c:strCache>
            </c:strRef>
          </c:cat>
          <c:val>
            <c:numRef>
              <c:f>'with reference'!$T$31:$V$31</c:f>
              <c:numCache>
                <c:formatCode>General</c:formatCode>
                <c:ptCount val="3"/>
                <c:pt idx="0">
                  <c:v>0</c:v>
                </c:pt>
                <c:pt idx="1">
                  <c:v>1.2999999999999998E-2</c:v>
                </c:pt>
              </c:numCache>
            </c:numRef>
          </c:val>
        </c:ser>
        <c:ser>
          <c:idx val="5"/>
          <c:order val="5"/>
          <c:tx>
            <c:strRef>
              <c:f>'with reference'!$S$32</c:f>
              <c:strCache>
                <c:ptCount val="1"/>
                <c:pt idx="0">
                  <c:v>ISCEDhigh</c:v>
                </c:pt>
              </c:strCache>
            </c:strRef>
          </c:tx>
          <c:spPr>
            <a:solidFill>
              <a:srgbClr val="F79646">
                <a:lumMod val="50000"/>
              </a:srgbClr>
            </a:solidFill>
          </c:spPr>
          <c:invertIfNegative val="0"/>
          <c:cat>
            <c:strRef>
              <c:f>'with reference'!$T$26:$V$26</c:f>
              <c:strCache>
                <c:ptCount val="3"/>
                <c:pt idx="0">
                  <c:v>Endowments</c:v>
                </c:pt>
                <c:pt idx="1">
                  <c:v>Coefficients</c:v>
                </c:pt>
                <c:pt idx="2">
                  <c:v>Change BMI</c:v>
                </c:pt>
              </c:strCache>
            </c:strRef>
          </c:cat>
          <c:val>
            <c:numRef>
              <c:f>'with reference'!$T$32:$V$32</c:f>
              <c:numCache>
                <c:formatCode>General</c:formatCode>
                <c:ptCount val="3"/>
                <c:pt idx="0">
                  <c:v>0</c:v>
                </c:pt>
                <c:pt idx="1">
                  <c:v>-4.3000000000000003E-2</c:v>
                </c:pt>
              </c:numCache>
            </c:numRef>
          </c:val>
        </c:ser>
        <c:ser>
          <c:idx val="6"/>
          <c:order val="6"/>
          <c:tx>
            <c:strRef>
              <c:f>'with reference'!$S$33</c:f>
              <c:strCache>
                <c:ptCount val="1"/>
                <c:pt idx="0">
                  <c:v>_cons</c:v>
                </c:pt>
              </c:strCache>
            </c:strRef>
          </c:tx>
          <c:spPr>
            <a:solidFill>
              <a:sysClr val="window" lastClr="FFFFFF">
                <a:lumMod val="65000"/>
              </a:sysClr>
            </a:solidFill>
          </c:spPr>
          <c:invertIfNegative val="0"/>
          <c:dPt>
            <c:idx val="2"/>
            <c:invertIfNegative val="0"/>
            <c:bubble3D val="0"/>
            <c:spPr>
              <a:solidFill>
                <a:sysClr val="windowText" lastClr="000000"/>
              </a:solidFill>
            </c:spPr>
          </c:dPt>
          <c:dPt>
            <c:idx val="3"/>
            <c:invertIfNegative val="0"/>
            <c:bubble3D val="0"/>
            <c:spPr>
              <a:solidFill>
                <a:sysClr val="windowText" lastClr="000000"/>
              </a:solidFill>
            </c:spPr>
          </c:dPt>
          <c:cat>
            <c:strRef>
              <c:f>'with reference'!$T$26:$V$26</c:f>
              <c:strCache>
                <c:ptCount val="3"/>
                <c:pt idx="0">
                  <c:v>Endowments</c:v>
                </c:pt>
                <c:pt idx="1">
                  <c:v>Coefficients</c:v>
                </c:pt>
                <c:pt idx="2">
                  <c:v>Change BMI</c:v>
                </c:pt>
              </c:strCache>
            </c:strRef>
          </c:cat>
          <c:val>
            <c:numRef>
              <c:f>'with reference'!$T$33:$V$33</c:f>
              <c:numCache>
                <c:formatCode>General</c:formatCode>
                <c:ptCount val="3"/>
                <c:pt idx="0">
                  <c:v>0</c:v>
                </c:pt>
                <c:pt idx="1">
                  <c:v>0.46600000000000008</c:v>
                </c:pt>
                <c:pt idx="2" formatCode="0.000">
                  <c:v>0.20400000000000001</c:v>
                </c:pt>
              </c:numCache>
            </c:numRef>
          </c:val>
        </c:ser>
        <c:dLbls>
          <c:showLegendKey val="0"/>
          <c:showVal val="0"/>
          <c:showCatName val="0"/>
          <c:showSerName val="0"/>
          <c:showPercent val="0"/>
          <c:showBubbleSize val="0"/>
        </c:dLbls>
        <c:gapWidth val="150"/>
        <c:overlap val="100"/>
        <c:axId val="161566920"/>
        <c:axId val="161567312"/>
      </c:barChart>
      <c:catAx>
        <c:axId val="161566920"/>
        <c:scaling>
          <c:orientation val="minMax"/>
        </c:scaling>
        <c:delete val="0"/>
        <c:axPos val="b"/>
        <c:numFmt formatCode="General" sourceLinked="1"/>
        <c:majorTickMark val="out"/>
        <c:minorTickMark val="none"/>
        <c:tickLblPos val="nextTo"/>
        <c:crossAx val="161567312"/>
        <c:crosses val="autoZero"/>
        <c:auto val="1"/>
        <c:lblAlgn val="ctr"/>
        <c:lblOffset val="100"/>
        <c:noMultiLvlLbl val="0"/>
      </c:catAx>
      <c:valAx>
        <c:axId val="161567312"/>
        <c:scaling>
          <c:orientation val="minMax"/>
        </c:scaling>
        <c:delete val="0"/>
        <c:axPos val="l"/>
        <c:majorGridlines/>
        <c:numFmt formatCode="General" sourceLinked="1"/>
        <c:majorTickMark val="out"/>
        <c:minorTickMark val="none"/>
        <c:tickLblPos val="nextTo"/>
        <c:crossAx val="161566920"/>
        <c:crosses val="autoZero"/>
        <c:crossBetween val="between"/>
        <c:majorUnit val="0.2"/>
      </c:valAx>
    </c:plotArea>
    <c:legend>
      <c:legendPos val="r"/>
      <c:legendEntry>
        <c:idx val="6"/>
        <c:delete val="1"/>
      </c:legendEntry>
      <c:overlay val="0"/>
    </c:legend>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Switzerland</a:t>
            </a:r>
          </a:p>
        </c:rich>
      </c:tx>
      <c:overlay val="0"/>
    </c:title>
    <c:autoTitleDeleted val="0"/>
    <c:plotArea>
      <c:layout/>
      <c:barChart>
        <c:barDir val="col"/>
        <c:grouping val="stacked"/>
        <c:varyColors val="0"/>
        <c:ser>
          <c:idx val="0"/>
          <c:order val="0"/>
          <c:tx>
            <c:strRef>
              <c:f>'with reference'!$S$71</c:f>
              <c:strCache>
                <c:ptCount val="1"/>
              </c:strCache>
            </c:strRef>
          </c:tx>
          <c:invertIfNegative val="0"/>
          <c:cat>
            <c:strRef>
              <c:f>'with reference'!$T$70:$V$70</c:f>
              <c:strCache>
                <c:ptCount val="3"/>
                <c:pt idx="0">
                  <c:v>Endowments</c:v>
                </c:pt>
                <c:pt idx="1">
                  <c:v>Coefficients</c:v>
                </c:pt>
                <c:pt idx="2">
                  <c:v>Change BMI</c:v>
                </c:pt>
              </c:strCache>
            </c:strRef>
          </c:cat>
          <c:val>
            <c:numRef>
              <c:f>'with reference'!$T$71:$V$71</c:f>
              <c:numCache>
                <c:formatCode>General</c:formatCode>
                <c:ptCount val="3"/>
              </c:numCache>
            </c:numRef>
          </c:val>
        </c:ser>
        <c:ser>
          <c:idx val="1"/>
          <c:order val="1"/>
          <c:tx>
            <c:strRef>
              <c:f>'with reference'!$S$72</c:f>
              <c:strCache>
                <c:ptCount val="1"/>
                <c:pt idx="0">
                  <c:v>Female</c:v>
                </c:pt>
              </c:strCache>
            </c:strRef>
          </c:tx>
          <c:spPr>
            <a:solidFill>
              <a:srgbClr val="4F81BD"/>
            </a:solidFill>
          </c:spPr>
          <c:invertIfNegative val="0"/>
          <c:cat>
            <c:strRef>
              <c:f>'with reference'!$T$70:$V$70</c:f>
              <c:strCache>
                <c:ptCount val="3"/>
                <c:pt idx="0">
                  <c:v>Endowments</c:v>
                </c:pt>
                <c:pt idx="1">
                  <c:v>Coefficients</c:v>
                </c:pt>
                <c:pt idx="2">
                  <c:v>Change BMI</c:v>
                </c:pt>
              </c:strCache>
            </c:strRef>
          </c:cat>
          <c:val>
            <c:numRef>
              <c:f>'with reference'!$T$72:$V$72</c:f>
              <c:numCache>
                <c:formatCode>General</c:formatCode>
                <c:ptCount val="3"/>
                <c:pt idx="0">
                  <c:v>0</c:v>
                </c:pt>
                <c:pt idx="1">
                  <c:v>0.15</c:v>
                </c:pt>
              </c:numCache>
            </c:numRef>
          </c:val>
        </c:ser>
        <c:ser>
          <c:idx val="2"/>
          <c:order val="2"/>
          <c:tx>
            <c:strRef>
              <c:f>'with reference'!$S$73</c:f>
              <c:strCache>
                <c:ptCount val="1"/>
                <c:pt idx="0">
                  <c:v>agegroup2</c:v>
                </c:pt>
              </c:strCache>
            </c:strRef>
          </c:tx>
          <c:spPr>
            <a:solidFill>
              <a:srgbClr val="92D050"/>
            </a:solidFill>
          </c:spPr>
          <c:invertIfNegative val="0"/>
          <c:cat>
            <c:strRef>
              <c:f>'with reference'!$T$70:$V$70</c:f>
              <c:strCache>
                <c:ptCount val="3"/>
                <c:pt idx="0">
                  <c:v>Endowments</c:v>
                </c:pt>
                <c:pt idx="1">
                  <c:v>Coefficients</c:v>
                </c:pt>
                <c:pt idx="2">
                  <c:v>Change BMI</c:v>
                </c:pt>
              </c:strCache>
            </c:strRef>
          </c:cat>
          <c:val>
            <c:numRef>
              <c:f>'with reference'!$T$73:$V$73</c:f>
              <c:numCache>
                <c:formatCode>General</c:formatCode>
                <c:ptCount val="3"/>
                <c:pt idx="0">
                  <c:v>0</c:v>
                </c:pt>
                <c:pt idx="1">
                  <c:v>-0.154</c:v>
                </c:pt>
              </c:numCache>
            </c:numRef>
          </c:val>
        </c:ser>
        <c:ser>
          <c:idx val="3"/>
          <c:order val="3"/>
          <c:tx>
            <c:strRef>
              <c:f>'with reference'!$S$74</c:f>
              <c:strCache>
                <c:ptCount val="1"/>
                <c:pt idx="0">
                  <c:v>agegroup3</c:v>
                </c:pt>
              </c:strCache>
            </c:strRef>
          </c:tx>
          <c:spPr>
            <a:solidFill>
              <a:srgbClr val="9BBB59">
                <a:lumMod val="50000"/>
              </a:srgbClr>
            </a:solidFill>
          </c:spPr>
          <c:invertIfNegative val="0"/>
          <c:cat>
            <c:strRef>
              <c:f>'with reference'!$T$70:$V$70</c:f>
              <c:strCache>
                <c:ptCount val="3"/>
                <c:pt idx="0">
                  <c:v>Endowments</c:v>
                </c:pt>
                <c:pt idx="1">
                  <c:v>Coefficients</c:v>
                </c:pt>
                <c:pt idx="2">
                  <c:v>Change BMI</c:v>
                </c:pt>
              </c:strCache>
            </c:strRef>
          </c:cat>
          <c:val>
            <c:numRef>
              <c:f>'with reference'!$T$74:$V$74</c:f>
              <c:numCache>
                <c:formatCode>General</c:formatCode>
                <c:ptCount val="3"/>
                <c:pt idx="0">
                  <c:v>0</c:v>
                </c:pt>
                <c:pt idx="1">
                  <c:v>-0.20399999999999999</c:v>
                </c:pt>
              </c:numCache>
            </c:numRef>
          </c:val>
        </c:ser>
        <c:ser>
          <c:idx val="4"/>
          <c:order val="4"/>
          <c:tx>
            <c:strRef>
              <c:f>'with reference'!$S$75</c:f>
              <c:strCache>
                <c:ptCount val="1"/>
                <c:pt idx="0">
                  <c:v>ISCEDmid</c:v>
                </c:pt>
              </c:strCache>
            </c:strRef>
          </c:tx>
          <c:spPr>
            <a:solidFill>
              <a:srgbClr val="F79646"/>
            </a:solidFill>
          </c:spPr>
          <c:invertIfNegative val="0"/>
          <c:cat>
            <c:strRef>
              <c:f>'with reference'!$T$70:$V$70</c:f>
              <c:strCache>
                <c:ptCount val="3"/>
                <c:pt idx="0">
                  <c:v>Endowments</c:v>
                </c:pt>
                <c:pt idx="1">
                  <c:v>Coefficients</c:v>
                </c:pt>
                <c:pt idx="2">
                  <c:v>Change BMI</c:v>
                </c:pt>
              </c:strCache>
            </c:strRef>
          </c:cat>
          <c:val>
            <c:numRef>
              <c:f>'with reference'!$T$75:$V$75</c:f>
              <c:numCache>
                <c:formatCode>General</c:formatCode>
                <c:ptCount val="3"/>
                <c:pt idx="0">
                  <c:v>0</c:v>
                </c:pt>
                <c:pt idx="1">
                  <c:v>-2.9000000000000001E-2</c:v>
                </c:pt>
              </c:numCache>
            </c:numRef>
          </c:val>
        </c:ser>
        <c:ser>
          <c:idx val="5"/>
          <c:order val="5"/>
          <c:tx>
            <c:strRef>
              <c:f>'with reference'!$S$76</c:f>
              <c:strCache>
                <c:ptCount val="1"/>
                <c:pt idx="0">
                  <c:v>ISCEDhigh</c:v>
                </c:pt>
              </c:strCache>
            </c:strRef>
          </c:tx>
          <c:spPr>
            <a:solidFill>
              <a:srgbClr val="F79646">
                <a:lumMod val="50000"/>
              </a:srgbClr>
            </a:solidFill>
          </c:spPr>
          <c:invertIfNegative val="0"/>
          <c:cat>
            <c:strRef>
              <c:f>'with reference'!$T$70:$V$70</c:f>
              <c:strCache>
                <c:ptCount val="3"/>
                <c:pt idx="0">
                  <c:v>Endowments</c:v>
                </c:pt>
                <c:pt idx="1">
                  <c:v>Coefficients</c:v>
                </c:pt>
                <c:pt idx="2">
                  <c:v>Change BMI</c:v>
                </c:pt>
              </c:strCache>
            </c:strRef>
          </c:cat>
          <c:val>
            <c:numRef>
              <c:f>'with reference'!$T$76:$V$76</c:f>
              <c:numCache>
                <c:formatCode>General</c:formatCode>
                <c:ptCount val="3"/>
                <c:pt idx="0">
                  <c:v>0</c:v>
                </c:pt>
                <c:pt idx="1">
                  <c:v>-4.1000000000000002E-2</c:v>
                </c:pt>
              </c:numCache>
            </c:numRef>
          </c:val>
        </c:ser>
        <c:ser>
          <c:idx val="6"/>
          <c:order val="6"/>
          <c:tx>
            <c:strRef>
              <c:f>'with reference'!$S$77</c:f>
              <c:strCache>
                <c:ptCount val="1"/>
                <c:pt idx="0">
                  <c:v>_cons</c:v>
                </c:pt>
              </c:strCache>
            </c:strRef>
          </c:tx>
          <c:spPr>
            <a:solidFill>
              <a:sysClr val="window" lastClr="FFFFFF">
                <a:lumMod val="65000"/>
              </a:sysClr>
            </a:solidFill>
          </c:spPr>
          <c:invertIfNegative val="0"/>
          <c:dPt>
            <c:idx val="2"/>
            <c:invertIfNegative val="0"/>
            <c:bubble3D val="0"/>
            <c:spPr>
              <a:solidFill>
                <a:sysClr val="windowText" lastClr="000000"/>
              </a:solidFill>
            </c:spPr>
          </c:dPt>
          <c:dPt>
            <c:idx val="3"/>
            <c:invertIfNegative val="0"/>
            <c:bubble3D val="0"/>
            <c:spPr>
              <a:solidFill>
                <a:sysClr val="windowText" lastClr="000000"/>
              </a:solidFill>
            </c:spPr>
          </c:dPt>
          <c:cat>
            <c:strRef>
              <c:f>'with reference'!$T$70:$V$70</c:f>
              <c:strCache>
                <c:ptCount val="3"/>
                <c:pt idx="0">
                  <c:v>Endowments</c:v>
                </c:pt>
                <c:pt idx="1">
                  <c:v>Coefficients</c:v>
                </c:pt>
                <c:pt idx="2">
                  <c:v>Change BMI</c:v>
                </c:pt>
              </c:strCache>
            </c:strRef>
          </c:cat>
          <c:val>
            <c:numRef>
              <c:f>'with reference'!$T$77:$V$77</c:f>
              <c:numCache>
                <c:formatCode>General</c:formatCode>
                <c:ptCount val="3"/>
                <c:pt idx="0">
                  <c:v>0</c:v>
                </c:pt>
                <c:pt idx="1">
                  <c:v>0.48</c:v>
                </c:pt>
                <c:pt idx="2" formatCode="0.000">
                  <c:v>0.20200000000000001</c:v>
                </c:pt>
              </c:numCache>
            </c:numRef>
          </c:val>
        </c:ser>
        <c:dLbls>
          <c:showLegendKey val="0"/>
          <c:showVal val="0"/>
          <c:showCatName val="0"/>
          <c:showSerName val="0"/>
          <c:showPercent val="0"/>
          <c:showBubbleSize val="0"/>
        </c:dLbls>
        <c:gapWidth val="150"/>
        <c:overlap val="100"/>
        <c:axId val="161568096"/>
        <c:axId val="161568488"/>
      </c:barChart>
      <c:catAx>
        <c:axId val="161568096"/>
        <c:scaling>
          <c:orientation val="minMax"/>
        </c:scaling>
        <c:delete val="0"/>
        <c:axPos val="b"/>
        <c:numFmt formatCode="General" sourceLinked="1"/>
        <c:majorTickMark val="out"/>
        <c:minorTickMark val="none"/>
        <c:tickLblPos val="nextTo"/>
        <c:crossAx val="161568488"/>
        <c:crosses val="autoZero"/>
        <c:auto val="1"/>
        <c:lblAlgn val="ctr"/>
        <c:lblOffset val="100"/>
        <c:noMultiLvlLbl val="0"/>
      </c:catAx>
      <c:valAx>
        <c:axId val="161568488"/>
        <c:scaling>
          <c:orientation val="minMax"/>
          <c:max val="0.8"/>
          <c:min val="-0.60000000000000031"/>
        </c:scaling>
        <c:delete val="0"/>
        <c:axPos val="l"/>
        <c:majorGridlines/>
        <c:numFmt formatCode="General" sourceLinked="1"/>
        <c:majorTickMark val="out"/>
        <c:minorTickMark val="none"/>
        <c:tickLblPos val="nextTo"/>
        <c:crossAx val="161568096"/>
        <c:crosses val="autoZero"/>
        <c:crossBetween val="between"/>
      </c:valAx>
    </c:plotArea>
    <c:legend>
      <c:legendPos val="r"/>
      <c:legendEntry>
        <c:idx val="6"/>
        <c:delete val="1"/>
      </c:legendEntry>
      <c:overlay val="0"/>
    </c:legend>
    <c:plotVisOnly val="1"/>
    <c:dispBlanksAs val="gap"/>
    <c:showDLblsOverMax val="0"/>
  </c:chart>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en-US"/>
              <a:t>Austria</a:t>
            </a:r>
          </a:p>
        </c:rich>
      </c:tx>
      <c:overlay val="0"/>
    </c:title>
    <c:autoTitleDeleted val="0"/>
    <c:plotArea>
      <c:layout/>
      <c:barChart>
        <c:barDir val="col"/>
        <c:grouping val="stacked"/>
        <c:varyColors val="0"/>
        <c:ser>
          <c:idx val="0"/>
          <c:order val="0"/>
          <c:tx>
            <c:strRef>
              <c:f>'extended model oaxaca (2)'!$G$4</c:f>
              <c:strCache>
                <c:ptCount val="1"/>
                <c:pt idx="0">
                  <c:v>Female</c:v>
                </c:pt>
              </c:strCache>
            </c:strRef>
          </c:tx>
          <c:spPr>
            <a:solidFill>
              <a:srgbClr val="1F497D">
                <a:lumMod val="60000"/>
                <a:lumOff val="40000"/>
              </a:srgbClr>
            </a:solidFill>
          </c:spPr>
          <c:invertIfNegative val="0"/>
          <c:cat>
            <c:strRef>
              <c:f>'extended model oaxaca (2)'!$H$2:$J$3</c:f>
              <c:strCache>
                <c:ptCount val="3"/>
                <c:pt idx="0">
                  <c:v>Endowments</c:v>
                </c:pt>
                <c:pt idx="1">
                  <c:v>Coefficients</c:v>
                </c:pt>
                <c:pt idx="2">
                  <c:v>Change BMI</c:v>
                </c:pt>
              </c:strCache>
            </c:strRef>
          </c:cat>
          <c:val>
            <c:numRef>
              <c:f>'extended model oaxaca (2)'!$H$4:$J$4</c:f>
              <c:numCache>
                <c:formatCode>General</c:formatCode>
                <c:ptCount val="3"/>
                <c:pt idx="0">
                  <c:v>0</c:v>
                </c:pt>
                <c:pt idx="1">
                  <c:v>-1.6E-2</c:v>
                </c:pt>
              </c:numCache>
            </c:numRef>
          </c:val>
        </c:ser>
        <c:ser>
          <c:idx val="1"/>
          <c:order val="1"/>
          <c:tx>
            <c:strRef>
              <c:f>'extended model oaxaca (2)'!$G$5</c:f>
              <c:strCache>
                <c:ptCount val="1"/>
                <c:pt idx="0">
                  <c:v>Age</c:v>
                </c:pt>
              </c:strCache>
            </c:strRef>
          </c:tx>
          <c:spPr>
            <a:solidFill>
              <a:srgbClr val="92D050"/>
            </a:solidFill>
          </c:spPr>
          <c:invertIfNegative val="0"/>
          <c:cat>
            <c:strRef>
              <c:f>'extended model oaxaca (2)'!$H$2:$J$3</c:f>
              <c:strCache>
                <c:ptCount val="3"/>
                <c:pt idx="0">
                  <c:v>Endowments</c:v>
                </c:pt>
                <c:pt idx="1">
                  <c:v>Coefficients</c:v>
                </c:pt>
                <c:pt idx="2">
                  <c:v>Change BMI</c:v>
                </c:pt>
              </c:strCache>
            </c:strRef>
          </c:cat>
          <c:val>
            <c:numRef>
              <c:f>'extended model oaxaca (2)'!$H$5:$J$5</c:f>
              <c:numCache>
                <c:formatCode>General</c:formatCode>
                <c:ptCount val="3"/>
                <c:pt idx="0">
                  <c:v>0</c:v>
                </c:pt>
                <c:pt idx="1">
                  <c:v>-6.3E-2</c:v>
                </c:pt>
              </c:numCache>
            </c:numRef>
          </c:val>
        </c:ser>
        <c:ser>
          <c:idx val="2"/>
          <c:order val="2"/>
          <c:tx>
            <c:strRef>
              <c:f>'extended model oaxaca (2)'!$G$6</c:f>
              <c:strCache>
                <c:ptCount val="1"/>
                <c:pt idx="0">
                  <c:v>ISCED</c:v>
                </c:pt>
              </c:strCache>
            </c:strRef>
          </c:tx>
          <c:spPr>
            <a:solidFill>
              <a:srgbClr val="F79646"/>
            </a:solidFill>
          </c:spPr>
          <c:invertIfNegative val="0"/>
          <c:cat>
            <c:strRef>
              <c:f>'extended model oaxaca (2)'!$H$2:$J$3</c:f>
              <c:strCache>
                <c:ptCount val="3"/>
                <c:pt idx="0">
                  <c:v>Endowments</c:v>
                </c:pt>
                <c:pt idx="1">
                  <c:v>Coefficients</c:v>
                </c:pt>
                <c:pt idx="2">
                  <c:v>Change BMI</c:v>
                </c:pt>
              </c:strCache>
            </c:strRef>
          </c:cat>
          <c:val>
            <c:numRef>
              <c:f>'extended model oaxaca (2)'!$H$6:$J$6</c:f>
              <c:numCache>
                <c:formatCode>General</c:formatCode>
                <c:ptCount val="3"/>
                <c:pt idx="0">
                  <c:v>0</c:v>
                </c:pt>
                <c:pt idx="1">
                  <c:v>-5.8000000000000003E-2</c:v>
                </c:pt>
              </c:numCache>
            </c:numRef>
          </c:val>
        </c:ser>
        <c:ser>
          <c:idx val="3"/>
          <c:order val="3"/>
          <c:tx>
            <c:strRef>
              <c:f>'extended model oaxaca (2)'!$G$7</c:f>
              <c:strCache>
                <c:ptCount val="1"/>
                <c:pt idx="0">
                  <c:v>Active</c:v>
                </c:pt>
              </c:strCache>
            </c:strRef>
          </c:tx>
          <c:spPr>
            <a:solidFill>
              <a:schemeClr val="accent4">
                <a:lumMod val="75000"/>
              </a:schemeClr>
            </a:solidFill>
          </c:spPr>
          <c:invertIfNegative val="0"/>
          <c:cat>
            <c:strRef>
              <c:f>'extended model oaxaca (2)'!$H$2:$J$3</c:f>
              <c:strCache>
                <c:ptCount val="3"/>
                <c:pt idx="0">
                  <c:v>Endowments</c:v>
                </c:pt>
                <c:pt idx="1">
                  <c:v>Coefficients</c:v>
                </c:pt>
                <c:pt idx="2">
                  <c:v>Change BMI</c:v>
                </c:pt>
              </c:strCache>
            </c:strRef>
          </c:cat>
          <c:val>
            <c:numRef>
              <c:f>'extended model oaxaca (2)'!$H$7:$J$7</c:f>
              <c:numCache>
                <c:formatCode>General</c:formatCode>
                <c:ptCount val="3"/>
                <c:pt idx="0">
                  <c:v>0.13700000000000001</c:v>
                </c:pt>
                <c:pt idx="1">
                  <c:v>-9.1000000000000011E-2</c:v>
                </c:pt>
              </c:numCache>
            </c:numRef>
          </c:val>
        </c:ser>
        <c:ser>
          <c:idx val="4"/>
          <c:order val="4"/>
          <c:tx>
            <c:strRef>
              <c:f>'extended model oaxaca (2)'!$G$8</c:f>
              <c:strCache>
                <c:ptCount val="1"/>
                <c:pt idx="0">
                  <c:v>Income</c:v>
                </c:pt>
              </c:strCache>
            </c:strRef>
          </c:tx>
          <c:spPr>
            <a:solidFill>
              <a:srgbClr val="C0504D"/>
            </a:solidFill>
          </c:spPr>
          <c:invertIfNegative val="0"/>
          <c:cat>
            <c:strRef>
              <c:f>'extended model oaxaca (2)'!$H$2:$J$3</c:f>
              <c:strCache>
                <c:ptCount val="3"/>
                <c:pt idx="0">
                  <c:v>Endowments</c:v>
                </c:pt>
                <c:pt idx="1">
                  <c:v>Coefficients</c:v>
                </c:pt>
                <c:pt idx="2">
                  <c:v>Change BMI</c:v>
                </c:pt>
              </c:strCache>
            </c:strRef>
          </c:cat>
          <c:val>
            <c:numRef>
              <c:f>'extended model oaxaca (2)'!$H$8:$J$8</c:f>
              <c:numCache>
                <c:formatCode>General</c:formatCode>
                <c:ptCount val="3"/>
                <c:pt idx="0">
                  <c:v>-5.0000000000000001E-4</c:v>
                </c:pt>
                <c:pt idx="1">
                  <c:v>-0.14849999999999999</c:v>
                </c:pt>
              </c:numCache>
            </c:numRef>
          </c:val>
        </c:ser>
        <c:ser>
          <c:idx val="5"/>
          <c:order val="5"/>
          <c:tx>
            <c:strRef>
              <c:f>'extended model oaxaca (2)'!$G$9</c:f>
              <c:strCache>
                <c:ptCount val="1"/>
                <c:pt idx="0">
                  <c:v>Food</c:v>
                </c:pt>
              </c:strCache>
            </c:strRef>
          </c:tx>
          <c:spPr>
            <a:solidFill>
              <a:schemeClr val="accent5">
                <a:lumMod val="40000"/>
                <a:lumOff val="60000"/>
              </a:schemeClr>
            </a:solidFill>
          </c:spPr>
          <c:invertIfNegative val="0"/>
          <c:cat>
            <c:strRef>
              <c:f>'extended model oaxaca (2)'!$H$2:$J$3</c:f>
              <c:strCache>
                <c:ptCount val="3"/>
                <c:pt idx="0">
                  <c:v>Endowments</c:v>
                </c:pt>
                <c:pt idx="1">
                  <c:v>Coefficients</c:v>
                </c:pt>
                <c:pt idx="2">
                  <c:v>Change BMI</c:v>
                </c:pt>
              </c:strCache>
            </c:strRef>
          </c:cat>
          <c:val>
            <c:numRef>
              <c:f>'extended model oaxaca (2)'!$H$9:$J$9</c:f>
              <c:numCache>
                <c:formatCode>General</c:formatCode>
                <c:ptCount val="3"/>
                <c:pt idx="0">
                  <c:v>-3.15E-2</c:v>
                </c:pt>
                <c:pt idx="1">
                  <c:v>-0.3155</c:v>
                </c:pt>
              </c:numCache>
            </c:numRef>
          </c:val>
        </c:ser>
        <c:ser>
          <c:idx val="6"/>
          <c:order val="6"/>
          <c:tx>
            <c:strRef>
              <c:f>'extended model oaxaca (2)'!$G$10</c:f>
              <c:strCache>
                <c:ptCount val="1"/>
                <c:pt idx="0">
                  <c:v>Child health</c:v>
                </c:pt>
              </c:strCache>
            </c:strRef>
          </c:tx>
          <c:spPr>
            <a:solidFill>
              <a:schemeClr val="bg2">
                <a:lumMod val="50000"/>
              </a:schemeClr>
            </a:solidFill>
          </c:spPr>
          <c:invertIfNegative val="0"/>
          <c:cat>
            <c:strRef>
              <c:f>'extended model oaxaca (2)'!$H$2:$J$3</c:f>
              <c:strCache>
                <c:ptCount val="3"/>
                <c:pt idx="0">
                  <c:v>Endowments</c:v>
                </c:pt>
                <c:pt idx="1">
                  <c:v>Coefficients</c:v>
                </c:pt>
                <c:pt idx="2">
                  <c:v>Change BMI</c:v>
                </c:pt>
              </c:strCache>
            </c:strRef>
          </c:cat>
          <c:val>
            <c:numRef>
              <c:f>'extended model oaxaca (2)'!$H$10:$J$10</c:f>
              <c:numCache>
                <c:formatCode>General</c:formatCode>
                <c:ptCount val="3"/>
                <c:pt idx="0">
                  <c:v>0</c:v>
                </c:pt>
                <c:pt idx="1">
                  <c:v>-3.9E-2</c:v>
                </c:pt>
              </c:numCache>
            </c:numRef>
          </c:val>
        </c:ser>
        <c:ser>
          <c:idx val="7"/>
          <c:order val="7"/>
          <c:tx>
            <c:strRef>
              <c:f>'extended model oaxaca (2)'!$G$11</c:f>
              <c:strCache>
                <c:ptCount val="1"/>
                <c:pt idx="0">
                  <c:v>Cons</c:v>
                </c:pt>
              </c:strCache>
            </c:strRef>
          </c:tx>
          <c:spPr>
            <a:solidFill>
              <a:sysClr val="windowText" lastClr="000000"/>
            </a:solidFill>
          </c:spPr>
          <c:invertIfNegative val="0"/>
          <c:dPt>
            <c:idx val="1"/>
            <c:invertIfNegative val="0"/>
            <c:bubble3D val="0"/>
            <c:spPr>
              <a:solidFill>
                <a:sysClr val="window" lastClr="FFFFFF">
                  <a:lumMod val="65000"/>
                </a:sysClr>
              </a:solidFill>
            </c:spPr>
          </c:dPt>
          <c:dPt>
            <c:idx val="3"/>
            <c:invertIfNegative val="0"/>
            <c:bubble3D val="0"/>
          </c:dPt>
          <c:cat>
            <c:strRef>
              <c:f>'extended model oaxaca (2)'!$H$2:$J$3</c:f>
              <c:strCache>
                <c:ptCount val="3"/>
                <c:pt idx="0">
                  <c:v>Endowments</c:v>
                </c:pt>
                <c:pt idx="1">
                  <c:v>Coefficients</c:v>
                </c:pt>
                <c:pt idx="2">
                  <c:v>Change BMI</c:v>
                </c:pt>
              </c:strCache>
            </c:strRef>
          </c:cat>
          <c:val>
            <c:numRef>
              <c:f>'extended model oaxaca (2)'!$H$11:$J$11</c:f>
              <c:numCache>
                <c:formatCode>General</c:formatCode>
                <c:ptCount val="3"/>
                <c:pt idx="0">
                  <c:v>0</c:v>
                </c:pt>
                <c:pt idx="1">
                  <c:v>0.57999999999999996</c:v>
                </c:pt>
                <c:pt idx="2" formatCode="0.000">
                  <c:v>-4.6000000000000124E-2</c:v>
                </c:pt>
              </c:numCache>
            </c:numRef>
          </c:val>
        </c:ser>
        <c:dLbls>
          <c:showLegendKey val="0"/>
          <c:showVal val="0"/>
          <c:showCatName val="0"/>
          <c:showSerName val="0"/>
          <c:showPercent val="0"/>
          <c:showBubbleSize val="0"/>
        </c:dLbls>
        <c:gapWidth val="150"/>
        <c:overlap val="100"/>
        <c:axId val="161569272"/>
        <c:axId val="161569664"/>
      </c:barChart>
      <c:catAx>
        <c:axId val="161569272"/>
        <c:scaling>
          <c:orientation val="minMax"/>
        </c:scaling>
        <c:delete val="0"/>
        <c:axPos val="b"/>
        <c:numFmt formatCode="General" sourceLinked="1"/>
        <c:majorTickMark val="out"/>
        <c:minorTickMark val="none"/>
        <c:tickLblPos val="nextTo"/>
        <c:crossAx val="161569664"/>
        <c:crosses val="autoZero"/>
        <c:auto val="1"/>
        <c:lblAlgn val="ctr"/>
        <c:lblOffset val="100"/>
        <c:noMultiLvlLbl val="0"/>
      </c:catAx>
      <c:valAx>
        <c:axId val="161569664"/>
        <c:scaling>
          <c:orientation val="minMax"/>
        </c:scaling>
        <c:delete val="0"/>
        <c:axPos val="l"/>
        <c:majorGridlines/>
        <c:numFmt formatCode="General" sourceLinked="1"/>
        <c:majorTickMark val="out"/>
        <c:minorTickMark val="none"/>
        <c:tickLblPos val="nextTo"/>
        <c:crossAx val="161569272"/>
        <c:crosses val="autoZero"/>
        <c:crossBetween val="between"/>
      </c:valAx>
    </c:plotArea>
    <c:legend>
      <c:legendPos val="r"/>
      <c:overlay val="0"/>
    </c:legend>
    <c:plotVisOnly val="1"/>
    <c:dispBlanksAs val="gap"/>
    <c:showDLblsOverMax val="0"/>
  </c:chart>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invertIfNegative val="0"/>
          <c:dPt>
            <c:idx val="0"/>
            <c:invertIfNegative val="0"/>
            <c:bubble3D val="0"/>
            <c:spPr>
              <a:solidFill>
                <a:schemeClr val="tx2">
                  <a:lumMod val="40000"/>
                  <a:lumOff val="60000"/>
                </a:schemeClr>
              </a:solidFill>
            </c:spPr>
          </c:dPt>
          <c:dPt>
            <c:idx val="1"/>
            <c:invertIfNegative val="0"/>
            <c:bubble3D val="0"/>
            <c:spPr>
              <a:solidFill>
                <a:schemeClr val="tx2">
                  <a:lumMod val="40000"/>
                  <a:lumOff val="60000"/>
                </a:schemeClr>
              </a:solidFill>
            </c:spPr>
          </c:dPt>
          <c:dPt>
            <c:idx val="2"/>
            <c:invertIfNegative val="0"/>
            <c:bubble3D val="0"/>
            <c:spPr>
              <a:solidFill>
                <a:schemeClr val="tx2">
                  <a:lumMod val="40000"/>
                  <a:lumOff val="60000"/>
                </a:schemeClr>
              </a:solidFill>
            </c:spPr>
          </c:dPt>
          <c:dPt>
            <c:idx val="3"/>
            <c:invertIfNegative val="0"/>
            <c:bubble3D val="0"/>
            <c:spPr>
              <a:solidFill>
                <a:schemeClr val="tx1"/>
              </a:solidFill>
            </c:spPr>
          </c:dPt>
          <c:cat>
            <c:multiLvlStrRef>
              <c:f>'extended model oaxaca (2)'!$Y$2:$AA$3</c:f>
              <c:multiLvlStrCache>
                <c:ptCount val="3"/>
                <c:lvl>
                  <c:pt idx="0">
                    <c:v>Endowments</c:v>
                  </c:pt>
                  <c:pt idx="1">
                    <c:v>Coefficients</c:v>
                  </c:pt>
                  <c:pt idx="2">
                    <c:v>Change BMI</c:v>
                  </c:pt>
                </c:lvl>
                <c:lvl>
                  <c:pt idx="0">
                    <c:v>Net Effect</c:v>
                  </c:pt>
                </c:lvl>
              </c:multiLvlStrCache>
            </c:multiLvlStrRef>
          </c:cat>
          <c:val>
            <c:numRef>
              <c:f>'extended model oaxaca (2)'!$Y$4:$AA$4</c:f>
              <c:numCache>
                <c:formatCode>0.000</c:formatCode>
                <c:ptCount val="3"/>
                <c:pt idx="0">
                  <c:v>0.10500000000000001</c:v>
                </c:pt>
                <c:pt idx="1">
                  <c:v>-0.15100000000000013</c:v>
                </c:pt>
                <c:pt idx="2" formatCode="General">
                  <c:v>-4.6000000000000124E-2</c:v>
                </c:pt>
              </c:numCache>
            </c:numRef>
          </c:val>
        </c:ser>
        <c:dLbls>
          <c:showLegendKey val="0"/>
          <c:showVal val="0"/>
          <c:showCatName val="0"/>
          <c:showSerName val="0"/>
          <c:showPercent val="0"/>
          <c:showBubbleSize val="0"/>
        </c:dLbls>
        <c:gapWidth val="150"/>
        <c:overlap val="100"/>
        <c:axId val="161385272"/>
        <c:axId val="161385664"/>
      </c:barChart>
      <c:catAx>
        <c:axId val="161385272"/>
        <c:scaling>
          <c:orientation val="minMax"/>
        </c:scaling>
        <c:delete val="0"/>
        <c:axPos val="b"/>
        <c:numFmt formatCode="General" sourceLinked="1"/>
        <c:majorTickMark val="out"/>
        <c:minorTickMark val="none"/>
        <c:tickLblPos val="nextTo"/>
        <c:crossAx val="161385664"/>
        <c:crosses val="autoZero"/>
        <c:auto val="1"/>
        <c:lblAlgn val="ctr"/>
        <c:lblOffset val="100"/>
        <c:noMultiLvlLbl val="0"/>
      </c:catAx>
      <c:valAx>
        <c:axId val="161385664"/>
        <c:scaling>
          <c:orientation val="minMax"/>
          <c:max val="0.25"/>
          <c:min val="-0.25"/>
        </c:scaling>
        <c:delete val="0"/>
        <c:axPos val="l"/>
        <c:majorGridlines/>
        <c:numFmt formatCode="0.000" sourceLinked="1"/>
        <c:majorTickMark val="out"/>
        <c:minorTickMark val="none"/>
        <c:tickLblPos val="nextTo"/>
        <c:crossAx val="161385272"/>
        <c:crosses val="autoZero"/>
        <c:crossBetween val="between"/>
      </c:valAx>
    </c:plotArea>
    <c:plotVisOnly val="1"/>
    <c:dispBlanksAs val="gap"/>
    <c:showDLblsOverMax val="0"/>
  </c:chart>
  <c:spPr>
    <a:ln w="9525"/>
  </c:sp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Germany</a:t>
            </a:r>
          </a:p>
        </c:rich>
      </c:tx>
      <c:overlay val="0"/>
    </c:title>
    <c:autoTitleDeleted val="0"/>
    <c:plotArea>
      <c:layout>
        <c:manualLayout>
          <c:layoutTarget val="inner"/>
          <c:xMode val="edge"/>
          <c:yMode val="edge"/>
          <c:x val="8.420330144479253E-2"/>
          <c:y val="0.19824527234449052"/>
          <c:w val="0.67630556254804119"/>
          <c:h val="0.74944603655991759"/>
        </c:manualLayout>
      </c:layout>
      <c:barChart>
        <c:barDir val="col"/>
        <c:grouping val="stacked"/>
        <c:varyColors val="0"/>
        <c:ser>
          <c:idx val="0"/>
          <c:order val="0"/>
          <c:tx>
            <c:strRef>
              <c:f>'extended model oaxaca (2)'!$G$32</c:f>
              <c:strCache>
                <c:ptCount val="1"/>
                <c:pt idx="0">
                  <c:v>Female</c:v>
                </c:pt>
              </c:strCache>
            </c:strRef>
          </c:tx>
          <c:spPr>
            <a:solidFill>
              <a:srgbClr val="1F497D">
                <a:lumMod val="60000"/>
                <a:lumOff val="40000"/>
              </a:srgbClr>
            </a:solidFill>
          </c:spPr>
          <c:invertIfNegative val="0"/>
          <c:cat>
            <c:strRef>
              <c:f>'extended model oaxaca (2)'!$H$30:$J$31</c:f>
              <c:strCache>
                <c:ptCount val="3"/>
                <c:pt idx="0">
                  <c:v>Endowments</c:v>
                </c:pt>
                <c:pt idx="1">
                  <c:v>Coefficients</c:v>
                </c:pt>
                <c:pt idx="2">
                  <c:v>Change BMI</c:v>
                </c:pt>
              </c:strCache>
            </c:strRef>
          </c:cat>
          <c:val>
            <c:numRef>
              <c:f>'extended model oaxaca (2)'!$H$32:$J$32</c:f>
              <c:numCache>
                <c:formatCode>General</c:formatCode>
                <c:ptCount val="3"/>
                <c:pt idx="0">
                  <c:v>0</c:v>
                </c:pt>
                <c:pt idx="1">
                  <c:v>-0.13200000000000001</c:v>
                </c:pt>
              </c:numCache>
            </c:numRef>
          </c:val>
        </c:ser>
        <c:ser>
          <c:idx val="1"/>
          <c:order val="1"/>
          <c:tx>
            <c:strRef>
              <c:f>'extended model oaxaca (2)'!$G$33</c:f>
              <c:strCache>
                <c:ptCount val="1"/>
                <c:pt idx="0">
                  <c:v>Age</c:v>
                </c:pt>
              </c:strCache>
            </c:strRef>
          </c:tx>
          <c:spPr>
            <a:solidFill>
              <a:srgbClr val="92D050"/>
            </a:solidFill>
          </c:spPr>
          <c:invertIfNegative val="0"/>
          <c:cat>
            <c:strRef>
              <c:f>'extended model oaxaca (2)'!$H$30:$J$31</c:f>
              <c:strCache>
                <c:ptCount val="3"/>
                <c:pt idx="0">
                  <c:v>Endowments</c:v>
                </c:pt>
                <c:pt idx="1">
                  <c:v>Coefficients</c:v>
                </c:pt>
                <c:pt idx="2">
                  <c:v>Change BMI</c:v>
                </c:pt>
              </c:strCache>
            </c:strRef>
          </c:cat>
          <c:val>
            <c:numRef>
              <c:f>'extended model oaxaca (2)'!$H$33:$J$33</c:f>
              <c:numCache>
                <c:formatCode>General</c:formatCode>
                <c:ptCount val="3"/>
                <c:pt idx="0">
                  <c:v>0</c:v>
                </c:pt>
                <c:pt idx="1">
                  <c:v>-0.14799999999999999</c:v>
                </c:pt>
              </c:numCache>
            </c:numRef>
          </c:val>
        </c:ser>
        <c:ser>
          <c:idx val="2"/>
          <c:order val="2"/>
          <c:tx>
            <c:strRef>
              <c:f>'extended model oaxaca (2)'!$G$34</c:f>
              <c:strCache>
                <c:ptCount val="1"/>
                <c:pt idx="0">
                  <c:v>ISCED</c:v>
                </c:pt>
              </c:strCache>
            </c:strRef>
          </c:tx>
          <c:spPr>
            <a:solidFill>
              <a:srgbClr val="F79646"/>
            </a:solidFill>
          </c:spPr>
          <c:invertIfNegative val="0"/>
          <c:cat>
            <c:strRef>
              <c:f>'extended model oaxaca (2)'!$H$30:$J$31</c:f>
              <c:strCache>
                <c:ptCount val="3"/>
                <c:pt idx="0">
                  <c:v>Endowments</c:v>
                </c:pt>
                <c:pt idx="1">
                  <c:v>Coefficients</c:v>
                </c:pt>
                <c:pt idx="2">
                  <c:v>Change BMI</c:v>
                </c:pt>
              </c:strCache>
            </c:strRef>
          </c:cat>
          <c:val>
            <c:numRef>
              <c:f>'extended model oaxaca (2)'!$H$34:$J$34</c:f>
              <c:numCache>
                <c:formatCode>General</c:formatCode>
                <c:ptCount val="3"/>
                <c:pt idx="0">
                  <c:v>0</c:v>
                </c:pt>
                <c:pt idx="1">
                  <c:v>-1.2999999999999998E-2</c:v>
                </c:pt>
              </c:numCache>
            </c:numRef>
          </c:val>
        </c:ser>
        <c:ser>
          <c:idx val="3"/>
          <c:order val="3"/>
          <c:tx>
            <c:strRef>
              <c:f>'extended model oaxaca (2)'!$G$35</c:f>
              <c:strCache>
                <c:ptCount val="1"/>
                <c:pt idx="0">
                  <c:v>Active</c:v>
                </c:pt>
              </c:strCache>
            </c:strRef>
          </c:tx>
          <c:spPr>
            <a:solidFill>
              <a:schemeClr val="accent4">
                <a:lumMod val="75000"/>
              </a:schemeClr>
            </a:solidFill>
          </c:spPr>
          <c:invertIfNegative val="0"/>
          <c:cat>
            <c:strRef>
              <c:f>'extended model oaxaca (2)'!$H$30:$J$31</c:f>
              <c:strCache>
                <c:ptCount val="3"/>
                <c:pt idx="0">
                  <c:v>Endowments</c:v>
                </c:pt>
                <c:pt idx="1">
                  <c:v>Coefficients</c:v>
                </c:pt>
                <c:pt idx="2">
                  <c:v>Change BMI</c:v>
                </c:pt>
              </c:strCache>
            </c:strRef>
          </c:cat>
          <c:val>
            <c:numRef>
              <c:f>'extended model oaxaca (2)'!$H$35:$J$35</c:f>
              <c:numCache>
                <c:formatCode>General</c:formatCode>
                <c:ptCount val="3"/>
                <c:pt idx="0">
                  <c:v>6.0000000000000005E-2</c:v>
                </c:pt>
                <c:pt idx="1">
                  <c:v>0.53799999999999992</c:v>
                </c:pt>
              </c:numCache>
            </c:numRef>
          </c:val>
        </c:ser>
        <c:ser>
          <c:idx val="4"/>
          <c:order val="4"/>
          <c:tx>
            <c:strRef>
              <c:f>'extended model oaxaca (2)'!$G$36</c:f>
              <c:strCache>
                <c:ptCount val="1"/>
                <c:pt idx="0">
                  <c:v>Income</c:v>
                </c:pt>
              </c:strCache>
            </c:strRef>
          </c:tx>
          <c:spPr>
            <a:solidFill>
              <a:srgbClr val="C0504D"/>
            </a:solidFill>
          </c:spPr>
          <c:invertIfNegative val="0"/>
          <c:cat>
            <c:strRef>
              <c:f>'extended model oaxaca (2)'!$H$30:$J$31</c:f>
              <c:strCache>
                <c:ptCount val="3"/>
                <c:pt idx="0">
                  <c:v>Endowments</c:v>
                </c:pt>
                <c:pt idx="1">
                  <c:v>Coefficients</c:v>
                </c:pt>
                <c:pt idx="2">
                  <c:v>Change BMI</c:v>
                </c:pt>
              </c:strCache>
            </c:strRef>
          </c:cat>
          <c:val>
            <c:numRef>
              <c:f>'extended model oaxaca (2)'!$H$36:$J$36</c:f>
              <c:numCache>
                <c:formatCode>General</c:formatCode>
                <c:ptCount val="3"/>
                <c:pt idx="0">
                  <c:v>3.2500000000000001E-2</c:v>
                </c:pt>
                <c:pt idx="1">
                  <c:v>7.0500000000000007E-2</c:v>
                </c:pt>
              </c:numCache>
            </c:numRef>
          </c:val>
        </c:ser>
        <c:ser>
          <c:idx val="5"/>
          <c:order val="5"/>
          <c:tx>
            <c:strRef>
              <c:f>'extended model oaxaca (2)'!$G$37</c:f>
              <c:strCache>
                <c:ptCount val="1"/>
                <c:pt idx="0">
                  <c:v>Food</c:v>
                </c:pt>
              </c:strCache>
            </c:strRef>
          </c:tx>
          <c:spPr>
            <a:solidFill>
              <a:schemeClr val="accent5">
                <a:lumMod val="40000"/>
                <a:lumOff val="60000"/>
              </a:schemeClr>
            </a:solidFill>
          </c:spPr>
          <c:invertIfNegative val="0"/>
          <c:cat>
            <c:strRef>
              <c:f>'extended model oaxaca (2)'!$H$30:$J$31</c:f>
              <c:strCache>
                <c:ptCount val="3"/>
                <c:pt idx="0">
                  <c:v>Endowments</c:v>
                </c:pt>
                <c:pt idx="1">
                  <c:v>Coefficients</c:v>
                </c:pt>
                <c:pt idx="2">
                  <c:v>Change BMI</c:v>
                </c:pt>
              </c:strCache>
            </c:strRef>
          </c:cat>
          <c:val>
            <c:numRef>
              <c:f>'extended model oaxaca (2)'!$H$37:$J$37</c:f>
              <c:numCache>
                <c:formatCode>General</c:formatCode>
                <c:ptCount val="3"/>
                <c:pt idx="0">
                  <c:v>-1.5E-3</c:v>
                </c:pt>
                <c:pt idx="1">
                  <c:v>0.14350000000000002</c:v>
                </c:pt>
              </c:numCache>
            </c:numRef>
          </c:val>
        </c:ser>
        <c:ser>
          <c:idx val="6"/>
          <c:order val="6"/>
          <c:tx>
            <c:strRef>
              <c:f>'extended model oaxaca (2)'!$G$38</c:f>
              <c:strCache>
                <c:ptCount val="1"/>
                <c:pt idx="0">
                  <c:v>Child health</c:v>
                </c:pt>
              </c:strCache>
            </c:strRef>
          </c:tx>
          <c:spPr>
            <a:solidFill>
              <a:schemeClr val="bg2">
                <a:lumMod val="50000"/>
              </a:schemeClr>
            </a:solidFill>
          </c:spPr>
          <c:invertIfNegative val="0"/>
          <c:cat>
            <c:strRef>
              <c:f>'extended model oaxaca (2)'!$H$30:$J$31</c:f>
              <c:strCache>
                <c:ptCount val="3"/>
                <c:pt idx="0">
                  <c:v>Endowments</c:v>
                </c:pt>
                <c:pt idx="1">
                  <c:v>Coefficients</c:v>
                </c:pt>
                <c:pt idx="2">
                  <c:v>Change BMI</c:v>
                </c:pt>
              </c:strCache>
            </c:strRef>
          </c:cat>
          <c:val>
            <c:numRef>
              <c:f>'extended model oaxaca (2)'!$H$38:$J$38</c:f>
              <c:numCache>
                <c:formatCode>General</c:formatCode>
                <c:ptCount val="3"/>
                <c:pt idx="0">
                  <c:v>0</c:v>
                </c:pt>
                <c:pt idx="1">
                  <c:v>1.2999999999999999E-2</c:v>
                </c:pt>
              </c:numCache>
            </c:numRef>
          </c:val>
        </c:ser>
        <c:ser>
          <c:idx val="7"/>
          <c:order val="7"/>
          <c:tx>
            <c:strRef>
              <c:f>'extended model oaxaca (2)'!$G$39</c:f>
              <c:strCache>
                <c:ptCount val="1"/>
                <c:pt idx="0">
                  <c:v>Cons</c:v>
                </c:pt>
              </c:strCache>
            </c:strRef>
          </c:tx>
          <c:spPr>
            <a:solidFill>
              <a:schemeClr val="bg1">
                <a:lumMod val="65000"/>
              </a:schemeClr>
            </a:solidFill>
          </c:spPr>
          <c:invertIfNegative val="0"/>
          <c:dPt>
            <c:idx val="2"/>
            <c:invertIfNegative val="0"/>
            <c:bubble3D val="0"/>
            <c:spPr>
              <a:solidFill>
                <a:sysClr val="windowText" lastClr="000000"/>
              </a:solidFill>
            </c:spPr>
          </c:dPt>
          <c:dPt>
            <c:idx val="3"/>
            <c:invertIfNegative val="0"/>
            <c:bubble3D val="0"/>
            <c:spPr>
              <a:solidFill>
                <a:schemeClr val="tx1"/>
              </a:solidFill>
            </c:spPr>
          </c:dPt>
          <c:cat>
            <c:strRef>
              <c:f>'extended model oaxaca (2)'!$H$30:$J$31</c:f>
              <c:strCache>
                <c:ptCount val="3"/>
                <c:pt idx="0">
                  <c:v>Endowments</c:v>
                </c:pt>
                <c:pt idx="1">
                  <c:v>Coefficients</c:v>
                </c:pt>
                <c:pt idx="2">
                  <c:v>Change BMI</c:v>
                </c:pt>
              </c:strCache>
            </c:strRef>
          </c:cat>
          <c:val>
            <c:numRef>
              <c:f>'extended model oaxaca (2)'!$H$39:$J$39</c:f>
              <c:numCache>
                <c:formatCode>General</c:formatCode>
                <c:ptCount val="3"/>
                <c:pt idx="0">
                  <c:v>0</c:v>
                </c:pt>
                <c:pt idx="1">
                  <c:v>-0.38600000000000001</c:v>
                </c:pt>
                <c:pt idx="2" formatCode="0.000">
                  <c:v>0.17699999999999991</c:v>
                </c:pt>
              </c:numCache>
            </c:numRef>
          </c:val>
        </c:ser>
        <c:dLbls>
          <c:showLegendKey val="0"/>
          <c:showVal val="0"/>
          <c:showCatName val="0"/>
          <c:showSerName val="0"/>
          <c:showPercent val="0"/>
          <c:showBubbleSize val="0"/>
        </c:dLbls>
        <c:gapWidth val="150"/>
        <c:overlap val="100"/>
        <c:axId val="161386448"/>
        <c:axId val="161386840"/>
      </c:barChart>
      <c:catAx>
        <c:axId val="161386448"/>
        <c:scaling>
          <c:orientation val="minMax"/>
        </c:scaling>
        <c:delete val="0"/>
        <c:axPos val="b"/>
        <c:numFmt formatCode="General" sourceLinked="1"/>
        <c:majorTickMark val="out"/>
        <c:minorTickMark val="none"/>
        <c:tickLblPos val="nextTo"/>
        <c:crossAx val="161386840"/>
        <c:crosses val="autoZero"/>
        <c:auto val="1"/>
        <c:lblAlgn val="ctr"/>
        <c:lblOffset val="100"/>
        <c:noMultiLvlLbl val="0"/>
      </c:catAx>
      <c:valAx>
        <c:axId val="161386840"/>
        <c:scaling>
          <c:orientation val="minMax"/>
        </c:scaling>
        <c:delete val="0"/>
        <c:axPos val="l"/>
        <c:majorGridlines/>
        <c:numFmt formatCode="General" sourceLinked="1"/>
        <c:majorTickMark val="out"/>
        <c:minorTickMark val="none"/>
        <c:tickLblPos val="nextTo"/>
        <c:crossAx val="161386448"/>
        <c:crosses val="autoZero"/>
        <c:crossBetween val="between"/>
      </c:valAx>
    </c:plotArea>
    <c:legend>
      <c:legendPos val="r"/>
      <c:overlay val="0"/>
    </c:legend>
    <c:plotVisOnly val="1"/>
    <c:dispBlanksAs val="gap"/>
    <c:showDLblsOverMax val="0"/>
  </c:chart>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invertIfNegative val="0"/>
          <c:dPt>
            <c:idx val="0"/>
            <c:invertIfNegative val="0"/>
            <c:bubble3D val="0"/>
            <c:spPr>
              <a:solidFill>
                <a:schemeClr val="tx2">
                  <a:lumMod val="40000"/>
                  <a:lumOff val="60000"/>
                </a:schemeClr>
              </a:solidFill>
            </c:spPr>
          </c:dPt>
          <c:dPt>
            <c:idx val="1"/>
            <c:invertIfNegative val="0"/>
            <c:bubble3D val="0"/>
            <c:spPr>
              <a:solidFill>
                <a:schemeClr val="tx2">
                  <a:lumMod val="40000"/>
                  <a:lumOff val="60000"/>
                </a:schemeClr>
              </a:solidFill>
            </c:spPr>
          </c:dPt>
          <c:dPt>
            <c:idx val="2"/>
            <c:invertIfNegative val="0"/>
            <c:bubble3D val="0"/>
            <c:spPr>
              <a:solidFill>
                <a:schemeClr val="tx2">
                  <a:lumMod val="40000"/>
                  <a:lumOff val="60000"/>
                </a:schemeClr>
              </a:solidFill>
            </c:spPr>
          </c:dPt>
          <c:dPt>
            <c:idx val="3"/>
            <c:invertIfNegative val="0"/>
            <c:bubble3D val="0"/>
            <c:spPr>
              <a:solidFill>
                <a:schemeClr val="tx1"/>
              </a:solidFill>
            </c:spPr>
          </c:dPt>
          <c:cat>
            <c:multiLvlStrRef>
              <c:f>'extended model oaxaca (2)'!$AC$2:$AE$3</c:f>
              <c:multiLvlStrCache>
                <c:ptCount val="3"/>
                <c:lvl>
                  <c:pt idx="0">
                    <c:v>Endowments</c:v>
                  </c:pt>
                  <c:pt idx="1">
                    <c:v>Coefficients</c:v>
                  </c:pt>
                  <c:pt idx="2">
                    <c:v>Change BMI</c:v>
                  </c:pt>
                </c:lvl>
                <c:lvl>
                  <c:pt idx="0">
                    <c:v>Net Effect</c:v>
                  </c:pt>
                </c:lvl>
              </c:multiLvlStrCache>
            </c:multiLvlStrRef>
          </c:cat>
          <c:val>
            <c:numRef>
              <c:f>'extended model oaxaca (2)'!$AC$4:$AE$4</c:f>
              <c:numCache>
                <c:formatCode>0.000</c:formatCode>
                <c:ptCount val="3"/>
                <c:pt idx="0">
                  <c:v>9.0999999999999998E-2</c:v>
                </c:pt>
                <c:pt idx="1">
                  <c:v>8.599999999999991E-2</c:v>
                </c:pt>
                <c:pt idx="2" formatCode="General">
                  <c:v>0.17699999999999991</c:v>
                </c:pt>
              </c:numCache>
            </c:numRef>
          </c:val>
        </c:ser>
        <c:dLbls>
          <c:showLegendKey val="0"/>
          <c:showVal val="0"/>
          <c:showCatName val="0"/>
          <c:showSerName val="0"/>
          <c:showPercent val="0"/>
          <c:showBubbleSize val="0"/>
        </c:dLbls>
        <c:gapWidth val="150"/>
        <c:overlap val="100"/>
        <c:axId val="161387624"/>
        <c:axId val="161388016"/>
      </c:barChart>
      <c:catAx>
        <c:axId val="161387624"/>
        <c:scaling>
          <c:orientation val="minMax"/>
        </c:scaling>
        <c:delete val="0"/>
        <c:axPos val="b"/>
        <c:numFmt formatCode="General" sourceLinked="1"/>
        <c:majorTickMark val="out"/>
        <c:minorTickMark val="none"/>
        <c:tickLblPos val="nextTo"/>
        <c:crossAx val="161388016"/>
        <c:crosses val="autoZero"/>
        <c:auto val="1"/>
        <c:lblAlgn val="ctr"/>
        <c:lblOffset val="100"/>
        <c:noMultiLvlLbl val="0"/>
      </c:catAx>
      <c:valAx>
        <c:axId val="161388016"/>
        <c:scaling>
          <c:orientation val="minMax"/>
          <c:max val="0.25"/>
          <c:min val="-0.25"/>
        </c:scaling>
        <c:delete val="0"/>
        <c:axPos val="l"/>
        <c:majorGridlines/>
        <c:numFmt formatCode="0.000" sourceLinked="1"/>
        <c:majorTickMark val="out"/>
        <c:minorTickMark val="none"/>
        <c:tickLblPos val="nextTo"/>
        <c:crossAx val="161387624"/>
        <c:crosses val="autoZero"/>
        <c:crossBetween val="between"/>
      </c:valAx>
    </c:plotArea>
    <c:plotVisOnly val="1"/>
    <c:dispBlanksAs val="gap"/>
    <c:showDLblsOverMax val="0"/>
  </c:chart>
  <c:spPr>
    <a:ln w="9525"/>
  </c:sp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Sweden</a:t>
            </a:r>
          </a:p>
        </c:rich>
      </c:tx>
      <c:overlay val="0"/>
    </c:title>
    <c:autoTitleDeleted val="0"/>
    <c:plotArea>
      <c:layout/>
      <c:barChart>
        <c:barDir val="col"/>
        <c:grouping val="stacked"/>
        <c:varyColors val="0"/>
        <c:ser>
          <c:idx val="0"/>
          <c:order val="0"/>
          <c:tx>
            <c:strRef>
              <c:f>'extended model oaxaca (2)'!$G$60</c:f>
              <c:strCache>
                <c:ptCount val="1"/>
                <c:pt idx="0">
                  <c:v>Female</c:v>
                </c:pt>
              </c:strCache>
            </c:strRef>
          </c:tx>
          <c:spPr>
            <a:solidFill>
              <a:srgbClr val="1F497D">
                <a:lumMod val="60000"/>
                <a:lumOff val="40000"/>
              </a:srgbClr>
            </a:solidFill>
          </c:spPr>
          <c:invertIfNegative val="0"/>
          <c:cat>
            <c:strRef>
              <c:f>'extended model oaxaca (2)'!$H$58:$J$59</c:f>
              <c:strCache>
                <c:ptCount val="3"/>
                <c:pt idx="0">
                  <c:v>Endowments</c:v>
                </c:pt>
                <c:pt idx="1">
                  <c:v>Coefficients</c:v>
                </c:pt>
                <c:pt idx="2">
                  <c:v>Change BMI</c:v>
                </c:pt>
              </c:strCache>
            </c:strRef>
          </c:cat>
          <c:val>
            <c:numRef>
              <c:f>'extended model oaxaca (2)'!$H$60:$J$60</c:f>
              <c:numCache>
                <c:formatCode>General</c:formatCode>
                <c:ptCount val="3"/>
                <c:pt idx="0">
                  <c:v>0</c:v>
                </c:pt>
                <c:pt idx="1">
                  <c:v>3.5999999999999997E-2</c:v>
                </c:pt>
              </c:numCache>
            </c:numRef>
          </c:val>
        </c:ser>
        <c:ser>
          <c:idx val="1"/>
          <c:order val="1"/>
          <c:tx>
            <c:strRef>
              <c:f>'extended model oaxaca (2)'!$G$61</c:f>
              <c:strCache>
                <c:ptCount val="1"/>
                <c:pt idx="0">
                  <c:v>Age</c:v>
                </c:pt>
              </c:strCache>
            </c:strRef>
          </c:tx>
          <c:spPr>
            <a:solidFill>
              <a:srgbClr val="92D050"/>
            </a:solidFill>
          </c:spPr>
          <c:invertIfNegative val="0"/>
          <c:cat>
            <c:strRef>
              <c:f>'extended model oaxaca (2)'!$H$58:$J$59</c:f>
              <c:strCache>
                <c:ptCount val="3"/>
                <c:pt idx="0">
                  <c:v>Endowments</c:v>
                </c:pt>
                <c:pt idx="1">
                  <c:v>Coefficients</c:v>
                </c:pt>
                <c:pt idx="2">
                  <c:v>Change BMI</c:v>
                </c:pt>
              </c:strCache>
            </c:strRef>
          </c:cat>
          <c:val>
            <c:numRef>
              <c:f>'extended model oaxaca (2)'!$H$61:$J$61</c:f>
              <c:numCache>
                <c:formatCode>General</c:formatCode>
                <c:ptCount val="3"/>
                <c:pt idx="0">
                  <c:v>0</c:v>
                </c:pt>
                <c:pt idx="1">
                  <c:v>-0.191</c:v>
                </c:pt>
              </c:numCache>
            </c:numRef>
          </c:val>
        </c:ser>
        <c:ser>
          <c:idx val="2"/>
          <c:order val="2"/>
          <c:tx>
            <c:strRef>
              <c:f>'extended model oaxaca (2)'!$G$62</c:f>
              <c:strCache>
                <c:ptCount val="1"/>
                <c:pt idx="0">
                  <c:v>ISCED</c:v>
                </c:pt>
              </c:strCache>
            </c:strRef>
          </c:tx>
          <c:spPr>
            <a:solidFill>
              <a:srgbClr val="F79646"/>
            </a:solidFill>
          </c:spPr>
          <c:invertIfNegative val="0"/>
          <c:cat>
            <c:strRef>
              <c:f>'extended model oaxaca (2)'!$H$58:$J$59</c:f>
              <c:strCache>
                <c:ptCount val="3"/>
                <c:pt idx="0">
                  <c:v>Endowments</c:v>
                </c:pt>
                <c:pt idx="1">
                  <c:v>Coefficients</c:v>
                </c:pt>
                <c:pt idx="2">
                  <c:v>Change BMI</c:v>
                </c:pt>
              </c:strCache>
            </c:strRef>
          </c:cat>
          <c:val>
            <c:numRef>
              <c:f>'extended model oaxaca (2)'!$H$62:$J$62</c:f>
              <c:numCache>
                <c:formatCode>General</c:formatCode>
                <c:ptCount val="3"/>
                <c:pt idx="0">
                  <c:v>0</c:v>
                </c:pt>
                <c:pt idx="1">
                  <c:v>0.11099999999999999</c:v>
                </c:pt>
              </c:numCache>
            </c:numRef>
          </c:val>
        </c:ser>
        <c:ser>
          <c:idx val="3"/>
          <c:order val="3"/>
          <c:tx>
            <c:strRef>
              <c:f>'extended model oaxaca (2)'!$G$63</c:f>
              <c:strCache>
                <c:ptCount val="1"/>
                <c:pt idx="0">
                  <c:v>Active</c:v>
                </c:pt>
              </c:strCache>
            </c:strRef>
          </c:tx>
          <c:spPr>
            <a:solidFill>
              <a:schemeClr val="accent4">
                <a:lumMod val="75000"/>
              </a:schemeClr>
            </a:solidFill>
          </c:spPr>
          <c:invertIfNegative val="0"/>
          <c:cat>
            <c:strRef>
              <c:f>'extended model oaxaca (2)'!$H$58:$J$59</c:f>
              <c:strCache>
                <c:ptCount val="3"/>
                <c:pt idx="0">
                  <c:v>Endowments</c:v>
                </c:pt>
                <c:pt idx="1">
                  <c:v>Coefficients</c:v>
                </c:pt>
                <c:pt idx="2">
                  <c:v>Change BMI</c:v>
                </c:pt>
              </c:strCache>
            </c:strRef>
          </c:cat>
          <c:val>
            <c:numRef>
              <c:f>'extended model oaxaca (2)'!$H$63:$J$63</c:f>
              <c:numCache>
                <c:formatCode>General</c:formatCode>
                <c:ptCount val="3"/>
                <c:pt idx="0">
                  <c:v>1.0999999999999999E-2</c:v>
                </c:pt>
                <c:pt idx="1">
                  <c:v>-0.11899999999999999</c:v>
                </c:pt>
              </c:numCache>
            </c:numRef>
          </c:val>
        </c:ser>
        <c:ser>
          <c:idx val="4"/>
          <c:order val="4"/>
          <c:tx>
            <c:strRef>
              <c:f>'extended model oaxaca (2)'!$G$64</c:f>
              <c:strCache>
                <c:ptCount val="1"/>
                <c:pt idx="0">
                  <c:v>Income</c:v>
                </c:pt>
              </c:strCache>
            </c:strRef>
          </c:tx>
          <c:spPr>
            <a:solidFill>
              <a:srgbClr val="C0504D"/>
            </a:solidFill>
          </c:spPr>
          <c:invertIfNegative val="0"/>
          <c:cat>
            <c:strRef>
              <c:f>'extended model oaxaca (2)'!$H$58:$J$59</c:f>
              <c:strCache>
                <c:ptCount val="3"/>
                <c:pt idx="0">
                  <c:v>Endowments</c:v>
                </c:pt>
                <c:pt idx="1">
                  <c:v>Coefficients</c:v>
                </c:pt>
                <c:pt idx="2">
                  <c:v>Change BMI</c:v>
                </c:pt>
              </c:strCache>
            </c:strRef>
          </c:cat>
          <c:val>
            <c:numRef>
              <c:f>'extended model oaxaca (2)'!$H$64:$J$64</c:f>
              <c:numCache>
                <c:formatCode>General</c:formatCode>
                <c:ptCount val="3"/>
                <c:pt idx="0">
                  <c:v>1.2999999999999999E-2</c:v>
                </c:pt>
                <c:pt idx="1">
                  <c:v>5.0000000000000001E-3</c:v>
                </c:pt>
              </c:numCache>
            </c:numRef>
          </c:val>
        </c:ser>
        <c:ser>
          <c:idx val="5"/>
          <c:order val="5"/>
          <c:tx>
            <c:strRef>
              <c:f>'extended model oaxaca (2)'!$G$65</c:f>
              <c:strCache>
                <c:ptCount val="1"/>
                <c:pt idx="0">
                  <c:v>Food</c:v>
                </c:pt>
              </c:strCache>
            </c:strRef>
          </c:tx>
          <c:spPr>
            <a:solidFill>
              <a:schemeClr val="accent5">
                <a:lumMod val="40000"/>
                <a:lumOff val="60000"/>
              </a:schemeClr>
            </a:solidFill>
          </c:spPr>
          <c:invertIfNegative val="0"/>
          <c:cat>
            <c:strRef>
              <c:f>'extended model oaxaca (2)'!$H$58:$J$59</c:f>
              <c:strCache>
                <c:ptCount val="3"/>
                <c:pt idx="0">
                  <c:v>Endowments</c:v>
                </c:pt>
                <c:pt idx="1">
                  <c:v>Coefficients</c:v>
                </c:pt>
                <c:pt idx="2">
                  <c:v>Change BMI</c:v>
                </c:pt>
              </c:strCache>
            </c:strRef>
          </c:cat>
          <c:val>
            <c:numRef>
              <c:f>'extended model oaxaca (2)'!$H$65:$J$65</c:f>
              <c:numCache>
                <c:formatCode>General</c:formatCode>
                <c:ptCount val="3"/>
                <c:pt idx="0">
                  <c:v>0</c:v>
                </c:pt>
                <c:pt idx="1">
                  <c:v>0.183</c:v>
                </c:pt>
              </c:numCache>
            </c:numRef>
          </c:val>
        </c:ser>
        <c:ser>
          <c:idx val="6"/>
          <c:order val="6"/>
          <c:tx>
            <c:strRef>
              <c:f>'extended model oaxaca (2)'!$G$66</c:f>
              <c:strCache>
                <c:ptCount val="1"/>
                <c:pt idx="0">
                  <c:v>Child health</c:v>
                </c:pt>
              </c:strCache>
            </c:strRef>
          </c:tx>
          <c:spPr>
            <a:solidFill>
              <a:schemeClr val="bg2">
                <a:lumMod val="50000"/>
              </a:schemeClr>
            </a:solidFill>
          </c:spPr>
          <c:invertIfNegative val="0"/>
          <c:cat>
            <c:strRef>
              <c:f>'extended model oaxaca (2)'!$H$58:$J$59</c:f>
              <c:strCache>
                <c:ptCount val="3"/>
                <c:pt idx="0">
                  <c:v>Endowments</c:v>
                </c:pt>
                <c:pt idx="1">
                  <c:v>Coefficients</c:v>
                </c:pt>
                <c:pt idx="2">
                  <c:v>Change BMI</c:v>
                </c:pt>
              </c:strCache>
            </c:strRef>
          </c:cat>
          <c:val>
            <c:numRef>
              <c:f>'extended model oaxaca (2)'!$H$66:$J$66</c:f>
              <c:numCache>
                <c:formatCode>General</c:formatCode>
                <c:ptCount val="3"/>
                <c:pt idx="0">
                  <c:v>0</c:v>
                </c:pt>
                <c:pt idx="1">
                  <c:v>1.2E-2</c:v>
                </c:pt>
              </c:numCache>
            </c:numRef>
          </c:val>
        </c:ser>
        <c:ser>
          <c:idx val="7"/>
          <c:order val="7"/>
          <c:tx>
            <c:strRef>
              <c:f>'extended model oaxaca (2)'!$G$67</c:f>
              <c:strCache>
                <c:ptCount val="1"/>
                <c:pt idx="0">
                  <c:v>Cons</c:v>
                </c:pt>
              </c:strCache>
            </c:strRef>
          </c:tx>
          <c:spPr>
            <a:solidFill>
              <a:schemeClr val="bg1">
                <a:lumMod val="65000"/>
              </a:schemeClr>
            </a:solidFill>
          </c:spPr>
          <c:invertIfNegative val="0"/>
          <c:dPt>
            <c:idx val="2"/>
            <c:invertIfNegative val="0"/>
            <c:bubble3D val="0"/>
            <c:spPr>
              <a:solidFill>
                <a:sysClr val="windowText" lastClr="000000"/>
              </a:solidFill>
            </c:spPr>
          </c:dPt>
          <c:dPt>
            <c:idx val="3"/>
            <c:invertIfNegative val="0"/>
            <c:bubble3D val="0"/>
            <c:spPr>
              <a:solidFill>
                <a:schemeClr val="tx1"/>
              </a:solidFill>
            </c:spPr>
          </c:dPt>
          <c:cat>
            <c:strRef>
              <c:f>'extended model oaxaca (2)'!$H$58:$J$59</c:f>
              <c:strCache>
                <c:ptCount val="3"/>
                <c:pt idx="0">
                  <c:v>Endowments</c:v>
                </c:pt>
                <c:pt idx="1">
                  <c:v>Coefficients</c:v>
                </c:pt>
                <c:pt idx="2">
                  <c:v>Change BMI</c:v>
                </c:pt>
              </c:strCache>
            </c:strRef>
          </c:cat>
          <c:val>
            <c:numRef>
              <c:f>'extended model oaxaca (2)'!$H$67:$J$67</c:f>
              <c:numCache>
                <c:formatCode>General</c:formatCode>
                <c:ptCount val="3"/>
                <c:pt idx="0">
                  <c:v>0</c:v>
                </c:pt>
                <c:pt idx="1">
                  <c:v>0.13</c:v>
                </c:pt>
                <c:pt idx="2" formatCode="0.000">
                  <c:v>0.19099999999999998</c:v>
                </c:pt>
              </c:numCache>
            </c:numRef>
          </c:val>
        </c:ser>
        <c:dLbls>
          <c:showLegendKey val="0"/>
          <c:showVal val="0"/>
          <c:showCatName val="0"/>
          <c:showSerName val="0"/>
          <c:showPercent val="0"/>
          <c:showBubbleSize val="0"/>
        </c:dLbls>
        <c:gapWidth val="150"/>
        <c:overlap val="100"/>
        <c:axId val="161388800"/>
        <c:axId val="162209024"/>
      </c:barChart>
      <c:catAx>
        <c:axId val="161388800"/>
        <c:scaling>
          <c:orientation val="minMax"/>
        </c:scaling>
        <c:delete val="0"/>
        <c:axPos val="b"/>
        <c:numFmt formatCode="General" sourceLinked="1"/>
        <c:majorTickMark val="out"/>
        <c:minorTickMark val="none"/>
        <c:tickLblPos val="nextTo"/>
        <c:crossAx val="162209024"/>
        <c:crosses val="autoZero"/>
        <c:auto val="1"/>
        <c:lblAlgn val="ctr"/>
        <c:lblOffset val="100"/>
        <c:noMultiLvlLbl val="0"/>
      </c:catAx>
      <c:valAx>
        <c:axId val="162209024"/>
        <c:scaling>
          <c:orientation val="minMax"/>
          <c:min val="-1"/>
        </c:scaling>
        <c:delete val="0"/>
        <c:axPos val="l"/>
        <c:majorGridlines/>
        <c:numFmt formatCode="General" sourceLinked="1"/>
        <c:majorTickMark val="out"/>
        <c:minorTickMark val="none"/>
        <c:tickLblPos val="nextTo"/>
        <c:crossAx val="161388800"/>
        <c:crosses val="autoZero"/>
        <c:crossBetween val="between"/>
      </c:valAx>
    </c:plotArea>
    <c:legend>
      <c:legendPos val="r"/>
      <c:overlay val="0"/>
    </c:legend>
    <c:plotVisOnly val="1"/>
    <c:dispBlanksAs val="gap"/>
    <c:showDLblsOverMax val="0"/>
  </c:chart>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invertIfNegative val="0"/>
          <c:dPt>
            <c:idx val="0"/>
            <c:invertIfNegative val="0"/>
            <c:bubble3D val="0"/>
            <c:spPr>
              <a:solidFill>
                <a:schemeClr val="tx2">
                  <a:lumMod val="40000"/>
                  <a:lumOff val="60000"/>
                </a:schemeClr>
              </a:solidFill>
            </c:spPr>
          </c:dPt>
          <c:dPt>
            <c:idx val="1"/>
            <c:invertIfNegative val="0"/>
            <c:bubble3D val="0"/>
            <c:spPr>
              <a:solidFill>
                <a:schemeClr val="tx2">
                  <a:lumMod val="40000"/>
                  <a:lumOff val="60000"/>
                </a:schemeClr>
              </a:solidFill>
            </c:spPr>
          </c:dPt>
          <c:dPt>
            <c:idx val="2"/>
            <c:invertIfNegative val="0"/>
            <c:bubble3D val="0"/>
            <c:spPr>
              <a:solidFill>
                <a:schemeClr val="tx2">
                  <a:lumMod val="40000"/>
                  <a:lumOff val="60000"/>
                </a:schemeClr>
              </a:solidFill>
            </c:spPr>
          </c:dPt>
          <c:dPt>
            <c:idx val="3"/>
            <c:invertIfNegative val="0"/>
            <c:bubble3D val="0"/>
            <c:spPr>
              <a:solidFill>
                <a:schemeClr val="tx1"/>
              </a:solidFill>
            </c:spPr>
          </c:dPt>
          <c:cat>
            <c:multiLvlStrRef>
              <c:f>'extended model oaxaca (2)'!$Y$33:$AA$34</c:f>
              <c:multiLvlStrCache>
                <c:ptCount val="3"/>
                <c:lvl>
                  <c:pt idx="0">
                    <c:v>Endowments</c:v>
                  </c:pt>
                  <c:pt idx="1">
                    <c:v>Coefficients</c:v>
                  </c:pt>
                  <c:pt idx="2">
                    <c:v>Change BMI</c:v>
                  </c:pt>
                </c:lvl>
                <c:lvl>
                  <c:pt idx="0">
                    <c:v>Net Effect</c:v>
                  </c:pt>
                </c:lvl>
              </c:multiLvlStrCache>
            </c:multiLvlStrRef>
          </c:cat>
          <c:val>
            <c:numRef>
              <c:f>'extended model oaxaca (2)'!$Y$35:$AA$35</c:f>
              <c:numCache>
                <c:formatCode>0.000</c:formatCode>
                <c:ptCount val="3"/>
                <c:pt idx="0">
                  <c:v>2.4E-2</c:v>
                </c:pt>
                <c:pt idx="1">
                  <c:v>0.16699999999999998</c:v>
                </c:pt>
                <c:pt idx="2" formatCode="General">
                  <c:v>0.19099999999999998</c:v>
                </c:pt>
              </c:numCache>
            </c:numRef>
          </c:val>
        </c:ser>
        <c:dLbls>
          <c:showLegendKey val="0"/>
          <c:showVal val="0"/>
          <c:showCatName val="0"/>
          <c:showSerName val="0"/>
          <c:showPercent val="0"/>
          <c:showBubbleSize val="0"/>
        </c:dLbls>
        <c:gapWidth val="150"/>
        <c:overlap val="100"/>
        <c:axId val="162209808"/>
        <c:axId val="162210200"/>
      </c:barChart>
      <c:catAx>
        <c:axId val="162209808"/>
        <c:scaling>
          <c:orientation val="minMax"/>
        </c:scaling>
        <c:delete val="0"/>
        <c:axPos val="b"/>
        <c:numFmt formatCode="General" sourceLinked="1"/>
        <c:majorTickMark val="out"/>
        <c:minorTickMark val="none"/>
        <c:tickLblPos val="nextTo"/>
        <c:crossAx val="162210200"/>
        <c:crosses val="autoZero"/>
        <c:auto val="1"/>
        <c:lblAlgn val="ctr"/>
        <c:lblOffset val="100"/>
        <c:noMultiLvlLbl val="0"/>
      </c:catAx>
      <c:valAx>
        <c:axId val="162210200"/>
        <c:scaling>
          <c:orientation val="minMax"/>
          <c:max val="0.25"/>
          <c:min val="-0.25"/>
        </c:scaling>
        <c:delete val="0"/>
        <c:axPos val="l"/>
        <c:majorGridlines/>
        <c:numFmt formatCode="0.000" sourceLinked="1"/>
        <c:majorTickMark val="out"/>
        <c:minorTickMark val="none"/>
        <c:tickLblPos val="nextTo"/>
        <c:crossAx val="162209808"/>
        <c:crosses val="autoZero"/>
        <c:crossBetween val="between"/>
      </c:valAx>
    </c:plotArea>
    <c:plotVisOnly val="1"/>
    <c:dispBlanksAs val="gap"/>
    <c:showDLblsOverMax val="0"/>
  </c:chart>
  <c:spPr>
    <a:ln w="9525"/>
  </c:sp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The Netherlands</a:t>
            </a:r>
          </a:p>
        </c:rich>
      </c:tx>
      <c:overlay val="0"/>
    </c:title>
    <c:autoTitleDeleted val="0"/>
    <c:plotArea>
      <c:layout/>
      <c:barChart>
        <c:barDir val="col"/>
        <c:grouping val="stacked"/>
        <c:varyColors val="0"/>
        <c:ser>
          <c:idx val="0"/>
          <c:order val="0"/>
          <c:tx>
            <c:strRef>
              <c:f>'extended model oaxaca (2)'!$G$88</c:f>
              <c:strCache>
                <c:ptCount val="1"/>
                <c:pt idx="0">
                  <c:v>Female</c:v>
                </c:pt>
              </c:strCache>
            </c:strRef>
          </c:tx>
          <c:spPr>
            <a:solidFill>
              <a:srgbClr val="1F497D">
                <a:lumMod val="60000"/>
                <a:lumOff val="40000"/>
              </a:srgbClr>
            </a:solidFill>
          </c:spPr>
          <c:invertIfNegative val="0"/>
          <c:cat>
            <c:strRef>
              <c:f>'extended model oaxaca (2)'!$H$86:$J$87</c:f>
              <c:strCache>
                <c:ptCount val="3"/>
                <c:pt idx="0">
                  <c:v>Endowments</c:v>
                </c:pt>
                <c:pt idx="1">
                  <c:v>Coefficients</c:v>
                </c:pt>
                <c:pt idx="2">
                  <c:v>Change BMI</c:v>
                </c:pt>
              </c:strCache>
            </c:strRef>
          </c:cat>
          <c:val>
            <c:numRef>
              <c:f>'extended model oaxaca (2)'!$H$88:$J$88</c:f>
              <c:numCache>
                <c:formatCode>General</c:formatCode>
                <c:ptCount val="3"/>
                <c:pt idx="0">
                  <c:v>0</c:v>
                </c:pt>
                <c:pt idx="1">
                  <c:v>-8.5999999999999993E-2</c:v>
                </c:pt>
              </c:numCache>
            </c:numRef>
          </c:val>
        </c:ser>
        <c:ser>
          <c:idx val="1"/>
          <c:order val="1"/>
          <c:tx>
            <c:strRef>
              <c:f>'extended model oaxaca (2)'!$G$89</c:f>
              <c:strCache>
                <c:ptCount val="1"/>
                <c:pt idx="0">
                  <c:v>Age</c:v>
                </c:pt>
              </c:strCache>
            </c:strRef>
          </c:tx>
          <c:spPr>
            <a:solidFill>
              <a:srgbClr val="92D050"/>
            </a:solidFill>
          </c:spPr>
          <c:invertIfNegative val="0"/>
          <c:cat>
            <c:strRef>
              <c:f>'extended model oaxaca (2)'!$H$86:$J$87</c:f>
              <c:strCache>
                <c:ptCount val="3"/>
                <c:pt idx="0">
                  <c:v>Endowments</c:v>
                </c:pt>
                <c:pt idx="1">
                  <c:v>Coefficients</c:v>
                </c:pt>
                <c:pt idx="2">
                  <c:v>Change BMI</c:v>
                </c:pt>
              </c:strCache>
            </c:strRef>
          </c:cat>
          <c:val>
            <c:numRef>
              <c:f>'extended model oaxaca (2)'!$H$89:$J$89</c:f>
              <c:numCache>
                <c:formatCode>General</c:formatCode>
                <c:ptCount val="3"/>
                <c:pt idx="0">
                  <c:v>0</c:v>
                </c:pt>
                <c:pt idx="1">
                  <c:v>-0.23200000000000001</c:v>
                </c:pt>
              </c:numCache>
            </c:numRef>
          </c:val>
        </c:ser>
        <c:ser>
          <c:idx val="2"/>
          <c:order val="2"/>
          <c:tx>
            <c:strRef>
              <c:f>'extended model oaxaca (2)'!$G$90</c:f>
              <c:strCache>
                <c:ptCount val="1"/>
                <c:pt idx="0">
                  <c:v>ISCED</c:v>
                </c:pt>
              </c:strCache>
            </c:strRef>
          </c:tx>
          <c:spPr>
            <a:solidFill>
              <a:srgbClr val="F79646"/>
            </a:solidFill>
          </c:spPr>
          <c:invertIfNegative val="0"/>
          <c:cat>
            <c:strRef>
              <c:f>'extended model oaxaca (2)'!$H$86:$J$87</c:f>
              <c:strCache>
                <c:ptCount val="3"/>
                <c:pt idx="0">
                  <c:v>Endowments</c:v>
                </c:pt>
                <c:pt idx="1">
                  <c:v>Coefficients</c:v>
                </c:pt>
                <c:pt idx="2">
                  <c:v>Change BMI</c:v>
                </c:pt>
              </c:strCache>
            </c:strRef>
          </c:cat>
          <c:val>
            <c:numRef>
              <c:f>'extended model oaxaca (2)'!$H$90:$J$90</c:f>
              <c:numCache>
                <c:formatCode>General</c:formatCode>
                <c:ptCount val="3"/>
                <c:pt idx="0">
                  <c:v>0</c:v>
                </c:pt>
                <c:pt idx="1">
                  <c:v>-0.106</c:v>
                </c:pt>
              </c:numCache>
            </c:numRef>
          </c:val>
        </c:ser>
        <c:ser>
          <c:idx val="3"/>
          <c:order val="3"/>
          <c:tx>
            <c:strRef>
              <c:f>'extended model oaxaca (2)'!$G$91</c:f>
              <c:strCache>
                <c:ptCount val="1"/>
                <c:pt idx="0">
                  <c:v>Active</c:v>
                </c:pt>
              </c:strCache>
            </c:strRef>
          </c:tx>
          <c:spPr>
            <a:solidFill>
              <a:schemeClr val="accent4">
                <a:lumMod val="75000"/>
              </a:schemeClr>
            </a:solidFill>
          </c:spPr>
          <c:invertIfNegative val="0"/>
          <c:cat>
            <c:strRef>
              <c:f>'extended model oaxaca (2)'!$H$86:$J$87</c:f>
              <c:strCache>
                <c:ptCount val="3"/>
                <c:pt idx="0">
                  <c:v>Endowments</c:v>
                </c:pt>
                <c:pt idx="1">
                  <c:v>Coefficients</c:v>
                </c:pt>
                <c:pt idx="2">
                  <c:v>Change BMI</c:v>
                </c:pt>
              </c:strCache>
            </c:strRef>
          </c:cat>
          <c:val>
            <c:numRef>
              <c:f>'extended model oaxaca (2)'!$H$91:$J$91</c:f>
              <c:numCache>
                <c:formatCode>General</c:formatCode>
                <c:ptCount val="3"/>
                <c:pt idx="0">
                  <c:v>2.1000000000000001E-2</c:v>
                </c:pt>
                <c:pt idx="1">
                  <c:v>-1.2E-2</c:v>
                </c:pt>
              </c:numCache>
            </c:numRef>
          </c:val>
        </c:ser>
        <c:ser>
          <c:idx val="4"/>
          <c:order val="4"/>
          <c:tx>
            <c:strRef>
              <c:f>'extended model oaxaca (2)'!$G$92</c:f>
              <c:strCache>
                <c:ptCount val="1"/>
                <c:pt idx="0">
                  <c:v>Income</c:v>
                </c:pt>
              </c:strCache>
            </c:strRef>
          </c:tx>
          <c:spPr>
            <a:solidFill>
              <a:srgbClr val="C0504D"/>
            </a:solidFill>
          </c:spPr>
          <c:invertIfNegative val="0"/>
          <c:cat>
            <c:strRef>
              <c:f>'extended model oaxaca (2)'!$H$86:$J$87</c:f>
              <c:strCache>
                <c:ptCount val="3"/>
                <c:pt idx="0">
                  <c:v>Endowments</c:v>
                </c:pt>
                <c:pt idx="1">
                  <c:v>Coefficients</c:v>
                </c:pt>
                <c:pt idx="2">
                  <c:v>Change BMI</c:v>
                </c:pt>
              </c:strCache>
            </c:strRef>
          </c:cat>
          <c:val>
            <c:numRef>
              <c:f>'extended model oaxaca (2)'!$H$92:$J$92</c:f>
              <c:numCache>
                <c:formatCode>General</c:formatCode>
                <c:ptCount val="3"/>
                <c:pt idx="0">
                  <c:v>3.2000000000000001E-2</c:v>
                </c:pt>
                <c:pt idx="1">
                  <c:v>9.1999999999999998E-2</c:v>
                </c:pt>
              </c:numCache>
            </c:numRef>
          </c:val>
        </c:ser>
        <c:ser>
          <c:idx val="5"/>
          <c:order val="5"/>
          <c:tx>
            <c:strRef>
              <c:f>'extended model oaxaca (2)'!$G$93</c:f>
              <c:strCache>
                <c:ptCount val="1"/>
                <c:pt idx="0">
                  <c:v>Food</c:v>
                </c:pt>
              </c:strCache>
            </c:strRef>
          </c:tx>
          <c:spPr>
            <a:solidFill>
              <a:schemeClr val="accent5">
                <a:lumMod val="40000"/>
                <a:lumOff val="60000"/>
              </a:schemeClr>
            </a:solidFill>
          </c:spPr>
          <c:invertIfNegative val="0"/>
          <c:cat>
            <c:strRef>
              <c:f>'extended model oaxaca (2)'!$H$86:$J$87</c:f>
              <c:strCache>
                <c:ptCount val="3"/>
                <c:pt idx="0">
                  <c:v>Endowments</c:v>
                </c:pt>
                <c:pt idx="1">
                  <c:v>Coefficients</c:v>
                </c:pt>
                <c:pt idx="2">
                  <c:v>Change BMI</c:v>
                </c:pt>
              </c:strCache>
            </c:strRef>
          </c:cat>
          <c:val>
            <c:numRef>
              <c:f>'extended model oaxaca (2)'!$H$93:$J$93</c:f>
              <c:numCache>
                <c:formatCode>General</c:formatCode>
                <c:ptCount val="3"/>
                <c:pt idx="0">
                  <c:v>1.0000000000000009E-3</c:v>
                </c:pt>
                <c:pt idx="1">
                  <c:v>0.14900000000000002</c:v>
                </c:pt>
              </c:numCache>
            </c:numRef>
          </c:val>
        </c:ser>
        <c:ser>
          <c:idx val="6"/>
          <c:order val="6"/>
          <c:tx>
            <c:strRef>
              <c:f>'extended model oaxaca (2)'!$G$94</c:f>
              <c:strCache>
                <c:ptCount val="1"/>
                <c:pt idx="0">
                  <c:v>Child health</c:v>
                </c:pt>
              </c:strCache>
            </c:strRef>
          </c:tx>
          <c:spPr>
            <a:solidFill>
              <a:schemeClr val="bg2">
                <a:lumMod val="50000"/>
              </a:schemeClr>
            </a:solidFill>
          </c:spPr>
          <c:invertIfNegative val="0"/>
          <c:cat>
            <c:strRef>
              <c:f>'extended model oaxaca (2)'!$H$86:$J$87</c:f>
              <c:strCache>
                <c:ptCount val="3"/>
                <c:pt idx="0">
                  <c:v>Endowments</c:v>
                </c:pt>
                <c:pt idx="1">
                  <c:v>Coefficients</c:v>
                </c:pt>
                <c:pt idx="2">
                  <c:v>Change BMI</c:v>
                </c:pt>
              </c:strCache>
            </c:strRef>
          </c:cat>
          <c:val>
            <c:numRef>
              <c:f>'extended model oaxaca (2)'!$H$94:$J$94</c:f>
              <c:numCache>
                <c:formatCode>General</c:formatCode>
                <c:ptCount val="3"/>
                <c:pt idx="0">
                  <c:v>0</c:v>
                </c:pt>
                <c:pt idx="1">
                  <c:v>-2.5999999999999999E-2</c:v>
                </c:pt>
              </c:numCache>
            </c:numRef>
          </c:val>
        </c:ser>
        <c:ser>
          <c:idx val="7"/>
          <c:order val="7"/>
          <c:tx>
            <c:strRef>
              <c:f>'extended model oaxaca (2)'!$G$95</c:f>
              <c:strCache>
                <c:ptCount val="1"/>
                <c:pt idx="0">
                  <c:v>Cons</c:v>
                </c:pt>
              </c:strCache>
            </c:strRef>
          </c:tx>
          <c:spPr>
            <a:solidFill>
              <a:schemeClr val="bg1">
                <a:lumMod val="65000"/>
              </a:schemeClr>
            </a:solidFill>
          </c:spPr>
          <c:invertIfNegative val="0"/>
          <c:dPt>
            <c:idx val="2"/>
            <c:invertIfNegative val="0"/>
            <c:bubble3D val="0"/>
            <c:spPr>
              <a:solidFill>
                <a:sysClr val="windowText" lastClr="000000"/>
              </a:solidFill>
            </c:spPr>
          </c:dPt>
          <c:dPt>
            <c:idx val="3"/>
            <c:invertIfNegative val="0"/>
            <c:bubble3D val="0"/>
            <c:spPr>
              <a:solidFill>
                <a:schemeClr val="tx1"/>
              </a:solidFill>
            </c:spPr>
          </c:dPt>
          <c:cat>
            <c:strRef>
              <c:f>'extended model oaxaca (2)'!$H$86:$J$87</c:f>
              <c:strCache>
                <c:ptCount val="3"/>
                <c:pt idx="0">
                  <c:v>Endowments</c:v>
                </c:pt>
                <c:pt idx="1">
                  <c:v>Coefficients</c:v>
                </c:pt>
                <c:pt idx="2">
                  <c:v>Change BMI</c:v>
                </c:pt>
              </c:strCache>
            </c:strRef>
          </c:cat>
          <c:val>
            <c:numRef>
              <c:f>'extended model oaxaca (2)'!$H$95:$J$95</c:f>
              <c:numCache>
                <c:formatCode>General</c:formatCode>
                <c:ptCount val="3"/>
                <c:pt idx="0">
                  <c:v>0</c:v>
                </c:pt>
                <c:pt idx="1">
                  <c:v>0.21199999999999999</c:v>
                </c:pt>
                <c:pt idx="2" formatCode="0.000">
                  <c:v>4.5000000000000054E-2</c:v>
                </c:pt>
              </c:numCache>
            </c:numRef>
          </c:val>
        </c:ser>
        <c:dLbls>
          <c:showLegendKey val="0"/>
          <c:showVal val="0"/>
          <c:showCatName val="0"/>
          <c:showSerName val="0"/>
          <c:showPercent val="0"/>
          <c:showBubbleSize val="0"/>
        </c:dLbls>
        <c:gapWidth val="150"/>
        <c:overlap val="100"/>
        <c:axId val="162210984"/>
        <c:axId val="162211376"/>
      </c:barChart>
      <c:catAx>
        <c:axId val="162210984"/>
        <c:scaling>
          <c:orientation val="minMax"/>
        </c:scaling>
        <c:delete val="0"/>
        <c:axPos val="b"/>
        <c:numFmt formatCode="General" sourceLinked="1"/>
        <c:majorTickMark val="out"/>
        <c:minorTickMark val="none"/>
        <c:tickLblPos val="nextTo"/>
        <c:crossAx val="162211376"/>
        <c:crosses val="autoZero"/>
        <c:auto val="1"/>
        <c:lblAlgn val="ctr"/>
        <c:lblOffset val="100"/>
        <c:noMultiLvlLbl val="0"/>
      </c:catAx>
      <c:valAx>
        <c:axId val="162211376"/>
        <c:scaling>
          <c:orientation val="minMax"/>
        </c:scaling>
        <c:delete val="0"/>
        <c:axPos val="l"/>
        <c:majorGridlines/>
        <c:numFmt formatCode="General" sourceLinked="1"/>
        <c:majorTickMark val="out"/>
        <c:minorTickMark val="none"/>
        <c:tickLblPos val="nextTo"/>
        <c:crossAx val="162210984"/>
        <c:crosses val="autoZero"/>
        <c:crossBetween val="between"/>
      </c:valAx>
    </c:plotArea>
    <c:legend>
      <c:legendPos val="r"/>
      <c:overlay val="0"/>
    </c:legend>
    <c:plotVisOnly val="1"/>
    <c:dispBlanksAs val="gap"/>
    <c:showDLblsOverMax val="0"/>
  </c:chart>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invertIfNegative val="0"/>
          <c:dPt>
            <c:idx val="0"/>
            <c:invertIfNegative val="0"/>
            <c:bubble3D val="0"/>
            <c:spPr>
              <a:solidFill>
                <a:schemeClr val="tx2">
                  <a:lumMod val="40000"/>
                  <a:lumOff val="60000"/>
                </a:schemeClr>
              </a:solidFill>
            </c:spPr>
          </c:dPt>
          <c:dPt>
            <c:idx val="1"/>
            <c:invertIfNegative val="0"/>
            <c:bubble3D val="0"/>
            <c:spPr>
              <a:solidFill>
                <a:schemeClr val="tx2">
                  <a:lumMod val="40000"/>
                  <a:lumOff val="60000"/>
                </a:schemeClr>
              </a:solidFill>
            </c:spPr>
          </c:dPt>
          <c:dPt>
            <c:idx val="2"/>
            <c:invertIfNegative val="0"/>
            <c:bubble3D val="0"/>
            <c:spPr>
              <a:solidFill>
                <a:schemeClr val="tx2">
                  <a:lumMod val="40000"/>
                  <a:lumOff val="60000"/>
                </a:schemeClr>
              </a:solidFill>
            </c:spPr>
          </c:dPt>
          <c:dPt>
            <c:idx val="3"/>
            <c:invertIfNegative val="0"/>
            <c:bubble3D val="0"/>
            <c:spPr>
              <a:solidFill>
                <a:schemeClr val="tx1"/>
              </a:solidFill>
            </c:spPr>
          </c:dPt>
          <c:cat>
            <c:multiLvlStrRef>
              <c:f>'extended model oaxaca (2)'!$AC$33:$AE$34</c:f>
              <c:multiLvlStrCache>
                <c:ptCount val="3"/>
                <c:lvl>
                  <c:pt idx="0">
                    <c:v>Endowments</c:v>
                  </c:pt>
                  <c:pt idx="1">
                    <c:v>Coefficients</c:v>
                  </c:pt>
                  <c:pt idx="2">
                    <c:v>Change BMI</c:v>
                  </c:pt>
                </c:lvl>
                <c:lvl>
                  <c:pt idx="0">
                    <c:v>Net Effect</c:v>
                  </c:pt>
                </c:lvl>
              </c:multiLvlStrCache>
            </c:multiLvlStrRef>
          </c:cat>
          <c:val>
            <c:numRef>
              <c:f>'extended model oaxaca (2)'!$AC$35:$AE$35</c:f>
              <c:numCache>
                <c:formatCode>0.000</c:formatCode>
                <c:ptCount val="3"/>
                <c:pt idx="0">
                  <c:v>5.4000000000000006E-2</c:v>
                </c:pt>
                <c:pt idx="1">
                  <c:v>-8.9999999999999525E-3</c:v>
                </c:pt>
                <c:pt idx="2" formatCode="General">
                  <c:v>4.5000000000000054E-2</c:v>
                </c:pt>
              </c:numCache>
            </c:numRef>
          </c:val>
        </c:ser>
        <c:dLbls>
          <c:showLegendKey val="0"/>
          <c:showVal val="0"/>
          <c:showCatName val="0"/>
          <c:showSerName val="0"/>
          <c:showPercent val="0"/>
          <c:showBubbleSize val="0"/>
        </c:dLbls>
        <c:gapWidth val="150"/>
        <c:overlap val="100"/>
        <c:axId val="162212160"/>
        <c:axId val="162212552"/>
      </c:barChart>
      <c:catAx>
        <c:axId val="162212160"/>
        <c:scaling>
          <c:orientation val="minMax"/>
        </c:scaling>
        <c:delete val="0"/>
        <c:axPos val="b"/>
        <c:numFmt formatCode="General" sourceLinked="1"/>
        <c:majorTickMark val="out"/>
        <c:minorTickMark val="none"/>
        <c:tickLblPos val="nextTo"/>
        <c:crossAx val="162212552"/>
        <c:crosses val="autoZero"/>
        <c:auto val="1"/>
        <c:lblAlgn val="ctr"/>
        <c:lblOffset val="100"/>
        <c:noMultiLvlLbl val="0"/>
      </c:catAx>
      <c:valAx>
        <c:axId val="162212552"/>
        <c:scaling>
          <c:orientation val="minMax"/>
          <c:max val="0.25"/>
          <c:min val="-0.25"/>
        </c:scaling>
        <c:delete val="0"/>
        <c:axPos val="l"/>
        <c:majorGridlines/>
        <c:numFmt formatCode="0.000" sourceLinked="1"/>
        <c:majorTickMark val="out"/>
        <c:minorTickMark val="none"/>
        <c:tickLblPos val="nextTo"/>
        <c:crossAx val="162212160"/>
        <c:crosses val="autoZero"/>
        <c:crossBetween val="between"/>
      </c:valAx>
    </c:plotArea>
    <c:plotVisOnly val="1"/>
    <c:dispBlanksAs val="gap"/>
    <c:showDLblsOverMax val="0"/>
  </c:chart>
  <c:spPr>
    <a:ln w="9525"/>
  </c:spPr>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Spain</a:t>
            </a:r>
          </a:p>
        </c:rich>
      </c:tx>
      <c:overlay val="0"/>
    </c:title>
    <c:autoTitleDeleted val="0"/>
    <c:plotArea>
      <c:layout/>
      <c:barChart>
        <c:barDir val="col"/>
        <c:grouping val="stacked"/>
        <c:varyColors val="0"/>
        <c:ser>
          <c:idx val="0"/>
          <c:order val="0"/>
          <c:tx>
            <c:strRef>
              <c:f>'extended model oaxaca (2)'!$G$116</c:f>
              <c:strCache>
                <c:ptCount val="1"/>
                <c:pt idx="0">
                  <c:v>Female</c:v>
                </c:pt>
              </c:strCache>
            </c:strRef>
          </c:tx>
          <c:spPr>
            <a:solidFill>
              <a:srgbClr val="1F497D">
                <a:lumMod val="60000"/>
                <a:lumOff val="40000"/>
              </a:srgbClr>
            </a:solidFill>
          </c:spPr>
          <c:invertIfNegative val="0"/>
          <c:cat>
            <c:strRef>
              <c:f>'extended model oaxaca (2)'!$H$114:$J$115</c:f>
              <c:strCache>
                <c:ptCount val="3"/>
                <c:pt idx="0">
                  <c:v>Endowments</c:v>
                </c:pt>
                <c:pt idx="1">
                  <c:v>Coefficients</c:v>
                </c:pt>
                <c:pt idx="2">
                  <c:v>Change BMI</c:v>
                </c:pt>
              </c:strCache>
            </c:strRef>
          </c:cat>
          <c:val>
            <c:numRef>
              <c:f>'extended model oaxaca (2)'!$H$116:$J$116</c:f>
              <c:numCache>
                <c:formatCode>General</c:formatCode>
                <c:ptCount val="3"/>
                <c:pt idx="0">
                  <c:v>0</c:v>
                </c:pt>
                <c:pt idx="1">
                  <c:v>-9.1999999999999998E-2</c:v>
                </c:pt>
              </c:numCache>
            </c:numRef>
          </c:val>
        </c:ser>
        <c:ser>
          <c:idx val="1"/>
          <c:order val="1"/>
          <c:tx>
            <c:strRef>
              <c:f>'extended model oaxaca (2)'!$G$117</c:f>
              <c:strCache>
                <c:ptCount val="1"/>
                <c:pt idx="0">
                  <c:v>Age</c:v>
                </c:pt>
              </c:strCache>
            </c:strRef>
          </c:tx>
          <c:spPr>
            <a:solidFill>
              <a:srgbClr val="92D050"/>
            </a:solidFill>
          </c:spPr>
          <c:invertIfNegative val="0"/>
          <c:cat>
            <c:strRef>
              <c:f>'extended model oaxaca (2)'!$H$114:$J$115</c:f>
              <c:strCache>
                <c:ptCount val="3"/>
                <c:pt idx="0">
                  <c:v>Endowments</c:v>
                </c:pt>
                <c:pt idx="1">
                  <c:v>Coefficients</c:v>
                </c:pt>
                <c:pt idx="2">
                  <c:v>Change BMI</c:v>
                </c:pt>
              </c:strCache>
            </c:strRef>
          </c:cat>
          <c:val>
            <c:numRef>
              <c:f>'extended model oaxaca (2)'!$H$117:$J$117</c:f>
              <c:numCache>
                <c:formatCode>General</c:formatCode>
                <c:ptCount val="3"/>
                <c:pt idx="0">
                  <c:v>0</c:v>
                </c:pt>
                <c:pt idx="1">
                  <c:v>-0.15600000000000003</c:v>
                </c:pt>
              </c:numCache>
            </c:numRef>
          </c:val>
        </c:ser>
        <c:ser>
          <c:idx val="2"/>
          <c:order val="2"/>
          <c:tx>
            <c:strRef>
              <c:f>'extended model oaxaca (2)'!$G$118</c:f>
              <c:strCache>
                <c:ptCount val="1"/>
                <c:pt idx="0">
                  <c:v>ISCED</c:v>
                </c:pt>
              </c:strCache>
            </c:strRef>
          </c:tx>
          <c:spPr>
            <a:solidFill>
              <a:srgbClr val="F79646"/>
            </a:solidFill>
          </c:spPr>
          <c:invertIfNegative val="0"/>
          <c:cat>
            <c:strRef>
              <c:f>'extended model oaxaca (2)'!$H$114:$J$115</c:f>
              <c:strCache>
                <c:ptCount val="3"/>
                <c:pt idx="0">
                  <c:v>Endowments</c:v>
                </c:pt>
                <c:pt idx="1">
                  <c:v>Coefficients</c:v>
                </c:pt>
                <c:pt idx="2">
                  <c:v>Change BMI</c:v>
                </c:pt>
              </c:strCache>
            </c:strRef>
          </c:cat>
          <c:val>
            <c:numRef>
              <c:f>'extended model oaxaca (2)'!$H$118:$J$118</c:f>
              <c:numCache>
                <c:formatCode>General</c:formatCode>
                <c:ptCount val="3"/>
                <c:pt idx="0">
                  <c:v>0</c:v>
                </c:pt>
                <c:pt idx="1">
                  <c:v>-5.1000000000000004E-2</c:v>
                </c:pt>
              </c:numCache>
            </c:numRef>
          </c:val>
        </c:ser>
        <c:ser>
          <c:idx val="3"/>
          <c:order val="3"/>
          <c:tx>
            <c:strRef>
              <c:f>'extended model oaxaca (2)'!$G$119</c:f>
              <c:strCache>
                <c:ptCount val="1"/>
                <c:pt idx="0">
                  <c:v>Active</c:v>
                </c:pt>
              </c:strCache>
            </c:strRef>
          </c:tx>
          <c:spPr>
            <a:solidFill>
              <a:schemeClr val="accent4">
                <a:lumMod val="75000"/>
              </a:schemeClr>
            </a:solidFill>
          </c:spPr>
          <c:invertIfNegative val="0"/>
          <c:cat>
            <c:strRef>
              <c:f>'extended model oaxaca (2)'!$H$114:$J$115</c:f>
              <c:strCache>
                <c:ptCount val="3"/>
                <c:pt idx="0">
                  <c:v>Endowments</c:v>
                </c:pt>
                <c:pt idx="1">
                  <c:v>Coefficients</c:v>
                </c:pt>
                <c:pt idx="2">
                  <c:v>Change BMI</c:v>
                </c:pt>
              </c:strCache>
            </c:strRef>
          </c:cat>
          <c:val>
            <c:numRef>
              <c:f>'extended model oaxaca (2)'!$H$119:$J$119</c:f>
              <c:numCache>
                <c:formatCode>General</c:formatCode>
                <c:ptCount val="3"/>
                <c:pt idx="0">
                  <c:v>0.113</c:v>
                </c:pt>
                <c:pt idx="1">
                  <c:v>2.7E-2</c:v>
                </c:pt>
              </c:numCache>
            </c:numRef>
          </c:val>
        </c:ser>
        <c:ser>
          <c:idx val="4"/>
          <c:order val="4"/>
          <c:tx>
            <c:strRef>
              <c:f>'extended model oaxaca (2)'!$G$120</c:f>
              <c:strCache>
                <c:ptCount val="1"/>
                <c:pt idx="0">
                  <c:v>Income</c:v>
                </c:pt>
              </c:strCache>
            </c:strRef>
          </c:tx>
          <c:spPr>
            <a:solidFill>
              <a:srgbClr val="C0504D"/>
            </a:solidFill>
          </c:spPr>
          <c:invertIfNegative val="0"/>
          <c:cat>
            <c:strRef>
              <c:f>'extended model oaxaca (2)'!$H$114:$J$115</c:f>
              <c:strCache>
                <c:ptCount val="3"/>
                <c:pt idx="0">
                  <c:v>Endowments</c:v>
                </c:pt>
                <c:pt idx="1">
                  <c:v>Coefficients</c:v>
                </c:pt>
                <c:pt idx="2">
                  <c:v>Change BMI</c:v>
                </c:pt>
              </c:strCache>
            </c:strRef>
          </c:cat>
          <c:val>
            <c:numRef>
              <c:f>'extended model oaxaca (2)'!$H$120:$J$120</c:f>
              <c:numCache>
                <c:formatCode>General</c:formatCode>
                <c:ptCount val="3"/>
                <c:pt idx="0">
                  <c:v>4.0000000000000001E-3</c:v>
                </c:pt>
                <c:pt idx="1">
                  <c:v>0.14100000000000001</c:v>
                </c:pt>
              </c:numCache>
            </c:numRef>
          </c:val>
        </c:ser>
        <c:ser>
          <c:idx val="5"/>
          <c:order val="5"/>
          <c:tx>
            <c:strRef>
              <c:f>'extended model oaxaca (2)'!$G$121</c:f>
              <c:strCache>
                <c:ptCount val="1"/>
                <c:pt idx="0">
                  <c:v>Food</c:v>
                </c:pt>
              </c:strCache>
            </c:strRef>
          </c:tx>
          <c:spPr>
            <a:solidFill>
              <a:schemeClr val="accent5">
                <a:lumMod val="40000"/>
                <a:lumOff val="60000"/>
              </a:schemeClr>
            </a:solidFill>
          </c:spPr>
          <c:invertIfNegative val="0"/>
          <c:cat>
            <c:strRef>
              <c:f>'extended model oaxaca (2)'!$H$114:$J$115</c:f>
              <c:strCache>
                <c:ptCount val="3"/>
                <c:pt idx="0">
                  <c:v>Endowments</c:v>
                </c:pt>
                <c:pt idx="1">
                  <c:v>Coefficients</c:v>
                </c:pt>
                <c:pt idx="2">
                  <c:v>Change BMI</c:v>
                </c:pt>
              </c:strCache>
            </c:strRef>
          </c:cat>
          <c:val>
            <c:numRef>
              <c:f>'extended model oaxaca (2)'!$H$121:$J$121</c:f>
              <c:numCache>
                <c:formatCode>General</c:formatCode>
                <c:ptCount val="3"/>
                <c:pt idx="0">
                  <c:v>4.0000000000000001E-3</c:v>
                </c:pt>
                <c:pt idx="1">
                  <c:v>-6.3E-2</c:v>
                </c:pt>
              </c:numCache>
            </c:numRef>
          </c:val>
        </c:ser>
        <c:ser>
          <c:idx val="6"/>
          <c:order val="6"/>
          <c:tx>
            <c:strRef>
              <c:f>'extended model oaxaca (2)'!$G$122</c:f>
              <c:strCache>
                <c:ptCount val="1"/>
                <c:pt idx="0">
                  <c:v>Child health</c:v>
                </c:pt>
              </c:strCache>
            </c:strRef>
          </c:tx>
          <c:spPr>
            <a:solidFill>
              <a:schemeClr val="bg2">
                <a:lumMod val="50000"/>
              </a:schemeClr>
            </a:solidFill>
          </c:spPr>
          <c:invertIfNegative val="0"/>
          <c:cat>
            <c:strRef>
              <c:f>'extended model oaxaca (2)'!$H$114:$J$115</c:f>
              <c:strCache>
                <c:ptCount val="3"/>
                <c:pt idx="0">
                  <c:v>Endowments</c:v>
                </c:pt>
                <c:pt idx="1">
                  <c:v>Coefficients</c:v>
                </c:pt>
                <c:pt idx="2">
                  <c:v>Change BMI</c:v>
                </c:pt>
              </c:strCache>
            </c:strRef>
          </c:cat>
          <c:val>
            <c:numRef>
              <c:f>'extended model oaxaca (2)'!$H$122:$J$122</c:f>
              <c:numCache>
                <c:formatCode>General</c:formatCode>
                <c:ptCount val="3"/>
                <c:pt idx="0">
                  <c:v>0</c:v>
                </c:pt>
                <c:pt idx="1">
                  <c:v>-0.03</c:v>
                </c:pt>
              </c:numCache>
            </c:numRef>
          </c:val>
        </c:ser>
        <c:ser>
          <c:idx val="7"/>
          <c:order val="7"/>
          <c:tx>
            <c:strRef>
              <c:f>'extended model oaxaca (2)'!$G$123</c:f>
              <c:strCache>
                <c:ptCount val="1"/>
                <c:pt idx="0">
                  <c:v>Cons</c:v>
                </c:pt>
              </c:strCache>
            </c:strRef>
          </c:tx>
          <c:spPr>
            <a:solidFill>
              <a:schemeClr val="bg1">
                <a:lumMod val="65000"/>
              </a:schemeClr>
            </a:solidFill>
          </c:spPr>
          <c:invertIfNegative val="0"/>
          <c:dPt>
            <c:idx val="2"/>
            <c:invertIfNegative val="0"/>
            <c:bubble3D val="0"/>
            <c:spPr>
              <a:solidFill>
                <a:sysClr val="windowText" lastClr="000000"/>
              </a:solidFill>
            </c:spPr>
          </c:dPt>
          <c:dPt>
            <c:idx val="3"/>
            <c:invertIfNegative val="0"/>
            <c:bubble3D val="0"/>
            <c:spPr>
              <a:solidFill>
                <a:schemeClr val="tx1"/>
              </a:solidFill>
            </c:spPr>
          </c:dPt>
          <c:cat>
            <c:strRef>
              <c:f>'extended model oaxaca (2)'!$H$114:$J$115</c:f>
              <c:strCache>
                <c:ptCount val="3"/>
                <c:pt idx="0">
                  <c:v>Endowments</c:v>
                </c:pt>
                <c:pt idx="1">
                  <c:v>Coefficients</c:v>
                </c:pt>
                <c:pt idx="2">
                  <c:v>Change BMI</c:v>
                </c:pt>
              </c:strCache>
            </c:strRef>
          </c:cat>
          <c:val>
            <c:numRef>
              <c:f>'extended model oaxaca (2)'!$H$123:$J$123</c:f>
              <c:numCache>
                <c:formatCode>General</c:formatCode>
                <c:ptCount val="3"/>
                <c:pt idx="0">
                  <c:v>0</c:v>
                </c:pt>
                <c:pt idx="1">
                  <c:v>0.16400000000000001</c:v>
                </c:pt>
                <c:pt idx="2" formatCode="0.000">
                  <c:v>6.1000000000000013E-2</c:v>
                </c:pt>
              </c:numCache>
            </c:numRef>
          </c:val>
        </c:ser>
        <c:dLbls>
          <c:showLegendKey val="0"/>
          <c:showVal val="0"/>
          <c:showCatName val="0"/>
          <c:showSerName val="0"/>
          <c:showPercent val="0"/>
          <c:showBubbleSize val="0"/>
        </c:dLbls>
        <c:gapWidth val="150"/>
        <c:overlap val="100"/>
        <c:axId val="162635560"/>
        <c:axId val="162635952"/>
      </c:barChart>
      <c:catAx>
        <c:axId val="162635560"/>
        <c:scaling>
          <c:orientation val="minMax"/>
        </c:scaling>
        <c:delete val="0"/>
        <c:axPos val="b"/>
        <c:numFmt formatCode="General" sourceLinked="1"/>
        <c:majorTickMark val="out"/>
        <c:minorTickMark val="none"/>
        <c:tickLblPos val="nextTo"/>
        <c:crossAx val="162635952"/>
        <c:crosses val="autoZero"/>
        <c:auto val="1"/>
        <c:lblAlgn val="ctr"/>
        <c:lblOffset val="100"/>
        <c:noMultiLvlLbl val="0"/>
      </c:catAx>
      <c:valAx>
        <c:axId val="162635952"/>
        <c:scaling>
          <c:orientation val="minMax"/>
        </c:scaling>
        <c:delete val="0"/>
        <c:axPos val="l"/>
        <c:majorGridlines/>
        <c:numFmt formatCode="General" sourceLinked="1"/>
        <c:majorTickMark val="out"/>
        <c:minorTickMark val="none"/>
        <c:tickLblPos val="nextTo"/>
        <c:crossAx val="162635560"/>
        <c:crosses val="autoZero"/>
        <c:crossBetween val="between"/>
      </c:valAx>
    </c:plotArea>
    <c:legend>
      <c:legendPos val="r"/>
      <c:overlay val="0"/>
    </c:legend>
    <c:plotVisOnly val="1"/>
    <c:dispBlanksAs val="gap"/>
    <c:showDLblsOverMax val="0"/>
  </c:chart>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invertIfNegative val="0"/>
          <c:dPt>
            <c:idx val="0"/>
            <c:invertIfNegative val="0"/>
            <c:bubble3D val="0"/>
            <c:spPr>
              <a:solidFill>
                <a:schemeClr val="tx2">
                  <a:lumMod val="40000"/>
                  <a:lumOff val="60000"/>
                </a:schemeClr>
              </a:solidFill>
            </c:spPr>
          </c:dPt>
          <c:dPt>
            <c:idx val="1"/>
            <c:invertIfNegative val="0"/>
            <c:bubble3D val="0"/>
            <c:spPr>
              <a:solidFill>
                <a:schemeClr val="tx2">
                  <a:lumMod val="40000"/>
                  <a:lumOff val="60000"/>
                </a:schemeClr>
              </a:solidFill>
            </c:spPr>
          </c:dPt>
          <c:dPt>
            <c:idx val="2"/>
            <c:invertIfNegative val="0"/>
            <c:bubble3D val="0"/>
            <c:spPr>
              <a:solidFill>
                <a:schemeClr val="tx2">
                  <a:lumMod val="40000"/>
                  <a:lumOff val="60000"/>
                </a:schemeClr>
              </a:solidFill>
            </c:spPr>
          </c:dPt>
          <c:dPt>
            <c:idx val="3"/>
            <c:invertIfNegative val="0"/>
            <c:bubble3D val="0"/>
            <c:spPr>
              <a:solidFill>
                <a:schemeClr val="tx1"/>
              </a:solidFill>
            </c:spPr>
          </c:dPt>
          <c:cat>
            <c:multiLvlStrRef>
              <c:f>'extended model oaxaca (2)'!$Y$64:$AA$65</c:f>
              <c:multiLvlStrCache>
                <c:ptCount val="3"/>
                <c:lvl>
                  <c:pt idx="0">
                    <c:v>Endowments</c:v>
                  </c:pt>
                  <c:pt idx="1">
                    <c:v>Coefficients</c:v>
                  </c:pt>
                  <c:pt idx="2">
                    <c:v>Change BMI</c:v>
                  </c:pt>
                </c:lvl>
                <c:lvl>
                  <c:pt idx="0">
                    <c:v>Net Effect</c:v>
                  </c:pt>
                </c:lvl>
              </c:multiLvlStrCache>
            </c:multiLvlStrRef>
          </c:cat>
          <c:val>
            <c:numRef>
              <c:f>'extended model oaxaca (2)'!$Y$66:$AA$66</c:f>
              <c:numCache>
                <c:formatCode>0.000</c:formatCode>
                <c:ptCount val="3"/>
                <c:pt idx="0">
                  <c:v>0.12100000000000001</c:v>
                </c:pt>
                <c:pt idx="1">
                  <c:v>-0.06</c:v>
                </c:pt>
                <c:pt idx="2" formatCode="General">
                  <c:v>6.1000000000000013E-2</c:v>
                </c:pt>
              </c:numCache>
            </c:numRef>
          </c:val>
        </c:ser>
        <c:dLbls>
          <c:showLegendKey val="0"/>
          <c:showVal val="0"/>
          <c:showCatName val="0"/>
          <c:showSerName val="0"/>
          <c:showPercent val="0"/>
          <c:showBubbleSize val="0"/>
        </c:dLbls>
        <c:gapWidth val="150"/>
        <c:overlap val="100"/>
        <c:axId val="162636736"/>
        <c:axId val="162637128"/>
      </c:barChart>
      <c:catAx>
        <c:axId val="162636736"/>
        <c:scaling>
          <c:orientation val="minMax"/>
        </c:scaling>
        <c:delete val="0"/>
        <c:axPos val="b"/>
        <c:numFmt formatCode="General" sourceLinked="1"/>
        <c:majorTickMark val="out"/>
        <c:minorTickMark val="none"/>
        <c:tickLblPos val="nextTo"/>
        <c:crossAx val="162637128"/>
        <c:crosses val="autoZero"/>
        <c:auto val="1"/>
        <c:lblAlgn val="ctr"/>
        <c:lblOffset val="100"/>
        <c:noMultiLvlLbl val="0"/>
      </c:catAx>
      <c:valAx>
        <c:axId val="162637128"/>
        <c:scaling>
          <c:orientation val="minMax"/>
          <c:max val="0.25"/>
          <c:min val="-0.25"/>
        </c:scaling>
        <c:delete val="0"/>
        <c:axPos val="l"/>
        <c:majorGridlines/>
        <c:numFmt formatCode="0.000" sourceLinked="1"/>
        <c:majorTickMark val="out"/>
        <c:minorTickMark val="none"/>
        <c:tickLblPos val="nextTo"/>
        <c:crossAx val="162636736"/>
        <c:crosses val="autoZero"/>
        <c:crossBetween val="between"/>
      </c:valAx>
    </c:plotArea>
    <c:plotVisOnly val="1"/>
    <c:dispBlanksAs val="gap"/>
    <c:showDLblsOverMax val="0"/>
  </c:chart>
  <c:spPr>
    <a:ln w="9525"/>
  </c:spPr>
  <c:externalData r:id="rId2">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Italy</a:t>
            </a:r>
          </a:p>
        </c:rich>
      </c:tx>
      <c:overlay val="0"/>
    </c:title>
    <c:autoTitleDeleted val="0"/>
    <c:plotArea>
      <c:layout/>
      <c:barChart>
        <c:barDir val="col"/>
        <c:grouping val="stacked"/>
        <c:varyColors val="0"/>
        <c:ser>
          <c:idx val="0"/>
          <c:order val="0"/>
          <c:tx>
            <c:strRef>
              <c:f>'extended model oaxaca (2)'!$S$4</c:f>
              <c:strCache>
                <c:ptCount val="1"/>
                <c:pt idx="0">
                  <c:v>Female</c:v>
                </c:pt>
              </c:strCache>
            </c:strRef>
          </c:tx>
          <c:spPr>
            <a:solidFill>
              <a:srgbClr val="1F497D">
                <a:lumMod val="60000"/>
                <a:lumOff val="40000"/>
              </a:srgbClr>
            </a:solidFill>
          </c:spPr>
          <c:invertIfNegative val="0"/>
          <c:cat>
            <c:strRef>
              <c:f>'extended model oaxaca (2)'!$T$2:$V$3</c:f>
              <c:strCache>
                <c:ptCount val="3"/>
                <c:pt idx="0">
                  <c:v>Endowments</c:v>
                </c:pt>
                <c:pt idx="1">
                  <c:v>Coefficients</c:v>
                </c:pt>
                <c:pt idx="2">
                  <c:v>Change BMI</c:v>
                </c:pt>
              </c:strCache>
            </c:strRef>
          </c:cat>
          <c:val>
            <c:numRef>
              <c:f>'extended model oaxaca (2)'!$T$4:$V$4</c:f>
              <c:numCache>
                <c:formatCode>General</c:formatCode>
                <c:ptCount val="3"/>
                <c:pt idx="0">
                  <c:v>0</c:v>
                </c:pt>
                <c:pt idx="1">
                  <c:v>-9.1999999999999998E-2</c:v>
                </c:pt>
              </c:numCache>
            </c:numRef>
          </c:val>
        </c:ser>
        <c:ser>
          <c:idx val="1"/>
          <c:order val="1"/>
          <c:tx>
            <c:strRef>
              <c:f>'extended model oaxaca (2)'!$S$5</c:f>
              <c:strCache>
                <c:ptCount val="1"/>
                <c:pt idx="0">
                  <c:v>Age</c:v>
                </c:pt>
              </c:strCache>
            </c:strRef>
          </c:tx>
          <c:spPr>
            <a:solidFill>
              <a:srgbClr val="92D050"/>
            </a:solidFill>
          </c:spPr>
          <c:invertIfNegative val="0"/>
          <c:cat>
            <c:strRef>
              <c:f>'extended model oaxaca (2)'!$T$2:$V$3</c:f>
              <c:strCache>
                <c:ptCount val="3"/>
                <c:pt idx="0">
                  <c:v>Endowments</c:v>
                </c:pt>
                <c:pt idx="1">
                  <c:v>Coefficients</c:v>
                </c:pt>
                <c:pt idx="2">
                  <c:v>Change BMI</c:v>
                </c:pt>
              </c:strCache>
            </c:strRef>
          </c:cat>
          <c:val>
            <c:numRef>
              <c:f>'extended model oaxaca (2)'!$T$5:$V$5</c:f>
              <c:numCache>
                <c:formatCode>General</c:formatCode>
                <c:ptCount val="3"/>
                <c:pt idx="0">
                  <c:v>0</c:v>
                </c:pt>
                <c:pt idx="1">
                  <c:v>-0.152</c:v>
                </c:pt>
              </c:numCache>
            </c:numRef>
          </c:val>
        </c:ser>
        <c:ser>
          <c:idx val="2"/>
          <c:order val="2"/>
          <c:tx>
            <c:strRef>
              <c:f>'extended model oaxaca (2)'!$S$6</c:f>
              <c:strCache>
                <c:ptCount val="1"/>
                <c:pt idx="0">
                  <c:v>ISCED</c:v>
                </c:pt>
              </c:strCache>
            </c:strRef>
          </c:tx>
          <c:spPr>
            <a:solidFill>
              <a:srgbClr val="F79646"/>
            </a:solidFill>
          </c:spPr>
          <c:invertIfNegative val="0"/>
          <c:cat>
            <c:strRef>
              <c:f>'extended model oaxaca (2)'!$T$2:$V$3</c:f>
              <c:strCache>
                <c:ptCount val="3"/>
                <c:pt idx="0">
                  <c:v>Endowments</c:v>
                </c:pt>
                <c:pt idx="1">
                  <c:v>Coefficients</c:v>
                </c:pt>
                <c:pt idx="2">
                  <c:v>Change BMI</c:v>
                </c:pt>
              </c:strCache>
            </c:strRef>
          </c:cat>
          <c:val>
            <c:numRef>
              <c:f>'extended model oaxaca (2)'!$T$6:$V$6</c:f>
              <c:numCache>
                <c:formatCode>General</c:formatCode>
                <c:ptCount val="3"/>
                <c:pt idx="0">
                  <c:v>0</c:v>
                </c:pt>
                <c:pt idx="1">
                  <c:v>2.4E-2</c:v>
                </c:pt>
              </c:numCache>
            </c:numRef>
          </c:val>
        </c:ser>
        <c:ser>
          <c:idx val="3"/>
          <c:order val="3"/>
          <c:tx>
            <c:strRef>
              <c:f>'extended model oaxaca (2)'!$S$7</c:f>
              <c:strCache>
                <c:ptCount val="1"/>
                <c:pt idx="0">
                  <c:v>Active</c:v>
                </c:pt>
              </c:strCache>
            </c:strRef>
          </c:tx>
          <c:spPr>
            <a:solidFill>
              <a:schemeClr val="accent4">
                <a:lumMod val="75000"/>
              </a:schemeClr>
            </a:solidFill>
          </c:spPr>
          <c:invertIfNegative val="0"/>
          <c:cat>
            <c:strRef>
              <c:f>'extended model oaxaca (2)'!$T$2:$V$3</c:f>
              <c:strCache>
                <c:ptCount val="3"/>
                <c:pt idx="0">
                  <c:v>Endowments</c:v>
                </c:pt>
                <c:pt idx="1">
                  <c:v>Coefficients</c:v>
                </c:pt>
                <c:pt idx="2">
                  <c:v>Change BMI</c:v>
                </c:pt>
              </c:strCache>
            </c:strRef>
          </c:cat>
          <c:val>
            <c:numRef>
              <c:f>'extended model oaxaca (2)'!$T$7:$V$7</c:f>
              <c:numCache>
                <c:formatCode>General</c:formatCode>
                <c:ptCount val="3"/>
                <c:pt idx="0">
                  <c:v>4.8000000000000001E-2</c:v>
                </c:pt>
                <c:pt idx="1">
                  <c:v>3.3000000000000002E-2</c:v>
                </c:pt>
              </c:numCache>
            </c:numRef>
          </c:val>
        </c:ser>
        <c:ser>
          <c:idx val="4"/>
          <c:order val="4"/>
          <c:tx>
            <c:strRef>
              <c:f>'extended model oaxaca (2)'!$S$8</c:f>
              <c:strCache>
                <c:ptCount val="1"/>
                <c:pt idx="0">
                  <c:v>Income</c:v>
                </c:pt>
              </c:strCache>
            </c:strRef>
          </c:tx>
          <c:spPr>
            <a:solidFill>
              <a:srgbClr val="C0504D"/>
            </a:solidFill>
          </c:spPr>
          <c:invertIfNegative val="0"/>
          <c:cat>
            <c:strRef>
              <c:f>'extended model oaxaca (2)'!$T$2:$V$3</c:f>
              <c:strCache>
                <c:ptCount val="3"/>
                <c:pt idx="0">
                  <c:v>Endowments</c:v>
                </c:pt>
                <c:pt idx="1">
                  <c:v>Coefficients</c:v>
                </c:pt>
                <c:pt idx="2">
                  <c:v>Change BMI</c:v>
                </c:pt>
              </c:strCache>
            </c:strRef>
          </c:cat>
          <c:val>
            <c:numRef>
              <c:f>'extended model oaxaca (2)'!$T$8:$V$8</c:f>
              <c:numCache>
                <c:formatCode>General</c:formatCode>
                <c:ptCount val="3"/>
                <c:pt idx="0">
                  <c:v>4.9999999999999992E-3</c:v>
                </c:pt>
                <c:pt idx="1">
                  <c:v>0.11899999999999999</c:v>
                </c:pt>
              </c:numCache>
            </c:numRef>
          </c:val>
        </c:ser>
        <c:ser>
          <c:idx val="5"/>
          <c:order val="5"/>
          <c:tx>
            <c:strRef>
              <c:f>'extended model oaxaca (2)'!$S$9</c:f>
              <c:strCache>
                <c:ptCount val="1"/>
                <c:pt idx="0">
                  <c:v>Food</c:v>
                </c:pt>
              </c:strCache>
            </c:strRef>
          </c:tx>
          <c:spPr>
            <a:solidFill>
              <a:schemeClr val="accent5">
                <a:lumMod val="40000"/>
                <a:lumOff val="60000"/>
              </a:schemeClr>
            </a:solidFill>
          </c:spPr>
          <c:invertIfNegative val="0"/>
          <c:cat>
            <c:strRef>
              <c:f>'extended model oaxaca (2)'!$T$2:$V$3</c:f>
              <c:strCache>
                <c:ptCount val="3"/>
                <c:pt idx="0">
                  <c:v>Endowments</c:v>
                </c:pt>
                <c:pt idx="1">
                  <c:v>Coefficients</c:v>
                </c:pt>
                <c:pt idx="2">
                  <c:v>Change BMI</c:v>
                </c:pt>
              </c:strCache>
            </c:strRef>
          </c:cat>
          <c:val>
            <c:numRef>
              <c:f>'extended model oaxaca (2)'!$T$9:$V$9</c:f>
              <c:numCache>
                <c:formatCode>General</c:formatCode>
                <c:ptCount val="3"/>
                <c:pt idx="0">
                  <c:v>3.0000000000000009E-3</c:v>
                </c:pt>
                <c:pt idx="1">
                  <c:v>-0.20900000000000002</c:v>
                </c:pt>
              </c:numCache>
            </c:numRef>
          </c:val>
        </c:ser>
        <c:ser>
          <c:idx val="6"/>
          <c:order val="6"/>
          <c:tx>
            <c:strRef>
              <c:f>'extended model oaxaca (2)'!$S$10</c:f>
              <c:strCache>
                <c:ptCount val="1"/>
                <c:pt idx="0">
                  <c:v>Child health</c:v>
                </c:pt>
              </c:strCache>
            </c:strRef>
          </c:tx>
          <c:spPr>
            <a:solidFill>
              <a:schemeClr val="bg2">
                <a:lumMod val="50000"/>
              </a:schemeClr>
            </a:solidFill>
          </c:spPr>
          <c:invertIfNegative val="0"/>
          <c:cat>
            <c:strRef>
              <c:f>'extended model oaxaca (2)'!$T$2:$V$3</c:f>
              <c:strCache>
                <c:ptCount val="3"/>
                <c:pt idx="0">
                  <c:v>Endowments</c:v>
                </c:pt>
                <c:pt idx="1">
                  <c:v>Coefficients</c:v>
                </c:pt>
                <c:pt idx="2">
                  <c:v>Change BMI</c:v>
                </c:pt>
              </c:strCache>
            </c:strRef>
          </c:cat>
          <c:val>
            <c:numRef>
              <c:f>'extended model oaxaca (2)'!$T$10:$V$10</c:f>
              <c:numCache>
                <c:formatCode>General</c:formatCode>
                <c:ptCount val="3"/>
                <c:pt idx="0">
                  <c:v>0</c:v>
                </c:pt>
                <c:pt idx="1">
                  <c:v>2.5999999999999999E-2</c:v>
                </c:pt>
              </c:numCache>
            </c:numRef>
          </c:val>
        </c:ser>
        <c:ser>
          <c:idx val="7"/>
          <c:order val="7"/>
          <c:tx>
            <c:strRef>
              <c:f>'extended model oaxaca (2)'!$S$11</c:f>
              <c:strCache>
                <c:ptCount val="1"/>
                <c:pt idx="0">
                  <c:v>Cons</c:v>
                </c:pt>
              </c:strCache>
            </c:strRef>
          </c:tx>
          <c:spPr>
            <a:solidFill>
              <a:sysClr val="windowText" lastClr="000000"/>
            </a:solidFill>
          </c:spPr>
          <c:invertIfNegative val="0"/>
          <c:dPt>
            <c:idx val="1"/>
            <c:invertIfNegative val="0"/>
            <c:bubble3D val="0"/>
            <c:spPr>
              <a:solidFill>
                <a:sysClr val="window" lastClr="FFFFFF">
                  <a:lumMod val="65000"/>
                </a:sysClr>
              </a:solidFill>
            </c:spPr>
          </c:dPt>
          <c:dPt>
            <c:idx val="3"/>
            <c:invertIfNegative val="0"/>
            <c:bubble3D val="0"/>
          </c:dPt>
          <c:cat>
            <c:strRef>
              <c:f>'extended model oaxaca (2)'!$T$2:$V$3</c:f>
              <c:strCache>
                <c:ptCount val="3"/>
                <c:pt idx="0">
                  <c:v>Endowments</c:v>
                </c:pt>
                <c:pt idx="1">
                  <c:v>Coefficients</c:v>
                </c:pt>
                <c:pt idx="2">
                  <c:v>Change BMI</c:v>
                </c:pt>
              </c:strCache>
            </c:strRef>
          </c:cat>
          <c:val>
            <c:numRef>
              <c:f>'extended model oaxaca (2)'!$T$11:$V$11</c:f>
              <c:numCache>
                <c:formatCode>General</c:formatCode>
                <c:ptCount val="3"/>
                <c:pt idx="0">
                  <c:v>0</c:v>
                </c:pt>
                <c:pt idx="1">
                  <c:v>0.222</c:v>
                </c:pt>
                <c:pt idx="2" formatCode="0.000">
                  <c:v>2.7000000000000003E-2</c:v>
                </c:pt>
              </c:numCache>
            </c:numRef>
          </c:val>
        </c:ser>
        <c:dLbls>
          <c:showLegendKey val="0"/>
          <c:showVal val="0"/>
          <c:showCatName val="0"/>
          <c:showSerName val="0"/>
          <c:showPercent val="0"/>
          <c:showBubbleSize val="0"/>
        </c:dLbls>
        <c:gapWidth val="150"/>
        <c:overlap val="100"/>
        <c:axId val="162637912"/>
        <c:axId val="162638304"/>
      </c:barChart>
      <c:catAx>
        <c:axId val="162637912"/>
        <c:scaling>
          <c:orientation val="minMax"/>
        </c:scaling>
        <c:delete val="0"/>
        <c:axPos val="b"/>
        <c:numFmt formatCode="General" sourceLinked="1"/>
        <c:majorTickMark val="out"/>
        <c:minorTickMark val="none"/>
        <c:tickLblPos val="nextTo"/>
        <c:crossAx val="162638304"/>
        <c:crosses val="autoZero"/>
        <c:auto val="1"/>
        <c:lblAlgn val="ctr"/>
        <c:lblOffset val="100"/>
        <c:noMultiLvlLbl val="0"/>
      </c:catAx>
      <c:valAx>
        <c:axId val="162638304"/>
        <c:scaling>
          <c:orientation val="minMax"/>
        </c:scaling>
        <c:delete val="0"/>
        <c:axPos val="l"/>
        <c:majorGridlines/>
        <c:numFmt formatCode="General" sourceLinked="1"/>
        <c:majorTickMark val="out"/>
        <c:minorTickMark val="none"/>
        <c:tickLblPos val="nextTo"/>
        <c:crossAx val="162637912"/>
        <c:crosses val="autoZero"/>
        <c:crossBetween val="between"/>
      </c:valAx>
    </c:plotArea>
    <c:legend>
      <c:legendPos val="r"/>
      <c:overlay val="0"/>
    </c:legend>
    <c:plotVisOnly val="1"/>
    <c:dispBlanksAs val="gap"/>
    <c:showDLblsOverMax val="0"/>
  </c:chart>
  <c:externalData r:id="rId2">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invertIfNegative val="0"/>
          <c:dPt>
            <c:idx val="0"/>
            <c:invertIfNegative val="0"/>
            <c:bubble3D val="0"/>
            <c:spPr>
              <a:solidFill>
                <a:schemeClr val="tx2">
                  <a:lumMod val="40000"/>
                  <a:lumOff val="60000"/>
                </a:schemeClr>
              </a:solidFill>
            </c:spPr>
          </c:dPt>
          <c:dPt>
            <c:idx val="1"/>
            <c:invertIfNegative val="0"/>
            <c:bubble3D val="0"/>
            <c:spPr>
              <a:solidFill>
                <a:schemeClr val="tx2">
                  <a:lumMod val="40000"/>
                  <a:lumOff val="60000"/>
                </a:schemeClr>
              </a:solidFill>
            </c:spPr>
          </c:dPt>
          <c:dPt>
            <c:idx val="2"/>
            <c:invertIfNegative val="0"/>
            <c:bubble3D val="0"/>
            <c:spPr>
              <a:solidFill>
                <a:schemeClr val="tx2">
                  <a:lumMod val="40000"/>
                  <a:lumOff val="60000"/>
                </a:schemeClr>
              </a:solidFill>
            </c:spPr>
          </c:dPt>
          <c:dPt>
            <c:idx val="3"/>
            <c:invertIfNegative val="0"/>
            <c:bubble3D val="0"/>
            <c:spPr>
              <a:solidFill>
                <a:schemeClr val="tx1"/>
              </a:solidFill>
            </c:spPr>
          </c:dPt>
          <c:cat>
            <c:multiLvlStrRef>
              <c:f>'extended model oaxaca (2)'!$AC$64:$AE$65</c:f>
              <c:multiLvlStrCache>
                <c:ptCount val="3"/>
                <c:lvl>
                  <c:pt idx="0">
                    <c:v>Endowments</c:v>
                  </c:pt>
                  <c:pt idx="1">
                    <c:v>Coefficients</c:v>
                  </c:pt>
                  <c:pt idx="2">
                    <c:v>Change BMI</c:v>
                  </c:pt>
                </c:lvl>
                <c:lvl>
                  <c:pt idx="0">
                    <c:v>Net Effect</c:v>
                  </c:pt>
                </c:lvl>
              </c:multiLvlStrCache>
            </c:multiLvlStrRef>
          </c:cat>
          <c:val>
            <c:numRef>
              <c:f>'extended model oaxaca (2)'!$AC$66:$AE$66</c:f>
              <c:numCache>
                <c:formatCode>0.000</c:formatCode>
                <c:ptCount val="3"/>
                <c:pt idx="0">
                  <c:v>5.6000000000000001E-2</c:v>
                </c:pt>
                <c:pt idx="1">
                  <c:v>-2.8999999999999998E-2</c:v>
                </c:pt>
                <c:pt idx="2" formatCode="General">
                  <c:v>2.7000000000000003E-2</c:v>
                </c:pt>
              </c:numCache>
            </c:numRef>
          </c:val>
        </c:ser>
        <c:dLbls>
          <c:showLegendKey val="0"/>
          <c:showVal val="0"/>
          <c:showCatName val="0"/>
          <c:showSerName val="0"/>
          <c:showPercent val="0"/>
          <c:showBubbleSize val="0"/>
        </c:dLbls>
        <c:gapWidth val="150"/>
        <c:overlap val="100"/>
        <c:axId val="162489112"/>
        <c:axId val="162489504"/>
      </c:barChart>
      <c:catAx>
        <c:axId val="162489112"/>
        <c:scaling>
          <c:orientation val="minMax"/>
        </c:scaling>
        <c:delete val="0"/>
        <c:axPos val="b"/>
        <c:numFmt formatCode="General" sourceLinked="1"/>
        <c:majorTickMark val="out"/>
        <c:minorTickMark val="none"/>
        <c:tickLblPos val="nextTo"/>
        <c:crossAx val="162489504"/>
        <c:crosses val="autoZero"/>
        <c:auto val="1"/>
        <c:lblAlgn val="ctr"/>
        <c:lblOffset val="100"/>
        <c:noMultiLvlLbl val="0"/>
      </c:catAx>
      <c:valAx>
        <c:axId val="162489504"/>
        <c:scaling>
          <c:orientation val="minMax"/>
          <c:max val="0.25"/>
          <c:min val="-0.25"/>
        </c:scaling>
        <c:delete val="0"/>
        <c:axPos val="l"/>
        <c:majorGridlines/>
        <c:numFmt formatCode="0.000" sourceLinked="1"/>
        <c:majorTickMark val="out"/>
        <c:minorTickMark val="none"/>
        <c:tickLblPos val="nextTo"/>
        <c:crossAx val="162489112"/>
        <c:crosses val="autoZero"/>
        <c:crossBetween val="between"/>
      </c:valAx>
    </c:plotArea>
    <c:plotVisOnly val="1"/>
    <c:dispBlanksAs val="gap"/>
    <c:showDLblsOverMax val="0"/>
  </c:chart>
  <c:spPr>
    <a:ln w="9525"/>
  </c:spPr>
  <c:externalData r:id="rId2">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France</a:t>
            </a:r>
          </a:p>
        </c:rich>
      </c:tx>
      <c:overlay val="0"/>
    </c:title>
    <c:autoTitleDeleted val="0"/>
    <c:plotArea>
      <c:layout/>
      <c:barChart>
        <c:barDir val="col"/>
        <c:grouping val="stacked"/>
        <c:varyColors val="0"/>
        <c:ser>
          <c:idx val="0"/>
          <c:order val="0"/>
          <c:tx>
            <c:strRef>
              <c:f>'extended model oaxaca (2)'!$S$36</c:f>
              <c:strCache>
                <c:ptCount val="1"/>
                <c:pt idx="0">
                  <c:v>Female</c:v>
                </c:pt>
              </c:strCache>
            </c:strRef>
          </c:tx>
          <c:spPr>
            <a:solidFill>
              <a:srgbClr val="1F497D">
                <a:lumMod val="60000"/>
                <a:lumOff val="40000"/>
              </a:srgbClr>
            </a:solidFill>
          </c:spPr>
          <c:invertIfNegative val="0"/>
          <c:cat>
            <c:strRef>
              <c:f>'extended model oaxaca (2)'!$T$34:$V$35</c:f>
              <c:strCache>
                <c:ptCount val="3"/>
                <c:pt idx="0">
                  <c:v>Endowments</c:v>
                </c:pt>
                <c:pt idx="1">
                  <c:v>Coefficients</c:v>
                </c:pt>
                <c:pt idx="2">
                  <c:v>Change BMI</c:v>
                </c:pt>
              </c:strCache>
            </c:strRef>
          </c:cat>
          <c:val>
            <c:numRef>
              <c:f>'extended model oaxaca (2)'!$T$36:$V$36</c:f>
              <c:numCache>
                <c:formatCode>General</c:formatCode>
                <c:ptCount val="3"/>
                <c:pt idx="0">
                  <c:v>0</c:v>
                </c:pt>
                <c:pt idx="1">
                  <c:v>2.1000000000000001E-2</c:v>
                </c:pt>
              </c:numCache>
            </c:numRef>
          </c:val>
        </c:ser>
        <c:ser>
          <c:idx val="1"/>
          <c:order val="1"/>
          <c:tx>
            <c:strRef>
              <c:f>'extended model oaxaca (2)'!$S$37</c:f>
              <c:strCache>
                <c:ptCount val="1"/>
                <c:pt idx="0">
                  <c:v>Age</c:v>
                </c:pt>
              </c:strCache>
            </c:strRef>
          </c:tx>
          <c:spPr>
            <a:solidFill>
              <a:srgbClr val="92D050"/>
            </a:solidFill>
          </c:spPr>
          <c:invertIfNegative val="0"/>
          <c:cat>
            <c:strRef>
              <c:f>'extended model oaxaca (2)'!$T$34:$V$35</c:f>
              <c:strCache>
                <c:ptCount val="3"/>
                <c:pt idx="0">
                  <c:v>Endowments</c:v>
                </c:pt>
                <c:pt idx="1">
                  <c:v>Coefficients</c:v>
                </c:pt>
                <c:pt idx="2">
                  <c:v>Change BMI</c:v>
                </c:pt>
              </c:strCache>
            </c:strRef>
          </c:cat>
          <c:val>
            <c:numRef>
              <c:f>'extended model oaxaca (2)'!$T$37:$V$37</c:f>
              <c:numCache>
                <c:formatCode>General</c:formatCode>
                <c:ptCount val="3"/>
                <c:pt idx="0">
                  <c:v>0</c:v>
                </c:pt>
                <c:pt idx="1">
                  <c:v>-0.41300000000000003</c:v>
                </c:pt>
              </c:numCache>
            </c:numRef>
          </c:val>
        </c:ser>
        <c:ser>
          <c:idx val="2"/>
          <c:order val="2"/>
          <c:tx>
            <c:strRef>
              <c:f>'extended model oaxaca (2)'!$S$38</c:f>
              <c:strCache>
                <c:ptCount val="1"/>
                <c:pt idx="0">
                  <c:v>ISCED</c:v>
                </c:pt>
              </c:strCache>
            </c:strRef>
          </c:tx>
          <c:spPr>
            <a:solidFill>
              <a:srgbClr val="F79646"/>
            </a:solidFill>
          </c:spPr>
          <c:invertIfNegative val="0"/>
          <c:cat>
            <c:strRef>
              <c:f>'extended model oaxaca (2)'!$T$34:$V$35</c:f>
              <c:strCache>
                <c:ptCount val="3"/>
                <c:pt idx="0">
                  <c:v>Endowments</c:v>
                </c:pt>
                <c:pt idx="1">
                  <c:v>Coefficients</c:v>
                </c:pt>
                <c:pt idx="2">
                  <c:v>Change BMI</c:v>
                </c:pt>
              </c:strCache>
            </c:strRef>
          </c:cat>
          <c:val>
            <c:numRef>
              <c:f>'extended model oaxaca (2)'!$T$38:$V$38</c:f>
              <c:numCache>
                <c:formatCode>General</c:formatCode>
                <c:ptCount val="3"/>
                <c:pt idx="0">
                  <c:v>0</c:v>
                </c:pt>
                <c:pt idx="1">
                  <c:v>-2.0000000000000018E-3</c:v>
                </c:pt>
              </c:numCache>
            </c:numRef>
          </c:val>
        </c:ser>
        <c:ser>
          <c:idx val="3"/>
          <c:order val="3"/>
          <c:tx>
            <c:strRef>
              <c:f>'extended model oaxaca (2)'!$S$39</c:f>
              <c:strCache>
                <c:ptCount val="1"/>
                <c:pt idx="0">
                  <c:v>Active</c:v>
                </c:pt>
              </c:strCache>
            </c:strRef>
          </c:tx>
          <c:spPr>
            <a:solidFill>
              <a:schemeClr val="accent4">
                <a:lumMod val="75000"/>
              </a:schemeClr>
            </a:solidFill>
          </c:spPr>
          <c:invertIfNegative val="0"/>
          <c:cat>
            <c:strRef>
              <c:f>'extended model oaxaca (2)'!$T$34:$V$35</c:f>
              <c:strCache>
                <c:ptCount val="3"/>
                <c:pt idx="0">
                  <c:v>Endowments</c:v>
                </c:pt>
                <c:pt idx="1">
                  <c:v>Coefficients</c:v>
                </c:pt>
                <c:pt idx="2">
                  <c:v>Change BMI</c:v>
                </c:pt>
              </c:strCache>
            </c:strRef>
          </c:cat>
          <c:val>
            <c:numRef>
              <c:f>'extended model oaxaca (2)'!$T$39:$V$39</c:f>
              <c:numCache>
                <c:formatCode>General</c:formatCode>
                <c:ptCount val="3"/>
                <c:pt idx="0">
                  <c:v>7.9000000000000001E-2</c:v>
                </c:pt>
                <c:pt idx="1">
                  <c:v>-0.108</c:v>
                </c:pt>
              </c:numCache>
            </c:numRef>
          </c:val>
        </c:ser>
        <c:ser>
          <c:idx val="4"/>
          <c:order val="4"/>
          <c:tx>
            <c:strRef>
              <c:f>'extended model oaxaca (2)'!$S$40</c:f>
              <c:strCache>
                <c:ptCount val="1"/>
                <c:pt idx="0">
                  <c:v>Income</c:v>
                </c:pt>
              </c:strCache>
            </c:strRef>
          </c:tx>
          <c:spPr>
            <a:solidFill>
              <a:srgbClr val="C0504D"/>
            </a:solidFill>
          </c:spPr>
          <c:invertIfNegative val="0"/>
          <c:cat>
            <c:strRef>
              <c:f>'extended model oaxaca (2)'!$T$34:$V$35</c:f>
              <c:strCache>
                <c:ptCount val="3"/>
                <c:pt idx="0">
                  <c:v>Endowments</c:v>
                </c:pt>
                <c:pt idx="1">
                  <c:v>Coefficients</c:v>
                </c:pt>
                <c:pt idx="2">
                  <c:v>Change BMI</c:v>
                </c:pt>
              </c:strCache>
            </c:strRef>
          </c:cat>
          <c:val>
            <c:numRef>
              <c:f>'extended model oaxaca (2)'!$T$40:$V$40</c:f>
              <c:numCache>
                <c:formatCode>General</c:formatCode>
                <c:ptCount val="3"/>
                <c:pt idx="0">
                  <c:v>3.0000000000000001E-3</c:v>
                </c:pt>
                <c:pt idx="1">
                  <c:v>9.2999999999999999E-2</c:v>
                </c:pt>
              </c:numCache>
            </c:numRef>
          </c:val>
        </c:ser>
        <c:ser>
          <c:idx val="5"/>
          <c:order val="5"/>
          <c:tx>
            <c:strRef>
              <c:f>'extended model oaxaca (2)'!$S$41</c:f>
              <c:strCache>
                <c:ptCount val="1"/>
                <c:pt idx="0">
                  <c:v>Food</c:v>
                </c:pt>
              </c:strCache>
            </c:strRef>
          </c:tx>
          <c:spPr>
            <a:solidFill>
              <a:schemeClr val="accent5">
                <a:lumMod val="40000"/>
                <a:lumOff val="60000"/>
              </a:schemeClr>
            </a:solidFill>
          </c:spPr>
          <c:invertIfNegative val="0"/>
          <c:cat>
            <c:strRef>
              <c:f>'extended model oaxaca (2)'!$T$34:$V$35</c:f>
              <c:strCache>
                <c:ptCount val="3"/>
                <c:pt idx="0">
                  <c:v>Endowments</c:v>
                </c:pt>
                <c:pt idx="1">
                  <c:v>Coefficients</c:v>
                </c:pt>
                <c:pt idx="2">
                  <c:v>Change BMI</c:v>
                </c:pt>
              </c:strCache>
            </c:strRef>
          </c:cat>
          <c:val>
            <c:numRef>
              <c:f>'extended model oaxaca (2)'!$T$41:$V$41</c:f>
              <c:numCache>
                <c:formatCode>General</c:formatCode>
                <c:ptCount val="3"/>
                <c:pt idx="0">
                  <c:v>-2E-3</c:v>
                </c:pt>
                <c:pt idx="1">
                  <c:v>5.1000000000000004E-2</c:v>
                </c:pt>
              </c:numCache>
            </c:numRef>
          </c:val>
        </c:ser>
        <c:ser>
          <c:idx val="6"/>
          <c:order val="6"/>
          <c:tx>
            <c:strRef>
              <c:f>'extended model oaxaca (2)'!$S$42</c:f>
              <c:strCache>
                <c:ptCount val="1"/>
                <c:pt idx="0">
                  <c:v>Child health</c:v>
                </c:pt>
              </c:strCache>
            </c:strRef>
          </c:tx>
          <c:spPr>
            <a:solidFill>
              <a:schemeClr val="bg2">
                <a:lumMod val="50000"/>
              </a:schemeClr>
            </a:solidFill>
          </c:spPr>
          <c:invertIfNegative val="0"/>
          <c:cat>
            <c:strRef>
              <c:f>'extended model oaxaca (2)'!$T$34:$V$35</c:f>
              <c:strCache>
                <c:ptCount val="3"/>
                <c:pt idx="0">
                  <c:v>Endowments</c:v>
                </c:pt>
                <c:pt idx="1">
                  <c:v>Coefficients</c:v>
                </c:pt>
                <c:pt idx="2">
                  <c:v>Change BMI</c:v>
                </c:pt>
              </c:strCache>
            </c:strRef>
          </c:cat>
          <c:val>
            <c:numRef>
              <c:f>'extended model oaxaca (2)'!$T$42:$V$42</c:f>
              <c:numCache>
                <c:formatCode>General</c:formatCode>
                <c:ptCount val="3"/>
                <c:pt idx="0">
                  <c:v>0</c:v>
                </c:pt>
                <c:pt idx="1">
                  <c:v>1.6E-2</c:v>
                </c:pt>
              </c:numCache>
            </c:numRef>
          </c:val>
        </c:ser>
        <c:ser>
          <c:idx val="7"/>
          <c:order val="7"/>
          <c:tx>
            <c:strRef>
              <c:f>'extended model oaxaca (2)'!$S$43</c:f>
              <c:strCache>
                <c:ptCount val="1"/>
                <c:pt idx="0">
                  <c:v>Cons</c:v>
                </c:pt>
              </c:strCache>
            </c:strRef>
          </c:tx>
          <c:spPr>
            <a:solidFill>
              <a:schemeClr val="bg1">
                <a:lumMod val="65000"/>
              </a:schemeClr>
            </a:solidFill>
          </c:spPr>
          <c:invertIfNegative val="0"/>
          <c:dPt>
            <c:idx val="2"/>
            <c:invertIfNegative val="0"/>
            <c:bubble3D val="0"/>
            <c:spPr>
              <a:solidFill>
                <a:sysClr val="windowText" lastClr="000000"/>
              </a:solidFill>
            </c:spPr>
          </c:dPt>
          <c:dPt>
            <c:idx val="3"/>
            <c:invertIfNegative val="0"/>
            <c:bubble3D val="0"/>
            <c:spPr>
              <a:solidFill>
                <a:schemeClr val="tx1"/>
              </a:solidFill>
            </c:spPr>
          </c:dPt>
          <c:cat>
            <c:strRef>
              <c:f>'extended model oaxaca (2)'!$T$34:$V$35</c:f>
              <c:strCache>
                <c:ptCount val="3"/>
                <c:pt idx="0">
                  <c:v>Endowments</c:v>
                </c:pt>
                <c:pt idx="1">
                  <c:v>Coefficients</c:v>
                </c:pt>
                <c:pt idx="2">
                  <c:v>Change BMI</c:v>
                </c:pt>
              </c:strCache>
            </c:strRef>
          </c:cat>
          <c:val>
            <c:numRef>
              <c:f>'extended model oaxaca (2)'!$T$43:$V$43</c:f>
              <c:numCache>
                <c:formatCode>General</c:formatCode>
                <c:ptCount val="3"/>
                <c:pt idx="0">
                  <c:v>0</c:v>
                </c:pt>
                <c:pt idx="1">
                  <c:v>0.46800000000000003</c:v>
                </c:pt>
                <c:pt idx="2" formatCode="0.000">
                  <c:v>0.20600000000000002</c:v>
                </c:pt>
              </c:numCache>
            </c:numRef>
          </c:val>
        </c:ser>
        <c:dLbls>
          <c:showLegendKey val="0"/>
          <c:showVal val="0"/>
          <c:showCatName val="0"/>
          <c:showSerName val="0"/>
          <c:showPercent val="0"/>
          <c:showBubbleSize val="0"/>
        </c:dLbls>
        <c:gapWidth val="150"/>
        <c:overlap val="100"/>
        <c:axId val="162490288"/>
        <c:axId val="162490680"/>
      </c:barChart>
      <c:catAx>
        <c:axId val="162490288"/>
        <c:scaling>
          <c:orientation val="minMax"/>
        </c:scaling>
        <c:delete val="0"/>
        <c:axPos val="b"/>
        <c:numFmt formatCode="General" sourceLinked="1"/>
        <c:majorTickMark val="out"/>
        <c:minorTickMark val="none"/>
        <c:tickLblPos val="nextTo"/>
        <c:crossAx val="162490680"/>
        <c:crosses val="autoZero"/>
        <c:auto val="1"/>
        <c:lblAlgn val="ctr"/>
        <c:lblOffset val="100"/>
        <c:noMultiLvlLbl val="0"/>
      </c:catAx>
      <c:valAx>
        <c:axId val="162490680"/>
        <c:scaling>
          <c:orientation val="minMax"/>
        </c:scaling>
        <c:delete val="0"/>
        <c:axPos val="l"/>
        <c:majorGridlines/>
        <c:numFmt formatCode="General" sourceLinked="1"/>
        <c:majorTickMark val="out"/>
        <c:minorTickMark val="none"/>
        <c:tickLblPos val="nextTo"/>
        <c:crossAx val="162490288"/>
        <c:crosses val="autoZero"/>
        <c:crossBetween val="between"/>
      </c:valAx>
    </c:plotArea>
    <c:legend>
      <c:legendPos val="r"/>
      <c:overlay val="0"/>
    </c:legend>
    <c:plotVisOnly val="1"/>
    <c:dispBlanksAs val="gap"/>
    <c:showDLblsOverMax val="0"/>
  </c:chart>
  <c:externalData r:id="rId2">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invertIfNegative val="0"/>
          <c:dPt>
            <c:idx val="0"/>
            <c:invertIfNegative val="0"/>
            <c:bubble3D val="0"/>
            <c:spPr>
              <a:solidFill>
                <a:schemeClr val="tx2">
                  <a:lumMod val="40000"/>
                  <a:lumOff val="60000"/>
                </a:schemeClr>
              </a:solidFill>
            </c:spPr>
          </c:dPt>
          <c:dPt>
            <c:idx val="1"/>
            <c:invertIfNegative val="0"/>
            <c:bubble3D val="0"/>
            <c:spPr>
              <a:solidFill>
                <a:schemeClr val="tx2">
                  <a:lumMod val="40000"/>
                  <a:lumOff val="60000"/>
                </a:schemeClr>
              </a:solidFill>
            </c:spPr>
          </c:dPt>
          <c:dPt>
            <c:idx val="2"/>
            <c:invertIfNegative val="0"/>
            <c:bubble3D val="0"/>
            <c:spPr>
              <a:solidFill>
                <a:schemeClr val="tx2">
                  <a:lumMod val="40000"/>
                  <a:lumOff val="60000"/>
                </a:schemeClr>
              </a:solidFill>
            </c:spPr>
          </c:dPt>
          <c:dPt>
            <c:idx val="3"/>
            <c:invertIfNegative val="0"/>
            <c:bubble3D val="0"/>
            <c:spPr>
              <a:solidFill>
                <a:schemeClr val="tx1"/>
              </a:solidFill>
            </c:spPr>
          </c:dPt>
          <c:cat>
            <c:multiLvlStrRef>
              <c:f>'extended model oaxaca (2)'!$Y$95:$AA$96</c:f>
              <c:multiLvlStrCache>
                <c:ptCount val="3"/>
                <c:lvl>
                  <c:pt idx="0">
                    <c:v>Endowments</c:v>
                  </c:pt>
                  <c:pt idx="1">
                    <c:v>Coefficients</c:v>
                  </c:pt>
                  <c:pt idx="2">
                    <c:v>Change BMI</c:v>
                  </c:pt>
                </c:lvl>
                <c:lvl>
                  <c:pt idx="0">
                    <c:v>Net Effect</c:v>
                  </c:pt>
                </c:lvl>
              </c:multiLvlStrCache>
            </c:multiLvlStrRef>
          </c:cat>
          <c:val>
            <c:numRef>
              <c:f>'extended model oaxaca (2)'!$Y$97:$AA$97</c:f>
              <c:numCache>
                <c:formatCode>0.000</c:formatCode>
                <c:ptCount val="3"/>
                <c:pt idx="0">
                  <c:v>7.0000000000000007E-2</c:v>
                </c:pt>
                <c:pt idx="1">
                  <c:v>0.11499999999999999</c:v>
                </c:pt>
                <c:pt idx="2" formatCode="General">
                  <c:v>0.185</c:v>
                </c:pt>
              </c:numCache>
            </c:numRef>
          </c:val>
        </c:ser>
        <c:dLbls>
          <c:showLegendKey val="0"/>
          <c:showVal val="0"/>
          <c:showCatName val="0"/>
          <c:showSerName val="0"/>
          <c:showPercent val="0"/>
          <c:showBubbleSize val="0"/>
        </c:dLbls>
        <c:gapWidth val="150"/>
        <c:overlap val="100"/>
        <c:axId val="162491464"/>
        <c:axId val="162491856"/>
      </c:barChart>
      <c:catAx>
        <c:axId val="162491464"/>
        <c:scaling>
          <c:orientation val="minMax"/>
        </c:scaling>
        <c:delete val="0"/>
        <c:axPos val="b"/>
        <c:numFmt formatCode="General" sourceLinked="1"/>
        <c:majorTickMark val="out"/>
        <c:minorTickMark val="none"/>
        <c:tickLblPos val="nextTo"/>
        <c:crossAx val="162491856"/>
        <c:crosses val="autoZero"/>
        <c:auto val="1"/>
        <c:lblAlgn val="ctr"/>
        <c:lblOffset val="100"/>
        <c:noMultiLvlLbl val="0"/>
      </c:catAx>
      <c:valAx>
        <c:axId val="162491856"/>
        <c:scaling>
          <c:orientation val="minMax"/>
          <c:max val="0.25"/>
          <c:min val="-0.25"/>
        </c:scaling>
        <c:delete val="0"/>
        <c:axPos val="l"/>
        <c:majorGridlines/>
        <c:numFmt formatCode="0.000" sourceLinked="1"/>
        <c:majorTickMark val="out"/>
        <c:minorTickMark val="none"/>
        <c:tickLblPos val="nextTo"/>
        <c:crossAx val="162491464"/>
        <c:crosses val="autoZero"/>
        <c:crossBetween val="between"/>
      </c:valAx>
    </c:plotArea>
    <c:plotVisOnly val="1"/>
    <c:dispBlanksAs val="gap"/>
    <c:showDLblsOverMax val="0"/>
  </c:chart>
  <c:spPr>
    <a:ln w="9525"/>
  </c:spPr>
  <c:externalData r:id="rId2">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Denmark</a:t>
            </a:r>
          </a:p>
        </c:rich>
      </c:tx>
      <c:overlay val="0"/>
    </c:title>
    <c:autoTitleDeleted val="0"/>
    <c:plotArea>
      <c:layout/>
      <c:barChart>
        <c:barDir val="col"/>
        <c:grouping val="stacked"/>
        <c:varyColors val="0"/>
        <c:ser>
          <c:idx val="0"/>
          <c:order val="0"/>
          <c:tx>
            <c:strRef>
              <c:f>'extended model oaxaca (2)'!$S$67</c:f>
              <c:strCache>
                <c:ptCount val="1"/>
                <c:pt idx="0">
                  <c:v>Female</c:v>
                </c:pt>
              </c:strCache>
            </c:strRef>
          </c:tx>
          <c:spPr>
            <a:solidFill>
              <a:srgbClr val="1F497D">
                <a:lumMod val="60000"/>
                <a:lumOff val="40000"/>
              </a:srgbClr>
            </a:solidFill>
          </c:spPr>
          <c:invertIfNegative val="0"/>
          <c:cat>
            <c:strRef>
              <c:f>'extended model oaxaca (2)'!$T$65:$V$66</c:f>
              <c:strCache>
                <c:ptCount val="3"/>
                <c:pt idx="0">
                  <c:v>Endowments</c:v>
                </c:pt>
                <c:pt idx="1">
                  <c:v>Coefficients</c:v>
                </c:pt>
                <c:pt idx="2">
                  <c:v>Change BMI</c:v>
                </c:pt>
              </c:strCache>
            </c:strRef>
          </c:cat>
          <c:val>
            <c:numRef>
              <c:f>'extended model oaxaca (2)'!$T$67:$V$67</c:f>
              <c:numCache>
                <c:formatCode>General</c:formatCode>
                <c:ptCount val="3"/>
                <c:pt idx="0">
                  <c:v>0</c:v>
                </c:pt>
                <c:pt idx="1">
                  <c:v>0.05</c:v>
                </c:pt>
              </c:numCache>
            </c:numRef>
          </c:val>
        </c:ser>
        <c:ser>
          <c:idx val="1"/>
          <c:order val="1"/>
          <c:tx>
            <c:strRef>
              <c:f>'extended model oaxaca (2)'!$S$68</c:f>
              <c:strCache>
                <c:ptCount val="1"/>
                <c:pt idx="0">
                  <c:v>Age</c:v>
                </c:pt>
              </c:strCache>
            </c:strRef>
          </c:tx>
          <c:spPr>
            <a:solidFill>
              <a:srgbClr val="92D050"/>
            </a:solidFill>
          </c:spPr>
          <c:invertIfNegative val="0"/>
          <c:cat>
            <c:strRef>
              <c:f>'extended model oaxaca (2)'!$T$65:$V$66</c:f>
              <c:strCache>
                <c:ptCount val="3"/>
                <c:pt idx="0">
                  <c:v>Endowments</c:v>
                </c:pt>
                <c:pt idx="1">
                  <c:v>Coefficients</c:v>
                </c:pt>
                <c:pt idx="2">
                  <c:v>Change BMI</c:v>
                </c:pt>
              </c:strCache>
            </c:strRef>
          </c:cat>
          <c:val>
            <c:numRef>
              <c:f>'extended model oaxaca (2)'!$T$68:$V$68</c:f>
              <c:numCache>
                <c:formatCode>General</c:formatCode>
                <c:ptCount val="3"/>
                <c:pt idx="0">
                  <c:v>0</c:v>
                </c:pt>
                <c:pt idx="1">
                  <c:v>-0.27200000000000002</c:v>
                </c:pt>
              </c:numCache>
            </c:numRef>
          </c:val>
        </c:ser>
        <c:ser>
          <c:idx val="2"/>
          <c:order val="2"/>
          <c:tx>
            <c:strRef>
              <c:f>'extended model oaxaca (2)'!$S$69</c:f>
              <c:strCache>
                <c:ptCount val="1"/>
                <c:pt idx="0">
                  <c:v>ISCED</c:v>
                </c:pt>
              </c:strCache>
            </c:strRef>
          </c:tx>
          <c:spPr>
            <a:solidFill>
              <a:srgbClr val="F79646"/>
            </a:solidFill>
          </c:spPr>
          <c:invertIfNegative val="0"/>
          <c:cat>
            <c:strRef>
              <c:f>'extended model oaxaca (2)'!$T$65:$V$66</c:f>
              <c:strCache>
                <c:ptCount val="3"/>
                <c:pt idx="0">
                  <c:v>Endowments</c:v>
                </c:pt>
                <c:pt idx="1">
                  <c:v>Coefficients</c:v>
                </c:pt>
                <c:pt idx="2">
                  <c:v>Change BMI</c:v>
                </c:pt>
              </c:strCache>
            </c:strRef>
          </c:cat>
          <c:val>
            <c:numRef>
              <c:f>'extended model oaxaca (2)'!$T$69:$V$69</c:f>
              <c:numCache>
                <c:formatCode>General</c:formatCode>
                <c:ptCount val="3"/>
                <c:pt idx="0">
                  <c:v>0</c:v>
                </c:pt>
                <c:pt idx="1">
                  <c:v>-0.25700000000000001</c:v>
                </c:pt>
              </c:numCache>
            </c:numRef>
          </c:val>
        </c:ser>
        <c:ser>
          <c:idx val="3"/>
          <c:order val="3"/>
          <c:tx>
            <c:strRef>
              <c:f>'extended model oaxaca (2)'!$S$70</c:f>
              <c:strCache>
                <c:ptCount val="1"/>
                <c:pt idx="0">
                  <c:v>Active</c:v>
                </c:pt>
              </c:strCache>
            </c:strRef>
          </c:tx>
          <c:spPr>
            <a:solidFill>
              <a:schemeClr val="accent4">
                <a:lumMod val="75000"/>
              </a:schemeClr>
            </a:solidFill>
          </c:spPr>
          <c:invertIfNegative val="0"/>
          <c:cat>
            <c:strRef>
              <c:f>'extended model oaxaca (2)'!$T$65:$V$66</c:f>
              <c:strCache>
                <c:ptCount val="3"/>
                <c:pt idx="0">
                  <c:v>Endowments</c:v>
                </c:pt>
                <c:pt idx="1">
                  <c:v>Coefficients</c:v>
                </c:pt>
                <c:pt idx="2">
                  <c:v>Change BMI</c:v>
                </c:pt>
              </c:strCache>
            </c:strRef>
          </c:cat>
          <c:val>
            <c:numRef>
              <c:f>'extended model oaxaca (2)'!$T$70:$V$70</c:f>
              <c:numCache>
                <c:formatCode>General</c:formatCode>
                <c:ptCount val="3"/>
                <c:pt idx="0">
                  <c:v>0.191</c:v>
                </c:pt>
                <c:pt idx="1">
                  <c:v>-0.32300000000000001</c:v>
                </c:pt>
              </c:numCache>
            </c:numRef>
          </c:val>
        </c:ser>
        <c:ser>
          <c:idx val="4"/>
          <c:order val="4"/>
          <c:tx>
            <c:strRef>
              <c:f>'extended model oaxaca (2)'!$S$71</c:f>
              <c:strCache>
                <c:ptCount val="1"/>
                <c:pt idx="0">
                  <c:v>Income</c:v>
                </c:pt>
              </c:strCache>
            </c:strRef>
          </c:tx>
          <c:spPr>
            <a:solidFill>
              <a:srgbClr val="C0504D"/>
            </a:solidFill>
          </c:spPr>
          <c:invertIfNegative val="0"/>
          <c:cat>
            <c:strRef>
              <c:f>'extended model oaxaca (2)'!$T$65:$V$66</c:f>
              <c:strCache>
                <c:ptCount val="3"/>
                <c:pt idx="0">
                  <c:v>Endowments</c:v>
                </c:pt>
                <c:pt idx="1">
                  <c:v>Coefficients</c:v>
                </c:pt>
                <c:pt idx="2">
                  <c:v>Change BMI</c:v>
                </c:pt>
              </c:strCache>
            </c:strRef>
          </c:cat>
          <c:val>
            <c:numRef>
              <c:f>'extended model oaxaca (2)'!$T$71:$V$71</c:f>
              <c:numCache>
                <c:formatCode>General</c:formatCode>
                <c:ptCount val="3"/>
                <c:pt idx="0">
                  <c:v>-1.8000000000000002E-2</c:v>
                </c:pt>
                <c:pt idx="1">
                  <c:v>-0.18</c:v>
                </c:pt>
              </c:numCache>
            </c:numRef>
          </c:val>
        </c:ser>
        <c:ser>
          <c:idx val="5"/>
          <c:order val="5"/>
          <c:tx>
            <c:strRef>
              <c:f>'extended model oaxaca (2)'!$S$72</c:f>
              <c:strCache>
                <c:ptCount val="1"/>
                <c:pt idx="0">
                  <c:v>Food</c:v>
                </c:pt>
              </c:strCache>
            </c:strRef>
          </c:tx>
          <c:spPr>
            <a:solidFill>
              <a:schemeClr val="accent5">
                <a:lumMod val="40000"/>
                <a:lumOff val="60000"/>
              </a:schemeClr>
            </a:solidFill>
          </c:spPr>
          <c:invertIfNegative val="0"/>
          <c:cat>
            <c:strRef>
              <c:f>'extended model oaxaca (2)'!$T$65:$V$66</c:f>
              <c:strCache>
                <c:ptCount val="3"/>
                <c:pt idx="0">
                  <c:v>Endowments</c:v>
                </c:pt>
                <c:pt idx="1">
                  <c:v>Coefficients</c:v>
                </c:pt>
                <c:pt idx="2">
                  <c:v>Change BMI</c:v>
                </c:pt>
              </c:strCache>
            </c:strRef>
          </c:cat>
          <c:val>
            <c:numRef>
              <c:f>'extended model oaxaca (2)'!$T$72:$V$72</c:f>
              <c:numCache>
                <c:formatCode>General</c:formatCode>
                <c:ptCount val="3"/>
                <c:pt idx="0">
                  <c:v>-4.0000000000000001E-3</c:v>
                </c:pt>
                <c:pt idx="1">
                  <c:v>-4.7E-2</c:v>
                </c:pt>
              </c:numCache>
            </c:numRef>
          </c:val>
        </c:ser>
        <c:ser>
          <c:idx val="6"/>
          <c:order val="6"/>
          <c:tx>
            <c:strRef>
              <c:f>'extended model oaxaca (2)'!$S$73</c:f>
              <c:strCache>
                <c:ptCount val="1"/>
                <c:pt idx="0">
                  <c:v>Child health</c:v>
                </c:pt>
              </c:strCache>
            </c:strRef>
          </c:tx>
          <c:spPr>
            <a:solidFill>
              <a:schemeClr val="bg2">
                <a:lumMod val="50000"/>
              </a:schemeClr>
            </a:solidFill>
          </c:spPr>
          <c:invertIfNegative val="0"/>
          <c:cat>
            <c:strRef>
              <c:f>'extended model oaxaca (2)'!$T$65:$V$66</c:f>
              <c:strCache>
                <c:ptCount val="3"/>
                <c:pt idx="0">
                  <c:v>Endowments</c:v>
                </c:pt>
                <c:pt idx="1">
                  <c:v>Coefficients</c:v>
                </c:pt>
                <c:pt idx="2">
                  <c:v>Change BMI</c:v>
                </c:pt>
              </c:strCache>
            </c:strRef>
          </c:cat>
          <c:val>
            <c:numRef>
              <c:f>'extended model oaxaca (2)'!$T$73:$V$73</c:f>
              <c:numCache>
                <c:formatCode>General</c:formatCode>
                <c:ptCount val="3"/>
                <c:pt idx="0">
                  <c:v>0</c:v>
                </c:pt>
                <c:pt idx="1">
                  <c:v>-2.1000000000000001E-2</c:v>
                </c:pt>
              </c:numCache>
            </c:numRef>
          </c:val>
        </c:ser>
        <c:ser>
          <c:idx val="7"/>
          <c:order val="7"/>
          <c:tx>
            <c:strRef>
              <c:f>'extended model oaxaca (2)'!$S$74</c:f>
              <c:strCache>
                <c:ptCount val="1"/>
                <c:pt idx="0">
                  <c:v>Cons</c:v>
                </c:pt>
              </c:strCache>
            </c:strRef>
          </c:tx>
          <c:spPr>
            <a:solidFill>
              <a:sysClr val="windowText" lastClr="000000"/>
            </a:solidFill>
          </c:spPr>
          <c:invertIfNegative val="0"/>
          <c:dPt>
            <c:idx val="1"/>
            <c:invertIfNegative val="0"/>
            <c:bubble3D val="0"/>
            <c:spPr>
              <a:solidFill>
                <a:sysClr val="window" lastClr="FFFFFF">
                  <a:lumMod val="65000"/>
                </a:sysClr>
              </a:solidFill>
            </c:spPr>
          </c:dPt>
          <c:dPt>
            <c:idx val="3"/>
            <c:invertIfNegative val="0"/>
            <c:bubble3D val="0"/>
          </c:dPt>
          <c:cat>
            <c:strRef>
              <c:f>'extended model oaxaca (2)'!$T$65:$V$66</c:f>
              <c:strCache>
                <c:ptCount val="3"/>
                <c:pt idx="0">
                  <c:v>Endowments</c:v>
                </c:pt>
                <c:pt idx="1">
                  <c:v>Coefficients</c:v>
                </c:pt>
                <c:pt idx="2">
                  <c:v>Change BMI</c:v>
                </c:pt>
              </c:strCache>
            </c:strRef>
          </c:cat>
          <c:val>
            <c:numRef>
              <c:f>'extended model oaxaca (2)'!$T$74:$V$74</c:f>
              <c:numCache>
                <c:formatCode>General</c:formatCode>
                <c:ptCount val="3"/>
                <c:pt idx="0">
                  <c:v>0</c:v>
                </c:pt>
                <c:pt idx="1">
                  <c:v>0.96899999999999997</c:v>
                </c:pt>
                <c:pt idx="2" formatCode="0.000">
                  <c:v>8.8000000000000134E-2</c:v>
                </c:pt>
              </c:numCache>
            </c:numRef>
          </c:val>
        </c:ser>
        <c:dLbls>
          <c:showLegendKey val="0"/>
          <c:showVal val="0"/>
          <c:showCatName val="0"/>
          <c:showSerName val="0"/>
          <c:showPercent val="0"/>
          <c:showBubbleSize val="0"/>
        </c:dLbls>
        <c:gapWidth val="150"/>
        <c:overlap val="100"/>
        <c:axId val="162492640"/>
        <c:axId val="162799024"/>
      </c:barChart>
      <c:catAx>
        <c:axId val="162492640"/>
        <c:scaling>
          <c:orientation val="minMax"/>
        </c:scaling>
        <c:delete val="0"/>
        <c:axPos val="b"/>
        <c:numFmt formatCode="General" sourceLinked="1"/>
        <c:majorTickMark val="out"/>
        <c:minorTickMark val="none"/>
        <c:tickLblPos val="nextTo"/>
        <c:crossAx val="162799024"/>
        <c:crosses val="autoZero"/>
        <c:auto val="1"/>
        <c:lblAlgn val="ctr"/>
        <c:lblOffset val="100"/>
        <c:noMultiLvlLbl val="0"/>
      </c:catAx>
      <c:valAx>
        <c:axId val="162799024"/>
        <c:scaling>
          <c:orientation val="minMax"/>
        </c:scaling>
        <c:delete val="0"/>
        <c:axPos val="l"/>
        <c:majorGridlines/>
        <c:numFmt formatCode="General" sourceLinked="1"/>
        <c:majorTickMark val="out"/>
        <c:minorTickMark val="none"/>
        <c:tickLblPos val="nextTo"/>
        <c:crossAx val="162492640"/>
        <c:crosses val="autoZero"/>
        <c:crossBetween val="between"/>
      </c:valAx>
    </c:plotArea>
    <c:legend>
      <c:legendPos val="r"/>
      <c:overlay val="0"/>
    </c:legend>
    <c:plotVisOnly val="1"/>
    <c:dispBlanksAs val="gap"/>
    <c:showDLblsOverMax val="0"/>
  </c:chart>
  <c:externalData r:id="rId2">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invertIfNegative val="0"/>
          <c:dPt>
            <c:idx val="0"/>
            <c:invertIfNegative val="0"/>
            <c:bubble3D val="0"/>
            <c:spPr>
              <a:solidFill>
                <a:schemeClr val="tx2">
                  <a:lumMod val="40000"/>
                  <a:lumOff val="60000"/>
                </a:schemeClr>
              </a:solidFill>
            </c:spPr>
          </c:dPt>
          <c:dPt>
            <c:idx val="1"/>
            <c:invertIfNegative val="0"/>
            <c:bubble3D val="0"/>
            <c:spPr>
              <a:solidFill>
                <a:schemeClr val="tx2">
                  <a:lumMod val="40000"/>
                  <a:lumOff val="60000"/>
                </a:schemeClr>
              </a:solidFill>
            </c:spPr>
          </c:dPt>
          <c:dPt>
            <c:idx val="2"/>
            <c:invertIfNegative val="0"/>
            <c:bubble3D val="0"/>
            <c:spPr>
              <a:solidFill>
                <a:schemeClr val="tx2">
                  <a:lumMod val="40000"/>
                  <a:lumOff val="60000"/>
                </a:schemeClr>
              </a:solidFill>
            </c:spPr>
          </c:dPt>
          <c:dPt>
            <c:idx val="3"/>
            <c:invertIfNegative val="0"/>
            <c:bubble3D val="0"/>
            <c:spPr>
              <a:solidFill>
                <a:schemeClr val="tx1"/>
              </a:solidFill>
            </c:spPr>
          </c:dPt>
          <c:cat>
            <c:multiLvlStrRef>
              <c:f>'extended model oaxaca (2)'!$AC$95:$AE$96</c:f>
              <c:multiLvlStrCache>
                <c:ptCount val="3"/>
                <c:lvl>
                  <c:pt idx="0">
                    <c:v>Endowments</c:v>
                  </c:pt>
                  <c:pt idx="1">
                    <c:v>Coefficients</c:v>
                  </c:pt>
                  <c:pt idx="2">
                    <c:v>Change BMI</c:v>
                  </c:pt>
                </c:lvl>
                <c:lvl>
                  <c:pt idx="0">
                    <c:v>Net Effect</c:v>
                  </c:pt>
                </c:lvl>
              </c:multiLvlStrCache>
            </c:multiLvlStrRef>
          </c:cat>
          <c:val>
            <c:numRef>
              <c:f>'extended model oaxaca (2)'!$AC$97:$AE$97</c:f>
              <c:numCache>
                <c:formatCode>0.000</c:formatCode>
                <c:ptCount val="3"/>
                <c:pt idx="0">
                  <c:v>0.16499999999999998</c:v>
                </c:pt>
                <c:pt idx="1">
                  <c:v>-8.4999999999999853E-2</c:v>
                </c:pt>
                <c:pt idx="2" formatCode="General">
                  <c:v>8.0000000000000127E-2</c:v>
                </c:pt>
              </c:numCache>
            </c:numRef>
          </c:val>
        </c:ser>
        <c:dLbls>
          <c:showLegendKey val="0"/>
          <c:showVal val="0"/>
          <c:showCatName val="0"/>
          <c:showSerName val="0"/>
          <c:showPercent val="0"/>
          <c:showBubbleSize val="0"/>
        </c:dLbls>
        <c:gapWidth val="150"/>
        <c:overlap val="100"/>
        <c:axId val="162799808"/>
        <c:axId val="162800200"/>
      </c:barChart>
      <c:catAx>
        <c:axId val="162799808"/>
        <c:scaling>
          <c:orientation val="minMax"/>
        </c:scaling>
        <c:delete val="0"/>
        <c:axPos val="b"/>
        <c:numFmt formatCode="General" sourceLinked="1"/>
        <c:majorTickMark val="out"/>
        <c:minorTickMark val="none"/>
        <c:tickLblPos val="nextTo"/>
        <c:txPr>
          <a:bodyPr/>
          <a:lstStyle/>
          <a:p>
            <a:pPr>
              <a:defRPr>
                <a:solidFill>
                  <a:schemeClr val="tx1"/>
                </a:solidFill>
              </a:defRPr>
            </a:pPr>
            <a:endParaRPr lang="en-US"/>
          </a:p>
        </c:txPr>
        <c:crossAx val="162800200"/>
        <c:crosses val="autoZero"/>
        <c:auto val="1"/>
        <c:lblAlgn val="ctr"/>
        <c:lblOffset val="100"/>
        <c:noMultiLvlLbl val="0"/>
      </c:catAx>
      <c:valAx>
        <c:axId val="162800200"/>
        <c:scaling>
          <c:orientation val="minMax"/>
          <c:max val="0.25"/>
          <c:min val="-0.25"/>
        </c:scaling>
        <c:delete val="0"/>
        <c:axPos val="l"/>
        <c:majorGridlines/>
        <c:numFmt formatCode="0.000" sourceLinked="1"/>
        <c:majorTickMark val="out"/>
        <c:minorTickMark val="none"/>
        <c:tickLblPos val="nextTo"/>
        <c:crossAx val="162799808"/>
        <c:crosses val="autoZero"/>
        <c:crossBetween val="between"/>
      </c:valAx>
    </c:plotArea>
    <c:plotVisOnly val="1"/>
    <c:dispBlanksAs val="gap"/>
    <c:showDLblsOverMax val="0"/>
  </c:chart>
  <c:spPr>
    <a:ln w="9525"/>
  </c:spPr>
  <c:externalData r:id="rId2">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tx>
        <c:rich>
          <a:bodyPr/>
          <a:lstStyle/>
          <a:p>
            <a:pPr>
              <a:defRPr/>
            </a:pPr>
            <a:r>
              <a:rPr lang="nl-NL"/>
              <a:t>Switzerland</a:t>
            </a:r>
          </a:p>
        </c:rich>
      </c:tx>
      <c:overlay val="0"/>
    </c:title>
    <c:autoTitleDeleted val="0"/>
    <c:plotArea>
      <c:layout/>
      <c:barChart>
        <c:barDir val="col"/>
        <c:grouping val="stacked"/>
        <c:varyColors val="0"/>
        <c:ser>
          <c:idx val="0"/>
          <c:order val="0"/>
          <c:tx>
            <c:strRef>
              <c:f>'extended model oaxaca (2)'!$S$98</c:f>
              <c:strCache>
                <c:ptCount val="1"/>
                <c:pt idx="0">
                  <c:v>Female</c:v>
                </c:pt>
              </c:strCache>
            </c:strRef>
          </c:tx>
          <c:spPr>
            <a:solidFill>
              <a:srgbClr val="1F497D">
                <a:lumMod val="60000"/>
                <a:lumOff val="40000"/>
              </a:srgbClr>
            </a:solidFill>
          </c:spPr>
          <c:invertIfNegative val="0"/>
          <c:cat>
            <c:strRef>
              <c:f>'extended model oaxaca (2)'!$T$96:$V$97</c:f>
              <c:strCache>
                <c:ptCount val="3"/>
                <c:pt idx="0">
                  <c:v>Endowments</c:v>
                </c:pt>
                <c:pt idx="1">
                  <c:v>Coefficients</c:v>
                </c:pt>
                <c:pt idx="2">
                  <c:v>Change BMI</c:v>
                </c:pt>
              </c:strCache>
            </c:strRef>
          </c:cat>
          <c:val>
            <c:numRef>
              <c:f>'extended model oaxaca (2)'!$T$98:$V$98</c:f>
              <c:numCache>
                <c:formatCode>General</c:formatCode>
                <c:ptCount val="3"/>
                <c:pt idx="0">
                  <c:v>0</c:v>
                </c:pt>
                <c:pt idx="1">
                  <c:v>0.13500000000000001</c:v>
                </c:pt>
              </c:numCache>
            </c:numRef>
          </c:val>
        </c:ser>
        <c:ser>
          <c:idx val="1"/>
          <c:order val="1"/>
          <c:tx>
            <c:strRef>
              <c:f>'extended model oaxaca (2)'!$S$99</c:f>
              <c:strCache>
                <c:ptCount val="1"/>
                <c:pt idx="0">
                  <c:v>Age</c:v>
                </c:pt>
              </c:strCache>
            </c:strRef>
          </c:tx>
          <c:spPr>
            <a:solidFill>
              <a:srgbClr val="92D050"/>
            </a:solidFill>
          </c:spPr>
          <c:invertIfNegative val="0"/>
          <c:cat>
            <c:strRef>
              <c:f>'extended model oaxaca (2)'!$T$96:$V$97</c:f>
              <c:strCache>
                <c:ptCount val="3"/>
                <c:pt idx="0">
                  <c:v>Endowments</c:v>
                </c:pt>
                <c:pt idx="1">
                  <c:v>Coefficients</c:v>
                </c:pt>
                <c:pt idx="2">
                  <c:v>Change BMI</c:v>
                </c:pt>
              </c:strCache>
            </c:strRef>
          </c:cat>
          <c:val>
            <c:numRef>
              <c:f>'extended model oaxaca (2)'!$T$99:$V$99</c:f>
              <c:numCache>
                <c:formatCode>General</c:formatCode>
                <c:ptCount val="3"/>
                <c:pt idx="0">
                  <c:v>0</c:v>
                </c:pt>
                <c:pt idx="1">
                  <c:v>-0.435</c:v>
                </c:pt>
              </c:numCache>
            </c:numRef>
          </c:val>
        </c:ser>
        <c:ser>
          <c:idx val="2"/>
          <c:order val="2"/>
          <c:tx>
            <c:strRef>
              <c:f>'extended model oaxaca (2)'!$S$100</c:f>
              <c:strCache>
                <c:ptCount val="1"/>
                <c:pt idx="0">
                  <c:v>ISCED</c:v>
                </c:pt>
              </c:strCache>
            </c:strRef>
          </c:tx>
          <c:spPr>
            <a:solidFill>
              <a:srgbClr val="F79646"/>
            </a:solidFill>
          </c:spPr>
          <c:invertIfNegative val="0"/>
          <c:cat>
            <c:strRef>
              <c:f>'extended model oaxaca (2)'!$T$96:$V$97</c:f>
              <c:strCache>
                <c:ptCount val="3"/>
                <c:pt idx="0">
                  <c:v>Endowments</c:v>
                </c:pt>
                <c:pt idx="1">
                  <c:v>Coefficients</c:v>
                </c:pt>
                <c:pt idx="2">
                  <c:v>Change BMI</c:v>
                </c:pt>
              </c:strCache>
            </c:strRef>
          </c:cat>
          <c:val>
            <c:numRef>
              <c:f>'extended model oaxaca (2)'!$T$100:$V$100</c:f>
              <c:numCache>
                <c:formatCode>General</c:formatCode>
                <c:ptCount val="3"/>
                <c:pt idx="0">
                  <c:v>0</c:v>
                </c:pt>
                <c:pt idx="1">
                  <c:v>-4.4999999999999998E-2</c:v>
                </c:pt>
              </c:numCache>
            </c:numRef>
          </c:val>
        </c:ser>
        <c:ser>
          <c:idx val="3"/>
          <c:order val="3"/>
          <c:tx>
            <c:strRef>
              <c:f>'extended model oaxaca (2)'!$S$101</c:f>
              <c:strCache>
                <c:ptCount val="1"/>
                <c:pt idx="0">
                  <c:v>Active</c:v>
                </c:pt>
              </c:strCache>
            </c:strRef>
          </c:tx>
          <c:spPr>
            <a:solidFill>
              <a:schemeClr val="accent4">
                <a:lumMod val="75000"/>
              </a:schemeClr>
            </a:solidFill>
          </c:spPr>
          <c:invertIfNegative val="0"/>
          <c:cat>
            <c:strRef>
              <c:f>'extended model oaxaca (2)'!$T$96:$V$97</c:f>
              <c:strCache>
                <c:ptCount val="3"/>
                <c:pt idx="0">
                  <c:v>Endowments</c:v>
                </c:pt>
                <c:pt idx="1">
                  <c:v>Coefficients</c:v>
                </c:pt>
                <c:pt idx="2">
                  <c:v>Change BMI</c:v>
                </c:pt>
              </c:strCache>
            </c:strRef>
          </c:cat>
          <c:val>
            <c:numRef>
              <c:f>'extended model oaxaca (2)'!$T$101:$V$101</c:f>
              <c:numCache>
                <c:formatCode>General</c:formatCode>
                <c:ptCount val="3"/>
                <c:pt idx="0">
                  <c:v>3.9E-2</c:v>
                </c:pt>
                <c:pt idx="1">
                  <c:v>-0.46400000000000002</c:v>
                </c:pt>
              </c:numCache>
            </c:numRef>
          </c:val>
        </c:ser>
        <c:ser>
          <c:idx val="4"/>
          <c:order val="4"/>
          <c:tx>
            <c:strRef>
              <c:f>'extended model oaxaca (2)'!$S$102</c:f>
              <c:strCache>
                <c:ptCount val="1"/>
                <c:pt idx="0">
                  <c:v>Income</c:v>
                </c:pt>
              </c:strCache>
            </c:strRef>
          </c:tx>
          <c:spPr>
            <a:solidFill>
              <a:srgbClr val="C0504D"/>
            </a:solidFill>
          </c:spPr>
          <c:invertIfNegative val="0"/>
          <c:cat>
            <c:strRef>
              <c:f>'extended model oaxaca (2)'!$T$96:$V$97</c:f>
              <c:strCache>
                <c:ptCount val="3"/>
                <c:pt idx="0">
                  <c:v>Endowments</c:v>
                </c:pt>
                <c:pt idx="1">
                  <c:v>Coefficients</c:v>
                </c:pt>
                <c:pt idx="2">
                  <c:v>Change BMI</c:v>
                </c:pt>
              </c:strCache>
            </c:strRef>
          </c:cat>
          <c:val>
            <c:numRef>
              <c:f>'extended model oaxaca (2)'!$T$102:$V$102</c:f>
              <c:numCache>
                <c:formatCode>General</c:formatCode>
                <c:ptCount val="3"/>
                <c:pt idx="0">
                  <c:v>2.0000000000000004E-2</c:v>
                </c:pt>
                <c:pt idx="1">
                  <c:v>-2.8999999999999998E-2</c:v>
                </c:pt>
              </c:numCache>
            </c:numRef>
          </c:val>
        </c:ser>
        <c:ser>
          <c:idx val="5"/>
          <c:order val="5"/>
          <c:tx>
            <c:strRef>
              <c:f>'extended model oaxaca (2)'!$S$103</c:f>
              <c:strCache>
                <c:ptCount val="1"/>
                <c:pt idx="0">
                  <c:v>Food</c:v>
                </c:pt>
              </c:strCache>
            </c:strRef>
          </c:tx>
          <c:spPr>
            <a:solidFill>
              <a:schemeClr val="accent5">
                <a:lumMod val="40000"/>
                <a:lumOff val="60000"/>
              </a:schemeClr>
            </a:solidFill>
          </c:spPr>
          <c:invertIfNegative val="0"/>
          <c:cat>
            <c:strRef>
              <c:f>'extended model oaxaca (2)'!$T$96:$V$97</c:f>
              <c:strCache>
                <c:ptCount val="3"/>
                <c:pt idx="0">
                  <c:v>Endowments</c:v>
                </c:pt>
                <c:pt idx="1">
                  <c:v>Coefficients</c:v>
                </c:pt>
                <c:pt idx="2">
                  <c:v>Change BMI</c:v>
                </c:pt>
              </c:strCache>
            </c:strRef>
          </c:cat>
          <c:val>
            <c:numRef>
              <c:f>'extended model oaxaca (2)'!$T$103:$V$103</c:f>
              <c:numCache>
                <c:formatCode>General</c:formatCode>
                <c:ptCount val="3"/>
                <c:pt idx="0">
                  <c:v>-5.0000000000000001E-3</c:v>
                </c:pt>
                <c:pt idx="1">
                  <c:v>5.0000000000000027E-3</c:v>
                </c:pt>
              </c:numCache>
            </c:numRef>
          </c:val>
        </c:ser>
        <c:ser>
          <c:idx val="6"/>
          <c:order val="6"/>
          <c:tx>
            <c:strRef>
              <c:f>'extended model oaxaca (2)'!$S$104</c:f>
              <c:strCache>
                <c:ptCount val="1"/>
                <c:pt idx="0">
                  <c:v>Child health</c:v>
                </c:pt>
              </c:strCache>
            </c:strRef>
          </c:tx>
          <c:spPr>
            <a:solidFill>
              <a:schemeClr val="bg2">
                <a:lumMod val="50000"/>
              </a:schemeClr>
            </a:solidFill>
          </c:spPr>
          <c:invertIfNegative val="0"/>
          <c:cat>
            <c:strRef>
              <c:f>'extended model oaxaca (2)'!$T$96:$V$97</c:f>
              <c:strCache>
                <c:ptCount val="3"/>
                <c:pt idx="0">
                  <c:v>Endowments</c:v>
                </c:pt>
                <c:pt idx="1">
                  <c:v>Coefficients</c:v>
                </c:pt>
                <c:pt idx="2">
                  <c:v>Change BMI</c:v>
                </c:pt>
              </c:strCache>
            </c:strRef>
          </c:cat>
          <c:val>
            <c:numRef>
              <c:f>'extended model oaxaca (2)'!$T$104:$V$104</c:f>
              <c:numCache>
                <c:formatCode>General</c:formatCode>
                <c:ptCount val="3"/>
                <c:pt idx="0">
                  <c:v>0</c:v>
                </c:pt>
                <c:pt idx="1">
                  <c:v>-6.0000000000000001E-3</c:v>
                </c:pt>
              </c:numCache>
            </c:numRef>
          </c:val>
        </c:ser>
        <c:ser>
          <c:idx val="7"/>
          <c:order val="7"/>
          <c:tx>
            <c:strRef>
              <c:f>'extended model oaxaca (2)'!$S$105</c:f>
              <c:strCache>
                <c:ptCount val="1"/>
                <c:pt idx="0">
                  <c:v>Cons</c:v>
                </c:pt>
              </c:strCache>
            </c:strRef>
          </c:tx>
          <c:spPr>
            <a:solidFill>
              <a:schemeClr val="bg1">
                <a:lumMod val="65000"/>
              </a:schemeClr>
            </a:solidFill>
          </c:spPr>
          <c:invertIfNegative val="0"/>
          <c:dPt>
            <c:idx val="2"/>
            <c:invertIfNegative val="0"/>
            <c:bubble3D val="0"/>
            <c:spPr>
              <a:solidFill>
                <a:sysClr val="windowText" lastClr="000000"/>
              </a:solidFill>
            </c:spPr>
          </c:dPt>
          <c:dPt>
            <c:idx val="3"/>
            <c:invertIfNegative val="0"/>
            <c:bubble3D val="0"/>
            <c:spPr>
              <a:solidFill>
                <a:schemeClr val="tx1"/>
              </a:solidFill>
            </c:spPr>
          </c:dPt>
          <c:cat>
            <c:strRef>
              <c:f>'extended model oaxaca (2)'!$T$96:$V$97</c:f>
              <c:strCache>
                <c:ptCount val="3"/>
                <c:pt idx="0">
                  <c:v>Endowments</c:v>
                </c:pt>
                <c:pt idx="1">
                  <c:v>Coefficients</c:v>
                </c:pt>
                <c:pt idx="2">
                  <c:v>Change BMI</c:v>
                </c:pt>
              </c:strCache>
            </c:strRef>
          </c:cat>
          <c:val>
            <c:numRef>
              <c:f>'extended model oaxaca (2)'!$T$105:$V$105</c:f>
              <c:numCache>
                <c:formatCode>General</c:formatCode>
                <c:ptCount val="3"/>
                <c:pt idx="0">
                  <c:v>0</c:v>
                </c:pt>
                <c:pt idx="1">
                  <c:v>0.98599999999999999</c:v>
                </c:pt>
                <c:pt idx="2" formatCode="0.000">
                  <c:v>0.20100000000000001</c:v>
                </c:pt>
              </c:numCache>
            </c:numRef>
          </c:val>
        </c:ser>
        <c:dLbls>
          <c:showLegendKey val="0"/>
          <c:showVal val="0"/>
          <c:showCatName val="0"/>
          <c:showSerName val="0"/>
          <c:showPercent val="0"/>
          <c:showBubbleSize val="0"/>
        </c:dLbls>
        <c:gapWidth val="150"/>
        <c:overlap val="100"/>
        <c:axId val="162800984"/>
        <c:axId val="162801376"/>
      </c:barChart>
      <c:catAx>
        <c:axId val="162800984"/>
        <c:scaling>
          <c:orientation val="minMax"/>
        </c:scaling>
        <c:delete val="0"/>
        <c:axPos val="b"/>
        <c:numFmt formatCode="General" sourceLinked="1"/>
        <c:majorTickMark val="out"/>
        <c:minorTickMark val="none"/>
        <c:tickLblPos val="nextTo"/>
        <c:crossAx val="162801376"/>
        <c:crosses val="autoZero"/>
        <c:auto val="1"/>
        <c:lblAlgn val="ctr"/>
        <c:lblOffset val="100"/>
        <c:noMultiLvlLbl val="0"/>
      </c:catAx>
      <c:valAx>
        <c:axId val="162801376"/>
        <c:scaling>
          <c:orientation val="minMax"/>
          <c:min val="-1.5"/>
        </c:scaling>
        <c:delete val="0"/>
        <c:axPos val="l"/>
        <c:majorGridlines/>
        <c:numFmt formatCode="General" sourceLinked="1"/>
        <c:majorTickMark val="out"/>
        <c:minorTickMark val="none"/>
        <c:tickLblPos val="nextTo"/>
        <c:crossAx val="162800984"/>
        <c:crosses val="autoZero"/>
        <c:crossBetween val="between"/>
      </c:valAx>
    </c:plotArea>
    <c:legend>
      <c:legendPos val="r"/>
      <c:overlay val="0"/>
    </c:legend>
    <c:plotVisOnly val="1"/>
    <c:dispBlanksAs val="gap"/>
    <c:showDLblsOverMax val="0"/>
  </c:chart>
  <c:externalData r:id="rId2">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stacked"/>
        <c:varyColors val="0"/>
        <c:ser>
          <c:idx val="0"/>
          <c:order val="0"/>
          <c:invertIfNegative val="0"/>
          <c:dPt>
            <c:idx val="0"/>
            <c:invertIfNegative val="0"/>
            <c:bubble3D val="0"/>
            <c:spPr>
              <a:solidFill>
                <a:schemeClr val="tx2">
                  <a:lumMod val="40000"/>
                  <a:lumOff val="60000"/>
                </a:schemeClr>
              </a:solidFill>
            </c:spPr>
          </c:dPt>
          <c:dPt>
            <c:idx val="1"/>
            <c:invertIfNegative val="0"/>
            <c:bubble3D val="0"/>
            <c:spPr>
              <a:solidFill>
                <a:schemeClr val="tx2">
                  <a:lumMod val="40000"/>
                  <a:lumOff val="60000"/>
                </a:schemeClr>
              </a:solidFill>
            </c:spPr>
          </c:dPt>
          <c:dPt>
            <c:idx val="2"/>
            <c:invertIfNegative val="0"/>
            <c:bubble3D val="0"/>
            <c:spPr>
              <a:solidFill>
                <a:schemeClr val="tx2">
                  <a:lumMod val="40000"/>
                  <a:lumOff val="60000"/>
                </a:schemeClr>
              </a:solidFill>
            </c:spPr>
          </c:dPt>
          <c:dPt>
            <c:idx val="3"/>
            <c:invertIfNegative val="0"/>
            <c:bubble3D val="0"/>
            <c:spPr>
              <a:solidFill>
                <a:schemeClr val="tx1"/>
              </a:solidFill>
            </c:spPr>
          </c:dPt>
          <c:cat>
            <c:multiLvlStrRef>
              <c:f>'extended model oaxaca (2)'!$Y$126:$AA$127</c:f>
              <c:multiLvlStrCache>
                <c:ptCount val="3"/>
                <c:lvl>
                  <c:pt idx="0">
                    <c:v>Endowments</c:v>
                  </c:pt>
                  <c:pt idx="1">
                    <c:v>Coefficients</c:v>
                  </c:pt>
                  <c:pt idx="2">
                    <c:v>Change BMI</c:v>
                  </c:pt>
                </c:lvl>
                <c:lvl>
                  <c:pt idx="0">
                    <c:v>Net Effect</c:v>
                  </c:pt>
                </c:lvl>
              </c:multiLvlStrCache>
            </c:multiLvlStrRef>
          </c:cat>
          <c:val>
            <c:numRef>
              <c:f>'extended model oaxaca (2)'!$Y$128:$AA$128</c:f>
              <c:numCache>
                <c:formatCode>0.000</c:formatCode>
                <c:ptCount val="3"/>
                <c:pt idx="0">
                  <c:v>5.4000000000000006E-2</c:v>
                </c:pt>
                <c:pt idx="1">
                  <c:v>0.14700000000000002</c:v>
                </c:pt>
                <c:pt idx="2" formatCode="General">
                  <c:v>0.20100000000000001</c:v>
                </c:pt>
              </c:numCache>
            </c:numRef>
          </c:val>
        </c:ser>
        <c:dLbls>
          <c:showLegendKey val="0"/>
          <c:showVal val="0"/>
          <c:showCatName val="0"/>
          <c:showSerName val="0"/>
          <c:showPercent val="0"/>
          <c:showBubbleSize val="0"/>
        </c:dLbls>
        <c:gapWidth val="150"/>
        <c:overlap val="100"/>
        <c:axId val="162802160"/>
        <c:axId val="162802552"/>
      </c:barChart>
      <c:catAx>
        <c:axId val="162802160"/>
        <c:scaling>
          <c:orientation val="minMax"/>
        </c:scaling>
        <c:delete val="0"/>
        <c:axPos val="b"/>
        <c:numFmt formatCode="General" sourceLinked="1"/>
        <c:majorTickMark val="out"/>
        <c:minorTickMark val="none"/>
        <c:tickLblPos val="nextTo"/>
        <c:crossAx val="162802552"/>
        <c:crosses val="autoZero"/>
        <c:auto val="1"/>
        <c:lblAlgn val="ctr"/>
        <c:lblOffset val="100"/>
        <c:noMultiLvlLbl val="0"/>
      </c:catAx>
      <c:valAx>
        <c:axId val="162802552"/>
        <c:scaling>
          <c:orientation val="minMax"/>
          <c:max val="0.25"/>
          <c:min val="-0.25"/>
        </c:scaling>
        <c:delete val="0"/>
        <c:axPos val="l"/>
        <c:majorGridlines/>
        <c:numFmt formatCode="0.000" sourceLinked="1"/>
        <c:majorTickMark val="out"/>
        <c:minorTickMark val="none"/>
        <c:tickLblPos val="nextTo"/>
        <c:crossAx val="162802160"/>
        <c:crosses val="autoZero"/>
        <c:crossBetween val="between"/>
      </c:valAx>
    </c:plotArea>
    <c:plotVisOnly val="1"/>
    <c:dispBlanksAs val="gap"/>
    <c:showDLblsOverMax val="0"/>
  </c:chart>
  <c:spPr>
    <a:ln w="9525"/>
  </c:spPr>
  <c:externalData r:id="rId2">
    <c:autoUpdate val="0"/>
  </c:externalData>
</c:chartSpace>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2015-10-09T00:00:00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Version="0">
  <b:Source>
    <b:Tag>Caw11</b:Tag>
    <b:SourceType>Book</b:SourceType>
    <b:Guid>{9D2919EA-4ADE-4071-9626-8FB5B22034C7}</b:Guid>
    <b:Author>
      <b:Author>
        <b:NameList>
          <b:Person>
            <b:Last>Cawley</b:Last>
            <b:First>J</b:First>
          </b:Person>
        </b:NameList>
      </b:Author>
    </b:Author>
    <b:Title>The Oxford handbook of the social science of obesity</b:Title>
    <b:Year>2011</b:Year>
    <b:City>Oxford</b:City>
    <b:Publisher>Oxford University Press</b:Publisher>
    <b:RefOrder>1</b:RefOrder>
  </b:Source>
  <b:Source>
    <b:Tag>Cho04</b:Tag>
    <b:SourceType>JournalArticle</b:SourceType>
    <b:Guid>{6A132C8C-5103-4A85-830A-C7EDD5CDEF0F}</b:Guid>
    <b:Title>An economic analysis of adult obesity: results from the Behavioral Risk Factor Surveillance System</b:Title>
    <b:Year>2004</b:Year>
    <b:Author>
      <b:Author>
        <b:NameList>
          <b:Person>
            <b:Last>Chou</b:Last>
            <b:First>S</b:First>
          </b:Person>
          <b:Person>
            <b:Last>Grossman</b:Last>
            <b:First>M</b:First>
          </b:Person>
          <b:Person>
            <b:Last>Saffer</b:Last>
            <b:First>H</b:First>
          </b:Person>
        </b:NameList>
      </b:Author>
    </b:Author>
    <b:JournalName>Journal of Health Economics</b:JournalName>
    <b:Pages>565-587</b:Pages>
    <b:RefOrder>2</b:RefOrder>
  </b:Source>
  <b:Source>
    <b:Tag>Jol07</b:Tag>
    <b:SourceType>Book</b:SourceType>
    <b:Guid>{102A8800-D04D-47BD-894E-BBABDFC276AD}</b:Guid>
    <b:Title>The Income Gradient and Distribution-Sensitive Measures of Overweight in the U.S.</b:Title>
    <b:Year>2007</b:Year>
    <b:Author>
      <b:Author>
        <b:NameList>
          <b:Person>
            <b:Last>Jolliffe</b:Last>
            <b:First>D</b:First>
          </b:Person>
        </b:NameList>
      </b:Author>
    </b:Author>
    <b:City>Gold Coast</b:City>
    <b:Publisher>Economic Research Service, U.S. Department of Agriculture</b:Publisher>
    <b:RefOrder>3</b:RefOrder>
  </b:Source>
  <b:Source>
    <b:Tag>Lak09</b:Tag>
    <b:SourceType>JournalArticle</b:SourceType>
    <b:Guid>{B683812C-1195-454E-A434-59AAE4B0AC29}</b:Guid>
    <b:Title>The growth of obesity and technological change</b:Title>
    <b:Year>2009</b:Year>
    <b:Author>
      <b:Author>
        <b:NameList>
          <b:Person>
            <b:Last>Lakdawalla</b:Last>
            <b:First>D</b:First>
          </b:Person>
          <b:Person>
            <b:Last>Philipson</b:Last>
            <b:First>T</b:First>
          </b:Person>
        </b:NameList>
      </b:Author>
    </b:Author>
    <b:JournalName>Economics &amp; Human Biology</b:JournalName>
    <b:Pages>283–293</b:Pages>
    <b:RefOrder>4</b:RefOrder>
  </b:Source>
  <b:Source>
    <b:Tag>Gal96</b:Tag>
    <b:SourceType>JournalArticle</b:SourceType>
    <b:Guid>{F4D9AC3E-321C-4B78-9F5A-A5132621D7DB}</b:Guid>
    <b:Author>
      <b:Author>
        <b:NameList>
          <b:Person>
            <b:Last>Gallagher</b:Last>
            <b:First>Visser,</b:First>
            <b:Middle>Sepúlveda, Pierson, Harris, Heymsfield</b:Middle>
          </b:Person>
        </b:NameList>
      </b:Author>
    </b:Author>
    <b:Title>How Useful Is Body Mass Index for Comparison of Body Fatness across Age, Sex, and Ethnic Groups?</b:Title>
    <b:JournalName>American Journal of Epidemiology</b:JournalName>
    <b:Year>1996</b:Year>
    <b:Pages>228-239</b:Pages>
    <b:RefOrder>5</b:RefOrder>
  </b:Source>
  <b:Source>
    <b:Tag>UNE06</b:Tag>
    <b:SourceType>Report</b:SourceType>
    <b:Guid>{7F8397CD-33C2-4225-BAC5-146DC2F0CEB9}</b:Guid>
    <b:Title>International Standard Classification of Education</b:Title>
    <b:Year>2006</b:Year>
    <b:Author>
      <b:Author>
        <b:NameList>
          <b:Person>
            <b:Last>UNESCO</b:Last>
          </b:Person>
        </b:NameList>
      </b:Author>
    </b:Author>
    <b:Publisher>UNESCO</b:Publisher>
    <b:RefOrder>6</b:RefOrder>
  </b:Source>
  <b:Source>
    <b:Tag>Jac02</b:Tag>
    <b:SourceType>JournalArticle</b:SourceType>
    <b:Guid>{835497B6-4F89-49EC-B3A6-E74382E2AF03}</b:Guid>
    <b:Title>The effect of sex, age and race on estimating percentage body fat from body mass index: The Heritage Family Study.</b:Title>
    <b:Year>2002</b:Year>
    <b:Author>
      <b:Author>
        <b:NameList>
          <b:Person>
            <b:Last>Jackson</b:Last>
            <b:First>Stanforth,</b:First>
            <b:Middle>Gagnon, Rankinen, Leon, Rao, Skinner, Bouchard, Wilmore</b:Middle>
          </b:Person>
        </b:NameList>
      </b:Author>
    </b:Author>
    <b:JournalName>International Journal of Obesity and Related Metabolic Disorders</b:JournalName>
    <b:Pages>789-796</b:Pages>
    <b:RefOrder>7</b:RefOrder>
  </b:Source>
  <b:Source>
    <b:Tag>Wan07</b:Tag>
    <b:SourceType>JournalArticle</b:SourceType>
    <b:Guid>{CFD58DC0-C322-479B-BA41-180A014EF099}</b:Guid>
    <b:Author>
      <b:Author>
        <b:NameList>
          <b:Person>
            <b:Last>Wang</b:Last>
          </b:Person>
          <b:Person>
            <b:Last>Beydoun</b:Last>
          </b:Person>
        </b:NameList>
      </b:Author>
    </b:Author>
    <b:Title>The Obesity Epidemic in the United States—Gender, Age, Socioeconomic, Racial/Ethnic, and Geographic Characteristics: A Systematic Review and Meta-Regression Analysis</b:Title>
    <b:JournalName>Epidemiologic Reviews</b:JournalName>
    <b:Year>2007</b:Year>
    <b:Pages>6-28</b:Pages>
    <b:RefOrder>8</b:RefOrder>
  </b:Source>
  <b:Source>
    <b:Tag>Ros08</b:Tag>
    <b:SourceType>JournalArticle</b:SourceType>
    <b:Guid>{187B1D20-057F-4F58-A7EE-711EEAD77DEF}</b:Guid>
    <b:Author>
      <b:Author>
        <b:NameList>
          <b:Person>
            <b:Last>Rosin</b:Last>
          </b:Person>
        </b:NameList>
      </b:Author>
    </b:Author>
    <b:Title>The Economic Causes of Obesity: A Survey</b:Title>
    <b:JournalName>Journal of Economic Surveys</b:JournalName>
    <b:Year>2008</b:Year>
    <b:Pages>617-647</b:Pages>
    <b:RefOrder>9</b:RefOrder>
  </b:Source>
  <b:Source>
    <b:Tag>McL07</b:Tag>
    <b:SourceType>JournalArticle</b:SourceType>
    <b:Guid>{501FDE3F-4603-43C1-9B37-C97165546A46}</b:Guid>
    <b:Author>
      <b:Author>
        <b:NameList>
          <b:Person>
            <b:Last>McLaren</b:Last>
          </b:Person>
        </b:NameList>
      </b:Author>
    </b:Author>
    <b:Title>Socioeconomic Status and Obesity</b:Title>
    <b:JournalName>Epidemiologic Reviews</b:JournalName>
    <b:Year>2007</b:Year>
    <b:Pages>29-48</b:Pages>
    <b:RefOrder>10</b:RefOrder>
  </b:Source>
  <b:Source>
    <b:Tag>Dre07</b:Tag>
    <b:SourceType>JournalArticle</b:SourceType>
    <b:Guid>{B64F076F-0705-478D-AEFF-B5110BCD6404}</b:Guid>
    <b:Author>
      <b:Author>
        <b:NameList>
          <b:Person>
            <b:Last>Drewnowski</b:Last>
          </b:Person>
          <b:Person>
            <b:Last>Monsivais</b:Last>
          </b:Person>
        </b:NameList>
      </b:Author>
    </b:Author>
    <b:Title>The Rising Cost of Low-Energy-Density Foods</b:Title>
    <b:JournalName>Journal of the American Dietetic Association</b:JournalName>
    <b:Year>2007</b:Year>
    <b:Pages>2071-2076</b:Pages>
    <b:RefOrder>11</b:RefOrder>
  </b:Source>
  <b:Source>
    <b:Tag>For11</b:Tag>
    <b:SourceType>Book</b:SourceType>
    <b:Guid>{ABB8A5C7-DBB8-4D6E-A9D7-F5A84D43611D}</b:Guid>
    <b:Title>Decomposition Methods in Economics</b:Title>
    <b:Year>2011</b:Year>
    <b:Author>
      <b:Author>
        <b:NameList>
          <b:Person>
            <b:Last>Fortin</b:Last>
          </b:Person>
          <b:Person>
            <b:Last>Lemieux</b:Last>
          </b:Person>
          <b:Person>
            <b:Last>Firpo</b:Last>
          </b:Person>
        </b:NameList>
      </b:Author>
    </b:Author>
    <b:City>Amsterdam</b:City>
    <b:Publisher>Elsevier</b:Publisher>
    <b:RefOrder>12</b:RefOrder>
  </b:Source>
  <b:Source>
    <b:Tag>Oax73</b:Tag>
    <b:SourceType>JournalArticle</b:SourceType>
    <b:Guid>{CBD2BC9E-124E-437D-9402-4EEB92628498}</b:Guid>
    <b:Title>Male-Female Wage Differentials in Urban Labor Markets</b:Title>
    <b:Year>1973</b:Year>
    <b:Author>
      <b:Author>
        <b:NameList>
          <b:Person>
            <b:Last>Oaxaca</b:Last>
          </b:Person>
        </b:NameList>
      </b:Author>
    </b:Author>
    <b:JournalName>International Economic Review</b:JournalName>
    <b:Pages>693-709</b:Pages>
    <b:RefOrder>13</b:RefOrder>
  </b:Source>
  <b:Source>
    <b:Tag>Bli73</b:Tag>
    <b:SourceType>JournalArticle</b:SourceType>
    <b:Guid>{FCB68FE1-557A-4B25-9630-76555C8120A8}</b:Guid>
    <b:Author>
      <b:Author>
        <b:NameList>
          <b:Person>
            <b:Last>Blinder</b:Last>
          </b:Person>
        </b:NameList>
      </b:Author>
    </b:Author>
    <b:Title>Wage Discrimination: Reduced Form and Structural Estimates</b:Title>
    <b:JournalName>The Journal of Human Resources</b:JournalName>
    <b:Year>1973</b:Year>
    <b:Pages>436-455</b:Pages>
    <b:RefOrder>14</b:RefOrder>
  </b:Source>
  <b:Source>
    <b:Tag>Kak97</b:Tag>
    <b:SourceType>JournalArticle</b:SourceType>
    <b:Guid>{98035A80-A831-4B72-8680-F2641214A0BC}</b:Guid>
    <b:Author>
      <b:Author>
        <b:NameList>
          <b:Person>
            <b:Last>Kakwani</b:Last>
          </b:Person>
          <b:Person>
            <b:Last>Wagstaff</b:Last>
          </b:Person>
          <b:Person>
            <b:Last>Doorslaer</b:Last>
            <b:First>Van</b:First>
          </b:Person>
        </b:NameList>
      </b:Author>
    </b:Author>
    <b:Title>Socioeconomic inequalities in health: Measurement, computation, and statistical inference</b:Title>
    <b:JournalName>Journal of Econometrics</b:JournalName>
    <b:Year>1997</b:Year>
    <b:Pages>87-103</b:Pages>
    <b:RefOrder>15</b:RefOrder>
  </b:Source>
  <b:Source>
    <b:Tag>Yit83</b:Tag>
    <b:SourceType>JournalArticle</b:SourceType>
    <b:Guid>{73BA8BE0-E0CA-426E-9F44-8B85B9641128}</b:Guid>
    <b:Author>
      <b:Author>
        <b:NameList>
          <b:Person>
            <b:Last>Yitzhaki</b:Last>
          </b:Person>
        </b:NameList>
      </b:Author>
    </b:Author>
    <b:Title>On an Extension of the Gini Inequality Index</b:Title>
    <b:JournalName>International Economic Review</b:JournalName>
    <b:Year>1983</b:Year>
    <b:Pages>617-628</b:Pages>
    <b:RefOrder>16</b:RefOrder>
  </b:Source>
  <b:Source>
    <b:Tag>Jen06</b:Tag>
    <b:SourceType>JournalArticle</b:SourceType>
    <b:Guid>{B30C1258-04BD-47F1-969D-9BABAC3B4E88}</b:Guid>
    <b:Author>
      <b:Author>
        <b:NameList>
          <b:Person>
            <b:Last>Jenkins</b:Last>
          </b:Person>
          <b:Person>
            <b:Last>Kerm</b:Last>
            <b:First>van</b:First>
          </b:Person>
        </b:NameList>
      </b:Author>
    </b:Author>
    <b:Title>Trends in income inequality, pro-poor income growth, and income mobility</b:Title>
    <b:JournalName>Oxford Economic Papers</b:JournalName>
    <b:Year>2006</b:Year>
    <b:Pages>531-548</b:Pages>
    <b:RefOrder>17</b:RefOrder>
  </b:Source>
  <b:Source>
    <b:Tag>Wag03</b:Tag>
    <b:SourceType>JournalArticle</b:SourceType>
    <b:Guid>{2D1CB76E-409F-45CD-B5EE-DCBBDAE21A3F}</b:Guid>
    <b:Author>
      <b:Author>
        <b:NameList>
          <b:Person>
            <b:Last>Wagstaff</b:Last>
          </b:Person>
          <b:Person>
            <b:Last>Doorslaer</b:Last>
            <b:First>van</b:First>
          </b:Person>
          <b:Person>
            <b:Last>Watanabe</b:Last>
          </b:Person>
        </b:NameList>
      </b:Author>
    </b:Author>
    <b:Title>On decomposing the causes of health sector inequalities with an application to malnutrition inequalities in Vietnam</b:Title>
    <b:JournalName>Journal of Econometrics</b:JournalName>
    <b:Year>2003</b:Year>
    <b:Pages>207-223</b:Pages>
    <b:RefOrder>18</b:RefOrder>
  </b:Source>
  <b:Source>
    <b:Tag>Sho83</b:Tag>
    <b:SourceType>JournalArticle</b:SourceType>
    <b:Guid>{B907DDD8-94E8-4A4A-9EDF-44E77ECF1D81}</b:Guid>
    <b:Author>
      <b:Author>
        <b:NameList>
          <b:Person>
            <b:Last>Shorrocks</b:Last>
          </b:Person>
        </b:NameList>
      </b:Author>
    </b:Author>
    <b:Title>Ranking Income Distributions</b:Title>
    <b:JournalName>Economica</b:JournalName>
    <b:Year>1983</b:Year>
    <b:Pages>3-17</b:Pages>
    <b:RefOrder>19</b:RefOrder>
  </b:Source>
  <b:Source>
    <b:Tag>Wag91</b:Tag>
    <b:SourceType>JournalArticle</b:SourceType>
    <b:Guid>{E71A7C4B-0151-4382-B544-4561D821B5B2}</b:Guid>
    <b:Author>
      <b:Author>
        <b:NameList>
          <b:Person>
            <b:Last>Wagstaff</b:Last>
          </b:Person>
          <b:Person>
            <b:Last>Paci</b:Last>
          </b:Person>
          <b:Person>
            <b:Last>Doorslaer</b:Last>
            <b:First>Van</b:First>
          </b:Person>
        </b:NameList>
      </b:Author>
    </b:Author>
    <b:Title>On the measurement of inequalities in health</b:Title>
    <b:JournalName>Social Science &amp; Medicine</b:JournalName>
    <b:Year>1991</b:Year>
    <b:Pages>545-557</b:Pages>
    <b:RefOrder>20</b:RefOrder>
  </b:Source>
  <b:Source>
    <b:Tag>Cla02</b:Tag>
    <b:SourceType>JournalArticle</b:SourceType>
    <b:Guid>{FA2FEE9E-3442-448A-9412-29DF21782928}</b:Guid>
    <b:Author>
      <b:Author>
        <b:NameList>
          <b:Person>
            <b:Last>Clark</b:Last>
          </b:Person>
          <b:Person>
            <b:Last>Gerdtham</b:Last>
          </b:Person>
          <b:Person>
            <b:Last>Johannesson</b:Last>
          </b:Person>
          <b:Person>
            <b:Last>Bingefors</b:Last>
          </b:Person>
          <b:Person>
            <b:Last>Smith</b:Last>
          </b:Person>
        </b:NameList>
      </b:Author>
    </b:Author>
    <b:Title>On the measurement of relative and absolute income-related health inequality</b:Title>
    <b:JournalName>Social Science &amp; Medicine</b:JournalName>
    <b:Year>2002</b:Year>
    <b:Pages>1923-1928</b:Pages>
    <b:RefOrder>21</b:RefOrder>
  </b:Source>
  <b:Source>
    <b:Tag>Wag00</b:Tag>
    <b:SourceType>Book</b:SourceType>
    <b:Guid>{8C67CD21-4DC8-4C85-AA5F-B2865983BC8D}</b:Guid>
    <b:Title>Equity in health care finance and delivery</b:Title>
    <b:Year>2000</b:Year>
    <b:Author>
      <b:Author>
        <b:NameList>
          <b:Person>
            <b:Last>Wagstaff</b:Last>
          </b:Person>
          <b:Person>
            <b:Last>Doorslaer</b:Last>
            <b:First>Van</b:First>
          </b:Person>
        </b:NameList>
      </b:Author>
    </b:Author>
    <b:City>Amsterdam</b:City>
    <b:Publisher>Elsevier</b:Publisher>
    <b:RefOrder>22</b:RefOrder>
  </b:Source>
  <b:Source>
    <b:Tag>Our09</b:Tag>
    <b:SourceType>JournalArticle</b:SourceType>
    <b:Guid>{0AD4BDD3-F75C-4088-BF9C-7B430AE7210C}</b:Guid>
    <b:Author>
      <b:Author>
        <b:NameList>
          <b:Person>
            <b:Last>Ourti</b:Last>
            <b:First>Van</b:First>
          </b:Person>
          <b:Person>
            <b:Last>Doorslaer</b:Last>
            <b:First>Van</b:First>
          </b:Person>
          <b:Person>
            <b:Last>Koolman</b:Last>
          </b:Person>
        </b:NameList>
      </b:Author>
    </b:Author>
    <b:Title>The effect of income growth and inequality on health inequality: Theory and empirical evidence from the European Panel</b:Title>
    <b:Year>2009</b:Year>
    <b:JournalName>Journal of Health Economics</b:JournalName>
    <b:Pages>525-539</b:Pages>
    <b:RefOrder>23</b:RefOrder>
  </b:Source>
  <b:Source>
    <b:Tag>Nie03</b:Tag>
    <b:SourceType>JournalArticle</b:SourceType>
    <b:Guid>{7D9B08C5-2F4E-4733-BC84-303DAAB77B1C}</b:Guid>
    <b:Author>
      <b:Author>
        <b:NameList>
          <b:Person>
            <b:Last>Nielsen</b:Last>
          </b:Person>
          <b:Person>
            <b:Last>Andersen</b:Last>
          </b:Person>
        </b:NameList>
      </b:Author>
    </b:Author>
    <b:Title>The association between high blood pressure, physical fitness, and body mass index in adolescents</b:Title>
    <b:JournalName>Preventive Medicine</b:JournalName>
    <b:Year>2003</b:Year>
    <b:Pages>229-234</b:Pages>
    <b:RefOrder>24</b:RefOrder>
  </b:Source>
  <b:Source>
    <b:Tag>Gol09</b:Tag>
    <b:SourceType>JournalArticle</b:SourceType>
    <b:Guid>{3AF4314D-E646-4471-A91D-B17F25AA9B0F}</b:Guid>
    <b:Title>Food Prices and the Dynamics of Body Weight</b:Title>
    <b:Year>2009</b:Year>
    <b:Author>
      <b:Author>
        <b:NameList>
          <b:Person>
            <b:Last>Goldman</b:Last>
          </b:Person>
          <b:Person>
            <b:Last>Lakdawalla</b:Last>
          </b:Person>
          <b:Person>
            <b:Last>Zheng</b:Last>
          </b:Person>
        </b:NameList>
      </b:Author>
    </b:Author>
    <b:JournalName>NBER Working Paper No. 15096</b:JournalName>
    <b:RefOrder>25</b:RefOrder>
  </b:Source>
  <b:Source>
    <b:Tag>Lak02</b:Tag>
    <b:SourceType>JournalArticle</b:SourceType>
    <b:Guid>{F9A35B87-C8D6-4B28-BAA4-53D000380518}</b:Guid>
    <b:Author>
      <b:Author>
        <b:NameList>
          <b:Person>
            <b:Last>Lakdawalla</b:Last>
          </b:Person>
          <b:Person>
            <b:Last>Philipson</b:Last>
          </b:Person>
        </b:NameList>
      </b:Author>
    </b:Author>
    <b:Title>The Growth of Obesity and Technological Change: A Theoretical and Empirical Examination</b:Title>
    <b:JournalName>NBER Working Paper No. 8946</b:JournalName>
    <b:Year>2002</b:Year>
    <b:RefOrder>26</b:RefOrder>
  </b:Source>
  <b:Source>
    <b:Tag>Dze08</b:Tag>
    <b:SourceType>JournalArticle</b:SourceType>
    <b:Guid>{C64F4585-AC70-434A-B8A9-D2B06100B269}</b:Guid>
    <b:Author>
      <b:Author>
        <b:NameList>
          <b:Person>
            <b:Last>Dzewaltowski</b:Last>
          </b:Person>
          <b:Person>
            <b:Last>Ford</b:Last>
          </b:Person>
        </b:NameList>
      </b:Author>
    </b:Author>
    <b:Title>Disparities in obesity prevalence due to variation in the retail food environment: three testable hypotheses</b:Title>
    <b:JournalName>Nutrition Reviews</b:JournalName>
    <b:Year>2008</b:Year>
    <b:Pages>216-228</b:Pages>
    <b:RefOrder>27</b:RefOrder>
  </b:Source>
  <b:Source>
    <b:Tag>Pow06</b:Tag>
    <b:SourceType>JournalArticle</b:SourceType>
    <b:Guid>{FD205EED-A6E9-4B5F-95D6-C895B837465B}</b:Guid>
    <b:Author>
      <b:Author>
        <b:NameList>
          <b:Person>
            <b:Last>Powell</b:Last>
          </b:Person>
          <b:Person>
            <b:Last>Slater</b:Last>
          </b:Person>
          <b:Person>
            <b:Last>Chaloupka</b:Last>
          </b:Person>
          <b:Person>
            <b:Last>Harper</b:Last>
          </b:Person>
        </b:NameList>
      </b:Author>
    </b:Author>
    <b:Title>Availability of Physical Activity–Related Facilities and Neighborhood Demographic and Socioeconomic Characteristics: A National Study</b:Title>
    <b:JournalName>American Journal of Public Health </b:JournalName>
    <b:Year>2006</b:Year>
    <b:Pages>1676-1680</b:Pages>
    <b:RefOrder>28</b:RefOrder>
  </b:Source>
  <b:Source>
    <b:Tag>Hua00</b:Tag>
    <b:SourceType>JournalArticle</b:SourceType>
    <b:Guid>{6EB3FC8F-50E9-4A99-A864-120B8F4FC9CD}</b:Guid>
    <b:Author>
      <b:Author>
        <b:NameList>
          <b:Person>
            <b:Last>Huang</b:Last>
          </b:Person>
          <b:Person>
            <b:Last>Maynard</b:Last>
          </b:Person>
          <b:Person>
            <b:Last>Demerath</b:Last>
          </b:Person>
          <b:Person>
            <b:Last>Towne</b:Last>
          </b:Person>
          <b:Person>
            <b:Last>Chumlea</b:Last>
          </b:Person>
          <b:Person>
            <b:Last>Siervogel</b:Last>
          </b:Person>
        </b:NameList>
      </b:Author>
    </b:Author>
    <b:Title>Body mass index during childhood, adolescence and young adulthood in relation to adult overweight and adiposity: the Fels Longitudinal Study.</b:Title>
    <b:JournalName>International Journal of Obesity and Related Metabolic Disorders</b:JournalName>
    <b:Year>2000</b:Year>
    <b:Pages>1628-1635</b:Pages>
    <b:RefOrder>29</b:RefOrder>
  </b:Source>
  <b:Source>
    <b:Tag>Fog99</b:Tag>
    <b:SourceType>JournalArticle</b:SourceType>
    <b:Guid>{D9FB3E34-0917-4E4B-AFD8-8C586DE6583D}</b:Guid>
    <b:Author>
      <b:Author>
        <b:NameList>
          <b:Person>
            <b:Last>Fogelholm</b:Last>
          </b:Person>
          <b:Person>
            <b:Last>Nuutinen</b:Last>
          </b:Person>
        </b:NameList>
      </b:Author>
    </b:Author>
    <b:Title>Parent-child relationship of physical activity patterns and obesity</b:Title>
    <b:JournalName>International Journal of Obesity</b:JournalName>
    <b:Year>1999</b:Year>
    <b:Pages>1262-1268</b:Pages>
    <b:RefOrder>30</b:RefOrder>
  </b:Source>
  <b:Source>
    <b:Tag>Mic06</b:Tag>
    <b:SourceType>JournalArticle</b:SourceType>
    <b:Guid>{6D9098A3-19C6-4C13-8F62-A86CDC2D0FA6}</b:Guid>
    <b:Author>
      <b:Author>
        <b:NameList>
          <b:Person>
            <b:Last>Michael</b:Last>
          </b:Person>
          <b:Person>
            <b:Last>Green</b:Last>
          </b:Person>
          <b:Person>
            <b:Last>Farquhar</b:Last>
          </b:Person>
        </b:NameList>
      </b:Author>
    </b:Author>
    <b:Title>Neighborhood design and active aging</b:Title>
    <b:JournalName>Health &amp; Place</b:JournalName>
    <b:Year>2006</b:Year>
    <b:Pages>734-740</b:Pages>
    <b:RefOrder>31</b:RefOrder>
  </b:Source>
  <b:Source>
    <b:Tag>Con06</b:Tag>
    <b:SourceType>JournalArticle</b:SourceType>
    <b:Guid>{4B7F3AD2-FCF3-4CF9-BA91-C2C90A2B00DC}</b:Guid>
    <b:Author>
      <b:Author>
        <b:NameList>
          <b:Person>
            <b:Last>Conley</b:Last>
          </b:Person>
          <b:Person>
            <b:Last>Glauber</b:Last>
          </b:Person>
        </b:NameList>
      </b:Author>
    </b:Author>
    <b:Title>Parental Educational Investment and Children’s Academic Risk</b:Title>
    <b:JournalName>Journal of Human Resources</b:JournalName>
    <b:Year>2006</b:Year>
    <b:Pages>722-737</b:Pages>
    <b:RefOrder>32</b:RefOrder>
  </b:Source>
  <b:Source>
    <b:Tag>Jon83</b:Tag>
    <b:SourceType>JournalArticle</b:SourceType>
    <b:Guid>{5BD80595-B946-4A1D-AD9B-C45768BF5235}</b:Guid>
    <b:Author>
      <b:Author>
        <b:NameList>
          <b:Person>
            <b:Last>Jones</b:Last>
          </b:Person>
        </b:NameList>
      </b:Author>
    </b:Author>
    <b:Title>On Decomposing the Wage Gap: A Critical Comment on Blinder's Method</b:Title>
    <b:JournalName>Journal of Human Resources</b:JournalName>
    <b:Year>1983</b:Year>
    <b:Pages>126-130</b:Pages>
    <b:RefOrder>33</b:RefOrder>
  </b:Source>
  <b:Source>
    <b:Tag>Noo05</b:Tag>
    <b:SourceType>JournalArticle</b:SourceType>
    <b:Guid>{13A07A6D-7BA0-40F6-90CF-9C67DEEA85C7}</b:Guid>
    <b:Author>
      <b:Author>
        <b:NameList>
          <b:Person>
            <b:Last>Nooyens</b:Last>
          </b:Person>
          <b:Person>
            <b:Last>Visscher</b:Last>
          </b:Person>
          <b:Person>
            <b:Last>Schuit</b:Last>
          </b:Person>
          <b:Person>
            <b:Last>Rossum</b:Last>
          </b:Person>
          <b:Person>
            <b:Last>Verschuren</b:Last>
          </b:Person>
          <b:Person>
            <b:Last>Mechelen</b:Last>
          </b:Person>
          <b:Person>
            <b:Last>Seidell</b:Last>
          </b:Person>
        </b:NameList>
      </b:Author>
    </b:Author>
    <b:Title>Effects of retirement on lifestyle in relation to changes in weight and waist circumference in Dutch men: a prospective study</b:Title>
    <b:JournalName>Public Health Nutrition</b:JournalName>
    <b:Year>2005</b:Year>
    <b:Pages>1266-1274</b:Pages>
    <b:RefOrder>34</b:RefOrder>
  </b:Source>
  <b:Source>
    <b:Tag>Ian02</b:Tag>
    <b:SourceType>JournalArticle</b:SourceType>
    <b:Guid>{A2152FF9-BD66-4820-8898-C64B056A47E6}</b:Guid>
    <b:Author>
      <b:Author>
        <b:NameList>
          <b:Person>
            <b:Last>Iannuzzi-Sucich</b:Last>
          </b:Person>
          <b:Person>
            <b:Last>Prestwood</b:Last>
          </b:Person>
          <b:Person>
            <b:Last>Kenny</b:Last>
          </b:Person>
        </b:NameList>
      </b:Author>
    </b:Author>
    <b:Title>Prevalence of Sarcopenia and Predictors of Skeletal Muscle Mass in Healthy, Older Men and Women</b:Title>
    <b:JournalName>Journal of Gerontology</b:JournalName>
    <b:Year>2002</b:Year>
    <b:Pages>772-777</b:Pages>
    <b:RefOrder>35</b:RefOrder>
  </b:Source>
  <b:Source>
    <b:Tag>New05</b:Tag>
    <b:SourceType>JournalArticle</b:SourceType>
    <b:Guid>{11E936C5-81EA-44A4-81FE-6BCFDC09E7E3}</b:Guid>
    <b:Author>
      <b:Author>
        <b:NameList>
          <b:Person>
            <b:Last>Newman</b:Last>
          </b:Person>
          <b:Person>
            <b:Last>Lee</b:Last>
          </b:Person>
          <b:Person>
            <b:Last>Visser</b:Last>
          </b:Person>
          <b:Person>
            <b:Last>Goodpaster</b:Last>
          </b:Person>
          <b:Person>
            <b:Last>Kritchevsky</b:Last>
          </b:Person>
          <b:Person>
            <b:Last>Tylavsky</b:Last>
          </b:Person>
          <b:Person>
            <b:Last>Nevitt</b:Last>
          </b:Person>
          <b:Person>
            <b:Last>Harris</b:Last>
          </b:Person>
        </b:NameList>
      </b:Author>
    </b:Author>
    <b:Title>Weight change and the conservation of lean mass in old age: the Health, Aging and Body Composition Study</b:Title>
    <b:JournalName>American Journal of Clinical Nutrition</b:JournalName>
    <b:Year>2005</b:Year>
    <b:Pages>872-878</b:Pages>
    <b:RefOrder>36</b:RefOrder>
  </b:Source>
  <b:Source>
    <b:Tag>Mol00</b:Tag>
    <b:SourceType>JournalArticle</b:SourceType>
    <b:Guid>{D30EBA19-0365-4ACB-A9E7-3952B80CD6CF}</b:Guid>
    <b:Author>
      <b:Author>
        <b:NameList>
          <b:Person>
            <b:Last>Molarius</b:Last>
          </b:Person>
          <b:Person>
            <b:Last>Seidell</b:Last>
          </b:Person>
          <b:Person>
            <b:Last>Sans</b:Last>
          </b:Person>
          <b:Person>
            <b:Last>Tuomilehto</b:Last>
          </b:Person>
          <b:Person>
            <b:Last>Kuulasmaa</b:Last>
          </b:Person>
        </b:NameList>
      </b:Author>
    </b:Author>
    <b:Title>Educational level, relative body weight, and changes in their association over 10 years: an international perspective from the WHO MONICA Project</b:Title>
    <b:JournalName>American Journal of Public Health</b:JournalName>
    <b:Year>2000</b:Year>
    <b:Pages>1260-1268</b:Pages>
    <b:RefOrder>37</b:RefOrder>
  </b:Source>
  <b:Source>
    <b:Tag>Mon01</b:Tag>
    <b:SourceType>JournalArticle</b:SourceType>
    <b:Guid>{FAB031A7-AFAF-4335-8E6E-B438BF4D0E67}</b:Guid>
    <b:Author>
      <b:Author>
        <b:NameList>
          <b:Person>
            <b:Last>Monteiro</b:Last>
          </b:Person>
          <b:Person>
            <b:Last>Conde</b:Last>
          </b:Person>
          <b:Person>
            <b:Last>Popkin</b:Last>
          </b:Person>
        </b:NameList>
      </b:Author>
    </b:Author>
    <b:Title>Independent Effects of Income and Education on the Risk of Obesity in the Brazilian Adult Population</b:Title>
    <b:JournalName>Journal of Nutrition</b:JournalName>
    <b:Year>2001</b:Year>
    <b:Pages>8815-8865</b:Pages>
    <b:RefOrder>38</b:RefOrder>
  </b:Source>
  <b:Source>
    <b:Tag>Ros01</b:Tag>
    <b:SourceType>JournalArticle</b:SourceType>
    <b:Guid>{9C0EE68E-CD0A-415B-9E85-150B49547208}</b:Guid>
    <b:Author>
      <b:Author>
        <b:NameList>
          <b:Person>
            <b:Last>Roseboom</b:Last>
          </b:Person>
          <b:Person>
            <b:Last>Muelen</b:Last>
            <b:First>van</b:First>
            <b:Middle>der</b:Middle>
          </b:Person>
          <b:Person>
            <b:Last>Ravelli</b:Last>
          </b:Person>
          <b:Person>
            <b:Last>Osmond</b:Last>
          </b:Person>
          <b:Person>
            <b:Last>Barker</b:Last>
          </b:Person>
          <b:Person>
            <b:Last>Bleker</b:Last>
          </b:Person>
        </b:NameList>
      </b:Author>
    </b:Author>
    <b:Title>Effects of prenatal exposure to the Dutch famine on adult disease in later life: an overview</b:Title>
    <b:JournalName>Elsevier</b:JournalName>
    <b:Year>2001</b:Year>
    <b:Pages>93-98</b:Pages>
    <b:RefOrder>39</b:RefOrder>
  </b:Source>
  <b:Source>
    <b:Tag>ODo07</b:Tag>
    <b:SourceType>Book</b:SourceType>
    <b:Guid>{C800AC65-2C8B-4C5C-974D-9B62F68D0057}</b:Guid>
    <b:Author>
      <b:Author>
        <b:NameList>
          <b:Person>
            <b:Last>O'Donnell</b:Last>
          </b:Person>
          <b:Person>
            <b:Last>Doorslaer</b:Last>
            <b:First>van</b:First>
          </b:Person>
          <b:Person>
            <b:Last>Wagstaff</b:Last>
          </b:Person>
          <b:Person>
            <b:Last>Lindelow</b:Last>
          </b:Person>
        </b:NameList>
      </b:Author>
    </b:Author>
    <b:Title>Analyzing Health Equity Using Household Survey Data</b:Title>
    <b:Year>2007</b:Year>
    <b:City>Washington</b:City>
    <b:Publisher>The World Bank</b:Publisher>
    <b:RefOrder>40</b:RefOrder>
  </b:Source>
  <b:Source>
    <b:Tag>Sil03</b:Tag>
    <b:SourceType>JournalArticle</b:SourceType>
    <b:Guid>{0ABEE553-0BDB-4BF3-85FA-9E03C888F024}</b:Guid>
    <b:Author>
      <b:Author>
        <b:NameList>
          <b:Person>
            <b:Last>Silventoinen</b:Last>
          </b:Person>
        </b:NameList>
      </b:Author>
    </b:Author>
    <b:Title>Determinants of variation in adult body height</b:Title>
    <b:Year>2003</b:Year>
    <b:JournalName>Journal of Biosocial Science</b:JournalName>
    <b:Pages>263-285</b:Pages>
    <b:RefOrder>41</b:RefOrder>
  </b:Source>
  <b:Source>
    <b:Tag>Mae97</b:Tag>
    <b:SourceType>JournalArticle</b:SourceType>
    <b:Guid>{2FD95AAB-4010-4DE2-B982-D6F9753242BB}</b:Guid>
    <b:Author>
      <b:Author>
        <b:NameList>
          <b:Person>
            <b:Last>Maes</b:Last>
          </b:Person>
          <b:Person>
            <b:Last>Neale</b:Last>
          </b:Person>
          <b:Person>
            <b:Last>Eaves</b:Last>
          </b:Person>
        </b:NameList>
      </b:Author>
    </b:Author>
    <b:Title>Genetic and Environmental Factors in Relative Body Weight and Human Adiposity</b:Title>
    <b:JournalName>Behavior Genetics</b:JournalName>
    <b:Year>1997</b:Year>
    <b:Pages>325-351</b:Pages>
    <b:RefOrder>42</b:RefOrder>
  </b:Source>
  <b:Source>
    <b:Tag>Nat06</b:Tag>
    <b:SourceType>Report</b:SourceType>
    <b:Guid>{981CB322-6D72-4E70-91CF-800EF3F07040}</b:Guid>
    <b:Title>Nutrition Support for Adults: Oral Nutrition Support, Enteral Tube Feeding and Parenteral Nutrition</b:Title>
    <b:Year>2006</b:Year>
    <b:Author>
      <b:Author>
        <b:NameList>
          <b:Person>
            <b:Last>(UK)</b:Last>
            <b:First>National</b:First>
            <b:Middle>Collaborating Centre for Acute Care</b:Middle>
          </b:Person>
        </b:NameList>
      </b:Author>
    </b:Author>
    <b:Publisher>NICE Clinical Guidelines. No. 32</b:Publisher>
    <b:City>UK</b:City>
    <b:RefOrder>43</b:RefOrder>
  </b:Source>
  <b:Source>
    <b:Tag>Wor15</b:Tag>
    <b:SourceType>InternetSite</b:SourceType>
    <b:Guid>{D0C74A19-8E62-4B6A-95DF-0DAF2C054C58}</b:Guid>
    <b:Title>Obesity and overweight</b:Title>
    <b:Year>2015</b:Year>
    <b:Author>
      <b:Author>
        <b:NameList>
          <b:Person>
            <b:Last>Organisation</b:Last>
            <b:First>World</b:First>
            <b:Middle>Health</b:Middle>
          </b:Person>
        </b:NameList>
      </b:Author>
    </b:Author>
    <b:InternetSiteTitle>WHO</b:InternetSiteTitle>
    <b:Month>09</b:Month>
    <b:Day>10</b:Day>
    <b:URL>http://www.who.int/mediacentre/factsheets/fs311/en/</b:URL>
    <b:RefOrder>44</b:RefOrder>
  </b:Source>
  <b:Source>
    <b:Tag>Cut03</b:Tag>
    <b:SourceType>JournalArticle</b:SourceType>
    <b:Guid>{4CCD6250-F425-46E7-8B16-2ED10B6B38D0}</b:Guid>
    <b:Title>Why Have Americans Become More Obese?</b:Title>
    <b:Year>2003</b:Year>
    <b:Author>
      <b:Author>
        <b:NameList>
          <b:Person>
            <b:Last>Cutler</b:Last>
            <b:First>Glaeser,</b:First>
            <b:Middle>Shapiro</b:Middle>
          </b:Person>
        </b:NameList>
      </b:Author>
    </b:Author>
    <b:JournalName>Journal of Economic Perspectives</b:JournalName>
    <b:Pages>93-118</b:Pages>
    <b:RefOrder>45</b:RefOrder>
  </b:Source>
  <b:Source>
    <b:Tag>Tsa04</b:Tag>
    <b:SourceType>JournalArticle</b:SourceType>
    <b:Guid>{A8D745AF-2E23-43EB-8B58-22AB3134C60C}</b:Guid>
    <b:Author>
      <b:Author>
        <b:NameList>
          <b:Person>
            <b:Last>Tsai</b:Last>
            <b:First>Kan</b:First>
          </b:Person>
        </b:NameList>
      </b:Author>
    </b:Author>
    <b:Title>Obesity and risk knowledge</b:Title>
    <b:JournalName>Journal of Health Economics </b:JournalName>
    <b:Year>2004</b:Year>
    <b:Pages>907-934</b:Pages>
    <b:RefOrder>46</b:RefOrder>
  </b:Source>
  <b:Source>
    <b:Tag>Ros92</b:Tag>
    <b:SourceType>Book</b:SourceType>
    <b:Guid>{A1F9AA85-7EE5-4632-9C72-7517707D4297}</b:Guid>
    <b:Author>
      <b:Author>
        <b:NameList>
          <b:Person>
            <b:Last>Rose</b:Last>
          </b:Person>
        </b:NameList>
      </b:Author>
    </b:Author>
    <b:Title>The strategy of preventive medicine</b:Title>
    <b:Year>1992</b:Year>
    <b:RefOrder>47</b:RefOrder>
  </b:Source>
  <b:Source>
    <b:Tag>Pen06</b:Tag>
    <b:SourceType>JournalArticle</b:SourceType>
    <b:Guid>{30AAE0B7-A086-4CB2-8539-06EC87DC76B3}</b:Guid>
    <b:Author>
      <b:Author>
        <b:NameList>
          <b:Person>
            <b:Last>Penman</b:Last>
          </b:Person>
          <b:Person>
            <b:Last>Johnson</b:Last>
          </b:Person>
        </b:NameList>
      </b:Author>
    </b:Author>
    <b:Title>The Changing Shape of the Body Mass Index Distribution Curve in the Population: Implications for Public Health Policy to Reduce the Prevalence of Adult Obesity</b:Title>
    <b:Year>2006</b:Year>
    <b:JournalName>Preventing Chronic Disease</b:JournalName>
    <b:RefOrder>48</b:RefOrder>
  </b:Source>
  <b:Source>
    <b:Tag>Sha91</b:Tag>
    <b:SourceType>JournalArticle</b:SourceType>
    <b:Guid>{8D818648-03BB-4F1F-92D4-F1D829210572}</b:Guid>
    <b:Title>Secular trend in body mass index in the adult population of three communities from the upper mid-western part of the USA: the Minnesota Heart Health Program.</b:Title>
    <b:Year>1991</b:Year>
    <b:Author>
      <b:Author>
        <b:NameList>
          <b:Person>
            <b:Last>Shah</b:Last>
          </b:Person>
          <b:Person>
            <b:Last>Hannan</b:Last>
          </b:Person>
          <b:Person>
            <b:Last>Jeffery</b:Last>
          </b:Person>
        </b:NameList>
      </b:Author>
    </b:Author>
    <b:JournalName>International Journal of Obesity</b:JournalName>
    <b:Pages>499-503</b:Pages>
    <b:RefOrder>49</b:RefOrder>
  </b:Source>
  <b:Source>
    <b:Tag>Mid99</b:Tag>
    <b:SourceType>JournalArticle</b:SourceType>
    <b:Guid>{91C55ECE-CCB6-488F-B2A0-523DA0EA9194}</b:Guid>
    <b:Author>
      <b:Author>
        <b:NameList>
          <b:Person>
            <b:Last>Midthjell</b:Last>
          </b:Person>
          <b:Person>
            <b:Last>Kruger</b:Last>
          </b:Person>
          <b:Person>
            <b:Last>Holmen</b:Last>
          </b:Person>
          <b:Person>
            <b:Last>Tverdal</b:Last>
          </b:Person>
          <b:Person>
            <b:Last>Claudi</b:Last>
          </b:Person>
          <b:Person>
            <b:Last>Bjorndal</b:Last>
          </b:Person>
        </b:NameList>
      </b:Author>
    </b:Author>
    <b:Title>Rapid changes in the prevalence of obesity and known diabetes in an adult Norwegian population. </b:Title>
    <b:JournalName>Diabetes Care</b:JournalName>
    <b:Year>1999</b:Year>
    <b:Pages>1813-1820</b:Pages>
    <b:RefOrder>50</b:RefOrder>
  </b:Source>
  <b:Source>
    <b:Tag>Fle00</b:Tag>
    <b:SourceType>JournalArticle</b:SourceType>
    <b:Guid>{51710BAD-E733-4DC6-B83F-EFD92A7826B9}</b:Guid>
    <b:Author>
      <b:Author>
        <b:NameList>
          <b:Person>
            <b:Last>Flegal</b:Last>
          </b:Person>
          <b:Person>
            <b:Last>Troiano</b:Last>
          </b:Person>
        </b:NameList>
      </b:Author>
    </b:Author>
    <b:Title>Changes in the distribution of body mass index of adults and children in the US population</b:Title>
    <b:JournalName>International Journal of Obesity</b:JournalName>
    <b:Year>2000</b:Year>
    <b:Pages>807-818</b:Pages>
    <b:RefOrder>51</b:RefOrder>
  </b:Source>
  <b:Source>
    <b:Tag>Whi80</b:Tag>
    <b:SourceType>JournalArticle</b:SourceType>
    <b:Guid>{4408EBFE-BD3A-4273-98D1-E1A435630D2C}</b:Guid>
    <b:Author>
      <b:Author>
        <b:NameList>
          <b:Person>
            <b:Last>White</b:Last>
          </b:Person>
        </b:NameList>
      </b:Author>
    </b:Author>
    <b:Title>A Heteroskedasticity-Consistent Covariance Matrix Estimator and a Direct Test for Heteroskedasticity</b:Title>
    <b:Year>1980</b:Year>
    <b:JournalName>Econometrica</b:JournalName>
    <b:Pages>817-838</b:Pages>
    <b:RefOrder>52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5EFD454-5932-4E26-AA1E-746EF0C94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13283</Words>
  <Characters>75717</Characters>
  <Application>Microsoft Office Word</Application>
  <DocSecurity>4</DocSecurity>
  <Lines>630</Lines>
  <Paragraphs>177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Decomposing the mean and absolute Gini index of BMI: An analysis of the Survey of Health, Ageing, and Retirement in Europe</vt:lpstr>
      <vt:lpstr/>
    </vt:vector>
  </TitlesOfParts>
  <Company>Erasmus Universiteit</Company>
  <LinksUpToDate>false</LinksUpToDate>
  <CharactersWithSpaces>88823</CharactersWithSpaces>
  <SharedDoc>false</SharedDoc>
  <HLinks>
    <vt:vector size="72" baseType="variant">
      <vt:variant>
        <vt:i4>1310769</vt:i4>
      </vt:variant>
      <vt:variant>
        <vt:i4>68</vt:i4>
      </vt:variant>
      <vt:variant>
        <vt:i4>0</vt:i4>
      </vt:variant>
      <vt:variant>
        <vt:i4>5</vt:i4>
      </vt:variant>
      <vt:variant>
        <vt:lpwstr/>
      </vt:variant>
      <vt:variant>
        <vt:lpwstr>_Toc429757917</vt:lpwstr>
      </vt:variant>
      <vt:variant>
        <vt:i4>1310769</vt:i4>
      </vt:variant>
      <vt:variant>
        <vt:i4>62</vt:i4>
      </vt:variant>
      <vt:variant>
        <vt:i4>0</vt:i4>
      </vt:variant>
      <vt:variant>
        <vt:i4>5</vt:i4>
      </vt:variant>
      <vt:variant>
        <vt:lpwstr/>
      </vt:variant>
      <vt:variant>
        <vt:lpwstr>_Toc429757916</vt:lpwstr>
      </vt:variant>
      <vt:variant>
        <vt:i4>1310769</vt:i4>
      </vt:variant>
      <vt:variant>
        <vt:i4>56</vt:i4>
      </vt:variant>
      <vt:variant>
        <vt:i4>0</vt:i4>
      </vt:variant>
      <vt:variant>
        <vt:i4>5</vt:i4>
      </vt:variant>
      <vt:variant>
        <vt:lpwstr/>
      </vt:variant>
      <vt:variant>
        <vt:lpwstr>_Toc429757915</vt:lpwstr>
      </vt:variant>
      <vt:variant>
        <vt:i4>1310769</vt:i4>
      </vt:variant>
      <vt:variant>
        <vt:i4>50</vt:i4>
      </vt:variant>
      <vt:variant>
        <vt:i4>0</vt:i4>
      </vt:variant>
      <vt:variant>
        <vt:i4>5</vt:i4>
      </vt:variant>
      <vt:variant>
        <vt:lpwstr/>
      </vt:variant>
      <vt:variant>
        <vt:lpwstr>_Toc429757914</vt:lpwstr>
      </vt:variant>
      <vt:variant>
        <vt:i4>1310769</vt:i4>
      </vt:variant>
      <vt:variant>
        <vt:i4>44</vt:i4>
      </vt:variant>
      <vt:variant>
        <vt:i4>0</vt:i4>
      </vt:variant>
      <vt:variant>
        <vt:i4>5</vt:i4>
      </vt:variant>
      <vt:variant>
        <vt:lpwstr/>
      </vt:variant>
      <vt:variant>
        <vt:lpwstr>_Toc429757913</vt:lpwstr>
      </vt:variant>
      <vt:variant>
        <vt:i4>1310769</vt:i4>
      </vt:variant>
      <vt:variant>
        <vt:i4>38</vt:i4>
      </vt:variant>
      <vt:variant>
        <vt:i4>0</vt:i4>
      </vt:variant>
      <vt:variant>
        <vt:i4>5</vt:i4>
      </vt:variant>
      <vt:variant>
        <vt:lpwstr/>
      </vt:variant>
      <vt:variant>
        <vt:lpwstr>_Toc429757912</vt:lpwstr>
      </vt:variant>
      <vt:variant>
        <vt:i4>1310769</vt:i4>
      </vt:variant>
      <vt:variant>
        <vt:i4>32</vt:i4>
      </vt:variant>
      <vt:variant>
        <vt:i4>0</vt:i4>
      </vt:variant>
      <vt:variant>
        <vt:i4>5</vt:i4>
      </vt:variant>
      <vt:variant>
        <vt:lpwstr/>
      </vt:variant>
      <vt:variant>
        <vt:lpwstr>_Toc429757911</vt:lpwstr>
      </vt:variant>
      <vt:variant>
        <vt:i4>1310769</vt:i4>
      </vt:variant>
      <vt:variant>
        <vt:i4>26</vt:i4>
      </vt:variant>
      <vt:variant>
        <vt:i4>0</vt:i4>
      </vt:variant>
      <vt:variant>
        <vt:i4>5</vt:i4>
      </vt:variant>
      <vt:variant>
        <vt:lpwstr/>
      </vt:variant>
      <vt:variant>
        <vt:lpwstr>_Toc429757910</vt:lpwstr>
      </vt:variant>
      <vt:variant>
        <vt:i4>1376305</vt:i4>
      </vt:variant>
      <vt:variant>
        <vt:i4>20</vt:i4>
      </vt:variant>
      <vt:variant>
        <vt:i4>0</vt:i4>
      </vt:variant>
      <vt:variant>
        <vt:i4>5</vt:i4>
      </vt:variant>
      <vt:variant>
        <vt:lpwstr/>
      </vt:variant>
      <vt:variant>
        <vt:lpwstr>_Toc429757909</vt:lpwstr>
      </vt:variant>
      <vt:variant>
        <vt:i4>1376305</vt:i4>
      </vt:variant>
      <vt:variant>
        <vt:i4>14</vt:i4>
      </vt:variant>
      <vt:variant>
        <vt:i4>0</vt:i4>
      </vt:variant>
      <vt:variant>
        <vt:i4>5</vt:i4>
      </vt:variant>
      <vt:variant>
        <vt:lpwstr/>
      </vt:variant>
      <vt:variant>
        <vt:lpwstr>_Toc429757908</vt:lpwstr>
      </vt:variant>
      <vt:variant>
        <vt:i4>1376305</vt:i4>
      </vt:variant>
      <vt:variant>
        <vt:i4>8</vt:i4>
      </vt:variant>
      <vt:variant>
        <vt:i4>0</vt:i4>
      </vt:variant>
      <vt:variant>
        <vt:i4>5</vt:i4>
      </vt:variant>
      <vt:variant>
        <vt:lpwstr/>
      </vt:variant>
      <vt:variant>
        <vt:lpwstr>_Toc429757907</vt:lpwstr>
      </vt:variant>
      <vt:variant>
        <vt:i4>1376305</vt:i4>
      </vt:variant>
      <vt:variant>
        <vt:i4>2</vt:i4>
      </vt:variant>
      <vt:variant>
        <vt:i4>0</vt:i4>
      </vt:variant>
      <vt:variant>
        <vt:i4>5</vt:i4>
      </vt:variant>
      <vt:variant>
        <vt:lpwstr/>
      </vt:variant>
      <vt:variant>
        <vt:lpwstr>_Toc429757906</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Decomposing the mean and absolute Gini index of BMI: An analysis of the Survey of Health, Ageing, and Retirement in Europe</dc:title>
  <dc:subject>Master Thesis Lennaert van den Hoeven</dc:subject>
  <dc:creator>Lennaert van den Hoeven</dc:creator>
  <cp:keywords/>
  <dc:description/>
  <cp:lastModifiedBy>Nita Ramsaransing</cp:lastModifiedBy>
  <cp:revision>2</cp:revision>
  <cp:lastPrinted>2015-10-19T14:55:00Z</cp:lastPrinted>
  <dcterms:created xsi:type="dcterms:W3CDTF">2015-10-20T06:02:00Z</dcterms:created>
  <dcterms:modified xsi:type="dcterms:W3CDTF">2015-10-20T06:02:00Z</dcterms:modified>
</cp:coreProperties>
</file>