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70C372" w14:textId="78A80345" w:rsidR="00A77631" w:rsidRPr="00C938E8" w:rsidRDefault="00AF1D6B" w:rsidP="00A77631">
      <w:pPr>
        <w:rPr>
          <w:b/>
          <w:bCs/>
          <w:lang w:val="en-GB"/>
        </w:rPr>
      </w:pPr>
      <w:r>
        <w:rPr>
          <w:noProof/>
        </w:rPr>
        <w:pict w14:anchorId="035560B8">
          <v:shapetype id="_x0000_t202" coordsize="21600,21600" o:spt="202" path="m,l,21600r21600,l21600,xe">
            <v:stroke joinstyle="miter"/>
            <v:path gradientshapeok="t" o:connecttype="rect"/>
          </v:shapetype>
          <v:shape id="Text Box 2" o:spid="_x0000_s1026" type="#_x0000_t202" style="position:absolute;left:0;text-align:left;margin-left:303.4pt;margin-top:-.35pt;width:149.85pt;height:78.95pt;z-index:251659264;visibility:visible;mso-height-percent:200;mso-wrap-distance-top:3.6pt;mso-wrap-distance-bottom:3.6pt;mso-position-horizontal-relative:text;mso-position-vertical-relative:text;mso-height-percent:200;mso-width-relative:margin;mso-height-relative:margin" stroked="f">
            <v:textbox style="mso-next-textbox:#Text Box 2;mso-fit-shape-to-text:t">
              <w:txbxContent>
                <w:p w14:paraId="366367DB" w14:textId="677B1A46" w:rsidR="00BC0C49" w:rsidRPr="00CC48ED" w:rsidRDefault="00BC0C49" w:rsidP="00A77631">
                  <w:pPr>
                    <w:spacing w:after="0"/>
                    <w:jc w:val="right"/>
                    <w:rPr>
                      <w:b/>
                      <w:bCs/>
                      <w:sz w:val="32"/>
                      <w:szCs w:val="32"/>
                    </w:rPr>
                  </w:pPr>
                  <w:r w:rsidRPr="00CC48ED">
                    <w:rPr>
                      <w:b/>
                      <w:bCs/>
                      <w:sz w:val="32"/>
                      <w:szCs w:val="32"/>
                    </w:rPr>
                    <w:t>August 10th, 2020</w:t>
                  </w:r>
                </w:p>
                <w:p w14:paraId="1E940FF5" w14:textId="0C40EA67" w:rsidR="00BC0C49" w:rsidRPr="00CC48ED" w:rsidRDefault="00BC0C49" w:rsidP="00A77631">
                  <w:pPr>
                    <w:jc w:val="right"/>
                    <w:rPr>
                      <w:sz w:val="24"/>
                      <w:szCs w:val="24"/>
                      <w:lang w:val="en-GB"/>
                    </w:rPr>
                  </w:pPr>
                  <w:r w:rsidRPr="00CC48ED">
                    <w:rPr>
                      <w:sz w:val="24"/>
                      <w:szCs w:val="24"/>
                    </w:rPr>
                    <w:t>17408 words</w:t>
                  </w:r>
                </w:p>
              </w:txbxContent>
            </v:textbox>
            <w10:wrap type="square"/>
          </v:shape>
        </w:pict>
      </w:r>
      <w:r w:rsidR="00A77631">
        <w:rPr>
          <w:noProof/>
        </w:rPr>
        <w:drawing>
          <wp:anchor distT="0" distB="0" distL="114300" distR="114300" simplePos="0" relativeHeight="251655168" behindDoc="1" locked="0" layoutInCell="1" allowOverlap="1" wp14:anchorId="1F9AD1B7" wp14:editId="28FA2F8E">
            <wp:simplePos x="0" y="0"/>
            <wp:positionH relativeFrom="column">
              <wp:posOffset>-635</wp:posOffset>
            </wp:positionH>
            <wp:positionV relativeFrom="page">
              <wp:posOffset>906780</wp:posOffset>
            </wp:positionV>
            <wp:extent cx="1264920" cy="942975"/>
            <wp:effectExtent l="0" t="0" r="0" b="0"/>
            <wp:wrapTight wrapText="bothSides">
              <wp:wrapPolygon edited="0">
                <wp:start x="0" y="0"/>
                <wp:lineTo x="0" y="21382"/>
                <wp:lineTo x="21145" y="21382"/>
                <wp:lineTo x="21145" y="0"/>
                <wp:lineTo x="0" y="0"/>
              </wp:wrapPolygon>
            </wp:wrapTight>
            <wp:docPr id="11" name="Picture 11" descr="Afbeeldingsresultaat voor erasmus school of health policy &amp;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fbeeldingsresultaat voor erasmus school of health policy &amp; managemen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492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7631" w:rsidRPr="00C938E8">
        <w:rPr>
          <w:lang w:val="en-GB"/>
        </w:rPr>
        <w:t xml:space="preserve"> </w:t>
      </w:r>
    </w:p>
    <w:p w14:paraId="5506E14D" w14:textId="77777777" w:rsidR="00A77631" w:rsidRPr="00C938E8" w:rsidRDefault="00A77631" w:rsidP="00A77631">
      <w:pPr>
        <w:rPr>
          <w:b/>
          <w:bCs/>
          <w:lang w:val="en-GB"/>
        </w:rPr>
      </w:pPr>
    </w:p>
    <w:p w14:paraId="03FE2E9A" w14:textId="46226729" w:rsidR="00A77631" w:rsidRPr="00C938E8" w:rsidRDefault="00A77631" w:rsidP="00A77631">
      <w:pPr>
        <w:rPr>
          <w:b/>
          <w:bCs/>
          <w:lang w:val="en-GB"/>
        </w:rPr>
      </w:pPr>
    </w:p>
    <w:p w14:paraId="494E8570" w14:textId="77777777" w:rsidR="00A77631" w:rsidRPr="00C938E8" w:rsidRDefault="00A77631" w:rsidP="00A77631">
      <w:pPr>
        <w:rPr>
          <w:b/>
          <w:bCs/>
          <w:lang w:val="en-GB"/>
        </w:rPr>
      </w:pPr>
    </w:p>
    <w:p w14:paraId="6461FC11" w14:textId="562242AD" w:rsidR="00A77631" w:rsidRPr="00C938E8" w:rsidRDefault="00A77631" w:rsidP="00A77631">
      <w:pPr>
        <w:jc w:val="left"/>
        <w:rPr>
          <w:b/>
          <w:bCs/>
          <w:lang w:val="en-GB"/>
        </w:rPr>
      </w:pPr>
    </w:p>
    <w:p w14:paraId="1E1004F9" w14:textId="084C64F0" w:rsidR="00A77631" w:rsidRPr="00C938E8" w:rsidRDefault="00A77631" w:rsidP="00A77631">
      <w:pPr>
        <w:pStyle w:val="Title"/>
        <w:jc w:val="center"/>
        <w:rPr>
          <w:sz w:val="96"/>
          <w:szCs w:val="96"/>
          <w:lang w:val="en-GB"/>
        </w:rPr>
      </w:pPr>
      <w:r w:rsidRPr="00C938E8">
        <w:rPr>
          <w:sz w:val="96"/>
          <w:szCs w:val="96"/>
          <w:lang w:val="en-GB"/>
        </w:rPr>
        <w:t>From strategy to execution</w:t>
      </w:r>
    </w:p>
    <w:p w14:paraId="679B9467" w14:textId="417436AF" w:rsidR="00A77631" w:rsidRPr="00C938E8" w:rsidRDefault="00A77631" w:rsidP="00A77631">
      <w:pPr>
        <w:pStyle w:val="Subtitle"/>
        <w:jc w:val="center"/>
        <w:rPr>
          <w:sz w:val="40"/>
          <w:szCs w:val="40"/>
          <w:lang w:val="en-GB"/>
        </w:rPr>
      </w:pPr>
      <w:r w:rsidRPr="00C938E8">
        <w:rPr>
          <w:sz w:val="40"/>
          <w:szCs w:val="40"/>
          <w:lang w:val="en-GB"/>
        </w:rPr>
        <w:t>A research on the embedding of patient portals in Dutch hospitals</w:t>
      </w:r>
    </w:p>
    <w:p w14:paraId="56992C5A" w14:textId="0C38A2D8" w:rsidR="00A77631" w:rsidRPr="00FE789C" w:rsidRDefault="00A77631" w:rsidP="00A77631">
      <w:pPr>
        <w:spacing w:after="0"/>
        <w:jc w:val="center"/>
        <w:rPr>
          <w:sz w:val="28"/>
          <w:szCs w:val="28"/>
          <w:lang w:val="en-GB"/>
        </w:rPr>
      </w:pPr>
      <w:r>
        <w:rPr>
          <w:noProof/>
          <w:sz w:val="28"/>
          <w:szCs w:val="28"/>
        </w:rPr>
        <w:drawing>
          <wp:anchor distT="0" distB="0" distL="114300" distR="114300" simplePos="0" relativeHeight="251656192" behindDoc="1" locked="0" layoutInCell="1" allowOverlap="1" wp14:anchorId="7D7E3387" wp14:editId="29008341">
            <wp:simplePos x="0" y="0"/>
            <wp:positionH relativeFrom="column">
              <wp:posOffset>1424305</wp:posOffset>
            </wp:positionH>
            <wp:positionV relativeFrom="paragraph">
              <wp:posOffset>180340</wp:posOffset>
            </wp:positionV>
            <wp:extent cx="2933700" cy="652888"/>
            <wp:effectExtent l="0" t="0" r="0" b="0"/>
            <wp:wrapTight wrapText="bothSides">
              <wp:wrapPolygon edited="0">
                <wp:start x="0" y="0"/>
                <wp:lineTo x="0" y="20802"/>
                <wp:lineTo x="21460" y="20802"/>
                <wp:lineTo x="2146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3700" cy="652888"/>
                    </a:xfrm>
                    <a:prstGeom prst="rect">
                      <a:avLst/>
                    </a:prstGeom>
                    <a:noFill/>
                    <a:ln>
                      <a:noFill/>
                    </a:ln>
                  </pic:spPr>
                </pic:pic>
              </a:graphicData>
            </a:graphic>
          </wp:anchor>
        </w:drawing>
      </w:r>
    </w:p>
    <w:p w14:paraId="4D4758FA" w14:textId="25F59720" w:rsidR="00A77631" w:rsidRPr="00F62758" w:rsidRDefault="00A77631" w:rsidP="00A77631">
      <w:pPr>
        <w:spacing w:after="0"/>
        <w:jc w:val="center"/>
        <w:rPr>
          <w:sz w:val="28"/>
          <w:szCs w:val="28"/>
          <w:lang w:val="en-GB"/>
        </w:rPr>
      </w:pPr>
    </w:p>
    <w:p w14:paraId="452D5852" w14:textId="6B417CA5" w:rsidR="00A77631" w:rsidRPr="00F62758" w:rsidRDefault="00AF1D6B" w:rsidP="00A77631">
      <w:pPr>
        <w:rPr>
          <w:lang w:val="en-GB"/>
        </w:rPr>
      </w:pPr>
      <w:r>
        <w:rPr>
          <w:noProof/>
          <w:sz w:val="28"/>
          <w:szCs w:val="28"/>
        </w:rPr>
        <w:pict w14:anchorId="7D6C14B5">
          <v:rect id="_x0000_s1027" style="position:absolute;left:0;text-align:left;margin-left:109.15pt;margin-top:18.7pt;width:235.8pt;height:218pt;z-index:251660288">
            <v:textbox>
              <w:txbxContent>
                <w:p w14:paraId="5515DE5D" w14:textId="77777777" w:rsidR="00BC0C49" w:rsidRDefault="00BC0C49" w:rsidP="00A77631">
                  <w:pPr>
                    <w:spacing w:after="0"/>
                    <w:jc w:val="center"/>
                    <w:rPr>
                      <w:sz w:val="28"/>
                      <w:szCs w:val="28"/>
                    </w:rPr>
                  </w:pPr>
                </w:p>
                <w:p w14:paraId="43006A28" w14:textId="77777777" w:rsidR="00BC0C49" w:rsidRPr="00F62758" w:rsidRDefault="00BC0C49" w:rsidP="00A77631">
                  <w:pPr>
                    <w:spacing w:after="0"/>
                    <w:jc w:val="center"/>
                    <w:rPr>
                      <w:sz w:val="28"/>
                      <w:szCs w:val="28"/>
                    </w:rPr>
                  </w:pPr>
                  <w:r>
                    <w:rPr>
                      <w:sz w:val="28"/>
                      <w:szCs w:val="28"/>
                    </w:rPr>
                    <w:t>N</w:t>
                  </w:r>
                  <w:r w:rsidRPr="00F62758">
                    <w:rPr>
                      <w:sz w:val="28"/>
                      <w:szCs w:val="28"/>
                    </w:rPr>
                    <w:t>iels Victor van der Boor</w:t>
                  </w:r>
                </w:p>
                <w:p w14:paraId="01F5483E" w14:textId="77777777" w:rsidR="00BC0C49" w:rsidRPr="00F62758" w:rsidRDefault="00BC0C49" w:rsidP="00A77631">
                  <w:pPr>
                    <w:jc w:val="center"/>
                    <w:rPr>
                      <w:sz w:val="28"/>
                      <w:szCs w:val="28"/>
                    </w:rPr>
                  </w:pPr>
                  <w:r w:rsidRPr="00F62758">
                    <w:rPr>
                      <w:sz w:val="28"/>
                      <w:szCs w:val="28"/>
                    </w:rPr>
                    <w:t>413950</w:t>
                  </w:r>
                </w:p>
                <w:p w14:paraId="39E11F7B" w14:textId="77777777" w:rsidR="00BC0C49" w:rsidRDefault="00BC0C49" w:rsidP="00A77631">
                  <w:pPr>
                    <w:spacing w:before="240" w:after="0"/>
                    <w:jc w:val="center"/>
                    <w:rPr>
                      <w:sz w:val="28"/>
                      <w:szCs w:val="28"/>
                      <w:lang w:val="en-GB"/>
                    </w:rPr>
                  </w:pPr>
                  <w:r>
                    <w:rPr>
                      <w:sz w:val="28"/>
                      <w:szCs w:val="28"/>
                      <w:lang w:val="en-GB"/>
                    </w:rPr>
                    <w:t>Master Thesis</w:t>
                  </w:r>
                </w:p>
                <w:p w14:paraId="0C818AEE" w14:textId="77777777" w:rsidR="00BC0C49" w:rsidRPr="00F62758" w:rsidRDefault="00BC0C49" w:rsidP="00A77631">
                  <w:pPr>
                    <w:jc w:val="center"/>
                    <w:rPr>
                      <w:sz w:val="28"/>
                      <w:szCs w:val="28"/>
                      <w:lang w:val="en-GB"/>
                    </w:rPr>
                  </w:pPr>
                  <w:r>
                    <w:rPr>
                      <w:sz w:val="28"/>
                      <w:szCs w:val="28"/>
                      <w:lang w:val="en-GB"/>
                    </w:rPr>
                    <w:t>Health Care Management</w:t>
                  </w:r>
                </w:p>
                <w:p w14:paraId="60BB7D63" w14:textId="77777777" w:rsidR="00BC0C49" w:rsidRPr="00F62758" w:rsidRDefault="00BC0C49" w:rsidP="00A77631">
                  <w:pPr>
                    <w:spacing w:before="240" w:after="0"/>
                    <w:jc w:val="center"/>
                    <w:rPr>
                      <w:sz w:val="28"/>
                      <w:szCs w:val="28"/>
                      <w:lang w:val="en-GB"/>
                    </w:rPr>
                  </w:pPr>
                  <w:r w:rsidRPr="00F62758">
                    <w:rPr>
                      <w:sz w:val="28"/>
                      <w:szCs w:val="28"/>
                      <w:lang w:val="en-GB"/>
                    </w:rPr>
                    <w:t xml:space="preserve">Thesis coach: M. de </w:t>
                  </w:r>
                  <w:proofErr w:type="spellStart"/>
                  <w:r w:rsidRPr="00F62758">
                    <w:rPr>
                      <w:sz w:val="28"/>
                      <w:szCs w:val="28"/>
                      <w:lang w:val="en-GB"/>
                    </w:rPr>
                    <w:t>Mul</w:t>
                  </w:r>
                  <w:proofErr w:type="spellEnd"/>
                </w:p>
                <w:p w14:paraId="13C63042" w14:textId="77777777" w:rsidR="00BC0C49" w:rsidRPr="00F62758" w:rsidRDefault="00BC0C49" w:rsidP="00A77631">
                  <w:pPr>
                    <w:jc w:val="center"/>
                    <w:rPr>
                      <w:sz w:val="28"/>
                      <w:szCs w:val="28"/>
                      <w:lang w:val="en-GB"/>
                    </w:rPr>
                  </w:pPr>
                  <w:r w:rsidRPr="00F62758">
                    <w:rPr>
                      <w:sz w:val="28"/>
                      <w:szCs w:val="28"/>
                      <w:lang w:val="en-GB"/>
                    </w:rPr>
                    <w:t xml:space="preserve">Co-reader: K.E. </w:t>
                  </w:r>
                  <w:proofErr w:type="spellStart"/>
                  <w:r w:rsidRPr="00F62758">
                    <w:rPr>
                      <w:sz w:val="28"/>
                      <w:szCs w:val="28"/>
                      <w:lang w:val="en-GB"/>
                    </w:rPr>
                    <w:t>Tabeau</w:t>
                  </w:r>
                  <w:proofErr w:type="spellEnd"/>
                </w:p>
                <w:p w14:paraId="35362008" w14:textId="77777777" w:rsidR="00BC0C49" w:rsidRDefault="00BC0C49" w:rsidP="00A77631">
                  <w:pPr>
                    <w:spacing w:before="240"/>
                    <w:jc w:val="center"/>
                    <w:rPr>
                      <w:sz w:val="28"/>
                      <w:szCs w:val="28"/>
                      <w:lang w:val="en-GB"/>
                    </w:rPr>
                  </w:pPr>
                  <w:r w:rsidRPr="00F62758">
                    <w:rPr>
                      <w:sz w:val="28"/>
                      <w:szCs w:val="28"/>
                      <w:lang w:val="en-GB"/>
                    </w:rPr>
                    <w:t>Rotterdam</w:t>
                  </w:r>
                </w:p>
                <w:p w14:paraId="78779464" w14:textId="77777777" w:rsidR="00BC0C49" w:rsidRDefault="00BC0C49" w:rsidP="00A77631"/>
              </w:txbxContent>
            </v:textbox>
          </v:rect>
        </w:pict>
      </w:r>
    </w:p>
    <w:p w14:paraId="77A21209" w14:textId="3DF9BC1A" w:rsidR="00A77631" w:rsidRPr="00F62758" w:rsidRDefault="00A77631" w:rsidP="00A77631">
      <w:pPr>
        <w:rPr>
          <w:lang w:val="en-GB"/>
        </w:rPr>
      </w:pPr>
    </w:p>
    <w:p w14:paraId="3F6C1668" w14:textId="0C497B0D" w:rsidR="00575414" w:rsidRDefault="00575414">
      <w:pPr>
        <w:rPr>
          <w:lang w:val="en-GB"/>
        </w:rPr>
      </w:pPr>
    </w:p>
    <w:p w14:paraId="7A024F93" w14:textId="6313DADA" w:rsidR="00A77631" w:rsidRDefault="00A77631">
      <w:pPr>
        <w:rPr>
          <w:lang w:val="en-GB"/>
        </w:rPr>
      </w:pPr>
    </w:p>
    <w:p w14:paraId="1BFC1332" w14:textId="6B261792" w:rsidR="00A77631" w:rsidRDefault="00A77631">
      <w:pPr>
        <w:rPr>
          <w:lang w:val="en-GB"/>
        </w:rPr>
      </w:pPr>
    </w:p>
    <w:p w14:paraId="318AB38D" w14:textId="04AF513C" w:rsidR="00A77631" w:rsidRDefault="00A77631">
      <w:pPr>
        <w:rPr>
          <w:lang w:val="en-GB"/>
        </w:rPr>
      </w:pPr>
    </w:p>
    <w:p w14:paraId="5A525602" w14:textId="07082C69" w:rsidR="00A77631" w:rsidRDefault="00A77631">
      <w:pPr>
        <w:rPr>
          <w:lang w:val="en-GB"/>
        </w:rPr>
      </w:pPr>
    </w:p>
    <w:p w14:paraId="44FDCED1" w14:textId="1AE91B62" w:rsidR="00A77631" w:rsidRDefault="00A77631">
      <w:pPr>
        <w:rPr>
          <w:lang w:val="en-GB"/>
        </w:rPr>
      </w:pPr>
    </w:p>
    <w:p w14:paraId="46117817" w14:textId="2738F667" w:rsidR="00A77631" w:rsidRDefault="00A77631">
      <w:pPr>
        <w:rPr>
          <w:lang w:val="en-GB"/>
        </w:rPr>
      </w:pPr>
    </w:p>
    <w:p w14:paraId="4F51A469" w14:textId="6A662789" w:rsidR="00A77631" w:rsidRDefault="00A77631">
      <w:pPr>
        <w:rPr>
          <w:lang w:val="en-GB"/>
        </w:rPr>
      </w:pPr>
    </w:p>
    <w:p w14:paraId="1B36E1DA" w14:textId="594F6903" w:rsidR="00A77631" w:rsidRDefault="00A77631">
      <w:pPr>
        <w:rPr>
          <w:lang w:val="en-GB"/>
        </w:rPr>
      </w:pPr>
    </w:p>
    <w:p w14:paraId="79A9718E" w14:textId="1678B1E6" w:rsidR="00A77631" w:rsidRDefault="00A77631">
      <w:pPr>
        <w:rPr>
          <w:lang w:val="en-GB"/>
        </w:rPr>
      </w:pPr>
    </w:p>
    <w:p w14:paraId="7AE777D1" w14:textId="5FCF05EF" w:rsidR="00A77631" w:rsidRDefault="00A77631">
      <w:pPr>
        <w:rPr>
          <w:lang w:val="en-GB"/>
        </w:rPr>
      </w:pPr>
    </w:p>
    <w:p w14:paraId="4E5E7554" w14:textId="0DE3160A" w:rsidR="00A77631" w:rsidRDefault="00A77631">
      <w:pPr>
        <w:rPr>
          <w:lang w:val="en-GB"/>
        </w:rPr>
        <w:sectPr w:rsidR="00A77631" w:rsidSect="00A77631">
          <w:footerReference w:type="default" r:id="rId10"/>
          <w:pgSz w:w="11906" w:h="16838"/>
          <w:pgMar w:top="1417" w:right="1417" w:bottom="1417" w:left="1417" w:header="708" w:footer="708" w:gutter="0"/>
          <w:pgNumType w:start="0"/>
          <w:cols w:space="708"/>
          <w:docGrid w:linePitch="360"/>
        </w:sectPr>
      </w:pPr>
    </w:p>
    <w:sdt>
      <w:sdtPr>
        <w:rPr>
          <w:rFonts w:eastAsiaTheme="minorHAnsi" w:cstheme="minorBidi"/>
          <w:color w:val="auto"/>
          <w:sz w:val="18"/>
          <w:szCs w:val="18"/>
          <w:lang w:val="nl-NL"/>
        </w:rPr>
        <w:id w:val="-1780401958"/>
        <w:docPartObj>
          <w:docPartGallery w:val="Table of Contents"/>
          <w:docPartUnique/>
        </w:docPartObj>
      </w:sdtPr>
      <w:sdtEndPr>
        <w:rPr>
          <w:b/>
          <w:bCs/>
          <w:noProof/>
          <w:sz w:val="12"/>
          <w:szCs w:val="12"/>
        </w:rPr>
      </w:sdtEndPr>
      <w:sdtContent>
        <w:p w14:paraId="4C176BCD" w14:textId="7795DA9F" w:rsidR="00A77631" w:rsidRPr="00A62518" w:rsidRDefault="00A77631" w:rsidP="00FE0ED6">
          <w:pPr>
            <w:pStyle w:val="TOCHeading"/>
            <w:spacing w:before="0" w:line="240" w:lineRule="auto"/>
            <w:rPr>
              <w:sz w:val="28"/>
              <w:szCs w:val="28"/>
            </w:rPr>
          </w:pPr>
          <w:r w:rsidRPr="00A62518">
            <w:rPr>
              <w:sz w:val="28"/>
              <w:szCs w:val="28"/>
            </w:rPr>
            <w:t>Table of Contents</w:t>
          </w:r>
        </w:p>
        <w:p w14:paraId="41B49B5B" w14:textId="52D63BA3" w:rsidR="00A62518" w:rsidRPr="00A62518" w:rsidRDefault="00A77631" w:rsidP="00A62518">
          <w:pPr>
            <w:pStyle w:val="TOC1"/>
            <w:spacing w:line="240" w:lineRule="auto"/>
            <w:rPr>
              <w:rFonts w:eastAsiaTheme="minorEastAsia"/>
              <w:lang w:eastAsia="nl-NL"/>
            </w:rPr>
          </w:pPr>
          <w:r w:rsidRPr="00A62518">
            <w:rPr>
              <w:noProof w:val="0"/>
            </w:rPr>
            <w:fldChar w:fldCharType="begin"/>
          </w:r>
          <w:r w:rsidRPr="00A62518">
            <w:instrText xml:space="preserve"> TOC \o "1-3" \h \z \u </w:instrText>
          </w:r>
          <w:r w:rsidRPr="00A62518">
            <w:rPr>
              <w:noProof w:val="0"/>
            </w:rPr>
            <w:fldChar w:fldCharType="separate"/>
          </w:r>
          <w:hyperlink w:anchor="_Toc51862078" w:history="1">
            <w:r w:rsidR="00A62518" w:rsidRPr="00A62518">
              <w:rPr>
                <w:rStyle w:val="Hyperlink"/>
              </w:rPr>
              <w:t>Preface</w:t>
            </w:r>
            <w:r w:rsidR="00A62518" w:rsidRPr="00A62518">
              <w:rPr>
                <w:webHidden/>
              </w:rPr>
              <w:tab/>
            </w:r>
            <w:r w:rsidR="00A62518" w:rsidRPr="00A62518">
              <w:rPr>
                <w:webHidden/>
              </w:rPr>
              <w:fldChar w:fldCharType="begin"/>
            </w:r>
            <w:r w:rsidR="00A62518" w:rsidRPr="00A62518">
              <w:rPr>
                <w:webHidden/>
              </w:rPr>
              <w:instrText xml:space="preserve"> PAGEREF _Toc51862078 \h </w:instrText>
            </w:r>
            <w:r w:rsidR="00A62518" w:rsidRPr="00A62518">
              <w:rPr>
                <w:webHidden/>
              </w:rPr>
            </w:r>
            <w:r w:rsidR="00A62518" w:rsidRPr="00A62518">
              <w:rPr>
                <w:webHidden/>
              </w:rPr>
              <w:fldChar w:fldCharType="separate"/>
            </w:r>
            <w:r w:rsidR="00A62518" w:rsidRPr="00A62518">
              <w:rPr>
                <w:webHidden/>
              </w:rPr>
              <w:t>2</w:t>
            </w:r>
            <w:r w:rsidR="00A62518" w:rsidRPr="00A62518">
              <w:rPr>
                <w:webHidden/>
              </w:rPr>
              <w:fldChar w:fldCharType="end"/>
            </w:r>
          </w:hyperlink>
        </w:p>
        <w:p w14:paraId="48B8D1AB" w14:textId="2B1831E6" w:rsidR="00A62518" w:rsidRPr="00A62518" w:rsidRDefault="00A62518" w:rsidP="00A62518">
          <w:pPr>
            <w:pStyle w:val="TOC1"/>
            <w:spacing w:line="240" w:lineRule="auto"/>
            <w:rPr>
              <w:rFonts w:eastAsiaTheme="minorEastAsia"/>
              <w:lang w:eastAsia="nl-NL"/>
            </w:rPr>
          </w:pPr>
          <w:hyperlink w:anchor="_Toc51862079" w:history="1">
            <w:r w:rsidRPr="00A62518">
              <w:rPr>
                <w:rStyle w:val="Hyperlink"/>
              </w:rPr>
              <w:t>Summary</w:t>
            </w:r>
            <w:r w:rsidRPr="00A62518">
              <w:rPr>
                <w:webHidden/>
              </w:rPr>
              <w:tab/>
            </w:r>
            <w:r w:rsidRPr="00A62518">
              <w:rPr>
                <w:webHidden/>
              </w:rPr>
              <w:fldChar w:fldCharType="begin"/>
            </w:r>
            <w:r w:rsidRPr="00A62518">
              <w:rPr>
                <w:webHidden/>
              </w:rPr>
              <w:instrText xml:space="preserve"> PAGEREF _Toc51862079 \h </w:instrText>
            </w:r>
            <w:r w:rsidRPr="00A62518">
              <w:rPr>
                <w:webHidden/>
              </w:rPr>
            </w:r>
            <w:r w:rsidRPr="00A62518">
              <w:rPr>
                <w:webHidden/>
              </w:rPr>
              <w:fldChar w:fldCharType="separate"/>
            </w:r>
            <w:r w:rsidRPr="00A62518">
              <w:rPr>
                <w:webHidden/>
              </w:rPr>
              <w:t>4</w:t>
            </w:r>
            <w:r w:rsidRPr="00A62518">
              <w:rPr>
                <w:webHidden/>
              </w:rPr>
              <w:fldChar w:fldCharType="end"/>
            </w:r>
          </w:hyperlink>
        </w:p>
        <w:p w14:paraId="75505E44" w14:textId="1CD11E79" w:rsidR="00A62518" w:rsidRPr="00A62518" w:rsidRDefault="00A62518" w:rsidP="00A62518">
          <w:pPr>
            <w:pStyle w:val="TOC1"/>
            <w:spacing w:line="240" w:lineRule="auto"/>
            <w:rPr>
              <w:rFonts w:eastAsiaTheme="minorEastAsia"/>
              <w:lang w:eastAsia="nl-NL"/>
            </w:rPr>
          </w:pPr>
          <w:hyperlink w:anchor="_Toc51862080" w:history="1">
            <w:r w:rsidRPr="00A62518">
              <w:rPr>
                <w:rStyle w:val="Hyperlink"/>
                <w:rFonts w:cstheme="minorHAnsi"/>
              </w:rPr>
              <w:t>1. Introduction</w:t>
            </w:r>
            <w:r w:rsidRPr="00A62518">
              <w:rPr>
                <w:webHidden/>
              </w:rPr>
              <w:tab/>
            </w:r>
            <w:r w:rsidRPr="00A62518">
              <w:rPr>
                <w:webHidden/>
              </w:rPr>
              <w:fldChar w:fldCharType="begin"/>
            </w:r>
            <w:r w:rsidRPr="00A62518">
              <w:rPr>
                <w:webHidden/>
              </w:rPr>
              <w:instrText xml:space="preserve"> PAGEREF _Toc51862080 \h </w:instrText>
            </w:r>
            <w:r w:rsidRPr="00A62518">
              <w:rPr>
                <w:webHidden/>
              </w:rPr>
            </w:r>
            <w:r w:rsidRPr="00A62518">
              <w:rPr>
                <w:webHidden/>
              </w:rPr>
              <w:fldChar w:fldCharType="separate"/>
            </w:r>
            <w:r w:rsidRPr="00A62518">
              <w:rPr>
                <w:webHidden/>
              </w:rPr>
              <w:t>5</w:t>
            </w:r>
            <w:r w:rsidRPr="00A62518">
              <w:rPr>
                <w:webHidden/>
              </w:rPr>
              <w:fldChar w:fldCharType="end"/>
            </w:r>
          </w:hyperlink>
        </w:p>
        <w:p w14:paraId="273D4C0B" w14:textId="0879BEDE"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1" w:history="1">
            <w:r w:rsidRPr="00A62518">
              <w:rPr>
                <w:rStyle w:val="Hyperlink"/>
                <w:rFonts w:cstheme="minorHAnsi"/>
                <w:noProof/>
                <w:sz w:val="20"/>
                <w:szCs w:val="20"/>
                <w:lang w:val="en-GB"/>
              </w:rPr>
              <w:t>1.1 Research questions</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_Toc51862081 \h </w:instrText>
            </w:r>
            <w:r w:rsidRPr="00A62518">
              <w:rPr>
                <w:noProof/>
                <w:webHidden/>
                <w:sz w:val="20"/>
                <w:szCs w:val="20"/>
              </w:rPr>
            </w:r>
            <w:r w:rsidRPr="00A62518">
              <w:rPr>
                <w:noProof/>
                <w:webHidden/>
                <w:sz w:val="20"/>
                <w:szCs w:val="20"/>
              </w:rPr>
              <w:fldChar w:fldCharType="separate"/>
            </w:r>
            <w:r w:rsidRPr="00A62518">
              <w:rPr>
                <w:noProof/>
                <w:webHidden/>
                <w:sz w:val="20"/>
                <w:szCs w:val="20"/>
              </w:rPr>
              <w:t>5</w:t>
            </w:r>
            <w:r w:rsidRPr="00A62518">
              <w:rPr>
                <w:noProof/>
                <w:webHidden/>
                <w:sz w:val="20"/>
                <w:szCs w:val="20"/>
              </w:rPr>
              <w:fldChar w:fldCharType="end"/>
            </w:r>
          </w:hyperlink>
        </w:p>
        <w:p w14:paraId="759B06DA" w14:textId="565DC2D2"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2" w:history="1">
            <w:r w:rsidRPr="00A62518">
              <w:rPr>
                <w:rStyle w:val="Hyperlink"/>
                <w:rFonts w:cstheme="minorHAnsi"/>
                <w:noProof/>
                <w:sz w:val="20"/>
                <w:szCs w:val="20"/>
                <w:lang w:val="en-GB"/>
              </w:rPr>
              <w:t>1.2 Societal relevance</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_Toc51862082 \h </w:instrText>
            </w:r>
            <w:r w:rsidRPr="00A62518">
              <w:rPr>
                <w:noProof/>
                <w:webHidden/>
                <w:sz w:val="20"/>
                <w:szCs w:val="20"/>
              </w:rPr>
            </w:r>
            <w:r w:rsidRPr="00A62518">
              <w:rPr>
                <w:noProof/>
                <w:webHidden/>
                <w:sz w:val="20"/>
                <w:szCs w:val="20"/>
              </w:rPr>
              <w:fldChar w:fldCharType="separate"/>
            </w:r>
            <w:r w:rsidRPr="00A62518">
              <w:rPr>
                <w:noProof/>
                <w:webHidden/>
                <w:sz w:val="20"/>
                <w:szCs w:val="20"/>
              </w:rPr>
              <w:t>6</w:t>
            </w:r>
            <w:r w:rsidRPr="00A62518">
              <w:rPr>
                <w:noProof/>
                <w:webHidden/>
                <w:sz w:val="20"/>
                <w:szCs w:val="20"/>
              </w:rPr>
              <w:fldChar w:fldCharType="end"/>
            </w:r>
          </w:hyperlink>
        </w:p>
        <w:p w14:paraId="5762D6A0" w14:textId="20C171FB"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3" w:history="1">
            <w:r w:rsidRPr="00A62518">
              <w:rPr>
                <w:rStyle w:val="Hyperlink"/>
                <w:rFonts w:cstheme="minorHAnsi"/>
                <w:noProof/>
                <w:sz w:val="20"/>
                <w:szCs w:val="20"/>
                <w:lang w:val="en-GB"/>
              </w:rPr>
              <w:t>1.3 Scientific relevance</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_Toc51862083 \h </w:instrText>
            </w:r>
            <w:r w:rsidRPr="00A62518">
              <w:rPr>
                <w:noProof/>
                <w:webHidden/>
                <w:sz w:val="20"/>
                <w:szCs w:val="20"/>
              </w:rPr>
            </w:r>
            <w:r w:rsidRPr="00A62518">
              <w:rPr>
                <w:noProof/>
                <w:webHidden/>
                <w:sz w:val="20"/>
                <w:szCs w:val="20"/>
              </w:rPr>
              <w:fldChar w:fldCharType="separate"/>
            </w:r>
            <w:r w:rsidRPr="00A62518">
              <w:rPr>
                <w:noProof/>
                <w:webHidden/>
                <w:sz w:val="20"/>
                <w:szCs w:val="20"/>
              </w:rPr>
              <w:t>6</w:t>
            </w:r>
            <w:r w:rsidRPr="00A62518">
              <w:rPr>
                <w:noProof/>
                <w:webHidden/>
                <w:sz w:val="20"/>
                <w:szCs w:val="20"/>
              </w:rPr>
              <w:fldChar w:fldCharType="end"/>
            </w:r>
          </w:hyperlink>
        </w:p>
        <w:p w14:paraId="05D094AA" w14:textId="31C53B12"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4" w:history="1">
            <w:r w:rsidRPr="00A62518">
              <w:rPr>
                <w:rStyle w:val="Hyperlink"/>
                <w:rFonts w:cstheme="minorHAnsi"/>
                <w:noProof/>
                <w:sz w:val="20"/>
                <w:szCs w:val="20"/>
                <w:lang w:val="en-GB"/>
              </w:rPr>
              <w:t>1.4 Reading guidance</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_Toc51862084 \h </w:instrText>
            </w:r>
            <w:r w:rsidRPr="00A62518">
              <w:rPr>
                <w:noProof/>
                <w:webHidden/>
                <w:sz w:val="20"/>
                <w:szCs w:val="20"/>
              </w:rPr>
            </w:r>
            <w:r w:rsidRPr="00A62518">
              <w:rPr>
                <w:noProof/>
                <w:webHidden/>
                <w:sz w:val="20"/>
                <w:szCs w:val="20"/>
              </w:rPr>
              <w:fldChar w:fldCharType="separate"/>
            </w:r>
            <w:r w:rsidRPr="00A62518">
              <w:rPr>
                <w:noProof/>
                <w:webHidden/>
                <w:sz w:val="20"/>
                <w:szCs w:val="20"/>
              </w:rPr>
              <w:t>7</w:t>
            </w:r>
            <w:r w:rsidRPr="00A62518">
              <w:rPr>
                <w:noProof/>
                <w:webHidden/>
                <w:sz w:val="20"/>
                <w:szCs w:val="20"/>
              </w:rPr>
              <w:fldChar w:fldCharType="end"/>
            </w:r>
          </w:hyperlink>
        </w:p>
        <w:p w14:paraId="2DE3FDBF" w14:textId="64661D77" w:rsidR="00A62518" w:rsidRPr="00A62518" w:rsidRDefault="00A62518" w:rsidP="00A62518">
          <w:pPr>
            <w:pStyle w:val="TOC1"/>
            <w:spacing w:line="240" w:lineRule="auto"/>
            <w:rPr>
              <w:rFonts w:eastAsiaTheme="minorEastAsia"/>
              <w:lang w:eastAsia="nl-NL"/>
            </w:rPr>
          </w:pPr>
          <w:hyperlink w:anchor="_Toc51862085" w:history="1">
            <w:r w:rsidRPr="00A62518">
              <w:rPr>
                <w:rStyle w:val="Hyperlink"/>
                <w:rFonts w:cstheme="minorHAnsi"/>
              </w:rPr>
              <w:t>2. Theoretical framework</w:t>
            </w:r>
            <w:r w:rsidRPr="00A62518">
              <w:rPr>
                <w:webHidden/>
              </w:rPr>
              <w:tab/>
            </w:r>
            <w:r w:rsidRPr="00A62518">
              <w:rPr>
                <w:webHidden/>
              </w:rPr>
              <w:fldChar w:fldCharType="begin"/>
            </w:r>
            <w:r w:rsidRPr="00A62518">
              <w:rPr>
                <w:webHidden/>
              </w:rPr>
              <w:instrText xml:space="preserve"> PAGEREF _Toc51862085 \h </w:instrText>
            </w:r>
            <w:r w:rsidRPr="00A62518">
              <w:rPr>
                <w:webHidden/>
              </w:rPr>
            </w:r>
            <w:r w:rsidRPr="00A62518">
              <w:rPr>
                <w:webHidden/>
              </w:rPr>
              <w:fldChar w:fldCharType="separate"/>
            </w:r>
            <w:r w:rsidRPr="00A62518">
              <w:rPr>
                <w:webHidden/>
              </w:rPr>
              <w:t>8</w:t>
            </w:r>
            <w:r w:rsidRPr="00A62518">
              <w:rPr>
                <w:webHidden/>
              </w:rPr>
              <w:fldChar w:fldCharType="end"/>
            </w:r>
          </w:hyperlink>
        </w:p>
        <w:p w14:paraId="1E8A66E0" w14:textId="47F3C94C"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6" w:history="1">
            <w:r w:rsidRPr="00A62518">
              <w:rPr>
                <w:rStyle w:val="Hyperlink"/>
                <w:rFonts w:cstheme="minorHAnsi"/>
                <w:noProof/>
                <w:sz w:val="20"/>
                <w:szCs w:val="20"/>
                <w:lang w:val="en-GB"/>
              </w:rPr>
              <w:t>2.1 eHealth: Patient portals</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_Toc51862086 \h </w:instrText>
            </w:r>
            <w:r w:rsidRPr="00A62518">
              <w:rPr>
                <w:noProof/>
                <w:webHidden/>
                <w:sz w:val="20"/>
                <w:szCs w:val="20"/>
              </w:rPr>
            </w:r>
            <w:r w:rsidRPr="00A62518">
              <w:rPr>
                <w:noProof/>
                <w:webHidden/>
                <w:sz w:val="20"/>
                <w:szCs w:val="20"/>
              </w:rPr>
              <w:fldChar w:fldCharType="separate"/>
            </w:r>
            <w:r w:rsidRPr="00A62518">
              <w:rPr>
                <w:noProof/>
                <w:webHidden/>
                <w:sz w:val="20"/>
                <w:szCs w:val="20"/>
              </w:rPr>
              <w:t>8</w:t>
            </w:r>
            <w:r w:rsidRPr="00A62518">
              <w:rPr>
                <w:noProof/>
                <w:webHidden/>
                <w:sz w:val="20"/>
                <w:szCs w:val="20"/>
              </w:rPr>
              <w:fldChar w:fldCharType="end"/>
            </w:r>
          </w:hyperlink>
        </w:p>
        <w:p w14:paraId="3E9954B9" w14:textId="78C176D4"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7" w:history="1">
            <w:r w:rsidRPr="00A62518">
              <w:rPr>
                <w:rStyle w:val="Hyperlink"/>
                <w:rFonts w:cstheme="minorHAnsi"/>
                <w:noProof/>
                <w:sz w:val="20"/>
                <w:szCs w:val="20"/>
                <w:lang w:val="en-GB"/>
              </w:rPr>
              <w:t>2.2 Governance</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_Toc51862087 \h </w:instrText>
            </w:r>
            <w:r w:rsidRPr="00A62518">
              <w:rPr>
                <w:noProof/>
                <w:webHidden/>
                <w:sz w:val="20"/>
                <w:szCs w:val="20"/>
              </w:rPr>
            </w:r>
            <w:r w:rsidRPr="00A62518">
              <w:rPr>
                <w:noProof/>
                <w:webHidden/>
                <w:sz w:val="20"/>
                <w:szCs w:val="20"/>
              </w:rPr>
              <w:fldChar w:fldCharType="separate"/>
            </w:r>
            <w:r w:rsidRPr="00A62518">
              <w:rPr>
                <w:noProof/>
                <w:webHidden/>
                <w:sz w:val="20"/>
                <w:szCs w:val="20"/>
              </w:rPr>
              <w:t>9</w:t>
            </w:r>
            <w:r w:rsidRPr="00A62518">
              <w:rPr>
                <w:noProof/>
                <w:webHidden/>
                <w:sz w:val="20"/>
                <w:szCs w:val="20"/>
              </w:rPr>
              <w:fldChar w:fldCharType="end"/>
            </w:r>
          </w:hyperlink>
        </w:p>
        <w:p w14:paraId="1B5423A3" w14:textId="679A2B0A"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8" w:history="1">
            <w:r w:rsidRPr="00A62518">
              <w:rPr>
                <w:rStyle w:val="Hyperlink"/>
                <w:rFonts w:cstheme="minorHAnsi"/>
                <w:noProof/>
                <w:sz w:val="20"/>
                <w:szCs w:val="20"/>
                <w:lang w:val="en-GB"/>
              </w:rPr>
              <w:t>2.3 Strategy</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_Toc51862088 \h </w:instrText>
            </w:r>
            <w:r w:rsidRPr="00A62518">
              <w:rPr>
                <w:noProof/>
                <w:webHidden/>
                <w:sz w:val="20"/>
                <w:szCs w:val="20"/>
              </w:rPr>
            </w:r>
            <w:r w:rsidRPr="00A62518">
              <w:rPr>
                <w:noProof/>
                <w:webHidden/>
                <w:sz w:val="20"/>
                <w:szCs w:val="20"/>
              </w:rPr>
              <w:fldChar w:fldCharType="separate"/>
            </w:r>
            <w:r w:rsidRPr="00A62518">
              <w:rPr>
                <w:noProof/>
                <w:webHidden/>
                <w:sz w:val="20"/>
                <w:szCs w:val="20"/>
              </w:rPr>
              <w:t>11</w:t>
            </w:r>
            <w:r w:rsidRPr="00A62518">
              <w:rPr>
                <w:noProof/>
                <w:webHidden/>
                <w:sz w:val="20"/>
                <w:szCs w:val="20"/>
              </w:rPr>
              <w:fldChar w:fldCharType="end"/>
            </w:r>
          </w:hyperlink>
        </w:p>
        <w:p w14:paraId="05E7E34F" w14:textId="28A0DA75"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89" w:history="1">
            <w:r w:rsidRPr="00A62518">
              <w:rPr>
                <w:rStyle w:val="Hyperlink"/>
                <w:rFonts w:cstheme="minorHAnsi"/>
                <w:noProof/>
                <w:sz w:val="20"/>
                <w:szCs w:val="20"/>
                <w:lang w:val="en-GB"/>
              </w:rPr>
              <w:t>2.4 The Nonadoption, Abandonment, Scale-up, Spread, and Sustainability (NASSS) framework</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_Toc51862089 \h </w:instrText>
            </w:r>
            <w:r w:rsidRPr="00A62518">
              <w:rPr>
                <w:noProof/>
                <w:webHidden/>
                <w:sz w:val="20"/>
                <w:szCs w:val="20"/>
              </w:rPr>
            </w:r>
            <w:r w:rsidRPr="00A62518">
              <w:rPr>
                <w:noProof/>
                <w:webHidden/>
                <w:sz w:val="20"/>
                <w:szCs w:val="20"/>
              </w:rPr>
              <w:fldChar w:fldCharType="separate"/>
            </w:r>
            <w:r w:rsidRPr="00A62518">
              <w:rPr>
                <w:noProof/>
                <w:webHidden/>
                <w:sz w:val="20"/>
                <w:szCs w:val="20"/>
              </w:rPr>
              <w:t>13</w:t>
            </w:r>
            <w:r w:rsidRPr="00A62518">
              <w:rPr>
                <w:noProof/>
                <w:webHidden/>
                <w:sz w:val="20"/>
                <w:szCs w:val="20"/>
              </w:rPr>
              <w:fldChar w:fldCharType="end"/>
            </w:r>
          </w:hyperlink>
        </w:p>
        <w:p w14:paraId="2C07FEEE" w14:textId="499AE6BC"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0" w:history="1">
            <w:r w:rsidRPr="00A62518">
              <w:rPr>
                <w:rStyle w:val="Hyperlink"/>
                <w:rFonts w:cstheme="minorHAnsi"/>
                <w:noProof/>
                <w:sz w:val="20"/>
                <w:szCs w:val="20"/>
                <w:lang w:val="en-GB"/>
              </w:rPr>
              <w:t>2.5 Normalisation Process Theory (NPT)</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_Toc51862090 \h </w:instrText>
            </w:r>
            <w:r w:rsidRPr="00A62518">
              <w:rPr>
                <w:noProof/>
                <w:webHidden/>
                <w:sz w:val="20"/>
                <w:szCs w:val="20"/>
              </w:rPr>
            </w:r>
            <w:r w:rsidRPr="00A62518">
              <w:rPr>
                <w:noProof/>
                <w:webHidden/>
                <w:sz w:val="20"/>
                <w:szCs w:val="20"/>
              </w:rPr>
              <w:fldChar w:fldCharType="separate"/>
            </w:r>
            <w:r w:rsidRPr="00A62518">
              <w:rPr>
                <w:noProof/>
                <w:webHidden/>
                <w:sz w:val="20"/>
                <w:szCs w:val="20"/>
              </w:rPr>
              <w:t>17</w:t>
            </w:r>
            <w:r w:rsidRPr="00A62518">
              <w:rPr>
                <w:noProof/>
                <w:webHidden/>
                <w:sz w:val="20"/>
                <w:szCs w:val="20"/>
              </w:rPr>
              <w:fldChar w:fldCharType="end"/>
            </w:r>
          </w:hyperlink>
        </w:p>
        <w:p w14:paraId="49CBB0E6" w14:textId="1E21916E" w:rsidR="00A62518" w:rsidRPr="00A62518" w:rsidRDefault="00A62518" w:rsidP="00A62518">
          <w:pPr>
            <w:pStyle w:val="TOC1"/>
            <w:spacing w:line="240" w:lineRule="auto"/>
            <w:rPr>
              <w:rFonts w:eastAsiaTheme="minorEastAsia"/>
              <w:lang w:eastAsia="nl-NL"/>
            </w:rPr>
          </w:pPr>
          <w:hyperlink w:anchor="_Toc51862091" w:history="1">
            <w:r w:rsidRPr="00A62518">
              <w:rPr>
                <w:rStyle w:val="Hyperlink"/>
              </w:rPr>
              <w:t>3. Research methods</w:t>
            </w:r>
            <w:r w:rsidRPr="00A62518">
              <w:rPr>
                <w:webHidden/>
              </w:rPr>
              <w:tab/>
            </w:r>
            <w:r w:rsidRPr="00A62518">
              <w:rPr>
                <w:webHidden/>
              </w:rPr>
              <w:fldChar w:fldCharType="begin"/>
            </w:r>
            <w:r w:rsidRPr="00A62518">
              <w:rPr>
                <w:webHidden/>
              </w:rPr>
              <w:instrText xml:space="preserve"> PAGEREF _Toc51862091 \h </w:instrText>
            </w:r>
            <w:r w:rsidRPr="00A62518">
              <w:rPr>
                <w:webHidden/>
              </w:rPr>
            </w:r>
            <w:r w:rsidRPr="00A62518">
              <w:rPr>
                <w:webHidden/>
              </w:rPr>
              <w:fldChar w:fldCharType="separate"/>
            </w:r>
            <w:r w:rsidRPr="00A62518">
              <w:rPr>
                <w:webHidden/>
              </w:rPr>
              <w:t>19</w:t>
            </w:r>
            <w:r w:rsidRPr="00A62518">
              <w:rPr>
                <w:webHidden/>
              </w:rPr>
              <w:fldChar w:fldCharType="end"/>
            </w:r>
          </w:hyperlink>
        </w:p>
        <w:p w14:paraId="264E497D" w14:textId="522F0CDA"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2" w:history="1">
            <w:r w:rsidRPr="00A62518">
              <w:rPr>
                <w:rStyle w:val="Hyperlink"/>
                <w:noProof/>
                <w:sz w:val="20"/>
                <w:szCs w:val="20"/>
                <w:lang w:val="en-GB"/>
              </w:rPr>
              <w:t>3.1 Study design</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_Toc51862092 \h </w:instrText>
            </w:r>
            <w:r w:rsidRPr="00A62518">
              <w:rPr>
                <w:noProof/>
                <w:webHidden/>
                <w:sz w:val="20"/>
                <w:szCs w:val="20"/>
              </w:rPr>
            </w:r>
            <w:r w:rsidRPr="00A62518">
              <w:rPr>
                <w:noProof/>
                <w:webHidden/>
                <w:sz w:val="20"/>
                <w:szCs w:val="20"/>
              </w:rPr>
              <w:fldChar w:fldCharType="separate"/>
            </w:r>
            <w:r w:rsidRPr="00A62518">
              <w:rPr>
                <w:noProof/>
                <w:webHidden/>
                <w:sz w:val="20"/>
                <w:szCs w:val="20"/>
              </w:rPr>
              <w:t>19</w:t>
            </w:r>
            <w:r w:rsidRPr="00A62518">
              <w:rPr>
                <w:noProof/>
                <w:webHidden/>
                <w:sz w:val="20"/>
                <w:szCs w:val="20"/>
              </w:rPr>
              <w:fldChar w:fldCharType="end"/>
            </w:r>
          </w:hyperlink>
        </w:p>
        <w:p w14:paraId="24660366" w14:textId="01210004"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3" w:history="1">
            <w:r w:rsidRPr="00A62518">
              <w:rPr>
                <w:rStyle w:val="Hyperlink"/>
                <w:noProof/>
                <w:sz w:val="20"/>
                <w:szCs w:val="20"/>
                <w:lang w:val="en-GB"/>
              </w:rPr>
              <w:t>3.2 Organisation</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_Toc51862093 \h </w:instrText>
            </w:r>
            <w:r w:rsidRPr="00A62518">
              <w:rPr>
                <w:noProof/>
                <w:webHidden/>
                <w:sz w:val="20"/>
                <w:szCs w:val="20"/>
              </w:rPr>
            </w:r>
            <w:r w:rsidRPr="00A62518">
              <w:rPr>
                <w:noProof/>
                <w:webHidden/>
                <w:sz w:val="20"/>
                <w:szCs w:val="20"/>
              </w:rPr>
              <w:fldChar w:fldCharType="separate"/>
            </w:r>
            <w:r w:rsidRPr="00A62518">
              <w:rPr>
                <w:noProof/>
                <w:webHidden/>
                <w:sz w:val="20"/>
                <w:szCs w:val="20"/>
              </w:rPr>
              <w:t>19</w:t>
            </w:r>
            <w:r w:rsidRPr="00A62518">
              <w:rPr>
                <w:noProof/>
                <w:webHidden/>
                <w:sz w:val="20"/>
                <w:szCs w:val="20"/>
              </w:rPr>
              <w:fldChar w:fldCharType="end"/>
            </w:r>
          </w:hyperlink>
        </w:p>
        <w:p w14:paraId="789D225D" w14:textId="5338E23D"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4" w:history="1">
            <w:r w:rsidRPr="00A62518">
              <w:rPr>
                <w:rStyle w:val="Hyperlink"/>
                <w:noProof/>
                <w:sz w:val="20"/>
                <w:szCs w:val="20"/>
                <w:lang w:val="en-GB"/>
              </w:rPr>
              <w:t>3.3 Research approach</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_Toc51862094 \h </w:instrText>
            </w:r>
            <w:r w:rsidRPr="00A62518">
              <w:rPr>
                <w:noProof/>
                <w:webHidden/>
                <w:sz w:val="20"/>
                <w:szCs w:val="20"/>
              </w:rPr>
            </w:r>
            <w:r w:rsidRPr="00A62518">
              <w:rPr>
                <w:noProof/>
                <w:webHidden/>
                <w:sz w:val="20"/>
                <w:szCs w:val="20"/>
              </w:rPr>
              <w:fldChar w:fldCharType="separate"/>
            </w:r>
            <w:r w:rsidRPr="00A62518">
              <w:rPr>
                <w:noProof/>
                <w:webHidden/>
                <w:sz w:val="20"/>
                <w:szCs w:val="20"/>
              </w:rPr>
              <w:t>20</w:t>
            </w:r>
            <w:r w:rsidRPr="00A62518">
              <w:rPr>
                <w:noProof/>
                <w:webHidden/>
                <w:sz w:val="20"/>
                <w:szCs w:val="20"/>
              </w:rPr>
              <w:fldChar w:fldCharType="end"/>
            </w:r>
          </w:hyperlink>
        </w:p>
        <w:p w14:paraId="3F3C4079" w14:textId="406CAA1F"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5" w:history="1">
            <w:r w:rsidRPr="00A62518">
              <w:rPr>
                <w:rStyle w:val="Hyperlink"/>
                <w:noProof/>
                <w:sz w:val="20"/>
                <w:szCs w:val="20"/>
                <w:lang w:val="en-GB"/>
              </w:rPr>
              <w:t>3.4 Study analysis</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_Toc51862095 \h </w:instrText>
            </w:r>
            <w:r w:rsidRPr="00A62518">
              <w:rPr>
                <w:noProof/>
                <w:webHidden/>
                <w:sz w:val="20"/>
                <w:szCs w:val="20"/>
              </w:rPr>
            </w:r>
            <w:r w:rsidRPr="00A62518">
              <w:rPr>
                <w:noProof/>
                <w:webHidden/>
                <w:sz w:val="20"/>
                <w:szCs w:val="20"/>
              </w:rPr>
              <w:fldChar w:fldCharType="separate"/>
            </w:r>
            <w:r w:rsidRPr="00A62518">
              <w:rPr>
                <w:noProof/>
                <w:webHidden/>
                <w:sz w:val="20"/>
                <w:szCs w:val="20"/>
              </w:rPr>
              <w:t>20</w:t>
            </w:r>
            <w:r w:rsidRPr="00A62518">
              <w:rPr>
                <w:noProof/>
                <w:webHidden/>
                <w:sz w:val="20"/>
                <w:szCs w:val="20"/>
              </w:rPr>
              <w:fldChar w:fldCharType="end"/>
            </w:r>
          </w:hyperlink>
        </w:p>
        <w:p w14:paraId="05823103" w14:textId="23F2BA51"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6" w:history="1">
            <w:r w:rsidRPr="00A62518">
              <w:rPr>
                <w:rStyle w:val="Hyperlink"/>
                <w:noProof/>
                <w:sz w:val="20"/>
                <w:szCs w:val="20"/>
                <w:lang w:val="en-GB"/>
              </w:rPr>
              <w:t>3.5 Validity &amp; Reliability</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_Toc51862096 \h </w:instrText>
            </w:r>
            <w:r w:rsidRPr="00A62518">
              <w:rPr>
                <w:noProof/>
                <w:webHidden/>
                <w:sz w:val="20"/>
                <w:szCs w:val="20"/>
              </w:rPr>
            </w:r>
            <w:r w:rsidRPr="00A62518">
              <w:rPr>
                <w:noProof/>
                <w:webHidden/>
                <w:sz w:val="20"/>
                <w:szCs w:val="20"/>
              </w:rPr>
              <w:fldChar w:fldCharType="separate"/>
            </w:r>
            <w:r w:rsidRPr="00A62518">
              <w:rPr>
                <w:noProof/>
                <w:webHidden/>
                <w:sz w:val="20"/>
                <w:szCs w:val="20"/>
              </w:rPr>
              <w:t>21</w:t>
            </w:r>
            <w:r w:rsidRPr="00A62518">
              <w:rPr>
                <w:noProof/>
                <w:webHidden/>
                <w:sz w:val="20"/>
                <w:szCs w:val="20"/>
              </w:rPr>
              <w:fldChar w:fldCharType="end"/>
            </w:r>
          </w:hyperlink>
        </w:p>
        <w:p w14:paraId="6E9EE567" w14:textId="552AB510" w:rsidR="00A62518" w:rsidRPr="00A62518" w:rsidRDefault="00A62518" w:rsidP="00A62518">
          <w:pPr>
            <w:pStyle w:val="TOC1"/>
            <w:spacing w:line="240" w:lineRule="auto"/>
            <w:rPr>
              <w:rFonts w:eastAsiaTheme="minorEastAsia"/>
              <w:lang w:eastAsia="nl-NL"/>
            </w:rPr>
          </w:pPr>
          <w:hyperlink w:anchor="_Toc51862097" w:history="1">
            <w:r w:rsidRPr="00A62518">
              <w:rPr>
                <w:rStyle w:val="Hyperlink"/>
              </w:rPr>
              <w:t>4. Results</w:t>
            </w:r>
            <w:r w:rsidRPr="00A62518">
              <w:rPr>
                <w:webHidden/>
              </w:rPr>
              <w:tab/>
            </w:r>
            <w:r w:rsidRPr="00A62518">
              <w:rPr>
                <w:webHidden/>
              </w:rPr>
              <w:fldChar w:fldCharType="begin"/>
            </w:r>
            <w:r w:rsidRPr="00A62518">
              <w:rPr>
                <w:webHidden/>
              </w:rPr>
              <w:instrText xml:space="preserve"> PAGEREF _Toc51862097 \h </w:instrText>
            </w:r>
            <w:r w:rsidRPr="00A62518">
              <w:rPr>
                <w:webHidden/>
              </w:rPr>
            </w:r>
            <w:r w:rsidRPr="00A62518">
              <w:rPr>
                <w:webHidden/>
              </w:rPr>
              <w:fldChar w:fldCharType="separate"/>
            </w:r>
            <w:r w:rsidRPr="00A62518">
              <w:rPr>
                <w:webHidden/>
              </w:rPr>
              <w:t>22</w:t>
            </w:r>
            <w:r w:rsidRPr="00A62518">
              <w:rPr>
                <w:webHidden/>
              </w:rPr>
              <w:fldChar w:fldCharType="end"/>
            </w:r>
          </w:hyperlink>
        </w:p>
        <w:p w14:paraId="60D38BCA" w14:textId="3CDEFB94"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098" w:history="1">
            <w:r w:rsidRPr="00A62518">
              <w:rPr>
                <w:rStyle w:val="Hyperlink"/>
                <w:noProof/>
                <w:sz w:val="20"/>
                <w:szCs w:val="20"/>
                <w:lang w:val="en-GB"/>
              </w:rPr>
              <w:t xml:space="preserve">4.1 Analysis of the </w:t>
            </w:r>
            <w:r w:rsidRPr="00A62518">
              <w:rPr>
                <w:rStyle w:val="Hyperlink"/>
                <w:rFonts w:cstheme="minorHAnsi"/>
                <w:noProof/>
                <w:sz w:val="20"/>
                <w:szCs w:val="20"/>
                <w:lang w:val="en-GB"/>
              </w:rPr>
              <w:t xml:space="preserve">Nonadoption, Abandonment, Scale-up, Spread, and Sustainability </w:t>
            </w:r>
            <w:r w:rsidRPr="00A62518">
              <w:rPr>
                <w:rStyle w:val="Hyperlink"/>
                <w:noProof/>
                <w:sz w:val="20"/>
                <w:szCs w:val="20"/>
                <w:lang w:val="en-GB"/>
              </w:rPr>
              <w:t>framework</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_Toc51862098 \h </w:instrText>
            </w:r>
            <w:r w:rsidRPr="00A62518">
              <w:rPr>
                <w:noProof/>
                <w:webHidden/>
                <w:sz w:val="20"/>
                <w:szCs w:val="20"/>
              </w:rPr>
            </w:r>
            <w:r w:rsidRPr="00A62518">
              <w:rPr>
                <w:noProof/>
                <w:webHidden/>
                <w:sz w:val="20"/>
                <w:szCs w:val="20"/>
              </w:rPr>
              <w:fldChar w:fldCharType="separate"/>
            </w:r>
            <w:r w:rsidRPr="00A62518">
              <w:rPr>
                <w:noProof/>
                <w:webHidden/>
                <w:sz w:val="20"/>
                <w:szCs w:val="20"/>
              </w:rPr>
              <w:t>22</w:t>
            </w:r>
            <w:r w:rsidRPr="00A62518">
              <w:rPr>
                <w:noProof/>
                <w:webHidden/>
                <w:sz w:val="20"/>
                <w:szCs w:val="20"/>
              </w:rPr>
              <w:fldChar w:fldCharType="end"/>
            </w:r>
          </w:hyperlink>
        </w:p>
        <w:p w14:paraId="2EA6A976" w14:textId="60DDB16A"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099" w:history="1">
            <w:r w:rsidRPr="00A62518">
              <w:rPr>
                <w:rStyle w:val="Hyperlink"/>
                <w:noProof/>
                <w:sz w:val="20"/>
                <w:szCs w:val="20"/>
                <w:lang w:val="en-GB"/>
              </w:rPr>
              <w:t>4.1.1 The Condition (NASSS Domain 1)</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_Toc51862099 \h </w:instrText>
            </w:r>
            <w:r w:rsidRPr="00A62518">
              <w:rPr>
                <w:noProof/>
                <w:webHidden/>
                <w:sz w:val="20"/>
                <w:szCs w:val="20"/>
              </w:rPr>
            </w:r>
            <w:r w:rsidRPr="00A62518">
              <w:rPr>
                <w:noProof/>
                <w:webHidden/>
                <w:sz w:val="20"/>
                <w:szCs w:val="20"/>
              </w:rPr>
              <w:fldChar w:fldCharType="separate"/>
            </w:r>
            <w:r w:rsidRPr="00A62518">
              <w:rPr>
                <w:noProof/>
                <w:webHidden/>
                <w:sz w:val="20"/>
                <w:szCs w:val="20"/>
              </w:rPr>
              <w:t>23</w:t>
            </w:r>
            <w:r w:rsidRPr="00A62518">
              <w:rPr>
                <w:noProof/>
                <w:webHidden/>
                <w:sz w:val="20"/>
                <w:szCs w:val="20"/>
              </w:rPr>
              <w:fldChar w:fldCharType="end"/>
            </w:r>
          </w:hyperlink>
        </w:p>
        <w:p w14:paraId="4ABFEEFB" w14:textId="5B231C23"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0" w:history="1">
            <w:r w:rsidRPr="00A62518">
              <w:rPr>
                <w:rStyle w:val="Hyperlink"/>
                <w:noProof/>
                <w:sz w:val="20"/>
                <w:szCs w:val="20"/>
                <w:lang w:val="en-GB"/>
              </w:rPr>
              <w:t>4.1.2 The Technology (NASSS Domain 2)</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_Toc51862100 \h </w:instrText>
            </w:r>
            <w:r w:rsidRPr="00A62518">
              <w:rPr>
                <w:noProof/>
                <w:webHidden/>
                <w:sz w:val="20"/>
                <w:szCs w:val="20"/>
              </w:rPr>
            </w:r>
            <w:r w:rsidRPr="00A62518">
              <w:rPr>
                <w:noProof/>
                <w:webHidden/>
                <w:sz w:val="20"/>
                <w:szCs w:val="20"/>
              </w:rPr>
              <w:fldChar w:fldCharType="separate"/>
            </w:r>
            <w:r w:rsidRPr="00A62518">
              <w:rPr>
                <w:noProof/>
                <w:webHidden/>
                <w:sz w:val="20"/>
                <w:szCs w:val="20"/>
              </w:rPr>
              <w:t>24</w:t>
            </w:r>
            <w:r w:rsidRPr="00A62518">
              <w:rPr>
                <w:noProof/>
                <w:webHidden/>
                <w:sz w:val="20"/>
                <w:szCs w:val="20"/>
              </w:rPr>
              <w:fldChar w:fldCharType="end"/>
            </w:r>
          </w:hyperlink>
        </w:p>
        <w:p w14:paraId="403FE83A" w14:textId="2D2D347D"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1" w:history="1">
            <w:r w:rsidRPr="00A62518">
              <w:rPr>
                <w:rStyle w:val="Hyperlink"/>
                <w:noProof/>
                <w:sz w:val="20"/>
                <w:szCs w:val="20"/>
                <w:lang w:val="en-GB"/>
              </w:rPr>
              <w:t>4.1.3 The Value Proposition (NASSS Domain 3)</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_Toc51862101 \h </w:instrText>
            </w:r>
            <w:r w:rsidRPr="00A62518">
              <w:rPr>
                <w:noProof/>
                <w:webHidden/>
                <w:sz w:val="20"/>
                <w:szCs w:val="20"/>
              </w:rPr>
            </w:r>
            <w:r w:rsidRPr="00A62518">
              <w:rPr>
                <w:noProof/>
                <w:webHidden/>
                <w:sz w:val="20"/>
                <w:szCs w:val="20"/>
              </w:rPr>
              <w:fldChar w:fldCharType="separate"/>
            </w:r>
            <w:r w:rsidRPr="00A62518">
              <w:rPr>
                <w:noProof/>
                <w:webHidden/>
                <w:sz w:val="20"/>
                <w:szCs w:val="20"/>
              </w:rPr>
              <w:t>27</w:t>
            </w:r>
            <w:r w:rsidRPr="00A62518">
              <w:rPr>
                <w:noProof/>
                <w:webHidden/>
                <w:sz w:val="20"/>
                <w:szCs w:val="20"/>
              </w:rPr>
              <w:fldChar w:fldCharType="end"/>
            </w:r>
          </w:hyperlink>
        </w:p>
        <w:p w14:paraId="6EBCD920" w14:textId="0FBD6434"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2" w:history="1">
            <w:r w:rsidRPr="00A62518">
              <w:rPr>
                <w:rStyle w:val="Hyperlink"/>
                <w:noProof/>
                <w:sz w:val="20"/>
                <w:szCs w:val="20"/>
                <w:lang w:val="en-GB"/>
              </w:rPr>
              <w:t>4.1.4 The Adopter System (NASSS Domain 4)</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_Toc51862102 \h </w:instrText>
            </w:r>
            <w:r w:rsidRPr="00A62518">
              <w:rPr>
                <w:noProof/>
                <w:webHidden/>
                <w:sz w:val="20"/>
                <w:szCs w:val="20"/>
              </w:rPr>
            </w:r>
            <w:r w:rsidRPr="00A62518">
              <w:rPr>
                <w:noProof/>
                <w:webHidden/>
                <w:sz w:val="20"/>
                <w:szCs w:val="20"/>
              </w:rPr>
              <w:fldChar w:fldCharType="separate"/>
            </w:r>
            <w:r w:rsidRPr="00A62518">
              <w:rPr>
                <w:noProof/>
                <w:webHidden/>
                <w:sz w:val="20"/>
                <w:szCs w:val="20"/>
              </w:rPr>
              <w:t>29</w:t>
            </w:r>
            <w:r w:rsidRPr="00A62518">
              <w:rPr>
                <w:noProof/>
                <w:webHidden/>
                <w:sz w:val="20"/>
                <w:szCs w:val="20"/>
              </w:rPr>
              <w:fldChar w:fldCharType="end"/>
            </w:r>
          </w:hyperlink>
        </w:p>
        <w:p w14:paraId="5DE29B95" w14:textId="1E5FB800"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3" w:history="1">
            <w:r w:rsidRPr="00A62518">
              <w:rPr>
                <w:rStyle w:val="Hyperlink"/>
                <w:noProof/>
                <w:sz w:val="20"/>
                <w:szCs w:val="20"/>
                <w:lang w:val="en-GB"/>
              </w:rPr>
              <w:t>4.1.5 The Organization (NASSS Domain 5)</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_Toc51862103 \h </w:instrText>
            </w:r>
            <w:r w:rsidRPr="00A62518">
              <w:rPr>
                <w:noProof/>
                <w:webHidden/>
                <w:sz w:val="20"/>
                <w:szCs w:val="20"/>
              </w:rPr>
            </w:r>
            <w:r w:rsidRPr="00A62518">
              <w:rPr>
                <w:noProof/>
                <w:webHidden/>
                <w:sz w:val="20"/>
                <w:szCs w:val="20"/>
              </w:rPr>
              <w:fldChar w:fldCharType="separate"/>
            </w:r>
            <w:r w:rsidRPr="00A62518">
              <w:rPr>
                <w:noProof/>
                <w:webHidden/>
                <w:sz w:val="20"/>
                <w:szCs w:val="20"/>
              </w:rPr>
              <w:t>32</w:t>
            </w:r>
            <w:r w:rsidRPr="00A62518">
              <w:rPr>
                <w:noProof/>
                <w:webHidden/>
                <w:sz w:val="20"/>
                <w:szCs w:val="20"/>
              </w:rPr>
              <w:fldChar w:fldCharType="end"/>
            </w:r>
          </w:hyperlink>
        </w:p>
        <w:p w14:paraId="59777FD0" w14:textId="23FEA106"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4" w:history="1">
            <w:r w:rsidRPr="00A62518">
              <w:rPr>
                <w:rStyle w:val="Hyperlink"/>
                <w:noProof/>
                <w:sz w:val="20"/>
                <w:szCs w:val="20"/>
                <w:lang w:val="en-GB"/>
              </w:rPr>
              <w:t>4.1.6 The Wider Context (NASSS Domain 6)</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_Toc51862104 \h </w:instrText>
            </w:r>
            <w:r w:rsidRPr="00A62518">
              <w:rPr>
                <w:noProof/>
                <w:webHidden/>
                <w:sz w:val="20"/>
                <w:szCs w:val="20"/>
              </w:rPr>
            </w:r>
            <w:r w:rsidRPr="00A62518">
              <w:rPr>
                <w:noProof/>
                <w:webHidden/>
                <w:sz w:val="20"/>
                <w:szCs w:val="20"/>
              </w:rPr>
              <w:fldChar w:fldCharType="separate"/>
            </w:r>
            <w:r w:rsidRPr="00A62518">
              <w:rPr>
                <w:noProof/>
                <w:webHidden/>
                <w:sz w:val="20"/>
                <w:szCs w:val="20"/>
              </w:rPr>
              <w:t>36</w:t>
            </w:r>
            <w:r w:rsidRPr="00A62518">
              <w:rPr>
                <w:noProof/>
                <w:webHidden/>
                <w:sz w:val="20"/>
                <w:szCs w:val="20"/>
              </w:rPr>
              <w:fldChar w:fldCharType="end"/>
            </w:r>
          </w:hyperlink>
        </w:p>
        <w:p w14:paraId="586F42DA" w14:textId="5D116319"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5" w:history="1">
            <w:r w:rsidRPr="00A62518">
              <w:rPr>
                <w:rStyle w:val="Hyperlink"/>
                <w:noProof/>
                <w:sz w:val="20"/>
                <w:szCs w:val="20"/>
                <w:lang w:val="en-GB"/>
              </w:rPr>
              <w:t>4.1.7 Embedding and Adaptation over Time (NASSS Domain 7)</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_Toc51862105 \h </w:instrText>
            </w:r>
            <w:r w:rsidRPr="00A62518">
              <w:rPr>
                <w:noProof/>
                <w:webHidden/>
                <w:sz w:val="20"/>
                <w:szCs w:val="20"/>
              </w:rPr>
            </w:r>
            <w:r w:rsidRPr="00A62518">
              <w:rPr>
                <w:noProof/>
                <w:webHidden/>
                <w:sz w:val="20"/>
                <w:szCs w:val="20"/>
              </w:rPr>
              <w:fldChar w:fldCharType="separate"/>
            </w:r>
            <w:r w:rsidRPr="00A62518">
              <w:rPr>
                <w:noProof/>
                <w:webHidden/>
                <w:sz w:val="20"/>
                <w:szCs w:val="20"/>
              </w:rPr>
              <w:t>38</w:t>
            </w:r>
            <w:r w:rsidRPr="00A62518">
              <w:rPr>
                <w:noProof/>
                <w:webHidden/>
                <w:sz w:val="20"/>
                <w:szCs w:val="20"/>
              </w:rPr>
              <w:fldChar w:fldCharType="end"/>
            </w:r>
          </w:hyperlink>
        </w:p>
        <w:p w14:paraId="3F647B70" w14:textId="7C845562"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106" w:history="1">
            <w:r w:rsidRPr="00A62518">
              <w:rPr>
                <w:rStyle w:val="Hyperlink"/>
                <w:noProof/>
                <w:sz w:val="20"/>
                <w:szCs w:val="20"/>
                <w:lang w:val="en-GB"/>
              </w:rPr>
              <w:t>4.2 Analysis of the Normalisation Process Theory</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_Toc51862106 \h </w:instrText>
            </w:r>
            <w:r w:rsidRPr="00A62518">
              <w:rPr>
                <w:noProof/>
                <w:webHidden/>
                <w:sz w:val="20"/>
                <w:szCs w:val="20"/>
              </w:rPr>
            </w:r>
            <w:r w:rsidRPr="00A62518">
              <w:rPr>
                <w:noProof/>
                <w:webHidden/>
                <w:sz w:val="20"/>
                <w:szCs w:val="20"/>
              </w:rPr>
              <w:fldChar w:fldCharType="separate"/>
            </w:r>
            <w:r w:rsidRPr="00A62518">
              <w:rPr>
                <w:noProof/>
                <w:webHidden/>
                <w:sz w:val="20"/>
                <w:szCs w:val="20"/>
              </w:rPr>
              <w:t>40</w:t>
            </w:r>
            <w:r w:rsidRPr="00A62518">
              <w:rPr>
                <w:noProof/>
                <w:webHidden/>
                <w:sz w:val="20"/>
                <w:szCs w:val="20"/>
              </w:rPr>
              <w:fldChar w:fldCharType="end"/>
            </w:r>
          </w:hyperlink>
        </w:p>
        <w:p w14:paraId="0CE05427" w14:textId="3FEF8906" w:rsidR="00A62518" w:rsidRPr="00A62518" w:rsidRDefault="00A62518" w:rsidP="00A62518">
          <w:pPr>
            <w:pStyle w:val="TOC3"/>
            <w:tabs>
              <w:tab w:val="right" w:leader="dot" w:pos="9062"/>
            </w:tabs>
            <w:spacing w:line="240" w:lineRule="auto"/>
            <w:rPr>
              <w:rFonts w:eastAsiaTheme="minorEastAsia"/>
              <w:noProof/>
              <w:sz w:val="20"/>
              <w:szCs w:val="20"/>
              <w:lang w:eastAsia="nl-NL"/>
            </w:rPr>
          </w:pPr>
          <w:hyperlink w:anchor="_Toc51862107" w:history="1">
            <w:r w:rsidRPr="00A62518">
              <w:rPr>
                <w:rStyle w:val="Hyperlink"/>
                <w:noProof/>
                <w:sz w:val="20"/>
                <w:szCs w:val="20"/>
                <w:lang w:val="en-GB"/>
              </w:rPr>
              <w:t>4.2.1 Reflexive Monitoring</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_Toc51862107 \h </w:instrText>
            </w:r>
            <w:r w:rsidRPr="00A62518">
              <w:rPr>
                <w:noProof/>
                <w:webHidden/>
                <w:sz w:val="20"/>
                <w:szCs w:val="20"/>
              </w:rPr>
            </w:r>
            <w:r w:rsidRPr="00A62518">
              <w:rPr>
                <w:noProof/>
                <w:webHidden/>
                <w:sz w:val="20"/>
                <w:szCs w:val="20"/>
              </w:rPr>
              <w:fldChar w:fldCharType="separate"/>
            </w:r>
            <w:r w:rsidRPr="00A62518">
              <w:rPr>
                <w:noProof/>
                <w:webHidden/>
                <w:sz w:val="20"/>
                <w:szCs w:val="20"/>
              </w:rPr>
              <w:t>40</w:t>
            </w:r>
            <w:r w:rsidRPr="00A62518">
              <w:rPr>
                <w:noProof/>
                <w:webHidden/>
                <w:sz w:val="20"/>
                <w:szCs w:val="20"/>
              </w:rPr>
              <w:fldChar w:fldCharType="end"/>
            </w:r>
          </w:hyperlink>
        </w:p>
        <w:p w14:paraId="15091531" w14:textId="5C190277" w:rsidR="00A62518" w:rsidRPr="00A62518" w:rsidRDefault="00A62518" w:rsidP="00A62518">
          <w:pPr>
            <w:pStyle w:val="TOC1"/>
            <w:spacing w:line="240" w:lineRule="auto"/>
            <w:rPr>
              <w:rFonts w:eastAsiaTheme="minorEastAsia"/>
              <w:lang w:eastAsia="nl-NL"/>
            </w:rPr>
          </w:pPr>
          <w:hyperlink w:anchor="_Toc51862108" w:history="1">
            <w:r w:rsidRPr="00A62518">
              <w:rPr>
                <w:rStyle w:val="Hyperlink"/>
              </w:rPr>
              <w:t>5. Conclusion and Discussion</w:t>
            </w:r>
            <w:r w:rsidRPr="00A62518">
              <w:rPr>
                <w:webHidden/>
              </w:rPr>
              <w:tab/>
            </w:r>
            <w:r w:rsidRPr="00A62518">
              <w:rPr>
                <w:webHidden/>
              </w:rPr>
              <w:fldChar w:fldCharType="begin"/>
            </w:r>
            <w:r w:rsidRPr="00A62518">
              <w:rPr>
                <w:webHidden/>
              </w:rPr>
              <w:instrText xml:space="preserve"> PAGEREF _Toc51862108 \h </w:instrText>
            </w:r>
            <w:r w:rsidRPr="00A62518">
              <w:rPr>
                <w:webHidden/>
              </w:rPr>
            </w:r>
            <w:r w:rsidRPr="00A62518">
              <w:rPr>
                <w:webHidden/>
              </w:rPr>
              <w:fldChar w:fldCharType="separate"/>
            </w:r>
            <w:r w:rsidRPr="00A62518">
              <w:rPr>
                <w:webHidden/>
              </w:rPr>
              <w:t>42</w:t>
            </w:r>
            <w:r w:rsidRPr="00A62518">
              <w:rPr>
                <w:webHidden/>
              </w:rPr>
              <w:fldChar w:fldCharType="end"/>
            </w:r>
          </w:hyperlink>
        </w:p>
        <w:p w14:paraId="187EB50C" w14:textId="1420DFF9"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109" w:history="1">
            <w:r w:rsidRPr="00A62518">
              <w:rPr>
                <w:rStyle w:val="Hyperlink"/>
                <w:noProof/>
                <w:sz w:val="20"/>
                <w:szCs w:val="20"/>
                <w:lang w:val="en-GB"/>
              </w:rPr>
              <w:t>5.1 Answering sub-questions</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_Toc51862109 \h </w:instrText>
            </w:r>
            <w:r w:rsidRPr="00A62518">
              <w:rPr>
                <w:noProof/>
                <w:webHidden/>
                <w:sz w:val="20"/>
                <w:szCs w:val="20"/>
              </w:rPr>
            </w:r>
            <w:r w:rsidRPr="00A62518">
              <w:rPr>
                <w:noProof/>
                <w:webHidden/>
                <w:sz w:val="20"/>
                <w:szCs w:val="20"/>
              </w:rPr>
              <w:fldChar w:fldCharType="separate"/>
            </w:r>
            <w:r w:rsidRPr="00A62518">
              <w:rPr>
                <w:noProof/>
                <w:webHidden/>
                <w:sz w:val="20"/>
                <w:szCs w:val="20"/>
              </w:rPr>
              <w:t>42</w:t>
            </w:r>
            <w:r w:rsidRPr="00A62518">
              <w:rPr>
                <w:noProof/>
                <w:webHidden/>
                <w:sz w:val="20"/>
                <w:szCs w:val="20"/>
              </w:rPr>
              <w:fldChar w:fldCharType="end"/>
            </w:r>
          </w:hyperlink>
        </w:p>
        <w:p w14:paraId="4FF44255" w14:textId="61497690"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110" w:history="1">
            <w:r w:rsidRPr="00A62518">
              <w:rPr>
                <w:rStyle w:val="Hyperlink"/>
                <w:noProof/>
                <w:sz w:val="20"/>
                <w:szCs w:val="20"/>
                <w:lang w:val="en-GB"/>
              </w:rPr>
              <w:t>5.2 Conclusion</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_Toc51862110 \h </w:instrText>
            </w:r>
            <w:r w:rsidRPr="00A62518">
              <w:rPr>
                <w:noProof/>
                <w:webHidden/>
                <w:sz w:val="20"/>
                <w:szCs w:val="20"/>
              </w:rPr>
            </w:r>
            <w:r w:rsidRPr="00A62518">
              <w:rPr>
                <w:noProof/>
                <w:webHidden/>
                <w:sz w:val="20"/>
                <w:szCs w:val="20"/>
              </w:rPr>
              <w:fldChar w:fldCharType="separate"/>
            </w:r>
            <w:r w:rsidRPr="00A62518">
              <w:rPr>
                <w:noProof/>
                <w:webHidden/>
                <w:sz w:val="20"/>
                <w:szCs w:val="20"/>
              </w:rPr>
              <w:t>43</w:t>
            </w:r>
            <w:r w:rsidRPr="00A62518">
              <w:rPr>
                <w:noProof/>
                <w:webHidden/>
                <w:sz w:val="20"/>
                <w:szCs w:val="20"/>
              </w:rPr>
              <w:fldChar w:fldCharType="end"/>
            </w:r>
          </w:hyperlink>
        </w:p>
        <w:p w14:paraId="68A1A0D3" w14:textId="0FB47D4C" w:rsidR="00A62518" w:rsidRPr="00A62518" w:rsidRDefault="00A62518" w:rsidP="00A62518">
          <w:pPr>
            <w:pStyle w:val="TOC2"/>
            <w:tabs>
              <w:tab w:val="right" w:leader="dot" w:pos="9062"/>
            </w:tabs>
            <w:spacing w:line="240" w:lineRule="auto"/>
            <w:rPr>
              <w:rFonts w:eastAsiaTheme="minorEastAsia"/>
              <w:noProof/>
              <w:sz w:val="20"/>
              <w:szCs w:val="20"/>
              <w:lang w:eastAsia="nl-NL"/>
            </w:rPr>
          </w:pPr>
          <w:hyperlink w:anchor="_Toc51862111" w:history="1">
            <w:r w:rsidRPr="00A62518">
              <w:rPr>
                <w:rStyle w:val="Hyperlink"/>
                <w:noProof/>
                <w:sz w:val="20"/>
                <w:szCs w:val="20"/>
                <w:lang w:val="en-GB"/>
              </w:rPr>
              <w:t>5.3 Reflection</w:t>
            </w:r>
            <w:r w:rsidRPr="00A62518">
              <w:rPr>
                <w:noProof/>
                <w:webHidden/>
                <w:sz w:val="20"/>
                <w:szCs w:val="20"/>
              </w:rPr>
              <w:tab/>
            </w:r>
            <w:r w:rsidRPr="00A62518">
              <w:rPr>
                <w:noProof/>
                <w:webHidden/>
                <w:sz w:val="20"/>
                <w:szCs w:val="20"/>
              </w:rPr>
              <w:fldChar w:fldCharType="begin"/>
            </w:r>
            <w:r w:rsidRPr="00A62518">
              <w:rPr>
                <w:noProof/>
                <w:webHidden/>
                <w:sz w:val="20"/>
                <w:szCs w:val="20"/>
              </w:rPr>
              <w:instrText xml:space="preserve"> PAGEREF _Toc51862111 \h </w:instrText>
            </w:r>
            <w:r w:rsidRPr="00A62518">
              <w:rPr>
                <w:noProof/>
                <w:webHidden/>
                <w:sz w:val="20"/>
                <w:szCs w:val="20"/>
              </w:rPr>
            </w:r>
            <w:r w:rsidRPr="00A62518">
              <w:rPr>
                <w:noProof/>
                <w:webHidden/>
                <w:sz w:val="20"/>
                <w:szCs w:val="20"/>
              </w:rPr>
              <w:fldChar w:fldCharType="separate"/>
            </w:r>
            <w:r w:rsidRPr="00A62518">
              <w:rPr>
                <w:noProof/>
                <w:webHidden/>
                <w:sz w:val="20"/>
                <w:szCs w:val="20"/>
              </w:rPr>
              <w:t>44</w:t>
            </w:r>
            <w:r w:rsidRPr="00A62518">
              <w:rPr>
                <w:noProof/>
                <w:webHidden/>
                <w:sz w:val="20"/>
                <w:szCs w:val="20"/>
              </w:rPr>
              <w:fldChar w:fldCharType="end"/>
            </w:r>
          </w:hyperlink>
        </w:p>
        <w:p w14:paraId="1BA3B8B7" w14:textId="77DCB6AB" w:rsidR="00A62518" w:rsidRPr="00A62518" w:rsidRDefault="00A62518" w:rsidP="00A62518">
          <w:pPr>
            <w:pStyle w:val="TOC1"/>
            <w:spacing w:line="240" w:lineRule="auto"/>
            <w:rPr>
              <w:rFonts w:eastAsiaTheme="minorEastAsia"/>
              <w:lang w:eastAsia="nl-NL"/>
            </w:rPr>
          </w:pPr>
          <w:hyperlink w:anchor="_Toc51862112" w:history="1">
            <w:r w:rsidRPr="00A62518">
              <w:rPr>
                <w:rStyle w:val="Hyperlink"/>
                <w:rFonts w:cstheme="minorHAnsi"/>
              </w:rPr>
              <w:t>References</w:t>
            </w:r>
            <w:r w:rsidRPr="00A62518">
              <w:rPr>
                <w:webHidden/>
              </w:rPr>
              <w:tab/>
            </w:r>
            <w:r w:rsidRPr="00A62518">
              <w:rPr>
                <w:webHidden/>
              </w:rPr>
              <w:fldChar w:fldCharType="begin"/>
            </w:r>
            <w:r w:rsidRPr="00A62518">
              <w:rPr>
                <w:webHidden/>
              </w:rPr>
              <w:instrText xml:space="preserve"> PAGEREF _Toc51862112 \h </w:instrText>
            </w:r>
            <w:r w:rsidRPr="00A62518">
              <w:rPr>
                <w:webHidden/>
              </w:rPr>
            </w:r>
            <w:r w:rsidRPr="00A62518">
              <w:rPr>
                <w:webHidden/>
              </w:rPr>
              <w:fldChar w:fldCharType="separate"/>
            </w:r>
            <w:r w:rsidRPr="00A62518">
              <w:rPr>
                <w:webHidden/>
              </w:rPr>
              <w:t>47</w:t>
            </w:r>
            <w:r w:rsidRPr="00A62518">
              <w:rPr>
                <w:webHidden/>
              </w:rPr>
              <w:fldChar w:fldCharType="end"/>
            </w:r>
          </w:hyperlink>
        </w:p>
        <w:p w14:paraId="72F1F3D5" w14:textId="13536CA8" w:rsidR="00A62518" w:rsidRPr="00A62518" w:rsidRDefault="00A62518" w:rsidP="00A62518">
          <w:pPr>
            <w:pStyle w:val="TOC1"/>
            <w:spacing w:line="240" w:lineRule="auto"/>
            <w:rPr>
              <w:rFonts w:eastAsiaTheme="minorEastAsia"/>
              <w:lang w:eastAsia="nl-NL"/>
            </w:rPr>
          </w:pPr>
          <w:hyperlink w:anchor="_Toc51862113" w:history="1">
            <w:r w:rsidRPr="00A62518">
              <w:rPr>
                <w:rStyle w:val="Hyperlink"/>
              </w:rPr>
              <w:t>Appendix 1. Topic list interview</w:t>
            </w:r>
            <w:r w:rsidRPr="00A62518">
              <w:rPr>
                <w:webHidden/>
              </w:rPr>
              <w:tab/>
            </w:r>
            <w:r w:rsidRPr="00A62518">
              <w:rPr>
                <w:webHidden/>
              </w:rPr>
              <w:fldChar w:fldCharType="begin"/>
            </w:r>
            <w:r w:rsidRPr="00A62518">
              <w:rPr>
                <w:webHidden/>
              </w:rPr>
              <w:instrText xml:space="preserve"> PAGEREF _Toc51862113 \h </w:instrText>
            </w:r>
            <w:r w:rsidRPr="00A62518">
              <w:rPr>
                <w:webHidden/>
              </w:rPr>
            </w:r>
            <w:r w:rsidRPr="00A62518">
              <w:rPr>
                <w:webHidden/>
              </w:rPr>
              <w:fldChar w:fldCharType="separate"/>
            </w:r>
            <w:r w:rsidRPr="00A62518">
              <w:rPr>
                <w:webHidden/>
              </w:rPr>
              <w:t>52</w:t>
            </w:r>
            <w:r w:rsidRPr="00A62518">
              <w:rPr>
                <w:webHidden/>
              </w:rPr>
              <w:fldChar w:fldCharType="end"/>
            </w:r>
          </w:hyperlink>
        </w:p>
        <w:p w14:paraId="47242ACA" w14:textId="3317476E" w:rsidR="00A62518" w:rsidRPr="00A62518" w:rsidRDefault="00A62518" w:rsidP="00A62518">
          <w:pPr>
            <w:pStyle w:val="TOC1"/>
            <w:spacing w:line="240" w:lineRule="auto"/>
            <w:rPr>
              <w:rFonts w:eastAsiaTheme="minorEastAsia"/>
              <w:lang w:eastAsia="nl-NL"/>
            </w:rPr>
          </w:pPr>
          <w:hyperlink w:anchor="_Toc51862114" w:history="1">
            <w:r w:rsidRPr="00A62518">
              <w:rPr>
                <w:rStyle w:val="Hyperlink"/>
              </w:rPr>
              <w:t>Appendix 2. Respondents</w:t>
            </w:r>
            <w:r w:rsidRPr="00A62518">
              <w:rPr>
                <w:webHidden/>
              </w:rPr>
              <w:tab/>
            </w:r>
            <w:r w:rsidRPr="00A62518">
              <w:rPr>
                <w:webHidden/>
              </w:rPr>
              <w:fldChar w:fldCharType="begin"/>
            </w:r>
            <w:r w:rsidRPr="00A62518">
              <w:rPr>
                <w:webHidden/>
              </w:rPr>
              <w:instrText xml:space="preserve"> PAGEREF _Toc51862114 \h </w:instrText>
            </w:r>
            <w:r w:rsidRPr="00A62518">
              <w:rPr>
                <w:webHidden/>
              </w:rPr>
            </w:r>
            <w:r w:rsidRPr="00A62518">
              <w:rPr>
                <w:webHidden/>
              </w:rPr>
              <w:fldChar w:fldCharType="separate"/>
            </w:r>
            <w:r w:rsidRPr="00A62518">
              <w:rPr>
                <w:webHidden/>
              </w:rPr>
              <w:t>54</w:t>
            </w:r>
            <w:r w:rsidRPr="00A62518">
              <w:rPr>
                <w:webHidden/>
              </w:rPr>
              <w:fldChar w:fldCharType="end"/>
            </w:r>
          </w:hyperlink>
        </w:p>
        <w:p w14:paraId="0D844F15" w14:textId="77777777" w:rsidR="00A62518" w:rsidRPr="00A62518" w:rsidRDefault="00A77631" w:rsidP="00A62518">
          <w:pPr>
            <w:spacing w:line="240" w:lineRule="auto"/>
            <w:rPr>
              <w:b/>
              <w:bCs/>
              <w:noProof/>
              <w:sz w:val="20"/>
              <w:szCs w:val="20"/>
            </w:rPr>
          </w:pPr>
          <w:r w:rsidRPr="00A62518">
            <w:rPr>
              <w:b/>
              <w:bCs/>
              <w:noProof/>
              <w:sz w:val="20"/>
              <w:szCs w:val="20"/>
            </w:rPr>
            <w:fldChar w:fldCharType="end"/>
          </w:r>
        </w:p>
        <w:p w14:paraId="398F688C" w14:textId="43076396" w:rsidR="00A77631" w:rsidRPr="00A77631" w:rsidRDefault="00AF1D6B" w:rsidP="00FE0ED6">
          <w:pPr>
            <w:spacing w:line="240" w:lineRule="auto"/>
            <w:rPr>
              <w:lang w:val="en-GB"/>
            </w:rPr>
          </w:pPr>
        </w:p>
      </w:sdtContent>
    </w:sdt>
    <w:p w14:paraId="5CE406F2" w14:textId="0F762C69" w:rsidR="00A77631" w:rsidRPr="00500EB6" w:rsidRDefault="00A77631" w:rsidP="00A6602D">
      <w:pPr>
        <w:pStyle w:val="Heading1"/>
        <w:spacing w:after="240"/>
        <w:rPr>
          <w:lang w:val="en-GB"/>
        </w:rPr>
      </w:pPr>
      <w:bookmarkStart w:id="0" w:name="_Toc47522424"/>
      <w:bookmarkStart w:id="1" w:name="_Toc51862078"/>
      <w:r w:rsidRPr="00500EB6">
        <w:rPr>
          <w:lang w:val="en-GB"/>
        </w:rPr>
        <w:lastRenderedPageBreak/>
        <w:t>Preface</w:t>
      </w:r>
      <w:bookmarkEnd w:id="0"/>
      <w:bookmarkEnd w:id="1"/>
    </w:p>
    <w:p w14:paraId="32EB4F5A" w14:textId="77777777" w:rsidR="00A77631" w:rsidRDefault="00A77631" w:rsidP="00A77631">
      <w:pPr>
        <w:spacing w:line="360" w:lineRule="auto"/>
        <w:rPr>
          <w:lang w:val="en-GB"/>
        </w:rPr>
      </w:pPr>
      <w:r>
        <w:rPr>
          <w:lang w:val="en-GB"/>
        </w:rPr>
        <w:t xml:space="preserve">Before you </w:t>
      </w:r>
      <w:proofErr w:type="gramStart"/>
      <w:r>
        <w:rPr>
          <w:lang w:val="en-GB"/>
        </w:rPr>
        <w:t>lies</w:t>
      </w:r>
      <w:proofErr w:type="gramEnd"/>
      <w:r>
        <w:rPr>
          <w:lang w:val="en-GB"/>
        </w:rPr>
        <w:t xml:space="preserve"> the master thesis ‘’From Strategy to Execution: A research on the embedding of patient portals in Dutch hospitals</w:t>
      </w:r>
      <w:r w:rsidRPr="003B48EF">
        <w:rPr>
          <w:lang w:val="en-GB"/>
        </w:rPr>
        <w:t>”</w:t>
      </w:r>
      <w:r>
        <w:rPr>
          <w:lang w:val="en-GB"/>
        </w:rPr>
        <w:t>. It has been written to complete the fulltime master Health Care Management at the Erasmus School of Health Policy &amp; Management of the Erasmus University Rotterdam.  This hopefully marks the end of my student years and heralds my future career.</w:t>
      </w:r>
    </w:p>
    <w:p w14:paraId="084FF695" w14:textId="77777777" w:rsidR="00A77631" w:rsidRDefault="00A77631" w:rsidP="00A77631">
      <w:pPr>
        <w:spacing w:line="360" w:lineRule="auto"/>
        <w:rPr>
          <w:lang w:val="en-GB"/>
        </w:rPr>
      </w:pPr>
      <w:r>
        <w:rPr>
          <w:lang w:val="en-GB"/>
        </w:rPr>
        <w:t xml:space="preserve">First and foremost, I would like to express my gratitude towards my family and friends. I value the positive impact they have had on me over the years. Without their love, </w:t>
      </w:r>
      <w:proofErr w:type="gramStart"/>
      <w:r>
        <w:rPr>
          <w:lang w:val="en-GB"/>
        </w:rPr>
        <w:t>support</w:t>
      </w:r>
      <w:proofErr w:type="gramEnd"/>
      <w:r>
        <w:rPr>
          <w:lang w:val="en-GB"/>
        </w:rPr>
        <w:t xml:space="preserve"> and laughter I would not have been at this highly</w:t>
      </w:r>
      <w:r w:rsidRPr="00E6006D">
        <w:rPr>
          <w:lang w:val="en-GB"/>
        </w:rPr>
        <w:t xml:space="preserve"> anticipated</w:t>
      </w:r>
      <w:r>
        <w:rPr>
          <w:lang w:val="en-GB"/>
        </w:rPr>
        <w:t xml:space="preserve"> point in my life, for which I appreciate them deeply.</w:t>
      </w:r>
    </w:p>
    <w:p w14:paraId="7EB35F28" w14:textId="5E6F1F26" w:rsidR="00A77631" w:rsidRDefault="00A77631" w:rsidP="00A77631">
      <w:pPr>
        <w:spacing w:line="360" w:lineRule="auto"/>
        <w:rPr>
          <w:lang w:val="en-GB"/>
        </w:rPr>
      </w:pPr>
      <w:r>
        <w:rPr>
          <w:lang w:val="en-GB"/>
        </w:rPr>
        <w:t xml:space="preserve">I would </w:t>
      </w:r>
      <w:r w:rsidR="0078532A">
        <w:rPr>
          <w:lang w:val="en-GB"/>
        </w:rPr>
        <w:t xml:space="preserve">also </w:t>
      </w:r>
      <w:r>
        <w:rPr>
          <w:lang w:val="en-GB"/>
        </w:rPr>
        <w:t xml:space="preserve">like to thank my supervisor M. de </w:t>
      </w:r>
      <w:proofErr w:type="spellStart"/>
      <w:r>
        <w:rPr>
          <w:lang w:val="en-GB"/>
        </w:rPr>
        <w:t>Mul</w:t>
      </w:r>
      <w:proofErr w:type="spellEnd"/>
      <w:r>
        <w:rPr>
          <w:lang w:val="en-GB"/>
        </w:rPr>
        <w:t xml:space="preserve"> for her excellent guidance throughout the process, in which she has shown to be very involved. Despite the outbreak of the COVID-19 pandemic, and the consequences it has had on this thesis trajectory, she has supported me, and I wish to thank her for the patience and trust she has had with me. The quick thinking of my supervisor, and the willingness of P. </w:t>
      </w:r>
      <w:proofErr w:type="spellStart"/>
      <w:r>
        <w:rPr>
          <w:lang w:val="en-GB"/>
        </w:rPr>
        <w:t>Hulter</w:t>
      </w:r>
      <w:proofErr w:type="spellEnd"/>
      <w:r>
        <w:rPr>
          <w:lang w:val="en-GB"/>
        </w:rPr>
        <w:t xml:space="preserve"> and J.W.M. </w:t>
      </w:r>
      <w:proofErr w:type="spellStart"/>
      <w:r>
        <w:rPr>
          <w:lang w:val="en-GB"/>
        </w:rPr>
        <w:t>Weggelaar</w:t>
      </w:r>
      <w:proofErr w:type="spellEnd"/>
      <w:r>
        <w:rPr>
          <w:lang w:val="en-GB"/>
        </w:rPr>
        <w:t>-Jansen to share their data with me, enabled this research to go on, and</w:t>
      </w:r>
      <w:r w:rsidRPr="002B6795">
        <w:rPr>
          <w:lang w:val="en-GB"/>
        </w:rPr>
        <w:t xml:space="preserve"> </w:t>
      </w:r>
      <w:r>
        <w:rPr>
          <w:lang w:val="en-GB"/>
        </w:rPr>
        <w:t>without them, this thesis would not have become what is has become today.</w:t>
      </w:r>
    </w:p>
    <w:p w14:paraId="4256881A" w14:textId="3E5120BB" w:rsidR="00A77631" w:rsidRDefault="00A77631" w:rsidP="00A77631">
      <w:pPr>
        <w:spacing w:line="360" w:lineRule="auto"/>
        <w:rPr>
          <w:lang w:val="en-GB"/>
        </w:rPr>
      </w:pPr>
      <w:r>
        <w:rPr>
          <w:lang w:val="en-GB"/>
        </w:rPr>
        <w:t>Further, I would like to personally thank L.</w:t>
      </w:r>
      <w:r w:rsidR="006839D0">
        <w:rPr>
          <w:lang w:val="en-GB"/>
        </w:rPr>
        <w:t>P.D.M.</w:t>
      </w:r>
      <w:r>
        <w:rPr>
          <w:lang w:val="en-GB"/>
        </w:rPr>
        <w:t xml:space="preserve"> </w:t>
      </w:r>
      <w:proofErr w:type="spellStart"/>
      <w:r>
        <w:rPr>
          <w:lang w:val="en-GB"/>
        </w:rPr>
        <w:t>ter</w:t>
      </w:r>
      <w:proofErr w:type="spellEnd"/>
      <w:r>
        <w:rPr>
          <w:lang w:val="en-GB"/>
        </w:rPr>
        <w:t xml:space="preserve"> Meer for his (unexpected) interest in my thesis and the interesting discussions we have had, the additional readings he has sent and his comments on my work.</w:t>
      </w:r>
      <w:r w:rsidR="006839D0">
        <w:rPr>
          <w:lang w:val="en-GB"/>
        </w:rPr>
        <w:t xml:space="preserve"> It has really benefited the process and helped</w:t>
      </w:r>
      <w:r w:rsidR="00652D75">
        <w:rPr>
          <w:lang w:val="en-GB"/>
        </w:rPr>
        <w:t xml:space="preserve"> me out.</w:t>
      </w:r>
    </w:p>
    <w:p w14:paraId="0CB02FFB" w14:textId="77777777" w:rsidR="00A77631" w:rsidRDefault="00A77631" w:rsidP="00A77631">
      <w:pPr>
        <w:spacing w:line="360" w:lineRule="auto"/>
        <w:rPr>
          <w:lang w:val="en-GB"/>
        </w:rPr>
      </w:pPr>
      <w:r>
        <w:rPr>
          <w:lang w:val="en-GB"/>
        </w:rPr>
        <w:t xml:space="preserve">Additionally, I would like to thank all of the respondents for their cooperation and willingness to provide information. In particular, I wish to thank F. </w:t>
      </w:r>
      <w:proofErr w:type="spellStart"/>
      <w:r>
        <w:rPr>
          <w:lang w:val="en-GB"/>
        </w:rPr>
        <w:t>Koedijk</w:t>
      </w:r>
      <w:proofErr w:type="spellEnd"/>
      <w:r>
        <w:rPr>
          <w:lang w:val="en-GB"/>
        </w:rPr>
        <w:t xml:space="preserve"> for the individual efforts she has made towards my thesis, and I sincerely hope that it will help in future practice.</w:t>
      </w:r>
    </w:p>
    <w:p w14:paraId="5E2D5E30" w14:textId="77777777" w:rsidR="00A77631" w:rsidRDefault="00A77631" w:rsidP="00A77631">
      <w:pPr>
        <w:spacing w:line="360" w:lineRule="auto"/>
        <w:rPr>
          <w:lang w:val="en-GB"/>
        </w:rPr>
      </w:pPr>
      <w:r>
        <w:rPr>
          <w:lang w:val="en-GB"/>
        </w:rPr>
        <w:t>Concluding, I hope this thesis instigates a discussion in both the field of academics as the field of healthcare, in developing the patient portal in such a way that it will meet its potential, as part of the future of healthcare.</w:t>
      </w:r>
    </w:p>
    <w:p w14:paraId="0D834583" w14:textId="77777777" w:rsidR="00A77631" w:rsidRPr="006D6D5D" w:rsidRDefault="00A77631" w:rsidP="00A77631">
      <w:pPr>
        <w:spacing w:line="360" w:lineRule="auto"/>
      </w:pPr>
      <w:r w:rsidRPr="006D6D5D">
        <w:t>Niels Victor van der Boor</w:t>
      </w:r>
    </w:p>
    <w:p w14:paraId="000E5F8D" w14:textId="77777777" w:rsidR="00A77631" w:rsidRPr="006D6D5D" w:rsidRDefault="00A77631" w:rsidP="00A77631">
      <w:pPr>
        <w:spacing w:line="360" w:lineRule="auto"/>
        <w:rPr>
          <w:i/>
          <w:iCs/>
        </w:rPr>
      </w:pPr>
      <w:r w:rsidRPr="006D6D5D">
        <w:rPr>
          <w:i/>
          <w:iCs/>
        </w:rPr>
        <w:t>Rotterdam, August 2020</w:t>
      </w:r>
    </w:p>
    <w:p w14:paraId="42745719" w14:textId="77777777" w:rsidR="00A77631" w:rsidRPr="006D6D5D" w:rsidRDefault="00A77631" w:rsidP="00A77631">
      <w:pPr>
        <w:spacing w:line="360" w:lineRule="auto"/>
      </w:pPr>
      <w:r w:rsidRPr="006D6D5D">
        <w:t xml:space="preserve"> </w:t>
      </w:r>
    </w:p>
    <w:p w14:paraId="043E40BD" w14:textId="77777777" w:rsidR="00A77631" w:rsidRPr="006D6D5D" w:rsidRDefault="00A77631" w:rsidP="00A77631">
      <w:pPr>
        <w:spacing w:line="360" w:lineRule="auto"/>
        <w:rPr>
          <w:b/>
          <w:bCs/>
        </w:rPr>
      </w:pPr>
      <w:r w:rsidRPr="006D6D5D">
        <w:t xml:space="preserve">  </w:t>
      </w:r>
      <w:r w:rsidRPr="006D6D5D">
        <w:rPr>
          <w:b/>
          <w:bCs/>
        </w:rPr>
        <w:br w:type="page"/>
      </w:r>
    </w:p>
    <w:p w14:paraId="63464DED" w14:textId="77777777" w:rsidR="00A77631" w:rsidRPr="00500EB6" w:rsidRDefault="00A77631" w:rsidP="00A77631">
      <w:pPr>
        <w:pStyle w:val="Heading1"/>
        <w:rPr>
          <w:lang w:val="en-GB"/>
        </w:rPr>
      </w:pPr>
      <w:bookmarkStart w:id="2" w:name="_Toc47522425"/>
      <w:bookmarkStart w:id="3" w:name="_Toc51862079"/>
      <w:r w:rsidRPr="00500EB6">
        <w:rPr>
          <w:lang w:val="en-GB"/>
        </w:rPr>
        <w:lastRenderedPageBreak/>
        <w:t>Summary</w:t>
      </w:r>
      <w:bookmarkEnd w:id="2"/>
      <w:bookmarkEnd w:id="3"/>
    </w:p>
    <w:p w14:paraId="00F5D3E8" w14:textId="495B4733" w:rsidR="00CC48ED" w:rsidRDefault="00A02C2C" w:rsidP="00CC48ED">
      <w:pPr>
        <w:spacing w:line="360" w:lineRule="auto"/>
        <w:rPr>
          <w:rFonts w:cstheme="minorHAnsi"/>
          <w:lang w:val="en-US"/>
        </w:rPr>
      </w:pPr>
      <w:bookmarkStart w:id="4" w:name="_Toc47522426"/>
      <w:r>
        <w:rPr>
          <w:lang w:val="en-GB"/>
        </w:rPr>
        <w:t xml:space="preserve">The interest towards digital information exchange has increased over the years. </w:t>
      </w:r>
      <w:r w:rsidR="00CC48ED">
        <w:rPr>
          <w:lang w:val="en-GB"/>
        </w:rPr>
        <w:t>Healthcare professionals have expressed optimism towards the positive role the patient portal could have on the process of healthcare. The self-management of patients has been emphasized and patients have indicated that they want to use the patient portal. Still, the use of the patient portal by Dutch patients</w:t>
      </w:r>
      <w:r w:rsidR="00CC48ED" w:rsidRPr="00AA6A1E">
        <w:rPr>
          <w:lang w:val="en-GB"/>
        </w:rPr>
        <w:t xml:space="preserve"> </w:t>
      </w:r>
      <w:r w:rsidR="00CC48ED">
        <w:rPr>
          <w:lang w:val="en-GB"/>
        </w:rPr>
        <w:t xml:space="preserve">has been low and hospitals have been trying to integrate and adopt it. Research and empirical evidence into the development and implementation of patient portals in hospitals has been limited. This study investigates how hospitals’ patient portals can be embedded in local care processes and stimulated in their use. The purpose of this research is to provide insight in the context of the patient portal and how adoption can be stimulated among patients and healthcare professionals. To achieve this, multiple hospitals’ patient portals have been assessed and evaluated. The main research question central to this study is: </w:t>
      </w:r>
      <w:r w:rsidR="00CC48ED" w:rsidRPr="00675024">
        <w:rPr>
          <w:rFonts w:cstheme="minorHAnsi"/>
          <w:lang w:val="en-GB"/>
        </w:rPr>
        <w:t xml:space="preserve">How does hospital governance and strategy </w:t>
      </w:r>
      <w:r w:rsidR="00CC48ED" w:rsidRPr="00675024">
        <w:rPr>
          <w:rFonts w:cstheme="minorHAnsi"/>
          <w:lang w:val="en-US"/>
        </w:rPr>
        <w:t>contribute to the embedding of patient portals in care processes and the stimulation of use by staff and patients?</w:t>
      </w:r>
    </w:p>
    <w:p w14:paraId="71CF0D25" w14:textId="2AC98DBC" w:rsidR="00CC48ED" w:rsidRDefault="00CC48ED" w:rsidP="00CC48ED">
      <w:pPr>
        <w:spacing w:line="360" w:lineRule="auto"/>
        <w:rPr>
          <w:rFonts w:cstheme="minorHAnsi"/>
          <w:b/>
          <w:bCs/>
          <w:lang w:val="en-US"/>
        </w:rPr>
      </w:pPr>
      <w:r>
        <w:rPr>
          <w:rFonts w:cstheme="minorHAnsi"/>
          <w:lang w:val="en-US"/>
        </w:rPr>
        <w:t xml:space="preserve">The research has combined an in-depth study of one </w:t>
      </w:r>
      <w:r w:rsidR="00136FB9">
        <w:rPr>
          <w:rFonts w:cstheme="minorHAnsi"/>
          <w:lang w:val="en-US"/>
        </w:rPr>
        <w:t xml:space="preserve">academic hospital </w:t>
      </w:r>
      <w:r>
        <w:rPr>
          <w:rFonts w:cstheme="minorHAnsi"/>
          <w:lang w:val="en-US"/>
        </w:rPr>
        <w:t xml:space="preserve"> with an in-width study of 12 hospitals. For all cases, an analysis of documents and interviews has taken place to assess elements of governance and strategy. Respondents ranged from patients, healthcare professionals to staff members.</w:t>
      </w:r>
    </w:p>
    <w:p w14:paraId="2F38488B" w14:textId="7AEA2926" w:rsidR="00CC48ED" w:rsidRDefault="00CC48ED" w:rsidP="00CC48ED">
      <w:pPr>
        <w:spacing w:line="360" w:lineRule="auto"/>
        <w:rPr>
          <w:rFonts w:cstheme="minorHAnsi"/>
          <w:lang w:val="en-US"/>
        </w:rPr>
      </w:pPr>
      <w:r>
        <w:rPr>
          <w:rFonts w:cstheme="minorHAnsi"/>
          <w:lang w:val="en-US"/>
        </w:rPr>
        <w:t xml:space="preserve">The patient portal is supplied as a customizable by-product of the Electronic Health Record (EHR). As the portal is integrated with the EHR, it is often unknown to healthcare professionals and requires support and knowledge. Patients and healthcare professionals perceive the technology’s value very different and its desirability is </w:t>
      </w:r>
      <w:r w:rsidR="003238C7">
        <w:rPr>
          <w:rFonts w:cstheme="minorHAnsi"/>
          <w:lang w:val="en-US"/>
        </w:rPr>
        <w:t xml:space="preserve">thus </w:t>
      </w:r>
      <w:r>
        <w:rPr>
          <w:rFonts w:cstheme="minorHAnsi"/>
          <w:lang w:val="en-US"/>
        </w:rPr>
        <w:t>contested. The role of the healthcare professional, specifically the doctor, is critical in assuring the use of the portal by patients. Professionals’ expectations are dependent on patients’ health status, expectations, and departmental adoption of the patient portal. Limited resources, accompanied with low priority in the hospitals, has assured that the patient portal has not been fully integrated internally yet, even though Dutch hospitals are innovative organizations. Implementation requires integration into hospital processes, monitoring and reflection. Hospitals have focused on different aspects of implementation and consequently, elements of the portal. Involving all stakeholders, enabling feedback, could ensure that the development and implementation of the portal is supported.</w:t>
      </w:r>
    </w:p>
    <w:p w14:paraId="1D43C481" w14:textId="7DAA653D" w:rsidR="00CC48ED" w:rsidRDefault="00CC48ED" w:rsidP="00CC48ED">
      <w:pPr>
        <w:spacing w:line="360" w:lineRule="auto"/>
        <w:rPr>
          <w:rFonts w:cstheme="minorHAnsi"/>
          <w:lang w:val="en-US"/>
        </w:rPr>
      </w:pPr>
      <w:r>
        <w:rPr>
          <w:rFonts w:cstheme="minorHAnsi"/>
          <w:lang w:val="en-US"/>
        </w:rPr>
        <w:t>The priority given to the patient portal is essential, by allocating resources and support, for further development and implementation. The complexities of the portal should be addressed</w:t>
      </w:r>
      <w:r w:rsidR="003238C7">
        <w:rPr>
          <w:rFonts w:cstheme="minorHAnsi"/>
          <w:lang w:val="en-US"/>
        </w:rPr>
        <w:t>. B</w:t>
      </w:r>
      <w:r>
        <w:rPr>
          <w:rFonts w:cstheme="minorHAnsi"/>
          <w:lang w:val="en-US"/>
        </w:rPr>
        <w:t>y means of strategy practices could the internal configuration enable the portal’s embedding and adoption.</w:t>
      </w:r>
    </w:p>
    <w:p w14:paraId="798179FB" w14:textId="56BED74C" w:rsidR="00A77631" w:rsidRPr="00D86DB4" w:rsidRDefault="00A77631" w:rsidP="00A77631">
      <w:pPr>
        <w:pStyle w:val="Heading1"/>
        <w:spacing w:before="0"/>
        <w:rPr>
          <w:rFonts w:cstheme="minorHAnsi"/>
          <w:sz w:val="28"/>
          <w:szCs w:val="28"/>
          <w:lang w:val="en-GB"/>
        </w:rPr>
      </w:pPr>
      <w:bookmarkStart w:id="5" w:name="_Toc51862080"/>
      <w:r w:rsidRPr="00D86DB4">
        <w:rPr>
          <w:rFonts w:cstheme="minorHAnsi"/>
          <w:sz w:val="28"/>
          <w:szCs w:val="28"/>
          <w:lang w:val="en-GB"/>
        </w:rPr>
        <w:lastRenderedPageBreak/>
        <w:t xml:space="preserve">1. </w:t>
      </w:r>
      <w:r w:rsidRPr="00D86DB4">
        <w:rPr>
          <w:rFonts w:cstheme="minorHAnsi"/>
          <w:lang w:val="en-GB"/>
        </w:rPr>
        <w:t>Introduction</w:t>
      </w:r>
      <w:bookmarkEnd w:id="4"/>
      <w:bookmarkEnd w:id="5"/>
    </w:p>
    <w:p w14:paraId="7731875E" w14:textId="14C35C7E" w:rsidR="00A77631" w:rsidRPr="00D86DB4" w:rsidRDefault="00A77631" w:rsidP="00A77631">
      <w:pPr>
        <w:spacing w:line="360" w:lineRule="auto"/>
        <w:rPr>
          <w:rFonts w:cstheme="minorHAnsi"/>
          <w:lang w:val="en-GB"/>
        </w:rPr>
      </w:pPr>
      <w:bookmarkStart w:id="6" w:name="_Hlk33456815"/>
      <w:r w:rsidRPr="00D86DB4">
        <w:rPr>
          <w:rFonts w:cstheme="minorHAnsi"/>
          <w:lang w:val="en-GB"/>
        </w:rPr>
        <w:t xml:space="preserve">Technology has been a major reason for changes in society including healthcare. The former Dutch minister of VWS, Schippers, sent a letter </w:t>
      </w:r>
      <w:r w:rsidR="005157B3">
        <w:rPr>
          <w:rFonts w:cstheme="minorHAnsi"/>
          <w:lang w:val="en-GB"/>
        </w:rPr>
        <w:t>(</w:t>
      </w:r>
      <w:r w:rsidRPr="00D86DB4">
        <w:rPr>
          <w:rFonts w:cstheme="minorHAnsi"/>
          <w:lang w:val="en-GB"/>
        </w:rPr>
        <w:t>July 2014</w:t>
      </w:r>
      <w:r w:rsidR="005157B3">
        <w:rPr>
          <w:rFonts w:cstheme="minorHAnsi"/>
          <w:lang w:val="en-GB"/>
        </w:rPr>
        <w:t>, p. 2)</w:t>
      </w:r>
      <w:r w:rsidRPr="00D86DB4">
        <w:rPr>
          <w:rFonts w:cstheme="minorHAnsi"/>
          <w:lang w:val="en-GB"/>
        </w:rPr>
        <w:t xml:space="preserve"> to the parliament </w:t>
      </w:r>
      <w:r w:rsidRPr="005157B3">
        <w:rPr>
          <w:rFonts w:cstheme="minorHAnsi"/>
          <w:lang w:val="en-GB"/>
        </w:rPr>
        <w:t>asking</w:t>
      </w:r>
      <w:r w:rsidR="005157B3" w:rsidRPr="005157B3">
        <w:rPr>
          <w:rFonts w:cstheme="minorHAnsi"/>
          <w:lang w:val="en-GB"/>
        </w:rPr>
        <w:t>:</w:t>
      </w:r>
      <w:r w:rsidRPr="00D86DB4">
        <w:rPr>
          <w:rFonts w:cstheme="minorHAnsi"/>
          <w:lang w:val="en-GB"/>
        </w:rPr>
        <w:t xml:space="preserve"> </w:t>
      </w:r>
      <w:r w:rsidR="005157B3">
        <w:rPr>
          <w:rFonts w:cstheme="minorHAnsi"/>
          <w:lang w:val="en-GB"/>
        </w:rPr>
        <w:t>“society is changing, does healthcare change with it? ”</w:t>
      </w:r>
      <w:r w:rsidRPr="00D86DB4">
        <w:rPr>
          <w:rFonts w:cstheme="minorHAnsi"/>
          <w:lang w:val="en-GB"/>
        </w:rPr>
        <w:t xml:space="preserve"> In this letter, e-health was valued as a means to support a movement towards more self-reliance, self-</w:t>
      </w:r>
      <w:proofErr w:type="gramStart"/>
      <w:r w:rsidRPr="00D86DB4">
        <w:rPr>
          <w:rFonts w:cstheme="minorHAnsi"/>
          <w:lang w:val="en-GB"/>
        </w:rPr>
        <w:t>direction</w:t>
      </w:r>
      <w:proofErr w:type="gramEnd"/>
      <w:r w:rsidRPr="00D86DB4">
        <w:rPr>
          <w:rFonts w:cstheme="minorHAnsi"/>
          <w:lang w:val="en-GB"/>
        </w:rPr>
        <w:t xml:space="preserve"> and self-care of patients. Healthcare professionals are convinced that e-health initiatives, like the patient portal, can help to organise care better. According to </w:t>
      </w:r>
      <w:proofErr w:type="spellStart"/>
      <w:r w:rsidRPr="00D86DB4">
        <w:rPr>
          <w:rFonts w:cstheme="minorHAnsi"/>
          <w:lang w:val="en-GB"/>
        </w:rPr>
        <w:t>Ancker</w:t>
      </w:r>
      <w:proofErr w:type="spellEnd"/>
      <w:r w:rsidRPr="00D86DB4">
        <w:rPr>
          <w:rFonts w:cstheme="minorHAnsi"/>
          <w:lang w:val="en-GB"/>
        </w:rPr>
        <w:t xml:space="preserve"> et al. (2015, p. 255) the patient portal is “widely expected to help patients become more knowledgeable about and actively engaged in healthcare”. Doctors are optimistic about the potential benefits the patient portal has for patients (Walker et al., 2011).</w:t>
      </w:r>
      <w:r w:rsidR="007A5047">
        <w:rPr>
          <w:rFonts w:cstheme="minorHAnsi"/>
          <w:lang w:val="en-GB"/>
        </w:rPr>
        <w:t xml:space="preserve"> According to </w:t>
      </w:r>
      <w:proofErr w:type="spellStart"/>
      <w:r w:rsidR="007A5047">
        <w:rPr>
          <w:rFonts w:cstheme="minorHAnsi"/>
          <w:lang w:val="en-GB"/>
        </w:rPr>
        <w:t>Pagliari</w:t>
      </w:r>
      <w:proofErr w:type="spellEnd"/>
      <w:r w:rsidR="007A5047">
        <w:rPr>
          <w:rFonts w:cstheme="minorHAnsi"/>
          <w:lang w:val="en-GB"/>
        </w:rPr>
        <w:t xml:space="preserve">, </w:t>
      </w:r>
      <w:proofErr w:type="spellStart"/>
      <w:r w:rsidR="007A5047">
        <w:rPr>
          <w:rFonts w:cstheme="minorHAnsi"/>
          <w:lang w:val="en-GB"/>
        </w:rPr>
        <w:t>Detmer</w:t>
      </w:r>
      <w:proofErr w:type="spellEnd"/>
      <w:r w:rsidR="007A5047">
        <w:rPr>
          <w:rFonts w:cstheme="minorHAnsi"/>
          <w:lang w:val="en-GB"/>
        </w:rPr>
        <w:t xml:space="preserve"> &amp; Singleton (2007) </w:t>
      </w:r>
      <w:r w:rsidR="00CD3561">
        <w:rPr>
          <w:rFonts w:cstheme="minorHAnsi"/>
          <w:lang w:val="en-GB"/>
        </w:rPr>
        <w:t>it</w:t>
      </w:r>
      <w:r w:rsidR="007A5047">
        <w:rPr>
          <w:rFonts w:cstheme="minorHAnsi"/>
          <w:lang w:val="en-GB"/>
        </w:rPr>
        <w:t xml:space="preserve"> has the potential to </w:t>
      </w:r>
      <w:r w:rsidR="00CD3561">
        <w:rPr>
          <w:rFonts w:cstheme="minorHAnsi"/>
          <w:lang w:val="en-GB"/>
        </w:rPr>
        <w:t>improve continuity of care and efficiency, by empowering patients</w:t>
      </w:r>
      <w:r w:rsidR="00437F7A">
        <w:rPr>
          <w:rFonts w:cstheme="minorHAnsi"/>
          <w:lang w:val="en-GB"/>
        </w:rPr>
        <w:t xml:space="preserve"> </w:t>
      </w:r>
      <w:r w:rsidR="00CD3561">
        <w:rPr>
          <w:rFonts w:cstheme="minorHAnsi"/>
          <w:lang w:val="en-GB"/>
        </w:rPr>
        <w:t>and increasing patient safety</w:t>
      </w:r>
      <w:r w:rsidR="00437F7A">
        <w:rPr>
          <w:rFonts w:cstheme="minorHAnsi"/>
          <w:lang w:val="en-GB"/>
        </w:rPr>
        <w:t>.</w:t>
      </w:r>
      <w:r w:rsidR="00CD3561">
        <w:rPr>
          <w:rFonts w:cstheme="minorHAnsi"/>
          <w:lang w:val="en-GB"/>
        </w:rPr>
        <w:t xml:space="preserve"> </w:t>
      </w:r>
      <w:r w:rsidR="00437F7A">
        <w:rPr>
          <w:rFonts w:cstheme="minorHAnsi"/>
          <w:lang w:val="en-GB"/>
        </w:rPr>
        <w:t xml:space="preserve">These possible benefits may be </w:t>
      </w:r>
      <w:r w:rsidR="00CD3561">
        <w:rPr>
          <w:rFonts w:cstheme="minorHAnsi"/>
          <w:lang w:val="en-GB"/>
        </w:rPr>
        <w:t>aiding self-care, shared decision making</w:t>
      </w:r>
      <w:r w:rsidR="00437F7A">
        <w:rPr>
          <w:rFonts w:cstheme="minorHAnsi"/>
          <w:lang w:val="en-GB"/>
        </w:rPr>
        <w:t xml:space="preserve">, </w:t>
      </w:r>
      <w:r w:rsidR="00CD3561">
        <w:rPr>
          <w:rFonts w:cstheme="minorHAnsi"/>
          <w:lang w:val="en-GB"/>
        </w:rPr>
        <w:t>clinical outcomes</w:t>
      </w:r>
      <w:r w:rsidR="00437F7A">
        <w:rPr>
          <w:rFonts w:cstheme="minorHAnsi"/>
          <w:lang w:val="en-GB"/>
        </w:rPr>
        <w:t xml:space="preserve"> and expose errors</w:t>
      </w:r>
      <w:r w:rsidR="00CD3561">
        <w:rPr>
          <w:rFonts w:cstheme="minorHAnsi"/>
          <w:lang w:val="en-GB"/>
        </w:rPr>
        <w:t>.</w:t>
      </w:r>
      <w:r w:rsidR="00437F7A">
        <w:rPr>
          <w:rFonts w:cstheme="minorHAnsi"/>
          <w:lang w:val="en-GB"/>
        </w:rPr>
        <w:t xml:space="preserve"> </w:t>
      </w:r>
      <w:r w:rsidRPr="00D86DB4">
        <w:rPr>
          <w:rFonts w:cstheme="minorHAnsi"/>
          <w:lang w:val="en-GB"/>
        </w:rPr>
        <w:t>Currently, about 80% of the Dutch hospitals is providing a patient portal (</w:t>
      </w:r>
      <w:proofErr w:type="spellStart"/>
      <w:r w:rsidRPr="00D86DB4">
        <w:rPr>
          <w:rFonts w:cstheme="minorHAnsi"/>
          <w:lang w:val="en-GB"/>
        </w:rPr>
        <w:t>Nictiz</w:t>
      </w:r>
      <w:proofErr w:type="spellEnd"/>
      <w:r w:rsidRPr="00D86DB4">
        <w:rPr>
          <w:rFonts w:cstheme="minorHAnsi"/>
          <w:lang w:val="en-GB"/>
        </w:rPr>
        <w:t xml:space="preserve">, 2019). Patient portals only became widespread in the Netherlands as a result of the ministry of VWS’ decision to draw up an implementation programme called VIPP (MVWS, 2016). VIPP established the policy framework to hospitals, stimulating the implementation of electronic data exchange between patients and healthcare providers and provide funding. </w:t>
      </w:r>
      <w:r w:rsidR="00FE7566">
        <w:rPr>
          <w:rFonts w:cstheme="minorHAnsi"/>
          <w:lang w:val="en-GB"/>
        </w:rPr>
        <w:t>It</w:t>
      </w:r>
      <w:r w:rsidR="00F72A61">
        <w:rPr>
          <w:rFonts w:cstheme="minorHAnsi"/>
          <w:lang w:val="en-GB"/>
        </w:rPr>
        <w:t xml:space="preserve"> has enabled </w:t>
      </w:r>
      <w:r w:rsidR="00FE7566">
        <w:rPr>
          <w:rFonts w:cstheme="minorHAnsi"/>
          <w:lang w:val="en-GB"/>
        </w:rPr>
        <w:t xml:space="preserve">a common standard in digital information exchange, which perhaps would not have been introduced </w:t>
      </w:r>
      <w:r w:rsidR="007822D9">
        <w:rPr>
          <w:rFonts w:cstheme="minorHAnsi"/>
          <w:lang w:val="en-GB"/>
        </w:rPr>
        <w:t xml:space="preserve">yet </w:t>
      </w:r>
      <w:r w:rsidR="00FE7566">
        <w:rPr>
          <w:rFonts w:cstheme="minorHAnsi"/>
          <w:lang w:val="en-GB"/>
        </w:rPr>
        <w:t>without VIPP (Skipr</w:t>
      </w:r>
      <w:r w:rsidR="00F30827" w:rsidRPr="00F30827">
        <w:rPr>
          <w:rFonts w:cstheme="minorHAnsi"/>
          <w:sz w:val="16"/>
          <w:szCs w:val="16"/>
          <w:lang w:val="en-GB"/>
        </w:rPr>
        <w:t>1</w:t>
      </w:r>
      <w:r w:rsidR="00FE7566">
        <w:rPr>
          <w:rFonts w:cstheme="minorHAnsi"/>
          <w:lang w:val="en-GB"/>
        </w:rPr>
        <w:t xml:space="preserve">, 2020). </w:t>
      </w:r>
      <w:r w:rsidRPr="00D86DB4">
        <w:rPr>
          <w:rFonts w:cstheme="minorHAnsi"/>
          <w:lang w:val="en-GB"/>
        </w:rPr>
        <w:t>Furthermore, a law has been passed, entering into force on July 1, 2020, stating the patient’s right to view his medical records electronically (MVWS, 2017). However, the actual use by patients remains low until now, with only 10% of patients and 15% of chronic care patients using the patient portal (</w:t>
      </w:r>
      <w:proofErr w:type="spellStart"/>
      <w:r w:rsidRPr="00D86DB4">
        <w:rPr>
          <w:rFonts w:cstheme="minorHAnsi"/>
          <w:lang w:val="en-GB"/>
        </w:rPr>
        <w:t>Wouters</w:t>
      </w:r>
      <w:proofErr w:type="spellEnd"/>
      <w:r w:rsidRPr="00D86DB4">
        <w:rPr>
          <w:rFonts w:cstheme="minorHAnsi"/>
          <w:lang w:val="en-GB"/>
        </w:rPr>
        <w:t xml:space="preserve"> et al., 2019). Seemingly, however, more patients indicate they would want to use the patient portal. It is thus a challenge for hospitals, to </w:t>
      </w:r>
      <w:r w:rsidR="007C580A">
        <w:rPr>
          <w:rFonts w:cstheme="minorHAnsi"/>
          <w:lang w:val="en-GB"/>
        </w:rPr>
        <w:t>incorporate</w:t>
      </w:r>
      <w:r w:rsidRPr="00D86DB4">
        <w:rPr>
          <w:rFonts w:cstheme="minorHAnsi"/>
          <w:lang w:val="en-GB"/>
        </w:rPr>
        <w:t xml:space="preserve"> patient portals in such a manner, that they are fully </w:t>
      </w:r>
      <w:r w:rsidRPr="007C580A">
        <w:rPr>
          <w:rFonts w:cstheme="minorHAnsi"/>
          <w:lang w:val="en-GB"/>
        </w:rPr>
        <w:t>integrated</w:t>
      </w:r>
      <w:r w:rsidRPr="00D86DB4">
        <w:rPr>
          <w:rFonts w:cstheme="minorHAnsi"/>
          <w:lang w:val="en-GB"/>
        </w:rPr>
        <w:t xml:space="preserve"> in the patient’s information care process (Wakefield et al., 2010). It is only then that the patient portal might create sufficient value in the healthcare system, to professionals and patients (</w:t>
      </w:r>
      <w:proofErr w:type="spellStart"/>
      <w:r w:rsidRPr="00D86DB4">
        <w:rPr>
          <w:rFonts w:cstheme="minorHAnsi"/>
          <w:lang w:val="en-GB"/>
        </w:rPr>
        <w:t>Rosenmöller</w:t>
      </w:r>
      <w:proofErr w:type="spellEnd"/>
      <w:r w:rsidRPr="00D86DB4">
        <w:rPr>
          <w:rFonts w:cstheme="minorHAnsi"/>
          <w:lang w:val="en-GB"/>
        </w:rPr>
        <w:t>, Whitehouse &amp; Wilson, 2014) and reach its full potential</w:t>
      </w:r>
      <w:bookmarkEnd w:id="6"/>
      <w:r w:rsidRPr="00D86DB4">
        <w:rPr>
          <w:rFonts w:cstheme="minorHAnsi"/>
          <w:lang w:val="en-GB"/>
        </w:rPr>
        <w:t>.</w:t>
      </w:r>
    </w:p>
    <w:p w14:paraId="422324A6" w14:textId="77777777" w:rsidR="00A77631" w:rsidRPr="00C509B5" w:rsidRDefault="00A77631" w:rsidP="00A77631">
      <w:pPr>
        <w:pStyle w:val="Heading2"/>
        <w:rPr>
          <w:rFonts w:cstheme="minorHAnsi"/>
          <w:szCs w:val="28"/>
          <w:lang w:val="en-GB"/>
        </w:rPr>
      </w:pPr>
      <w:bookmarkStart w:id="7" w:name="_Toc47522427"/>
      <w:bookmarkStart w:id="8" w:name="_Toc51862081"/>
      <w:r w:rsidRPr="00C509B5">
        <w:rPr>
          <w:rFonts w:cstheme="minorHAnsi"/>
          <w:szCs w:val="28"/>
          <w:lang w:val="en-GB"/>
        </w:rPr>
        <w:t>1.1 Research questions</w:t>
      </w:r>
      <w:bookmarkEnd w:id="7"/>
      <w:bookmarkEnd w:id="8"/>
    </w:p>
    <w:p w14:paraId="5941C5C0" w14:textId="6FBD4B74" w:rsidR="00A77631" w:rsidRPr="00D86DB4" w:rsidRDefault="00A77631" w:rsidP="00A77631">
      <w:pPr>
        <w:spacing w:after="0" w:line="360" w:lineRule="auto"/>
        <w:rPr>
          <w:rFonts w:cstheme="minorHAnsi"/>
          <w:lang w:val="en-GB"/>
        </w:rPr>
      </w:pPr>
      <w:r w:rsidRPr="00D86DB4">
        <w:rPr>
          <w:rFonts w:cstheme="minorHAnsi"/>
          <w:lang w:val="en-GB"/>
        </w:rPr>
        <w:t xml:space="preserve">This research is conducted to gain insight into hospital governance and strategy practices and wants to provide a descriptive, </w:t>
      </w:r>
      <w:proofErr w:type="gramStart"/>
      <w:r w:rsidRPr="00D86DB4">
        <w:rPr>
          <w:rFonts w:cstheme="minorHAnsi"/>
          <w:lang w:val="en-GB"/>
        </w:rPr>
        <w:t>evaluative</w:t>
      </w:r>
      <w:proofErr w:type="gramEnd"/>
      <w:r w:rsidRPr="00D86DB4">
        <w:rPr>
          <w:rFonts w:cstheme="minorHAnsi"/>
          <w:lang w:val="en-GB"/>
        </w:rPr>
        <w:t xml:space="preserve"> and reflective analysis on the embedding of patient portals in care processes (Greenhalgh et al., 2017). The aim of this research is to provide insights how to stimulate patient portal use by patients and healthcare professionals. To do so, this research will focus on those involved (e.g. programme manager, advisors, etc.) with the hospital’s governance and strategy towards embedding patient portals in care processes and those responsible (e.g. floor manager, owner) for the hospital’s patient portal, in order to bridge the gap between policy and </w:t>
      </w:r>
      <w:r w:rsidRPr="00D86DB4">
        <w:rPr>
          <w:rFonts w:cstheme="minorHAnsi"/>
          <w:lang w:val="en-GB"/>
        </w:rPr>
        <w:lastRenderedPageBreak/>
        <w:t>practice: the implementation and adoption of a patient portal by the end-users, the patients and healthcare professionals. This research evaluates the governance and strategy hospitals have provided towards the implementation of innovation and use of patient portals</w:t>
      </w:r>
      <w:r w:rsidR="007822D9">
        <w:rPr>
          <w:rFonts w:cstheme="minorHAnsi"/>
          <w:lang w:val="en-GB"/>
        </w:rPr>
        <w:t>’</w:t>
      </w:r>
      <w:r w:rsidRPr="00D86DB4">
        <w:rPr>
          <w:rFonts w:cstheme="minorHAnsi"/>
          <w:lang w:val="en-GB"/>
        </w:rPr>
        <w:t xml:space="preserve"> technology. By analysing the hospital’s process of patient portal embedding, insights could give indications for future improvements. In this paper the research question is formulated as: </w:t>
      </w:r>
    </w:p>
    <w:p w14:paraId="4B4C4199" w14:textId="77777777" w:rsidR="00A77631" w:rsidRPr="00D86DB4" w:rsidRDefault="00A77631" w:rsidP="00A77631">
      <w:pPr>
        <w:spacing w:line="360" w:lineRule="auto"/>
        <w:ind w:left="708"/>
        <w:rPr>
          <w:rFonts w:cstheme="minorHAnsi"/>
          <w:lang w:val="en-US"/>
        </w:rPr>
      </w:pPr>
      <w:bookmarkStart w:id="9" w:name="_Hlk46923714"/>
      <w:r w:rsidRPr="00D86DB4">
        <w:rPr>
          <w:rFonts w:cstheme="minorHAnsi"/>
          <w:lang w:val="en-GB"/>
        </w:rPr>
        <w:t xml:space="preserve">How does hospital governance and strategy </w:t>
      </w:r>
      <w:r w:rsidRPr="00D86DB4">
        <w:rPr>
          <w:rFonts w:cstheme="minorHAnsi"/>
          <w:lang w:val="en-US"/>
        </w:rPr>
        <w:t>contribute to the embedding of patient portals in care processes and the stimulation of use by staff and patients?</w:t>
      </w:r>
    </w:p>
    <w:bookmarkEnd w:id="9"/>
    <w:p w14:paraId="477D652C" w14:textId="77777777" w:rsidR="00A77631" w:rsidRPr="00D86DB4" w:rsidRDefault="00A77631" w:rsidP="00A77631">
      <w:pPr>
        <w:spacing w:after="0" w:line="360" w:lineRule="auto"/>
        <w:rPr>
          <w:rFonts w:cstheme="minorHAnsi"/>
          <w:lang w:val="en-US"/>
        </w:rPr>
      </w:pPr>
      <w:r w:rsidRPr="00D86DB4">
        <w:rPr>
          <w:rFonts w:cstheme="minorHAnsi"/>
          <w:lang w:val="en-US"/>
        </w:rPr>
        <w:t>In addition, the following sub questions have been formulated:</w:t>
      </w:r>
    </w:p>
    <w:p w14:paraId="1010C895" w14:textId="77777777" w:rsidR="0011264D" w:rsidRPr="0011264D" w:rsidRDefault="0011264D" w:rsidP="00A77631">
      <w:pPr>
        <w:pStyle w:val="ListParagraph"/>
        <w:numPr>
          <w:ilvl w:val="0"/>
          <w:numId w:val="1"/>
        </w:numPr>
        <w:spacing w:line="360" w:lineRule="auto"/>
        <w:rPr>
          <w:rFonts w:cstheme="minorHAnsi"/>
          <w:lang w:val="en-US"/>
        </w:rPr>
      </w:pPr>
      <w:bookmarkStart w:id="10" w:name="_Hlk46923462"/>
      <w:r w:rsidRPr="0011264D">
        <w:rPr>
          <w:lang w:val="en-GB"/>
        </w:rPr>
        <w:t>What are hospitals’ current governance and strategy towards patient portals and how was this created through the years?</w:t>
      </w:r>
    </w:p>
    <w:p w14:paraId="61C04493" w14:textId="4E82EED2" w:rsidR="00A77631" w:rsidRPr="00D86DB4" w:rsidRDefault="00A77631" w:rsidP="00A77631">
      <w:pPr>
        <w:pStyle w:val="ListParagraph"/>
        <w:numPr>
          <w:ilvl w:val="0"/>
          <w:numId w:val="1"/>
        </w:numPr>
        <w:spacing w:line="360" w:lineRule="auto"/>
        <w:rPr>
          <w:rFonts w:cstheme="minorHAnsi"/>
          <w:lang w:val="en-US"/>
        </w:rPr>
      </w:pPr>
      <w:r w:rsidRPr="00D86DB4">
        <w:rPr>
          <w:rFonts w:cstheme="minorHAnsi"/>
          <w:lang w:val="en-US"/>
        </w:rPr>
        <w:t>How has the embedding of patient portals in local care processes been organized and what were the results in practice?</w:t>
      </w:r>
    </w:p>
    <w:p w14:paraId="2813B3BD" w14:textId="77777777" w:rsidR="00A77631" w:rsidRPr="00D86DB4" w:rsidRDefault="00A77631" w:rsidP="00A77631">
      <w:pPr>
        <w:pStyle w:val="ListParagraph"/>
        <w:numPr>
          <w:ilvl w:val="0"/>
          <w:numId w:val="1"/>
        </w:numPr>
        <w:spacing w:line="360" w:lineRule="auto"/>
        <w:rPr>
          <w:rFonts w:cstheme="minorHAnsi"/>
          <w:lang w:val="en-US"/>
        </w:rPr>
      </w:pPr>
      <w:r w:rsidRPr="00D86DB4">
        <w:rPr>
          <w:rFonts w:cstheme="minorHAnsi"/>
          <w:lang w:val="en-US"/>
        </w:rPr>
        <w:t>How can hospital governance and strategy strengthen the embedding of the patient portal and ensure an increased and sustained use of patient portals?</w:t>
      </w:r>
    </w:p>
    <w:p w14:paraId="16E32890" w14:textId="77777777" w:rsidR="00A77631" w:rsidRPr="00D86DB4" w:rsidRDefault="00A77631" w:rsidP="00A77631">
      <w:pPr>
        <w:pStyle w:val="Heading2"/>
        <w:rPr>
          <w:rFonts w:cstheme="minorHAnsi"/>
          <w:lang w:val="en-GB"/>
        </w:rPr>
      </w:pPr>
      <w:bookmarkStart w:id="11" w:name="_Toc47522428"/>
      <w:bookmarkStart w:id="12" w:name="_Toc51862082"/>
      <w:bookmarkEnd w:id="10"/>
      <w:r w:rsidRPr="00D86DB4">
        <w:rPr>
          <w:rFonts w:cstheme="minorHAnsi"/>
          <w:lang w:val="en-GB"/>
        </w:rPr>
        <w:t>1.2 Societal relevance</w:t>
      </w:r>
      <w:bookmarkEnd w:id="11"/>
      <w:bookmarkEnd w:id="12"/>
    </w:p>
    <w:p w14:paraId="2397DA0E" w14:textId="250E37BB" w:rsidR="00A77631" w:rsidRPr="00D86DB4" w:rsidRDefault="00A77631" w:rsidP="00A77631">
      <w:pPr>
        <w:spacing w:line="360" w:lineRule="auto"/>
        <w:rPr>
          <w:rFonts w:cstheme="minorHAnsi"/>
          <w:lang w:val="en-GB"/>
        </w:rPr>
      </w:pPr>
      <w:r w:rsidRPr="00D86DB4">
        <w:rPr>
          <w:rFonts w:cstheme="minorHAnsi"/>
          <w:lang w:val="en-GB"/>
        </w:rPr>
        <w:t>Improving embedding of patient portals in care processes of hospitals could release potential in inform</w:t>
      </w:r>
      <w:r w:rsidR="007822D9">
        <w:rPr>
          <w:rFonts w:cstheme="minorHAnsi"/>
          <w:lang w:val="en-GB"/>
        </w:rPr>
        <w:t>ation</w:t>
      </w:r>
      <w:r w:rsidRPr="00D86DB4">
        <w:rPr>
          <w:rFonts w:cstheme="minorHAnsi"/>
          <w:lang w:val="en-GB"/>
        </w:rPr>
        <w:t xml:space="preserve">, communication and benefit the healthcare process. Analysing the process of embedding for </w:t>
      </w:r>
      <w:proofErr w:type="gramStart"/>
      <w:r w:rsidRPr="00D86DB4">
        <w:rPr>
          <w:rFonts w:cstheme="minorHAnsi"/>
          <w:lang w:val="en-GB"/>
        </w:rPr>
        <w:t>the an</w:t>
      </w:r>
      <w:proofErr w:type="gramEnd"/>
      <w:r w:rsidRPr="00D86DB4">
        <w:rPr>
          <w:rFonts w:cstheme="minorHAnsi"/>
          <w:lang w:val="en-GB"/>
        </w:rPr>
        <w:t xml:space="preserve"> </w:t>
      </w:r>
      <w:r w:rsidR="00136FB9">
        <w:rPr>
          <w:rFonts w:cstheme="minorHAnsi"/>
          <w:lang w:val="en-GB"/>
        </w:rPr>
        <w:t xml:space="preserve">academic hospital </w:t>
      </w:r>
      <w:r w:rsidRPr="00D86DB4">
        <w:rPr>
          <w:rFonts w:cstheme="minorHAnsi"/>
          <w:lang w:val="en-GB"/>
        </w:rPr>
        <w:t xml:space="preserve"> and several VIPP-hospitals, might accommodate for empirical knowledge to further align the governance and strategy of hospitals with the embedding of patient portals in the care process. By retrieving information regarding the embedding practices of hospitals’ patient portals and their experiences of this process provides insights which could lead to improve the patient portal.</w:t>
      </w:r>
      <w:r w:rsidRPr="00D86DB4">
        <w:rPr>
          <w:rFonts w:cstheme="minorHAnsi"/>
          <w:i/>
          <w:iCs/>
          <w:lang w:val="en-GB"/>
        </w:rPr>
        <w:t xml:space="preserve"> </w:t>
      </w:r>
      <w:r w:rsidRPr="00D86DB4">
        <w:rPr>
          <w:rFonts w:cstheme="minorHAnsi"/>
          <w:lang w:val="en-GB"/>
        </w:rPr>
        <w:t xml:space="preserve">Evaluation of the process of implementation and optimization could provide knowledge, which might be beneficial for other departments, managers and/or hospitals elsewhere. In addition to this, involved organisations could benefit, such as </w:t>
      </w:r>
      <w:proofErr w:type="spellStart"/>
      <w:r w:rsidRPr="00D86DB4">
        <w:rPr>
          <w:rFonts w:cstheme="minorHAnsi"/>
          <w:lang w:val="en-GB"/>
        </w:rPr>
        <w:t>Nictiz</w:t>
      </w:r>
      <w:proofErr w:type="spellEnd"/>
      <w:r w:rsidRPr="00D86DB4">
        <w:rPr>
          <w:rFonts w:cstheme="minorHAnsi"/>
          <w:lang w:val="en-GB"/>
        </w:rPr>
        <w:t xml:space="preserve"> or Nivel, which mention the importance of working together towards a good connection between e-health and healthcare practice (</w:t>
      </w:r>
      <w:proofErr w:type="spellStart"/>
      <w:r w:rsidRPr="00D86DB4">
        <w:rPr>
          <w:rFonts w:cstheme="minorHAnsi"/>
          <w:lang w:val="en-GB"/>
        </w:rPr>
        <w:t>Wouters</w:t>
      </w:r>
      <w:proofErr w:type="spellEnd"/>
      <w:r w:rsidRPr="00D86DB4">
        <w:rPr>
          <w:rFonts w:cstheme="minorHAnsi"/>
          <w:lang w:val="en-GB"/>
        </w:rPr>
        <w:t xml:space="preserve"> et al., 2019).</w:t>
      </w:r>
    </w:p>
    <w:p w14:paraId="13951857" w14:textId="77777777" w:rsidR="00A77631" w:rsidRPr="00D86DB4" w:rsidRDefault="00A77631" w:rsidP="00A77631">
      <w:pPr>
        <w:pStyle w:val="Heading2"/>
        <w:rPr>
          <w:rFonts w:cstheme="minorHAnsi"/>
          <w:lang w:val="en-GB"/>
        </w:rPr>
      </w:pPr>
      <w:bookmarkStart w:id="13" w:name="_Toc47522429"/>
      <w:bookmarkStart w:id="14" w:name="_Toc51862083"/>
      <w:r w:rsidRPr="00D86DB4">
        <w:rPr>
          <w:rFonts w:cstheme="minorHAnsi"/>
          <w:lang w:val="en-GB"/>
        </w:rPr>
        <w:t>1.3 Scientific relevance</w:t>
      </w:r>
      <w:bookmarkEnd w:id="13"/>
      <w:bookmarkEnd w:id="14"/>
    </w:p>
    <w:p w14:paraId="59D37F7F" w14:textId="77777777" w:rsidR="00A77631" w:rsidRPr="00D86DB4" w:rsidRDefault="00A77631" w:rsidP="00A77631">
      <w:pPr>
        <w:spacing w:line="360" w:lineRule="auto"/>
        <w:rPr>
          <w:rFonts w:cstheme="minorHAnsi"/>
          <w:lang w:val="en-GB"/>
        </w:rPr>
      </w:pPr>
      <w:r w:rsidRPr="00D86DB4">
        <w:rPr>
          <w:rFonts w:cstheme="minorHAnsi"/>
          <w:lang w:val="en-GB"/>
        </w:rPr>
        <w:t xml:space="preserve">A contextual, empirical study could gain insight in the process of embedding patient portals in local care processes and its stimulation of its intended end-users. </w:t>
      </w:r>
      <w:proofErr w:type="spellStart"/>
      <w:r w:rsidRPr="00D86DB4">
        <w:rPr>
          <w:rFonts w:cstheme="minorHAnsi"/>
          <w:lang w:val="en-GB"/>
        </w:rPr>
        <w:t>Hulter</w:t>
      </w:r>
      <w:proofErr w:type="spellEnd"/>
      <w:r w:rsidRPr="00D86DB4">
        <w:rPr>
          <w:rFonts w:cstheme="minorHAnsi"/>
          <w:lang w:val="en-GB"/>
        </w:rPr>
        <w:t xml:space="preserve"> et al. (2019) call for more research on the success factors of embedding patient portals in care processes. This study fills the gap in research, as little evidence has been produced for Dutch hospitals’ policy efforts towards the embedding of patient portals. Researchers (Greenhalgh et al, 2017; Murray et al, 2010) call for more empirical studies towards the embedding of technological innovations in healthcare. This study could </w:t>
      </w:r>
      <w:r w:rsidRPr="00D86DB4">
        <w:rPr>
          <w:rFonts w:cstheme="minorHAnsi"/>
          <w:lang w:val="en-GB"/>
        </w:rPr>
        <w:lastRenderedPageBreak/>
        <w:t xml:space="preserve">provide empirical knowledge from different organizational contexts and may empirically test technological innovation adoption frameworks. </w:t>
      </w:r>
    </w:p>
    <w:p w14:paraId="21CF0654" w14:textId="77777777" w:rsidR="00A77631" w:rsidRPr="00D86DB4" w:rsidRDefault="00A77631" w:rsidP="00A77631">
      <w:pPr>
        <w:pStyle w:val="Heading2"/>
        <w:rPr>
          <w:rFonts w:cstheme="minorHAnsi"/>
          <w:lang w:val="en-GB"/>
        </w:rPr>
      </w:pPr>
      <w:bookmarkStart w:id="15" w:name="_Toc47522430"/>
      <w:bookmarkStart w:id="16" w:name="_Toc51862084"/>
      <w:r w:rsidRPr="00D86DB4">
        <w:rPr>
          <w:rFonts w:cstheme="minorHAnsi"/>
          <w:lang w:val="en-GB"/>
        </w:rPr>
        <w:t>1.4 Reading guidance</w:t>
      </w:r>
      <w:bookmarkEnd w:id="15"/>
      <w:bookmarkEnd w:id="16"/>
    </w:p>
    <w:p w14:paraId="1E327A2B" w14:textId="195A6EB1" w:rsidR="00A77631" w:rsidRPr="00D86DB4" w:rsidRDefault="00A77631" w:rsidP="00A77631">
      <w:pPr>
        <w:spacing w:line="360" w:lineRule="auto"/>
        <w:rPr>
          <w:rFonts w:cstheme="minorHAnsi"/>
          <w:lang w:val="en-GB"/>
        </w:rPr>
      </w:pPr>
      <w:r w:rsidRPr="00D86DB4">
        <w:rPr>
          <w:rFonts w:cstheme="minorHAnsi"/>
          <w:lang w:val="en-GB"/>
        </w:rPr>
        <w:t xml:space="preserve">In the next chapter, the theoretical framework will explain the </w:t>
      </w:r>
      <w:r w:rsidR="001703A2">
        <w:rPr>
          <w:rFonts w:cstheme="minorHAnsi"/>
          <w:lang w:val="en-GB"/>
        </w:rPr>
        <w:t xml:space="preserve">concepts </w:t>
      </w:r>
      <w:r w:rsidR="00B1318F">
        <w:rPr>
          <w:rFonts w:cstheme="minorHAnsi"/>
          <w:lang w:val="en-GB"/>
        </w:rPr>
        <w:t>used throughout</w:t>
      </w:r>
      <w:r w:rsidR="001703A2">
        <w:rPr>
          <w:rFonts w:cstheme="minorHAnsi"/>
          <w:lang w:val="en-GB"/>
        </w:rPr>
        <w:t xml:space="preserve"> this study</w:t>
      </w:r>
      <w:r w:rsidRPr="00D86DB4">
        <w:rPr>
          <w:rFonts w:cstheme="minorHAnsi"/>
          <w:lang w:val="en-GB"/>
        </w:rPr>
        <w:t>.  In chapter 3 the research methods will describe how data is collected and analysed. The results of this study will be presented in chapter 4. These findings are then discussed in chapter 5, answering the sub-questions and in conclusion, the main research question. Additionally, a reflection on this study, its limitations and recommendations for future research and practice will be given.</w:t>
      </w:r>
    </w:p>
    <w:p w14:paraId="11857933" w14:textId="77777777" w:rsidR="00A77631" w:rsidRPr="00D86DB4" w:rsidRDefault="00A77631" w:rsidP="00A77631">
      <w:pPr>
        <w:jc w:val="left"/>
        <w:rPr>
          <w:rFonts w:eastAsiaTheme="majorEastAsia" w:cstheme="minorHAnsi"/>
          <w:color w:val="365F91" w:themeColor="accent1" w:themeShade="BF"/>
          <w:sz w:val="32"/>
          <w:szCs w:val="32"/>
          <w:lang w:val="en-GB"/>
        </w:rPr>
      </w:pPr>
      <w:r w:rsidRPr="00D86DB4">
        <w:rPr>
          <w:rFonts w:cstheme="minorHAnsi"/>
          <w:lang w:val="en-GB"/>
        </w:rPr>
        <w:br w:type="page"/>
      </w:r>
    </w:p>
    <w:p w14:paraId="48874822" w14:textId="77777777" w:rsidR="00A77631" w:rsidRPr="00D86DB4" w:rsidRDefault="00A77631" w:rsidP="00A77631">
      <w:pPr>
        <w:pStyle w:val="Heading1"/>
        <w:rPr>
          <w:rFonts w:cstheme="minorHAnsi"/>
          <w:lang w:val="en-GB"/>
        </w:rPr>
      </w:pPr>
      <w:bookmarkStart w:id="17" w:name="_Toc47522431"/>
      <w:bookmarkStart w:id="18" w:name="_Toc51862085"/>
      <w:r w:rsidRPr="00D86DB4">
        <w:rPr>
          <w:rFonts w:cstheme="minorHAnsi"/>
          <w:lang w:val="en-GB"/>
        </w:rPr>
        <w:lastRenderedPageBreak/>
        <w:t>2. Theoretical framework</w:t>
      </w:r>
      <w:bookmarkEnd w:id="17"/>
      <w:bookmarkEnd w:id="18"/>
    </w:p>
    <w:p w14:paraId="08E71972" w14:textId="77777777" w:rsidR="00A77631" w:rsidRPr="00D86DB4" w:rsidRDefault="00A77631" w:rsidP="00A77631">
      <w:pPr>
        <w:spacing w:line="360" w:lineRule="auto"/>
        <w:rPr>
          <w:rFonts w:cstheme="minorHAnsi"/>
          <w:lang w:val="en-GB"/>
        </w:rPr>
      </w:pPr>
      <w:r w:rsidRPr="00D86DB4">
        <w:rPr>
          <w:rFonts w:cstheme="minorHAnsi"/>
          <w:lang w:val="en-GB"/>
        </w:rPr>
        <w:t xml:space="preserve">This chapter will first define and conceptualize the research concept of patient portals. Patient portals are seen as a form of eHealth and thus, ICT. Then, the concepts of governance and strategy will be discussed, and it will be explained why they are important for the embedding of patient portals in care processes and the stimulation of its use by patients and healthcare professionals. Next, the </w:t>
      </w:r>
      <w:proofErr w:type="spellStart"/>
      <w:r w:rsidRPr="00D86DB4">
        <w:rPr>
          <w:rFonts w:cstheme="minorHAnsi"/>
          <w:lang w:val="en-GB"/>
        </w:rPr>
        <w:t>Nonadoption</w:t>
      </w:r>
      <w:proofErr w:type="spellEnd"/>
      <w:r w:rsidRPr="00D86DB4">
        <w:rPr>
          <w:rFonts w:cstheme="minorHAnsi"/>
          <w:lang w:val="en-GB"/>
        </w:rPr>
        <w:t>, Abandonment, Scale-up, Spread and Sustainability (NASSS) framework will be explained to understand why the embedding of patient portals has not enabled its sustained use and reached its full potential. Finally, the Normalisation Process Theory (NPT) will be elaborated on to evaluate the process of embedding patient portals in the care process for patients and staff.</w:t>
      </w:r>
    </w:p>
    <w:p w14:paraId="24C7DCC5" w14:textId="37AD3C98" w:rsidR="00A77631" w:rsidRPr="00D86DB4" w:rsidRDefault="00A77631" w:rsidP="00A77631">
      <w:pPr>
        <w:pStyle w:val="Heading2"/>
        <w:rPr>
          <w:rFonts w:cstheme="minorHAnsi"/>
          <w:lang w:val="en-GB"/>
        </w:rPr>
      </w:pPr>
      <w:bookmarkStart w:id="19" w:name="_Toc47522432"/>
      <w:bookmarkStart w:id="20" w:name="_Toc51862086"/>
      <w:r w:rsidRPr="00D86DB4">
        <w:rPr>
          <w:rFonts w:cstheme="minorHAnsi"/>
          <w:lang w:val="en-GB"/>
        </w:rPr>
        <w:t xml:space="preserve">2.1 </w:t>
      </w:r>
      <w:bookmarkStart w:id="21" w:name="_Hlk36627135"/>
      <w:r w:rsidRPr="00D86DB4">
        <w:rPr>
          <w:rFonts w:cstheme="minorHAnsi"/>
          <w:lang w:val="en-GB"/>
        </w:rPr>
        <w:t>eHealth: Patient portal</w:t>
      </w:r>
      <w:bookmarkEnd w:id="19"/>
      <w:r w:rsidR="00B1318F">
        <w:rPr>
          <w:rFonts w:cstheme="minorHAnsi"/>
          <w:lang w:val="en-GB"/>
        </w:rPr>
        <w:t>s</w:t>
      </w:r>
      <w:bookmarkEnd w:id="20"/>
    </w:p>
    <w:p w14:paraId="226D2771" w14:textId="1EBB66B4" w:rsidR="00A77631" w:rsidRPr="00D86DB4" w:rsidRDefault="00A77631" w:rsidP="00A77631">
      <w:pPr>
        <w:spacing w:line="360" w:lineRule="auto"/>
        <w:rPr>
          <w:rFonts w:cstheme="minorHAnsi"/>
          <w:lang w:val="en-GB"/>
        </w:rPr>
      </w:pPr>
      <w:bookmarkStart w:id="22" w:name="_Hlk36627150"/>
      <w:bookmarkEnd w:id="21"/>
      <w:r w:rsidRPr="00D86DB4">
        <w:rPr>
          <w:rFonts w:cstheme="minorHAnsi"/>
          <w:lang w:val="en-GB"/>
        </w:rPr>
        <w:t xml:space="preserve">The healthcare sector has to meet increasing demands due to demographic and other changes (Maguire, Evans, </w:t>
      </w:r>
      <w:proofErr w:type="spellStart"/>
      <w:r w:rsidRPr="00D86DB4">
        <w:rPr>
          <w:rFonts w:cstheme="minorHAnsi"/>
          <w:lang w:val="en-GB"/>
        </w:rPr>
        <w:t>Honeyman</w:t>
      </w:r>
      <w:proofErr w:type="spellEnd"/>
      <w:r w:rsidRPr="00D86DB4">
        <w:rPr>
          <w:rFonts w:cstheme="minorHAnsi"/>
          <w:lang w:val="en-GB"/>
        </w:rPr>
        <w:t xml:space="preserve"> &amp; </w:t>
      </w:r>
      <w:proofErr w:type="spellStart"/>
      <w:r w:rsidRPr="00D86DB4">
        <w:rPr>
          <w:rFonts w:cstheme="minorHAnsi"/>
          <w:lang w:val="en-GB"/>
        </w:rPr>
        <w:t>Omojomolo</w:t>
      </w:r>
      <w:proofErr w:type="spellEnd"/>
      <w:r w:rsidRPr="00D86DB4">
        <w:rPr>
          <w:rFonts w:cstheme="minorHAnsi"/>
          <w:lang w:val="en-GB"/>
        </w:rPr>
        <w:t xml:space="preserve">, 2018). Porter (2009) mentions value-based healthcare as the solution to the rising costs of an aging population and addresses the potential of new medical advances. According to Maguire et al. (2018) new technologies provide opportunities to handle this pressure. As such, eHealth has been developing over the years and is defined by the European Commission (2011, p. 3) as “the use of ICT in health products, services and processes combined with organisational change in healthcare systems and new skills, in order to improve health of citizens, efficiency and productivity in healthcare delivery, and the economic and social value of health”. Evidence has been consistently suggesting the effectiveness of eHealth interventions over the years and evidence is still increasing (Glasgow, Philips &amp; Sanchez, 2013). Buntin, Burke, </w:t>
      </w:r>
      <w:proofErr w:type="spellStart"/>
      <w:r w:rsidRPr="00D86DB4">
        <w:rPr>
          <w:rFonts w:cstheme="minorHAnsi"/>
          <w:lang w:val="en-GB"/>
        </w:rPr>
        <w:t>Hoaglin</w:t>
      </w:r>
      <w:proofErr w:type="spellEnd"/>
      <w:r w:rsidRPr="00D86DB4">
        <w:rPr>
          <w:rFonts w:cstheme="minorHAnsi"/>
          <w:lang w:val="en-GB"/>
        </w:rPr>
        <w:t xml:space="preserve"> &amp; Blumenthal (2011) claim that the utilization of ICT in healthcare could improve individuals’ health and providers’ performance. The World Health Organization pointed out that eHealth provides opportunities to involve patients in their own healthcare (Dutta, Peng &amp; Sun, 2018), which is considered to be desirable in healthcare. Porter (2009, p. 111) confirms this by stating that “unless patient</w:t>
      </w:r>
      <w:r w:rsidR="00B1318F">
        <w:rPr>
          <w:rFonts w:cstheme="minorHAnsi"/>
          <w:lang w:val="en-GB"/>
        </w:rPr>
        <w:t>s</w:t>
      </w:r>
      <w:r w:rsidRPr="00D86DB4">
        <w:rPr>
          <w:rFonts w:cstheme="minorHAnsi"/>
          <w:lang w:val="en-GB"/>
        </w:rPr>
        <w:t xml:space="preserve"> comply with care and take responsibility for their health, even the best doctor or team will fail.”</w:t>
      </w:r>
    </w:p>
    <w:p w14:paraId="508EE487" w14:textId="6730BCE1" w:rsidR="00A77631" w:rsidRPr="00D86DB4" w:rsidRDefault="00A77631" w:rsidP="00A53A00">
      <w:pPr>
        <w:spacing w:line="360" w:lineRule="auto"/>
        <w:rPr>
          <w:rFonts w:cstheme="minorHAnsi"/>
          <w:lang w:val="en-GB"/>
        </w:rPr>
      </w:pPr>
      <w:r w:rsidRPr="00D86DB4">
        <w:rPr>
          <w:rFonts w:cstheme="minorHAnsi"/>
          <w:lang w:val="en-GB"/>
        </w:rPr>
        <w:t xml:space="preserve">In the past, hospitals used to keep medical records and prescriptions on paper, electronic health record (EHR) technology has ensured that this information became digital. The implementation of the EHR is seen as “one of the fastest and most efficient ways hospitals can begin to benefit from technology” (Abraham, 2010, p. 319). Miller, </w:t>
      </w:r>
      <w:proofErr w:type="spellStart"/>
      <w:r w:rsidRPr="00D86DB4">
        <w:rPr>
          <w:rFonts w:cstheme="minorHAnsi"/>
          <w:lang w:val="en-GB"/>
        </w:rPr>
        <w:t>Latulipe</w:t>
      </w:r>
      <w:proofErr w:type="spellEnd"/>
      <w:r w:rsidRPr="00D86DB4">
        <w:rPr>
          <w:rFonts w:cstheme="minorHAnsi"/>
          <w:lang w:val="en-GB"/>
        </w:rPr>
        <w:t xml:space="preserve">, Melius, </w:t>
      </w:r>
      <w:proofErr w:type="spellStart"/>
      <w:r w:rsidRPr="00D86DB4">
        <w:rPr>
          <w:rFonts w:cstheme="minorHAnsi"/>
          <w:lang w:val="en-GB"/>
        </w:rPr>
        <w:t>Quandt</w:t>
      </w:r>
      <w:proofErr w:type="spellEnd"/>
      <w:r w:rsidRPr="00D86DB4">
        <w:rPr>
          <w:rFonts w:cstheme="minorHAnsi"/>
          <w:lang w:val="en-GB"/>
        </w:rPr>
        <w:t xml:space="preserve"> &amp; </w:t>
      </w:r>
      <w:proofErr w:type="spellStart"/>
      <w:r w:rsidRPr="00D86DB4">
        <w:rPr>
          <w:rFonts w:cstheme="minorHAnsi"/>
          <w:lang w:val="en-GB"/>
        </w:rPr>
        <w:t>Arcury</w:t>
      </w:r>
      <w:proofErr w:type="spellEnd"/>
      <w:r w:rsidRPr="00D86DB4">
        <w:rPr>
          <w:rFonts w:cstheme="minorHAnsi"/>
          <w:lang w:val="en-GB"/>
        </w:rPr>
        <w:t xml:space="preserve"> (2016) claim that EHRs can enhance efficiency and reduce medical errors. The EHRs and standards to exchange EHRs have seen a swift growth and acceptance, improving health practices and patient care (</w:t>
      </w:r>
      <w:proofErr w:type="spellStart"/>
      <w:r w:rsidRPr="00D86DB4">
        <w:rPr>
          <w:rFonts w:cstheme="minorHAnsi"/>
          <w:lang w:val="en-GB"/>
        </w:rPr>
        <w:t>Saripalle</w:t>
      </w:r>
      <w:proofErr w:type="spellEnd"/>
      <w:r w:rsidRPr="00D86DB4">
        <w:rPr>
          <w:rFonts w:cstheme="minorHAnsi"/>
          <w:lang w:val="en-GB"/>
        </w:rPr>
        <w:t xml:space="preserve">, Runyan &amp; Russell, 2019). According to Porter (2009) EHRs could enable an improvement in the perceived value of healthcare, as long as they support integrated care and outcome measurement. </w:t>
      </w:r>
      <w:r w:rsidRPr="00D86DB4">
        <w:rPr>
          <w:rFonts w:cstheme="minorHAnsi"/>
          <w:lang w:val="en-GB"/>
        </w:rPr>
        <w:lastRenderedPageBreak/>
        <w:t>Many EHRs have included patient portals in which patients are granted access to their personal health record (PHR). A PHR is defined by Dutta, et al. (2018, p. 1) as “the information related to individuals’ past, present, and future medical condition</w:t>
      </w:r>
      <w:r w:rsidR="00A53A00">
        <w:rPr>
          <w:rFonts w:cstheme="minorHAnsi"/>
          <w:lang w:val="en-GB"/>
        </w:rPr>
        <w:t>”</w:t>
      </w:r>
      <w:r w:rsidRPr="00D86DB4">
        <w:rPr>
          <w:rFonts w:cstheme="minorHAnsi"/>
          <w:lang w:val="en-GB"/>
        </w:rPr>
        <w:t xml:space="preserve">, which </w:t>
      </w:r>
      <w:r w:rsidR="00A53A00">
        <w:rPr>
          <w:rFonts w:cstheme="minorHAnsi"/>
          <w:lang w:val="en-GB"/>
        </w:rPr>
        <w:t>enables the healthcare provider to provide better treatment.</w:t>
      </w:r>
      <w:r w:rsidRPr="00D86DB4">
        <w:rPr>
          <w:rFonts w:cstheme="minorHAnsi"/>
          <w:lang w:val="en-GB"/>
        </w:rPr>
        <w:t xml:space="preserve"> Healthcare organizations keep EHRs, granting access only to their healthcare providers and specialists. According to </w:t>
      </w:r>
      <w:proofErr w:type="spellStart"/>
      <w:r w:rsidRPr="00D86DB4">
        <w:rPr>
          <w:rFonts w:cstheme="minorHAnsi"/>
          <w:lang w:val="en-GB"/>
        </w:rPr>
        <w:t>Saripalle</w:t>
      </w:r>
      <w:proofErr w:type="spellEnd"/>
      <w:r w:rsidR="00192D59">
        <w:rPr>
          <w:rFonts w:cstheme="minorHAnsi"/>
          <w:lang w:val="en-GB"/>
        </w:rPr>
        <w:t xml:space="preserve"> et al. </w:t>
      </w:r>
      <w:r w:rsidRPr="00D86DB4">
        <w:rPr>
          <w:rFonts w:cstheme="minorHAnsi"/>
          <w:lang w:val="en-GB"/>
        </w:rPr>
        <w:t xml:space="preserve">(2019) there should be a ‘bi-directional communication’ between the PHR and EHR, allowing these tools to be more effective and valuable for both providers and patients. </w:t>
      </w:r>
    </w:p>
    <w:p w14:paraId="14E1FE04" w14:textId="77777777" w:rsidR="00A77631" w:rsidRPr="00D86DB4" w:rsidRDefault="00A77631" w:rsidP="00A77631">
      <w:pPr>
        <w:spacing w:line="360" w:lineRule="auto"/>
        <w:rPr>
          <w:rFonts w:cstheme="minorHAnsi"/>
          <w:lang w:val="en-GB"/>
        </w:rPr>
      </w:pPr>
      <w:r w:rsidRPr="00D86DB4">
        <w:rPr>
          <w:rFonts w:cstheme="minorHAnsi"/>
          <w:lang w:val="en-GB"/>
        </w:rPr>
        <w:t>The patient portal thus, depending on the healthcare organizations that is providing it, has multiple features for communication and administration (Otto-</w:t>
      </w:r>
      <w:proofErr w:type="spellStart"/>
      <w:r w:rsidRPr="00D86DB4">
        <w:rPr>
          <w:rFonts w:cstheme="minorHAnsi"/>
          <w:lang w:val="en-GB"/>
        </w:rPr>
        <w:t>trojel</w:t>
      </w:r>
      <w:proofErr w:type="spellEnd"/>
      <w:r w:rsidRPr="00D86DB4">
        <w:rPr>
          <w:rFonts w:cstheme="minorHAnsi"/>
          <w:lang w:val="en-GB"/>
        </w:rPr>
        <w:t xml:space="preserve">, de </w:t>
      </w:r>
      <w:proofErr w:type="spellStart"/>
      <w:r w:rsidRPr="00D86DB4">
        <w:rPr>
          <w:rFonts w:cstheme="minorHAnsi"/>
          <w:lang w:val="en-GB"/>
        </w:rPr>
        <w:t>Bont</w:t>
      </w:r>
      <w:proofErr w:type="spellEnd"/>
      <w:r w:rsidRPr="00D86DB4">
        <w:rPr>
          <w:rFonts w:cstheme="minorHAnsi"/>
          <w:lang w:val="en-GB"/>
        </w:rPr>
        <w:t xml:space="preserve">, </w:t>
      </w:r>
      <w:proofErr w:type="spellStart"/>
      <w:r w:rsidRPr="00D86DB4">
        <w:rPr>
          <w:rFonts w:cstheme="minorHAnsi"/>
          <w:lang w:val="en-GB"/>
        </w:rPr>
        <w:t>Rundall</w:t>
      </w:r>
      <w:proofErr w:type="spellEnd"/>
      <w:r w:rsidRPr="00D86DB4">
        <w:rPr>
          <w:rFonts w:cstheme="minorHAnsi"/>
          <w:lang w:val="en-GB"/>
        </w:rPr>
        <w:t xml:space="preserve"> &amp; van de </w:t>
      </w:r>
      <w:proofErr w:type="spellStart"/>
      <w:r w:rsidRPr="00D86DB4">
        <w:rPr>
          <w:rFonts w:cstheme="minorHAnsi"/>
          <w:lang w:val="en-GB"/>
        </w:rPr>
        <w:t>Klundert</w:t>
      </w:r>
      <w:proofErr w:type="spellEnd"/>
      <w:r w:rsidRPr="00D86DB4">
        <w:rPr>
          <w:rFonts w:cstheme="minorHAnsi"/>
          <w:lang w:val="en-GB"/>
        </w:rPr>
        <w:t xml:space="preserve">, 2016). According to </w:t>
      </w:r>
      <w:proofErr w:type="spellStart"/>
      <w:r w:rsidRPr="00D86DB4">
        <w:rPr>
          <w:rFonts w:cstheme="minorHAnsi"/>
          <w:lang w:val="en-GB"/>
        </w:rPr>
        <w:t>Kooij</w:t>
      </w:r>
      <w:proofErr w:type="spellEnd"/>
      <w:r w:rsidRPr="00D86DB4">
        <w:rPr>
          <w:rFonts w:cstheme="minorHAnsi"/>
          <w:lang w:val="en-GB"/>
        </w:rPr>
        <w:t xml:space="preserve">, Groen &amp; van </w:t>
      </w:r>
      <w:proofErr w:type="spellStart"/>
      <w:r w:rsidRPr="00D86DB4">
        <w:rPr>
          <w:rFonts w:cstheme="minorHAnsi"/>
          <w:lang w:val="en-GB"/>
        </w:rPr>
        <w:t>Harten</w:t>
      </w:r>
      <w:proofErr w:type="spellEnd"/>
      <w:r w:rsidRPr="00D86DB4">
        <w:rPr>
          <w:rFonts w:cstheme="minorHAnsi"/>
          <w:lang w:val="en-GB"/>
        </w:rPr>
        <w:t xml:space="preserve"> (2018, p. 2) patient portals can be defined as “applications which are designed to give the patient secure access to health information and allow secure methods for communication and information sharing”. Patient portals are secure web-based accounts (Powell, 2017) that provide patients access to selected health information from their healthcare organization’s EHR (Griffin, Skinner, Thornhill &amp; Weinberger, 2016). In addition to health information access, patient portals could also offer patient-oriented functions such as </w:t>
      </w:r>
      <w:proofErr w:type="spellStart"/>
      <w:r w:rsidRPr="00D86DB4">
        <w:rPr>
          <w:rFonts w:cstheme="minorHAnsi"/>
          <w:lang w:val="en-GB"/>
        </w:rPr>
        <w:t>eConsult</w:t>
      </w:r>
      <w:proofErr w:type="spellEnd"/>
      <w:r w:rsidRPr="00D86DB4">
        <w:rPr>
          <w:rFonts w:cstheme="minorHAnsi"/>
          <w:lang w:val="en-GB"/>
        </w:rPr>
        <w:t xml:space="preserve"> (messaging with the provider), access to patient education resources (library), and appointment scheduling (</w:t>
      </w:r>
      <w:proofErr w:type="spellStart"/>
      <w:r w:rsidRPr="00D86DB4">
        <w:rPr>
          <w:rFonts w:cstheme="minorHAnsi"/>
          <w:lang w:val="en-GB"/>
        </w:rPr>
        <w:t>Ancker</w:t>
      </w:r>
      <w:proofErr w:type="spellEnd"/>
      <w:r w:rsidRPr="00D86DB4">
        <w:rPr>
          <w:rFonts w:cstheme="minorHAnsi"/>
          <w:lang w:val="en-GB"/>
        </w:rPr>
        <w:t xml:space="preserve"> et al., 2015). Because of these functionalities, patient portals can facilitate and improve the communication between the patient and healthcare professional (</w:t>
      </w:r>
      <w:proofErr w:type="spellStart"/>
      <w:r w:rsidRPr="00D86DB4">
        <w:rPr>
          <w:rFonts w:cstheme="minorHAnsi"/>
          <w:lang w:val="en-GB"/>
        </w:rPr>
        <w:t>Kooij</w:t>
      </w:r>
      <w:proofErr w:type="spellEnd"/>
      <w:r w:rsidRPr="00D86DB4">
        <w:rPr>
          <w:rFonts w:cstheme="minorHAnsi"/>
          <w:lang w:val="en-GB"/>
        </w:rPr>
        <w:t xml:space="preserve"> et al., 2018). Irizarry et al. (2008, p. 1) found “the topical areas of patient adoption, provider endorsement, health literacy, usability, and utility” to be factors in the demonstration of a patient portal’s value and sustained use. As patient portals are provided by individual healthcare organizations, they only provide access to data registered by that specific healthcare organization (Otto-</w:t>
      </w:r>
      <w:proofErr w:type="spellStart"/>
      <w:r w:rsidRPr="00D86DB4">
        <w:rPr>
          <w:rFonts w:cstheme="minorHAnsi"/>
          <w:lang w:val="en-GB"/>
        </w:rPr>
        <w:t>trojel</w:t>
      </w:r>
      <w:proofErr w:type="spellEnd"/>
      <w:r w:rsidRPr="00D86DB4">
        <w:rPr>
          <w:rFonts w:cstheme="minorHAnsi"/>
          <w:lang w:val="en-GB"/>
        </w:rPr>
        <w:t xml:space="preserve"> et al., 2016). Patient portals have even been acknowledged as the leading tool in the engagement of patients in healthcare (</w:t>
      </w:r>
      <w:proofErr w:type="spellStart"/>
      <w:r w:rsidRPr="00D86DB4">
        <w:rPr>
          <w:rFonts w:cstheme="minorHAnsi"/>
          <w:lang w:val="en-GB"/>
        </w:rPr>
        <w:t>Slodobkin</w:t>
      </w:r>
      <w:proofErr w:type="spellEnd"/>
      <w:r w:rsidRPr="00D86DB4">
        <w:rPr>
          <w:rFonts w:cstheme="minorHAnsi"/>
          <w:lang w:val="en-GB"/>
        </w:rPr>
        <w:t>, 2015).</w:t>
      </w:r>
    </w:p>
    <w:p w14:paraId="3CDA934E" w14:textId="77777777" w:rsidR="00A77631" w:rsidRPr="00D86DB4" w:rsidRDefault="00A77631" w:rsidP="00A77631">
      <w:pPr>
        <w:pStyle w:val="Heading2"/>
        <w:rPr>
          <w:rFonts w:cstheme="minorHAnsi"/>
          <w:lang w:val="en-GB"/>
        </w:rPr>
      </w:pPr>
      <w:bookmarkStart w:id="23" w:name="_Toc47522433"/>
      <w:bookmarkStart w:id="24" w:name="_Hlk36650688"/>
      <w:bookmarkStart w:id="25" w:name="_Toc51862087"/>
      <w:bookmarkEnd w:id="22"/>
      <w:r w:rsidRPr="00D86DB4">
        <w:rPr>
          <w:rFonts w:cstheme="minorHAnsi"/>
          <w:lang w:val="en-GB"/>
        </w:rPr>
        <w:t>2.2 Governance</w:t>
      </w:r>
      <w:bookmarkEnd w:id="23"/>
      <w:bookmarkEnd w:id="25"/>
    </w:p>
    <w:p w14:paraId="2851E57D" w14:textId="36935371" w:rsidR="00A77631" w:rsidRDefault="00B25C23" w:rsidP="00A77631">
      <w:pPr>
        <w:spacing w:line="360" w:lineRule="auto"/>
        <w:rPr>
          <w:rFonts w:cstheme="minorHAnsi"/>
          <w:lang w:val="en-GB"/>
        </w:rPr>
      </w:pPr>
      <w:bookmarkStart w:id="26" w:name="_Hlk36654181"/>
      <w:bookmarkEnd w:id="24"/>
      <w:r>
        <w:rPr>
          <w:rFonts w:cstheme="minorHAnsi"/>
          <w:lang w:val="en-GB"/>
        </w:rPr>
        <w:t>The organization of hospital</w:t>
      </w:r>
      <w:r w:rsidR="004E613E">
        <w:rPr>
          <w:rFonts w:cstheme="minorHAnsi"/>
          <w:lang w:val="en-GB"/>
        </w:rPr>
        <w:t>s</w:t>
      </w:r>
      <w:r>
        <w:rPr>
          <w:rFonts w:cstheme="minorHAnsi"/>
          <w:lang w:val="en-GB"/>
        </w:rPr>
        <w:t xml:space="preserve"> </w:t>
      </w:r>
      <w:r w:rsidR="004E613E">
        <w:rPr>
          <w:rFonts w:cstheme="minorHAnsi"/>
          <w:lang w:val="en-GB"/>
        </w:rPr>
        <w:t>can be</w:t>
      </w:r>
      <w:r>
        <w:rPr>
          <w:rFonts w:cstheme="minorHAnsi"/>
          <w:lang w:val="en-GB"/>
        </w:rPr>
        <w:t xml:space="preserve"> captured by means of the concept of governance.</w:t>
      </w:r>
      <w:r w:rsidR="004E613E">
        <w:rPr>
          <w:rFonts w:cstheme="minorHAnsi"/>
          <w:lang w:val="en-GB"/>
        </w:rPr>
        <w:t xml:space="preserve"> </w:t>
      </w:r>
      <w:r w:rsidR="00A77631" w:rsidRPr="00D86DB4">
        <w:rPr>
          <w:rFonts w:cstheme="minorHAnsi"/>
          <w:lang w:val="en-GB"/>
        </w:rPr>
        <w:t xml:space="preserve">Van </w:t>
      </w:r>
      <w:proofErr w:type="spellStart"/>
      <w:r w:rsidR="00A77631" w:rsidRPr="00D86DB4">
        <w:rPr>
          <w:rFonts w:cstheme="minorHAnsi"/>
          <w:lang w:val="en-GB"/>
        </w:rPr>
        <w:t>Wijngaarden</w:t>
      </w:r>
      <w:proofErr w:type="spellEnd"/>
      <w:r w:rsidR="00A77631" w:rsidRPr="00D86DB4">
        <w:rPr>
          <w:rFonts w:cstheme="minorHAnsi"/>
          <w:lang w:val="en-GB"/>
        </w:rPr>
        <w:t xml:space="preserve">, Scholten &amp; van </w:t>
      </w:r>
      <w:proofErr w:type="spellStart"/>
      <w:r w:rsidR="00A77631" w:rsidRPr="00D86DB4">
        <w:rPr>
          <w:rFonts w:cstheme="minorHAnsi"/>
          <w:lang w:val="en-GB"/>
        </w:rPr>
        <w:t>Wijk</w:t>
      </w:r>
      <w:proofErr w:type="spellEnd"/>
      <w:r w:rsidR="00A77631" w:rsidRPr="00D86DB4">
        <w:rPr>
          <w:rFonts w:cstheme="minorHAnsi"/>
          <w:lang w:val="en-GB"/>
        </w:rPr>
        <w:t xml:space="preserve"> (2012) state that government influence in the Netherlands has been diminishing in favour of self-regulation and (regulated) market competition. The Dutch system of </w:t>
      </w:r>
      <w:r w:rsidR="00A53A00">
        <w:rPr>
          <w:rFonts w:cstheme="minorHAnsi"/>
          <w:lang w:val="en-GB"/>
        </w:rPr>
        <w:t>h</w:t>
      </w:r>
      <w:r w:rsidR="00A77631" w:rsidRPr="00D86DB4">
        <w:rPr>
          <w:rFonts w:cstheme="minorHAnsi"/>
          <w:lang w:val="en-GB"/>
        </w:rPr>
        <w:t xml:space="preserve">ospital care allows for many actors to be involved, which exist alongside each other and interact on an institutional level. According to Van de </w:t>
      </w:r>
      <w:proofErr w:type="spellStart"/>
      <w:r w:rsidR="00A77631" w:rsidRPr="00D86DB4">
        <w:rPr>
          <w:rFonts w:cstheme="minorHAnsi"/>
          <w:lang w:val="en-GB"/>
        </w:rPr>
        <w:t>Bovenkamp</w:t>
      </w:r>
      <w:proofErr w:type="spellEnd"/>
      <w:r w:rsidR="00A77631" w:rsidRPr="00D86DB4">
        <w:rPr>
          <w:rFonts w:cstheme="minorHAnsi"/>
          <w:lang w:val="en-GB"/>
        </w:rPr>
        <w:t xml:space="preserve">, </w:t>
      </w:r>
      <w:proofErr w:type="spellStart"/>
      <w:r w:rsidR="00A77631" w:rsidRPr="00D86DB4">
        <w:rPr>
          <w:rFonts w:cstheme="minorHAnsi"/>
          <w:lang w:val="en-GB"/>
        </w:rPr>
        <w:t>Stoopendaal</w:t>
      </w:r>
      <w:proofErr w:type="spellEnd"/>
      <w:r w:rsidR="00A77631" w:rsidRPr="00D86DB4">
        <w:rPr>
          <w:rFonts w:cstheme="minorHAnsi"/>
          <w:lang w:val="en-GB"/>
        </w:rPr>
        <w:t xml:space="preserve"> &amp; Bal (2017) these actors fall within the four typologies of institutional arrangements: market, state, professional community, and civil society. Their interactions are perceived as multi-level governance, which refers to negotiated relationships between institutions on transnational, national, </w:t>
      </w:r>
      <w:proofErr w:type="gramStart"/>
      <w:r w:rsidR="00A77631" w:rsidRPr="00D86DB4">
        <w:rPr>
          <w:rFonts w:cstheme="minorHAnsi"/>
          <w:lang w:val="en-GB"/>
        </w:rPr>
        <w:t>regional</w:t>
      </w:r>
      <w:proofErr w:type="gramEnd"/>
      <w:r w:rsidR="00A77631" w:rsidRPr="00D86DB4">
        <w:rPr>
          <w:rFonts w:cstheme="minorHAnsi"/>
          <w:lang w:val="en-GB"/>
        </w:rPr>
        <w:t xml:space="preserve"> and local levels, where governance processes are vertically ‘layered’ (Peters &amp; Pierre, 2001). In this sense, the concepts of </w:t>
      </w:r>
      <w:r w:rsidR="00A77631" w:rsidRPr="00D86DB4">
        <w:rPr>
          <w:rFonts w:cstheme="minorHAnsi"/>
          <w:lang w:val="en-GB"/>
        </w:rPr>
        <w:lastRenderedPageBreak/>
        <w:t xml:space="preserve">multi-level governance and layering focus mostly on macro-level governance. Rhodes (2007) explains governance broadly as an exploration of the changing boundaries between state and civil society. Rhodes (2007, p. 1244) elicits the concept of network governance, referring to policy networks in which “formal and informal institutional linkages between governmental and other actors are structured around shared interests in public policymaking and implementation”. Governance then shows a certain interdependence between organizations in a network, with ongoing ‘game-like’ interactions,  alongside a certain autonomy from the state. The effectiveness of governance changes in accordance with the life cycle of the public policy issue, which consists of an anticipatory, emergence, enactment, and implementation stage, and indicates a gap between expectations of the public and performance of the organization (Bigelow &amp; Arndt, 1997). In this case, examples would be the ministry passing an act for patient’s right to view medical records electronically and </w:t>
      </w:r>
      <w:r w:rsidR="00402E4A">
        <w:rPr>
          <w:rFonts w:cstheme="minorHAnsi"/>
          <w:lang w:val="en-GB"/>
        </w:rPr>
        <w:t xml:space="preserve">the </w:t>
      </w:r>
      <w:r w:rsidR="00A77631" w:rsidRPr="00D86DB4">
        <w:rPr>
          <w:rFonts w:cstheme="minorHAnsi"/>
          <w:lang w:val="en-GB"/>
        </w:rPr>
        <w:t>VIPP programme</w:t>
      </w:r>
      <w:r w:rsidR="00402E4A">
        <w:rPr>
          <w:rFonts w:cstheme="minorHAnsi"/>
          <w:lang w:val="en-GB"/>
        </w:rPr>
        <w:t>’s introduction</w:t>
      </w:r>
      <w:r w:rsidR="00A77631" w:rsidRPr="00D86DB4">
        <w:rPr>
          <w:rFonts w:cstheme="minorHAnsi"/>
          <w:lang w:val="en-GB"/>
        </w:rPr>
        <w:t xml:space="preserve">. </w:t>
      </w:r>
    </w:p>
    <w:p w14:paraId="68DDB131" w14:textId="29A7CE22" w:rsidR="00A77631" w:rsidRPr="00D86DB4" w:rsidRDefault="00A77631" w:rsidP="00A77631">
      <w:pPr>
        <w:spacing w:line="360" w:lineRule="auto"/>
        <w:rPr>
          <w:rFonts w:cstheme="minorHAnsi"/>
          <w:lang w:val="en-GB"/>
        </w:rPr>
      </w:pPr>
      <w:r w:rsidRPr="00D86DB4">
        <w:rPr>
          <w:rFonts w:cstheme="minorHAnsi"/>
          <w:lang w:val="en-GB"/>
        </w:rPr>
        <w:t xml:space="preserve">Hospital governance is complex due to these external (macro) dynamics, and also has to consider internal dynamics on a meso and micro level. </w:t>
      </w:r>
      <w:r w:rsidR="00402E4A">
        <w:rPr>
          <w:rFonts w:cstheme="minorHAnsi"/>
          <w:lang w:val="en-GB"/>
        </w:rPr>
        <w:t xml:space="preserve">In this study, emphasis will be placed on the organization of hospitals, as a consequence of multi-level governance, towards the embedding of patient portals. </w:t>
      </w:r>
      <w:r w:rsidRPr="00D86DB4">
        <w:rPr>
          <w:rFonts w:cstheme="minorHAnsi"/>
          <w:lang w:val="en-GB"/>
        </w:rPr>
        <w:t xml:space="preserve">Hospital governance is defined by Scholten, </w:t>
      </w:r>
      <w:proofErr w:type="spellStart"/>
      <w:r w:rsidRPr="00D86DB4">
        <w:rPr>
          <w:rFonts w:cstheme="minorHAnsi"/>
          <w:lang w:val="en-GB"/>
        </w:rPr>
        <w:t>Muijsers-Creemers</w:t>
      </w:r>
      <w:proofErr w:type="spellEnd"/>
      <w:r w:rsidRPr="00D86DB4">
        <w:rPr>
          <w:rFonts w:cstheme="minorHAnsi"/>
          <w:lang w:val="en-GB"/>
        </w:rPr>
        <w:t>, Moen &amp; Bal (2018) as “</w:t>
      </w:r>
      <w:r w:rsidRPr="00C509B5">
        <w:rPr>
          <w:rFonts w:cstheme="minorHAnsi"/>
          <w:lang w:val="en-GB"/>
        </w:rPr>
        <w:t>a set of processes and tools related to decision making in steering the totality of institutional activity, influencing most major aspects of organizational behaviour, and recognizing the complex relationships between multiple stakeholders</w:t>
      </w:r>
      <w:r w:rsidRPr="00D86DB4">
        <w:rPr>
          <w:rFonts w:cstheme="minorHAnsi"/>
          <w:lang w:val="en-GB"/>
        </w:rPr>
        <w:t>.” According to Scholten et al. (2018) external dynamics result from the pressure of stakeholders to change hospital governance and the internal dynamics are rooted within the ‘</w:t>
      </w:r>
      <w:r w:rsidRPr="00C509B5">
        <w:rPr>
          <w:rFonts w:cstheme="minorHAnsi"/>
          <w:lang w:val="en-GB"/>
        </w:rPr>
        <w:t>dual hospital’</w:t>
      </w:r>
      <w:r w:rsidRPr="00D86DB4">
        <w:rPr>
          <w:rFonts w:cstheme="minorHAnsi"/>
          <w:lang w:val="en-GB"/>
        </w:rPr>
        <w:t xml:space="preserve"> as a professional organization, in which managerial and professional governance structures co-exist. Apart from the internal and external dynamics that influence strategic decision-making, the dual hospital also shows vertical layering which works top-down as well as bottom-up (Scholten et al., 2018), and thus concerns different levels within the organisation (</w:t>
      </w:r>
      <w:proofErr w:type="spellStart"/>
      <w:r w:rsidRPr="00D86DB4">
        <w:rPr>
          <w:rFonts w:cstheme="minorHAnsi"/>
          <w:lang w:val="en-GB"/>
        </w:rPr>
        <w:t>Spee</w:t>
      </w:r>
      <w:proofErr w:type="spellEnd"/>
      <w:r w:rsidRPr="00D86DB4">
        <w:rPr>
          <w:rFonts w:cstheme="minorHAnsi"/>
          <w:lang w:val="en-GB"/>
        </w:rPr>
        <w:t xml:space="preserve"> &amp; </w:t>
      </w:r>
      <w:proofErr w:type="spellStart"/>
      <w:r w:rsidRPr="00D86DB4">
        <w:rPr>
          <w:rFonts w:cstheme="minorHAnsi"/>
          <w:lang w:val="en-GB"/>
        </w:rPr>
        <w:t>Jarzabkowski</w:t>
      </w:r>
      <w:proofErr w:type="spellEnd"/>
      <w:r w:rsidRPr="00D86DB4">
        <w:rPr>
          <w:rFonts w:cstheme="minorHAnsi"/>
          <w:lang w:val="en-GB"/>
        </w:rPr>
        <w:t xml:space="preserve">, 2009). </w:t>
      </w:r>
      <w:r w:rsidR="005C33E3">
        <w:rPr>
          <w:rFonts w:cstheme="minorHAnsi"/>
          <w:lang w:val="en-GB"/>
        </w:rPr>
        <w:t>Th</w:t>
      </w:r>
      <w:r w:rsidR="003B045F">
        <w:rPr>
          <w:rFonts w:cstheme="minorHAnsi"/>
          <w:lang w:val="en-GB"/>
        </w:rPr>
        <w:t>is is also considered to be the case for the</w:t>
      </w:r>
      <w:r w:rsidR="005C33E3">
        <w:rPr>
          <w:rFonts w:cstheme="minorHAnsi"/>
          <w:lang w:val="en-GB"/>
        </w:rPr>
        <w:t xml:space="preserve"> patient portal </w:t>
      </w:r>
      <w:r w:rsidR="003B045F">
        <w:rPr>
          <w:rFonts w:cstheme="minorHAnsi"/>
          <w:lang w:val="en-GB"/>
        </w:rPr>
        <w:t xml:space="preserve">within hospital’s organization and dynamics. </w:t>
      </w:r>
      <w:r w:rsidRPr="00D86DB4">
        <w:rPr>
          <w:rFonts w:cstheme="minorHAnsi"/>
          <w:lang w:val="en-GB"/>
        </w:rPr>
        <w:t xml:space="preserve">Within dual hospital governance the coexistence of managerial and professional lines is visible in the hierarchy providing managers mandate to make their decisions top-down, whereas doctors take decisions based on their experiences and practices bottom-up. Scholten et al. (2018, p. 444) claim that a </w:t>
      </w:r>
      <w:r w:rsidRPr="00C509B5">
        <w:rPr>
          <w:rFonts w:cstheme="minorHAnsi"/>
          <w:lang w:val="en-GB"/>
        </w:rPr>
        <w:t>“peaceful coexistence” between these managerial and professional lines, and thus “the integration of decision-making processes</w:t>
      </w:r>
      <w:r w:rsidRPr="00D86DB4">
        <w:rPr>
          <w:rFonts w:cstheme="minorHAnsi"/>
          <w:lang w:val="en-GB"/>
        </w:rPr>
        <w:t xml:space="preserve">” is a challenge for hospitals. The dual hospital governance model is unpopular and Dutch governmental policy has drawn up several laws to get rid of its ambiguity by giving general management the ‘final responsibility’. This has ensured that management not only focuses on performances in terms of volume and cost control but rather by evaluating “performance in terms of clinical outcomes like </w:t>
      </w:r>
      <w:r w:rsidRPr="00D86DB4">
        <w:rPr>
          <w:rFonts w:cstheme="minorHAnsi"/>
          <w:lang w:val="en-GB"/>
        </w:rPr>
        <w:lastRenderedPageBreak/>
        <w:t>quality, safety, integrated care and risk.</w:t>
      </w:r>
      <w:r w:rsidR="002E2F4D" w:rsidRPr="002E2F4D">
        <w:rPr>
          <w:rFonts w:cstheme="minorHAnsi"/>
          <w:lang w:val="en-GB"/>
        </w:rPr>
        <w:t xml:space="preserve"> </w:t>
      </w:r>
      <w:r w:rsidR="002E2F4D" w:rsidRPr="00D86DB4">
        <w:rPr>
          <w:rFonts w:cstheme="minorHAnsi"/>
          <w:lang w:val="en-GB"/>
        </w:rPr>
        <w:t>(Scholten et al., 2018, p. 445)</w:t>
      </w:r>
      <w:r w:rsidRPr="00D86DB4">
        <w:rPr>
          <w:rFonts w:cstheme="minorHAnsi"/>
          <w:lang w:val="en-GB"/>
        </w:rPr>
        <w:t xml:space="preserve">” Kuhlmann, </w:t>
      </w:r>
      <w:proofErr w:type="spellStart"/>
      <w:r w:rsidRPr="00D86DB4">
        <w:rPr>
          <w:rFonts w:cstheme="minorHAnsi"/>
          <w:lang w:val="en-GB"/>
        </w:rPr>
        <w:t>Rangnitt</w:t>
      </w:r>
      <w:proofErr w:type="spellEnd"/>
      <w:r w:rsidRPr="00D86DB4">
        <w:rPr>
          <w:rFonts w:cstheme="minorHAnsi"/>
          <w:lang w:val="en-GB"/>
        </w:rPr>
        <w:t xml:space="preserve"> &amp; Von </w:t>
      </w:r>
      <w:proofErr w:type="spellStart"/>
      <w:r w:rsidRPr="00D86DB4">
        <w:rPr>
          <w:rFonts w:cstheme="minorHAnsi"/>
          <w:lang w:val="en-GB"/>
        </w:rPr>
        <w:t>Knorring</w:t>
      </w:r>
      <w:proofErr w:type="spellEnd"/>
      <w:r w:rsidRPr="00D86DB4">
        <w:rPr>
          <w:rFonts w:cstheme="minorHAnsi"/>
          <w:lang w:val="en-GB"/>
        </w:rPr>
        <w:t xml:space="preserve"> (2016, p. 58) state that governance on a meso-level is mainly focused on “the decision-making at institutional levels of the hospital”, while governance on a micro-level refers to “the everyday operational management”.</w:t>
      </w:r>
    </w:p>
    <w:p w14:paraId="1BE39B44" w14:textId="5EE002B4" w:rsidR="00A77631" w:rsidRPr="00D86DB4" w:rsidRDefault="00A77631" w:rsidP="00A77631">
      <w:pPr>
        <w:spacing w:line="360" w:lineRule="auto"/>
        <w:rPr>
          <w:rFonts w:cstheme="minorHAnsi"/>
          <w:lang w:val="en-GB"/>
        </w:rPr>
      </w:pPr>
      <w:r w:rsidRPr="00D86DB4">
        <w:rPr>
          <w:rFonts w:cstheme="minorHAnsi"/>
          <w:lang w:val="en-GB"/>
        </w:rPr>
        <w:t xml:space="preserve">The alignment of the organization and thus ‘good governance’ matters for the organization’s performance (Swensen &amp; </w:t>
      </w:r>
      <w:proofErr w:type="spellStart"/>
      <w:r w:rsidRPr="00D86DB4">
        <w:rPr>
          <w:rFonts w:cstheme="minorHAnsi"/>
          <w:lang w:val="en-GB"/>
        </w:rPr>
        <w:t>Mohta</w:t>
      </w:r>
      <w:proofErr w:type="spellEnd"/>
      <w:r w:rsidRPr="00D86DB4">
        <w:rPr>
          <w:rFonts w:cstheme="minorHAnsi"/>
          <w:lang w:val="en-GB"/>
        </w:rPr>
        <w:t xml:space="preserve">, 2018). According to Pronovost, Armstrong, </w:t>
      </w:r>
      <w:proofErr w:type="spellStart"/>
      <w:r w:rsidRPr="00D86DB4">
        <w:rPr>
          <w:rFonts w:cstheme="minorHAnsi"/>
          <w:lang w:val="en-GB"/>
        </w:rPr>
        <w:t>Desmki</w:t>
      </w:r>
      <w:proofErr w:type="spellEnd"/>
      <w:r w:rsidRPr="00D86DB4">
        <w:rPr>
          <w:rFonts w:cstheme="minorHAnsi"/>
          <w:lang w:val="en-GB"/>
        </w:rPr>
        <w:t xml:space="preserve">, Peterson &amp; Rothman (2018) healthcare organizations have to take their governance to the next level. In order to do so the embedding of </w:t>
      </w:r>
      <w:r w:rsidRPr="00C509B5">
        <w:rPr>
          <w:rFonts w:cstheme="minorHAnsi"/>
          <w:lang w:val="en-GB"/>
        </w:rPr>
        <w:t>shared accountability</w:t>
      </w:r>
      <w:r w:rsidRPr="00D86DB4">
        <w:rPr>
          <w:rFonts w:cstheme="minorHAnsi"/>
          <w:lang w:val="en-GB"/>
        </w:rPr>
        <w:t xml:space="preserve"> is required, “which means the higher levels of the organization need to hold themselves accountable for giving the lower-level leaders the tools to help them succeed before they can hold a lower-level leader accountable” (Pronovost et al., 2018, p. 16). These lower-level leaders’ tools are knowledge of the goals and their role, performance feedback, the skills, resources, time for improvement, and regular meetings with the higher-level leader to review performance. For the assessment of a hospital’s governance and thus decision-making Scholten et al. (2018, p. 445) focus on ‘</w:t>
      </w:r>
      <w:r w:rsidRPr="00C509B5">
        <w:rPr>
          <w:rFonts w:cstheme="minorHAnsi"/>
          <w:lang w:val="en-GB"/>
        </w:rPr>
        <w:t>structuring’, which is “the process of social creation of rules, roles and relationships, which at best facilitates effective coordination and control</w:t>
      </w:r>
      <w:r w:rsidRPr="00D86DB4">
        <w:rPr>
          <w:rFonts w:cstheme="minorHAnsi"/>
          <w:lang w:val="en-GB"/>
        </w:rPr>
        <w:t xml:space="preserve">.” Through structuring of decision-making, as a consequence of Dutch governmental policy towards dual hospital governance, hospitals have elicited choices concerning fundamental organizing principles guiding the structuring of the hospital, the structuring of the hospital and the institutionalization of behavioural control, through assignment of positions and roles to members and degree of formalization (Scholten et al., 2018). As a consequence of vertical layering, decision-making processes occur at hospital and unit level. </w:t>
      </w:r>
      <w:proofErr w:type="spellStart"/>
      <w:r w:rsidRPr="00D86DB4">
        <w:rPr>
          <w:rFonts w:cstheme="minorHAnsi"/>
          <w:lang w:val="en-GB"/>
        </w:rPr>
        <w:t>Stoopendaal</w:t>
      </w:r>
      <w:proofErr w:type="spellEnd"/>
      <w:r w:rsidRPr="00D86DB4">
        <w:rPr>
          <w:rFonts w:cstheme="minorHAnsi"/>
          <w:lang w:val="en-GB"/>
        </w:rPr>
        <w:t xml:space="preserve"> &amp; van de </w:t>
      </w:r>
      <w:proofErr w:type="spellStart"/>
      <w:r w:rsidRPr="00D86DB4">
        <w:rPr>
          <w:rFonts w:cstheme="minorHAnsi"/>
          <w:lang w:val="en-GB"/>
        </w:rPr>
        <w:t>Bovenkamp</w:t>
      </w:r>
      <w:proofErr w:type="spellEnd"/>
      <w:r w:rsidRPr="00D86DB4">
        <w:rPr>
          <w:rFonts w:cstheme="minorHAnsi"/>
          <w:lang w:val="en-GB"/>
        </w:rPr>
        <w:t xml:space="preserve"> (2015, p. 10) emphasize that governance “points to a wide variety of steering mechanisms used to coordinate the individual, collective and corporate actors at different levels of the healthcare system”. They stress that the context in which the concept of governance has come about is important to study, to see how governance gives meaning. In their study on quality and safety in Dutch healthcare </w:t>
      </w:r>
      <w:proofErr w:type="spellStart"/>
      <w:r w:rsidRPr="00D86DB4">
        <w:rPr>
          <w:rFonts w:cstheme="minorHAnsi"/>
          <w:lang w:val="en-GB"/>
        </w:rPr>
        <w:t>Stoopendaal</w:t>
      </w:r>
      <w:proofErr w:type="spellEnd"/>
      <w:r w:rsidRPr="00D86DB4">
        <w:rPr>
          <w:rFonts w:cstheme="minorHAnsi"/>
          <w:lang w:val="en-GB"/>
        </w:rPr>
        <w:t xml:space="preserve"> &amp; van de </w:t>
      </w:r>
      <w:proofErr w:type="spellStart"/>
      <w:r w:rsidRPr="00D86DB4">
        <w:rPr>
          <w:rFonts w:cstheme="minorHAnsi"/>
          <w:lang w:val="en-GB"/>
        </w:rPr>
        <w:t>Bovenkamp</w:t>
      </w:r>
      <w:proofErr w:type="spellEnd"/>
      <w:r w:rsidRPr="00D86DB4">
        <w:rPr>
          <w:rFonts w:cstheme="minorHAnsi"/>
          <w:lang w:val="en-GB"/>
        </w:rPr>
        <w:t xml:space="preserve"> (2015) identify different levels, macro-level; state, meso-level; hospital, micro-level; professionals, on which key stakeholders hold their responsibilities, which is what governance is about.</w:t>
      </w:r>
      <w:r w:rsidR="003B045F">
        <w:rPr>
          <w:rFonts w:cstheme="minorHAnsi"/>
          <w:lang w:val="en-GB"/>
        </w:rPr>
        <w:t xml:space="preserve"> The patient portal is influenced by </w:t>
      </w:r>
      <w:r w:rsidR="004E613E">
        <w:rPr>
          <w:rFonts w:cstheme="minorHAnsi"/>
          <w:lang w:val="en-GB"/>
        </w:rPr>
        <w:t>these</w:t>
      </w:r>
      <w:r w:rsidR="003B045F">
        <w:rPr>
          <w:rFonts w:cstheme="minorHAnsi"/>
          <w:lang w:val="en-GB"/>
        </w:rPr>
        <w:t xml:space="preserve"> </w:t>
      </w:r>
      <w:r w:rsidR="004E613E">
        <w:rPr>
          <w:rFonts w:cstheme="minorHAnsi"/>
          <w:lang w:val="en-GB"/>
        </w:rPr>
        <w:t xml:space="preserve">multiple </w:t>
      </w:r>
      <w:r w:rsidR="003B045F">
        <w:rPr>
          <w:rFonts w:cstheme="minorHAnsi"/>
          <w:lang w:val="en-GB"/>
        </w:rPr>
        <w:t xml:space="preserve">levels </w:t>
      </w:r>
      <w:r w:rsidR="004E613E">
        <w:rPr>
          <w:rFonts w:cstheme="minorHAnsi"/>
          <w:lang w:val="en-GB"/>
        </w:rPr>
        <w:t xml:space="preserve">of governance </w:t>
      </w:r>
      <w:r w:rsidR="003B045F">
        <w:rPr>
          <w:rFonts w:cstheme="minorHAnsi"/>
          <w:lang w:val="en-GB"/>
        </w:rPr>
        <w:t>and stakeholders</w:t>
      </w:r>
      <w:r w:rsidR="004E613E">
        <w:rPr>
          <w:rFonts w:cstheme="minorHAnsi"/>
          <w:lang w:val="en-GB"/>
        </w:rPr>
        <w:t>. U</w:t>
      </w:r>
      <w:r w:rsidR="003B045F">
        <w:rPr>
          <w:rFonts w:cstheme="minorHAnsi"/>
          <w:lang w:val="en-GB"/>
        </w:rPr>
        <w:t>nderstanding th</w:t>
      </w:r>
      <w:r w:rsidR="004E613E">
        <w:rPr>
          <w:rFonts w:cstheme="minorHAnsi"/>
          <w:lang w:val="en-GB"/>
        </w:rPr>
        <w:t>e</w:t>
      </w:r>
      <w:r w:rsidR="003B045F">
        <w:rPr>
          <w:rFonts w:cstheme="minorHAnsi"/>
          <w:lang w:val="en-GB"/>
        </w:rPr>
        <w:t xml:space="preserve"> </w:t>
      </w:r>
      <w:r w:rsidR="000C7483">
        <w:rPr>
          <w:rFonts w:cstheme="minorHAnsi"/>
          <w:lang w:val="en-GB"/>
        </w:rPr>
        <w:t xml:space="preserve">governance </w:t>
      </w:r>
      <w:r w:rsidR="003B045F">
        <w:rPr>
          <w:rFonts w:cstheme="minorHAnsi"/>
          <w:lang w:val="en-GB"/>
        </w:rPr>
        <w:t>context</w:t>
      </w:r>
      <w:r w:rsidR="004E613E">
        <w:rPr>
          <w:rFonts w:cstheme="minorHAnsi"/>
          <w:lang w:val="en-GB"/>
        </w:rPr>
        <w:t xml:space="preserve"> of patient portals</w:t>
      </w:r>
      <w:r w:rsidR="003B045F">
        <w:rPr>
          <w:rFonts w:cstheme="minorHAnsi"/>
          <w:lang w:val="en-GB"/>
        </w:rPr>
        <w:t xml:space="preserve"> </w:t>
      </w:r>
      <w:r w:rsidR="004E613E">
        <w:rPr>
          <w:rFonts w:cstheme="minorHAnsi"/>
          <w:lang w:val="en-GB"/>
        </w:rPr>
        <w:t xml:space="preserve">thus </w:t>
      </w:r>
      <w:r w:rsidR="003B045F">
        <w:rPr>
          <w:rFonts w:cstheme="minorHAnsi"/>
          <w:lang w:val="en-GB"/>
        </w:rPr>
        <w:t>allows</w:t>
      </w:r>
      <w:r w:rsidR="004E613E">
        <w:rPr>
          <w:rFonts w:cstheme="minorHAnsi"/>
          <w:lang w:val="en-GB"/>
        </w:rPr>
        <w:t xml:space="preserve"> the embedding to be put in perspective and valued.</w:t>
      </w:r>
    </w:p>
    <w:p w14:paraId="05C839DA" w14:textId="77777777" w:rsidR="00A77631" w:rsidRPr="00D86DB4" w:rsidRDefault="00A77631" w:rsidP="00A77631">
      <w:pPr>
        <w:pStyle w:val="Heading2"/>
        <w:rPr>
          <w:rFonts w:cstheme="minorHAnsi"/>
          <w:lang w:val="en-GB"/>
        </w:rPr>
      </w:pPr>
      <w:bookmarkStart w:id="27" w:name="_Toc47522434"/>
      <w:bookmarkStart w:id="28" w:name="_Toc51862088"/>
      <w:r w:rsidRPr="00D86DB4">
        <w:rPr>
          <w:rFonts w:cstheme="minorHAnsi"/>
          <w:lang w:val="en-GB"/>
        </w:rPr>
        <w:t>2.3 Strategy</w:t>
      </w:r>
      <w:bookmarkEnd w:id="27"/>
      <w:bookmarkEnd w:id="28"/>
    </w:p>
    <w:p w14:paraId="6D6011DF" w14:textId="581C98F4" w:rsidR="00A77631" w:rsidRPr="00D86DB4" w:rsidRDefault="00A77631" w:rsidP="00A77631">
      <w:pPr>
        <w:spacing w:line="360" w:lineRule="auto"/>
        <w:rPr>
          <w:rFonts w:cstheme="minorHAnsi"/>
          <w:lang w:val="en-GB"/>
        </w:rPr>
      </w:pPr>
      <w:bookmarkStart w:id="29" w:name="_Hlk36654686"/>
      <w:bookmarkEnd w:id="26"/>
      <w:r w:rsidRPr="00D86DB4">
        <w:rPr>
          <w:rFonts w:cstheme="minorHAnsi"/>
          <w:lang w:val="en-GB"/>
        </w:rPr>
        <w:t xml:space="preserve">The way a hospital organizes its strategy is essential for the successful embedding of patient portals in its care processes. Societal changes, on a political, economic, technological, and social-cultural terrain, also influence the way hospitals operate (Pool, 1991). Healthcare managers constantly have to face new challenges and are consequently introducing strategic tools and methods. The patient </w:t>
      </w:r>
      <w:r w:rsidRPr="00D86DB4">
        <w:rPr>
          <w:rFonts w:cstheme="minorHAnsi"/>
          <w:lang w:val="en-GB"/>
        </w:rPr>
        <w:lastRenderedPageBreak/>
        <w:t xml:space="preserve">portal in itself could </w:t>
      </w:r>
      <w:r w:rsidR="000C7483" w:rsidRPr="00D86DB4">
        <w:rPr>
          <w:rFonts w:cstheme="minorHAnsi"/>
          <w:lang w:val="en-GB"/>
        </w:rPr>
        <w:t xml:space="preserve">for instance </w:t>
      </w:r>
      <w:r w:rsidRPr="00D86DB4">
        <w:rPr>
          <w:rFonts w:cstheme="minorHAnsi"/>
          <w:lang w:val="en-GB"/>
        </w:rPr>
        <w:t>be seen as a tool to enhance patient engagement. However, according to Price (2017), it is often used differently, for instance as a recordkeeping tool, and therefore does not live up to its potential. It should be noted that strategic tools and methods are not strategy itself, but rather part of wider strategizing activities (</w:t>
      </w:r>
      <w:proofErr w:type="spellStart"/>
      <w:r w:rsidRPr="00D86DB4">
        <w:rPr>
          <w:rFonts w:cstheme="minorHAnsi"/>
          <w:lang w:val="en-GB"/>
        </w:rPr>
        <w:t>Spee</w:t>
      </w:r>
      <w:proofErr w:type="spellEnd"/>
      <w:r w:rsidRPr="00D86DB4">
        <w:rPr>
          <w:rFonts w:cstheme="minorHAnsi"/>
          <w:lang w:val="en-GB"/>
        </w:rPr>
        <w:t xml:space="preserve"> &amp; </w:t>
      </w:r>
      <w:proofErr w:type="spellStart"/>
      <w:r w:rsidRPr="00D86DB4">
        <w:rPr>
          <w:rFonts w:cstheme="minorHAnsi"/>
          <w:lang w:val="en-GB"/>
        </w:rPr>
        <w:t>Jarzabkowski</w:t>
      </w:r>
      <w:proofErr w:type="spellEnd"/>
      <w:r w:rsidRPr="00D86DB4">
        <w:rPr>
          <w:rFonts w:cstheme="minorHAnsi"/>
          <w:lang w:val="en-GB"/>
        </w:rPr>
        <w:t>, 2009). Strategic tools and methods can be seen from a strategy-as-practice perspective (</w:t>
      </w:r>
      <w:proofErr w:type="spellStart"/>
      <w:r w:rsidRPr="00D86DB4">
        <w:rPr>
          <w:rFonts w:cstheme="minorHAnsi"/>
          <w:lang w:val="en-GB"/>
        </w:rPr>
        <w:t>Spee</w:t>
      </w:r>
      <w:proofErr w:type="spellEnd"/>
      <w:r w:rsidRPr="00D86DB4">
        <w:rPr>
          <w:rFonts w:cstheme="minorHAnsi"/>
          <w:lang w:val="en-GB"/>
        </w:rPr>
        <w:t xml:space="preserve"> &amp; </w:t>
      </w:r>
      <w:proofErr w:type="spellStart"/>
      <w:r w:rsidRPr="00D86DB4">
        <w:rPr>
          <w:rFonts w:cstheme="minorHAnsi"/>
          <w:lang w:val="en-GB"/>
        </w:rPr>
        <w:t>Jarzabkowski</w:t>
      </w:r>
      <w:proofErr w:type="spellEnd"/>
      <w:r w:rsidRPr="00D86DB4">
        <w:rPr>
          <w:rFonts w:cstheme="minorHAnsi"/>
          <w:lang w:val="en-GB"/>
        </w:rPr>
        <w:t xml:space="preserve">, 2009), which values strategy as the work that people do and focuses on situated, concrete activities (Whittington, 2003). Within the strategy-as-practice perspective, the whole organization is involved in strategy, and strategy is therefore not the exclusive domain of higher levels within the organization. </w:t>
      </w:r>
      <w:bookmarkStart w:id="30" w:name="_Hlk45545110"/>
      <w:r w:rsidRPr="00D86DB4">
        <w:rPr>
          <w:rFonts w:cstheme="minorHAnsi"/>
          <w:lang w:val="en-GB"/>
        </w:rPr>
        <w:t xml:space="preserve">According to Rouleau (2013, p. 548) strategy-as-practice “looks at the way in which people mobilize the tools of practice or adopt specific skills and roles when engaging in strategic activity.” The concept of practice indicates a focus on the work done by people inside organizational processes (Whittington, 2003). </w:t>
      </w:r>
      <w:bookmarkEnd w:id="30"/>
      <w:r w:rsidRPr="00D86DB4">
        <w:rPr>
          <w:rFonts w:cstheme="minorHAnsi"/>
          <w:lang w:val="en-GB"/>
        </w:rPr>
        <w:t>These ‘workers’ are essential for the performance of governance and strategy, and thus, the design of them should be communicated, in order to have the workers enact upon them. According to Whittington (2003, p. 121), “strategies and organizational designs are precarious, indefinite products, whose interpretation is never secure”. For that reason, the means by which governance and strategy is communicated and represented is critical in the process of implementation and sense-making.</w:t>
      </w:r>
    </w:p>
    <w:p w14:paraId="199A8243" w14:textId="77777777" w:rsidR="00A77631" w:rsidRPr="00D86DB4" w:rsidRDefault="00A77631" w:rsidP="00A77631">
      <w:pPr>
        <w:spacing w:line="360" w:lineRule="auto"/>
        <w:rPr>
          <w:rFonts w:cstheme="minorHAnsi"/>
          <w:lang w:val="en-GB"/>
        </w:rPr>
      </w:pPr>
      <w:r w:rsidRPr="00D86DB4">
        <w:rPr>
          <w:rFonts w:cstheme="minorHAnsi"/>
          <w:lang w:val="en-GB"/>
        </w:rPr>
        <w:t xml:space="preserve">In her research on strategy-as-practice Rouleau (2013) notes that there are multiple views, in coexistence and influencing each other, on what practice encompasses, representing different ways of ‘doing’ strategy. </w:t>
      </w:r>
      <w:bookmarkStart w:id="31" w:name="_Hlk45545145"/>
      <w:r w:rsidRPr="00D86DB4">
        <w:rPr>
          <w:rFonts w:cstheme="minorHAnsi"/>
          <w:lang w:val="en-GB"/>
        </w:rPr>
        <w:t xml:space="preserve">In this study, emphasis will be placed on the views of ‘practices as a set of tools’ and ‘practices as organizational resources.’ First, the view of practices as a set of tools is concerned with the various sets of relational, discursive, and material tools related to strategy formation. Through practices such as procedures, norms and traditions, strategy can be accomplished (Rouleau, 2013). This view on practices helps in understanding the informal procedures of strategic planning, such as workshops or meetings, and the production of standardized sets of practices within the context of a case. Furthermore, viewing practices as a set of tools suggests an explanation towards how practices “draw upon, interpret and sometimes challenge the organizational strategy” (Rouleau, 2013, p. 550). It focuses on how the tools of strategy are used by managers and others. Second, the view of practices as organizational resources concerns the effect strategists’ actions and activities have on the organization. This view considers that organizational practices, such as processes, </w:t>
      </w:r>
      <w:proofErr w:type="gramStart"/>
      <w:r w:rsidRPr="00D86DB4">
        <w:rPr>
          <w:rFonts w:cstheme="minorHAnsi"/>
          <w:lang w:val="en-GB"/>
        </w:rPr>
        <w:t>routines</w:t>
      </w:r>
      <w:proofErr w:type="gramEnd"/>
      <w:r w:rsidRPr="00D86DB4">
        <w:rPr>
          <w:rFonts w:cstheme="minorHAnsi"/>
          <w:lang w:val="en-GB"/>
        </w:rPr>
        <w:t xml:space="preserve"> and capabilities, are the foundation for strategic advantage and thus values strategy-making on an organizational and extra-organizational level. Moreover, viewing practices as organizational resources is a micro perspective of organizational processes, routines and capabilities and illustrates how these ordinary concepts and its subsequent activities “underpin the resources configuration at </w:t>
      </w:r>
      <w:r w:rsidRPr="00D86DB4">
        <w:rPr>
          <w:rFonts w:cstheme="minorHAnsi"/>
          <w:lang w:val="en-GB"/>
        </w:rPr>
        <w:lastRenderedPageBreak/>
        <w:t>the organizational level” (Rouleau, 2013, p. 552).</w:t>
      </w:r>
      <w:bookmarkEnd w:id="31"/>
      <w:r w:rsidRPr="00D86DB4">
        <w:rPr>
          <w:rFonts w:cstheme="minorHAnsi"/>
          <w:lang w:val="en-GB"/>
        </w:rPr>
        <w:t xml:space="preserve"> It focuses on how strategic advantage is shaped by organizational practices.</w:t>
      </w:r>
    </w:p>
    <w:p w14:paraId="57840DB2" w14:textId="77777777" w:rsidR="00A77631" w:rsidRPr="00D86DB4" w:rsidRDefault="00A77631" w:rsidP="00A77631">
      <w:pPr>
        <w:pStyle w:val="Heading2"/>
        <w:jc w:val="left"/>
        <w:rPr>
          <w:rFonts w:cstheme="minorHAnsi"/>
          <w:lang w:val="en-GB"/>
        </w:rPr>
      </w:pPr>
      <w:bookmarkStart w:id="32" w:name="_Toc47522435"/>
      <w:bookmarkStart w:id="33" w:name="_Toc51862089"/>
      <w:r w:rsidRPr="00D86DB4">
        <w:rPr>
          <w:rFonts w:cstheme="minorHAnsi"/>
          <w:lang w:val="en-GB"/>
        </w:rPr>
        <w:t xml:space="preserve">2.4 The </w:t>
      </w:r>
      <w:proofErr w:type="spellStart"/>
      <w:r w:rsidRPr="00D86DB4">
        <w:rPr>
          <w:rFonts w:cstheme="minorHAnsi"/>
          <w:lang w:val="en-GB"/>
        </w:rPr>
        <w:t>Nonadoption</w:t>
      </w:r>
      <w:proofErr w:type="spellEnd"/>
      <w:r w:rsidRPr="00D86DB4">
        <w:rPr>
          <w:rFonts w:cstheme="minorHAnsi"/>
          <w:lang w:val="en-GB"/>
        </w:rPr>
        <w:t>, Abandonment, Scale-up, Spread, and Sustainability (NASSS) framework</w:t>
      </w:r>
      <w:bookmarkEnd w:id="32"/>
      <w:bookmarkEnd w:id="33"/>
    </w:p>
    <w:p w14:paraId="000E38D7" w14:textId="77777777" w:rsidR="00A77631" w:rsidRPr="00D86DB4" w:rsidRDefault="00A77631" w:rsidP="00A77631">
      <w:pPr>
        <w:spacing w:line="360" w:lineRule="auto"/>
        <w:rPr>
          <w:rFonts w:cstheme="minorHAnsi"/>
          <w:lang w:val="en-GB"/>
        </w:rPr>
      </w:pPr>
      <w:bookmarkStart w:id="34" w:name="_Hlk36654745"/>
      <w:bookmarkEnd w:id="29"/>
      <w:r w:rsidRPr="00D86DB4">
        <w:rPr>
          <w:rFonts w:cstheme="minorHAnsi"/>
          <w:lang w:val="en-GB"/>
        </w:rPr>
        <w:t xml:space="preserve">The NASSS framework was designed by Greenhalgh et al. (2017) to construct an understanding of why technological innovation programs failed to succeed in health and social care settings. The NASSS framework derives from complexity theory, in which phenomena are explained as either “simple (straightforward, predictable, few components), complicated (multiple interacting components or issues), or complex (dynamic, unpredictable, not easily disaggregated into constituent components)” (Greenhalgh et al., 2018, p. 1). The NASSS implementation framework (see figure 1) has been generated for reflexive purposes and includes seven domains: the condition, the technology, the value proposition, the adopters, the organisation, the wider system, and embedding and adaption over time (Greenhalgh et al., 2017). </w:t>
      </w:r>
    </w:p>
    <w:tbl>
      <w:tblPr>
        <w:tblStyle w:val="TableGrid"/>
        <w:tblW w:w="0" w:type="auto"/>
        <w:tblInd w:w="1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90"/>
      </w:tblGrid>
      <w:tr w:rsidR="00A77631" w:rsidRPr="00A62518" w14:paraId="75AAD5E3" w14:textId="77777777" w:rsidTr="00A77631">
        <w:trPr>
          <w:trHeight w:val="185"/>
        </w:trPr>
        <w:tc>
          <w:tcPr>
            <w:tcW w:w="6590" w:type="dxa"/>
          </w:tcPr>
          <w:p w14:paraId="3CA7350C" w14:textId="77777777" w:rsidR="00A77631" w:rsidRPr="00D86DB4" w:rsidRDefault="00A77631" w:rsidP="00A77631">
            <w:pPr>
              <w:rPr>
                <w:rFonts w:cstheme="minorHAnsi"/>
                <w:b/>
                <w:bCs/>
                <w:lang w:val="en-GB"/>
              </w:rPr>
            </w:pPr>
            <w:r w:rsidRPr="00D86DB4">
              <w:rPr>
                <w:rFonts w:cstheme="minorHAnsi"/>
                <w:b/>
                <w:bCs/>
                <w:lang w:val="en-GB"/>
              </w:rPr>
              <w:t>Figure 1. The NASSS Framework (Greenhalgh et al., 2017)</w:t>
            </w:r>
          </w:p>
        </w:tc>
      </w:tr>
      <w:tr w:rsidR="00A77631" w:rsidRPr="00A62518" w14:paraId="644356B6" w14:textId="77777777" w:rsidTr="00A77631">
        <w:trPr>
          <w:trHeight w:val="5563"/>
        </w:trPr>
        <w:tc>
          <w:tcPr>
            <w:tcW w:w="6590" w:type="dxa"/>
          </w:tcPr>
          <w:p w14:paraId="35DC6CB6" w14:textId="77777777" w:rsidR="00A77631" w:rsidRPr="00D86DB4" w:rsidRDefault="00A77631" w:rsidP="00A77631">
            <w:pPr>
              <w:rPr>
                <w:rFonts w:cstheme="minorHAnsi"/>
                <w:b/>
                <w:bCs/>
                <w:lang w:val="en-GB"/>
              </w:rPr>
            </w:pPr>
            <w:r w:rsidRPr="00D86DB4">
              <w:rPr>
                <w:rFonts w:cstheme="minorHAnsi"/>
                <w:noProof/>
                <w:lang w:val="en-GB"/>
              </w:rPr>
              <w:drawing>
                <wp:anchor distT="0" distB="0" distL="114300" distR="114300" simplePos="0" relativeHeight="251657216" behindDoc="0" locked="0" layoutInCell="1" allowOverlap="1" wp14:anchorId="3FF6511C" wp14:editId="1B25BB76">
                  <wp:simplePos x="0" y="0"/>
                  <wp:positionH relativeFrom="column">
                    <wp:posOffset>-46355</wp:posOffset>
                  </wp:positionH>
                  <wp:positionV relativeFrom="paragraph">
                    <wp:posOffset>13335</wp:posOffset>
                  </wp:positionV>
                  <wp:extent cx="4038600" cy="372237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8600" cy="37223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66260BB" w14:textId="0C65002E" w:rsidR="00A77631" w:rsidRPr="00D86DB4" w:rsidRDefault="00A77631" w:rsidP="00A77631">
      <w:pPr>
        <w:spacing w:line="360" w:lineRule="auto"/>
        <w:rPr>
          <w:rFonts w:cstheme="minorHAnsi"/>
          <w:lang w:val="en-GB"/>
        </w:rPr>
      </w:pPr>
      <w:r w:rsidRPr="00D86DB4">
        <w:rPr>
          <w:rFonts w:cstheme="minorHAnsi"/>
          <w:lang w:val="en-GB"/>
        </w:rPr>
        <w:t xml:space="preserve">The different domains of the NASSS framework should be presented in light of the patient portal. The domains can be operationalised through a set of questions, which assess a variety of challenges the technological innovation could face when it is being implemented (see table 1). Each of the answers to these questions should be classified by means of the complexity theory. The NASSS framework illustrates the complexity of the implementation process for new technological innovations, and thus, </w:t>
      </w:r>
      <w:r w:rsidRPr="00D86DB4">
        <w:rPr>
          <w:rFonts w:cstheme="minorHAnsi"/>
          <w:lang w:val="en-GB"/>
        </w:rPr>
        <w:lastRenderedPageBreak/>
        <w:t>could analyse the embedding of patient portals. According to Greenhalgh et al. (2017,</w:t>
      </w:r>
      <w:r w:rsidR="000A1531">
        <w:rPr>
          <w:rFonts w:cstheme="minorHAnsi"/>
          <w:lang w:val="en-GB"/>
        </w:rPr>
        <w:t xml:space="preserve"> </w:t>
      </w:r>
      <w:r w:rsidRPr="00D86DB4">
        <w:rPr>
          <w:rFonts w:cstheme="minorHAnsi"/>
          <w:lang w:val="en-GB"/>
        </w:rPr>
        <w:t>p.</w:t>
      </w:r>
      <w:r w:rsidR="000A1531">
        <w:rPr>
          <w:rFonts w:cstheme="minorHAnsi"/>
          <w:lang w:val="en-GB"/>
        </w:rPr>
        <w:t xml:space="preserve"> </w:t>
      </w:r>
      <w:r w:rsidRPr="00D86DB4">
        <w:rPr>
          <w:rFonts w:cstheme="minorHAnsi"/>
          <w:lang w:val="en-GB"/>
        </w:rPr>
        <w:t xml:space="preserve">14) “it addresses not just adoption but also </w:t>
      </w:r>
      <w:proofErr w:type="spellStart"/>
      <w:r w:rsidRPr="00D86DB4">
        <w:rPr>
          <w:rFonts w:cstheme="minorHAnsi"/>
          <w:lang w:val="en-GB"/>
        </w:rPr>
        <w:t>nonadoption</w:t>
      </w:r>
      <w:proofErr w:type="spellEnd"/>
      <w:r w:rsidRPr="00D86DB4">
        <w:rPr>
          <w:rFonts w:cstheme="minorHAnsi"/>
          <w:lang w:val="en-GB"/>
        </w:rPr>
        <w:t xml:space="preserve"> and abandonment of technologies and the challenges associated with moving from a local demonstration project to one that is fully mainstreamed and part of business as usual locally (scale-up), transferable to new settings (spread), and maintained long term through adaption to context over time (sustainability)”. Greenhalgh et al. (2017, p.</w:t>
      </w:r>
      <w:r w:rsidR="000A1531">
        <w:rPr>
          <w:rFonts w:cstheme="minorHAnsi"/>
          <w:lang w:val="en-GB"/>
        </w:rPr>
        <w:t xml:space="preserve"> </w:t>
      </w:r>
      <w:r w:rsidRPr="00D86DB4">
        <w:rPr>
          <w:rFonts w:cstheme="minorHAnsi"/>
          <w:lang w:val="en-GB"/>
        </w:rPr>
        <w:t>15) further argue that the NASSS framework could be used “in a technology implementation project to address the micro-level challenges of individual adoption, the meso-level challenges of organizational assimilation, and the macro-level challenges of the policy and regulatory environment”.</w:t>
      </w:r>
    </w:p>
    <w:p w14:paraId="0725ACE5" w14:textId="46E81FEA" w:rsidR="00A77631" w:rsidRPr="00D86DB4" w:rsidRDefault="00B458EC" w:rsidP="00A77631">
      <w:pPr>
        <w:spacing w:line="360" w:lineRule="auto"/>
        <w:rPr>
          <w:rFonts w:eastAsia="TimesNewRomanPSMT" w:cstheme="minorHAnsi"/>
          <w:lang w:val="en-GB"/>
        </w:rPr>
      </w:pPr>
      <w:r>
        <w:rPr>
          <w:rFonts w:cstheme="minorHAnsi"/>
          <w:lang w:val="en-GB"/>
        </w:rPr>
        <w:t xml:space="preserve">The domains of the NASSS framework are placed in Table 1. </w:t>
      </w:r>
      <w:r w:rsidR="00A77631" w:rsidRPr="00D86DB4">
        <w:rPr>
          <w:rFonts w:cstheme="minorHAnsi"/>
          <w:lang w:val="en-GB"/>
        </w:rPr>
        <w:t xml:space="preserve">The first domain addresses the clinical (Question 1A) and the comorbidities and sociocultural aspects (Question 1B) of the condition. The technology is the second domain and addresses material and technical features (Question 2A), the knowledge generated or made visible (Question 2B), </w:t>
      </w:r>
      <w:r w:rsidR="00A77631" w:rsidRPr="00D86DB4">
        <w:rPr>
          <w:rFonts w:eastAsia="TimesNewRomanPSMT" w:cstheme="minorHAnsi"/>
          <w:lang w:val="en-GB"/>
        </w:rPr>
        <w:t>the knowledge and support needed to use the technology (Question 2C), issues for sustainability raised by the technology supply model (Question 2D). Value proposition is the third domain and considers whether it is worth developing in the first place and addresses the supplier’s upstream- (Question 3A) and consumer’s downstream value (Question 3B). The fourth domain of the adopter system is about adoption (and continued use) of the technology by staff (Question 4A), addresses adoption by patients or clients (Question 4B) and the assumptions that may be built into the technology (or the linked service model) about the availability and behaviour of lay caregivers</w:t>
      </w:r>
      <w:r w:rsidR="002F2A59">
        <w:rPr>
          <w:rFonts w:eastAsia="TimesNewRomanPSMT" w:cstheme="minorHAnsi"/>
          <w:lang w:val="en-GB"/>
        </w:rPr>
        <w:t xml:space="preserve"> (Question 4C)</w:t>
      </w:r>
      <w:r w:rsidR="00A77631" w:rsidRPr="00D86DB4">
        <w:rPr>
          <w:rFonts w:eastAsia="TimesNewRomanPSMT" w:cstheme="minorHAnsi"/>
          <w:lang w:val="en-GB"/>
        </w:rPr>
        <w:t xml:space="preserve">. The organization is the fifth domain and addresses the organization’s capacity (to embrace any service-level innovation) and readiness (for a specific technology) (Question 5A and Question 5B), the adoption decision (Question 5C), the extent to which established work routines will be disrupted or made too brittle by the new technology (Question 5D) and the work involved in implementation (Question 5E). The wider context is the sixth domain and relates to the wider institutional and sociocultural context (Question 6A). Lastly, while the previous domains are on an analytical level, the seventh domain is empirical and considers the interaction between the domains and their adaptation over time. It relates to the medium- and long-term feasibility of continuing to adapt the technology and the </w:t>
      </w:r>
      <w:r w:rsidR="00A77631" w:rsidRPr="00C509B5">
        <w:rPr>
          <w:rFonts w:eastAsia="TimesNewRomanPSMT" w:cstheme="minorHAnsi"/>
          <w:lang w:val="en-GB"/>
        </w:rPr>
        <w:t>program</w:t>
      </w:r>
      <w:r w:rsidR="00A77631" w:rsidRPr="00D86DB4">
        <w:rPr>
          <w:rFonts w:eastAsia="TimesNewRomanPSMT" w:cstheme="minorHAnsi"/>
          <w:lang w:val="en-GB"/>
        </w:rPr>
        <w:t xml:space="preserve"> (Question 7A) and concerns organizational resilience, and particularly reflexive monitoring (Greenhalgh et al, 2017).</w:t>
      </w:r>
    </w:p>
    <w:p w14:paraId="4B668131" w14:textId="77777777" w:rsidR="00A77631" w:rsidRPr="00D86DB4" w:rsidRDefault="00A77631" w:rsidP="00A77631">
      <w:pPr>
        <w:spacing w:line="360" w:lineRule="auto"/>
        <w:rPr>
          <w:rFonts w:eastAsia="TimesNewRomanPSMT" w:cstheme="minorHAnsi"/>
          <w:lang w:val="en-GB"/>
        </w:rPr>
        <w:sectPr w:rsidR="00A77631" w:rsidRPr="00D86DB4" w:rsidSect="00A77631">
          <w:footerReference w:type="default" r:id="rId12"/>
          <w:pgSz w:w="11906" w:h="16838"/>
          <w:pgMar w:top="1417" w:right="1417" w:bottom="1417" w:left="1417" w:header="708" w:footer="708" w:gutter="0"/>
          <w:pgNumType w:start="1"/>
          <w:cols w:space="708"/>
          <w:docGrid w:linePitch="360"/>
        </w:sectPr>
      </w:pPr>
    </w:p>
    <w:tbl>
      <w:tblPr>
        <w:tblStyle w:val="TableGrid"/>
        <w:tblW w:w="5000" w:type="pct"/>
        <w:tblLook w:val="04A0" w:firstRow="1" w:lastRow="0" w:firstColumn="1" w:lastColumn="0" w:noHBand="0" w:noVBand="1"/>
      </w:tblPr>
      <w:tblGrid>
        <w:gridCol w:w="4142"/>
        <w:gridCol w:w="3566"/>
        <w:gridCol w:w="3928"/>
        <w:gridCol w:w="3978"/>
      </w:tblGrid>
      <w:tr w:rsidR="00A77631" w:rsidRPr="00D86DB4" w14:paraId="10CFB760" w14:textId="77777777" w:rsidTr="00A77631">
        <w:trPr>
          <w:trHeight w:val="273"/>
        </w:trPr>
        <w:tc>
          <w:tcPr>
            <w:tcW w:w="5000" w:type="pct"/>
            <w:gridSpan w:val="4"/>
          </w:tcPr>
          <w:p w14:paraId="367710E3" w14:textId="77777777" w:rsidR="00A77631" w:rsidRPr="00D86DB4" w:rsidRDefault="00A77631" w:rsidP="00A77631">
            <w:pPr>
              <w:rPr>
                <w:rFonts w:cstheme="minorHAnsi"/>
                <w:lang w:val="en-GB"/>
              </w:rPr>
            </w:pPr>
            <w:r w:rsidRPr="00D86DB4">
              <w:rPr>
                <w:rFonts w:cstheme="minorHAnsi"/>
                <w:lang w:val="en-GB"/>
              </w:rPr>
              <w:lastRenderedPageBreak/>
              <w:t>Table 1. NASSS Framework</w:t>
            </w:r>
          </w:p>
        </w:tc>
      </w:tr>
      <w:tr w:rsidR="00A77631" w:rsidRPr="00D86DB4" w14:paraId="70FB3AE4" w14:textId="77777777" w:rsidTr="00A77631">
        <w:trPr>
          <w:trHeight w:val="273"/>
        </w:trPr>
        <w:tc>
          <w:tcPr>
            <w:tcW w:w="1326" w:type="pct"/>
          </w:tcPr>
          <w:p w14:paraId="0BBA885D" w14:textId="77777777" w:rsidR="00A77631" w:rsidRPr="00D86DB4" w:rsidRDefault="00A77631" w:rsidP="00A77631">
            <w:pPr>
              <w:rPr>
                <w:rFonts w:cstheme="minorHAnsi"/>
                <w:lang w:val="en-GB"/>
              </w:rPr>
            </w:pPr>
            <w:r w:rsidRPr="00D86DB4">
              <w:rPr>
                <w:rFonts w:cstheme="minorHAnsi"/>
                <w:lang w:val="en-GB"/>
              </w:rPr>
              <w:t>Domain/question</w:t>
            </w:r>
          </w:p>
        </w:tc>
        <w:tc>
          <w:tcPr>
            <w:tcW w:w="1142" w:type="pct"/>
          </w:tcPr>
          <w:p w14:paraId="0E0E0AE4" w14:textId="77777777" w:rsidR="00A77631" w:rsidRPr="00D86DB4" w:rsidRDefault="00A77631" w:rsidP="00A77631">
            <w:pPr>
              <w:rPr>
                <w:rFonts w:cstheme="minorHAnsi"/>
                <w:lang w:val="en-GB"/>
              </w:rPr>
            </w:pPr>
            <w:r w:rsidRPr="00D86DB4">
              <w:rPr>
                <w:rFonts w:cstheme="minorHAnsi"/>
                <w:lang w:val="en-GB"/>
              </w:rPr>
              <w:t>Simple</w:t>
            </w:r>
          </w:p>
        </w:tc>
        <w:tc>
          <w:tcPr>
            <w:tcW w:w="1258" w:type="pct"/>
          </w:tcPr>
          <w:p w14:paraId="4BC47BA8" w14:textId="77777777" w:rsidR="00A77631" w:rsidRPr="00D86DB4" w:rsidRDefault="00A77631" w:rsidP="00A77631">
            <w:pPr>
              <w:rPr>
                <w:rFonts w:cstheme="minorHAnsi"/>
                <w:lang w:val="en-GB"/>
              </w:rPr>
            </w:pPr>
            <w:r w:rsidRPr="00D86DB4">
              <w:rPr>
                <w:rFonts w:cstheme="minorHAnsi"/>
                <w:lang w:val="en-GB"/>
              </w:rPr>
              <w:t>Complicated</w:t>
            </w:r>
          </w:p>
        </w:tc>
        <w:tc>
          <w:tcPr>
            <w:tcW w:w="1274" w:type="pct"/>
          </w:tcPr>
          <w:p w14:paraId="4BC8CA07" w14:textId="77777777" w:rsidR="00A77631" w:rsidRPr="00D86DB4" w:rsidRDefault="00A77631" w:rsidP="00A77631">
            <w:pPr>
              <w:rPr>
                <w:rFonts w:cstheme="minorHAnsi"/>
                <w:lang w:val="en-GB"/>
              </w:rPr>
            </w:pPr>
            <w:r w:rsidRPr="00D86DB4">
              <w:rPr>
                <w:rFonts w:cstheme="minorHAnsi"/>
                <w:lang w:val="en-GB"/>
              </w:rPr>
              <w:t>Complex</w:t>
            </w:r>
          </w:p>
        </w:tc>
      </w:tr>
      <w:tr w:rsidR="00A77631" w:rsidRPr="00A62518" w14:paraId="712C47A6" w14:textId="77777777" w:rsidTr="00A77631">
        <w:trPr>
          <w:trHeight w:val="204"/>
        </w:trPr>
        <w:tc>
          <w:tcPr>
            <w:tcW w:w="5000" w:type="pct"/>
            <w:gridSpan w:val="4"/>
          </w:tcPr>
          <w:p w14:paraId="710F408D" w14:textId="77777777" w:rsidR="00A77631" w:rsidRPr="00D86DB4" w:rsidRDefault="00A77631" w:rsidP="00A77631">
            <w:pPr>
              <w:rPr>
                <w:rFonts w:cstheme="minorHAnsi"/>
                <w:lang w:val="en-GB"/>
              </w:rPr>
            </w:pPr>
            <w:r w:rsidRPr="00D86DB4">
              <w:rPr>
                <w:rFonts w:cstheme="minorHAnsi"/>
                <w:b/>
                <w:bCs/>
                <w:lang w:val="en-GB"/>
              </w:rPr>
              <w:t>Domain 1: The condition or illness</w:t>
            </w:r>
          </w:p>
        </w:tc>
      </w:tr>
      <w:tr w:rsidR="00A77631" w:rsidRPr="00A62518" w14:paraId="05236E15" w14:textId="77777777" w:rsidTr="00A77631">
        <w:trPr>
          <w:trHeight w:val="681"/>
        </w:trPr>
        <w:tc>
          <w:tcPr>
            <w:tcW w:w="1326" w:type="pct"/>
          </w:tcPr>
          <w:p w14:paraId="4AC590D5" w14:textId="77777777" w:rsidR="00A77631" w:rsidRPr="00D86DB4" w:rsidRDefault="00A77631" w:rsidP="00A77631">
            <w:pPr>
              <w:rPr>
                <w:rFonts w:cstheme="minorHAnsi"/>
                <w:lang w:val="en-GB"/>
              </w:rPr>
            </w:pPr>
            <w:r w:rsidRPr="00D86DB4">
              <w:rPr>
                <w:rFonts w:cstheme="minorHAnsi"/>
                <w:lang w:val="en-GB"/>
              </w:rPr>
              <w:t>1A. What is the nature of the condition or illness?</w:t>
            </w:r>
          </w:p>
          <w:p w14:paraId="18521A04" w14:textId="77777777" w:rsidR="00A77631" w:rsidRPr="00D86DB4" w:rsidRDefault="00A77631" w:rsidP="00A77631">
            <w:pPr>
              <w:rPr>
                <w:rFonts w:cstheme="minorHAnsi"/>
                <w:lang w:val="en-GB"/>
              </w:rPr>
            </w:pPr>
          </w:p>
        </w:tc>
        <w:tc>
          <w:tcPr>
            <w:tcW w:w="1142" w:type="pct"/>
          </w:tcPr>
          <w:p w14:paraId="20BCCEB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Well-characterized, well-understood, predictable</w:t>
            </w:r>
          </w:p>
          <w:p w14:paraId="065406D9" w14:textId="77777777" w:rsidR="00A77631" w:rsidRPr="00D86DB4" w:rsidRDefault="00A77631" w:rsidP="00A77631">
            <w:pPr>
              <w:autoSpaceDE w:val="0"/>
              <w:autoSpaceDN w:val="0"/>
              <w:adjustRightInd w:val="0"/>
              <w:jc w:val="left"/>
              <w:rPr>
                <w:rFonts w:eastAsia="TimesNewRomanPSMT" w:cstheme="minorHAnsi"/>
                <w:lang w:val="en-GB"/>
              </w:rPr>
            </w:pPr>
          </w:p>
        </w:tc>
        <w:tc>
          <w:tcPr>
            <w:tcW w:w="1258" w:type="pct"/>
          </w:tcPr>
          <w:p w14:paraId="609772A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Not fully characterized, understood,</w:t>
            </w:r>
          </w:p>
          <w:p w14:paraId="2D170109" w14:textId="77777777" w:rsidR="00A77631" w:rsidRPr="00D86DB4" w:rsidRDefault="00A77631" w:rsidP="00A77631">
            <w:pPr>
              <w:rPr>
                <w:rFonts w:eastAsia="TimesNewRomanPSMT" w:cstheme="minorHAnsi"/>
                <w:lang w:val="en-GB"/>
              </w:rPr>
            </w:pPr>
            <w:r w:rsidRPr="00D86DB4">
              <w:rPr>
                <w:rFonts w:eastAsia="TimesNewRomanPSMT" w:cstheme="minorHAnsi"/>
                <w:lang w:val="en-GB"/>
              </w:rPr>
              <w:t>or predictable</w:t>
            </w:r>
          </w:p>
          <w:p w14:paraId="668F73DC" w14:textId="77777777" w:rsidR="00A77631" w:rsidRPr="00D86DB4" w:rsidRDefault="00A77631" w:rsidP="00A77631">
            <w:pPr>
              <w:autoSpaceDE w:val="0"/>
              <w:autoSpaceDN w:val="0"/>
              <w:adjustRightInd w:val="0"/>
              <w:jc w:val="left"/>
              <w:rPr>
                <w:rFonts w:eastAsia="TimesNewRomanPSMT" w:cstheme="minorHAnsi"/>
                <w:lang w:val="en-GB"/>
              </w:rPr>
            </w:pPr>
          </w:p>
        </w:tc>
        <w:tc>
          <w:tcPr>
            <w:tcW w:w="1274" w:type="pct"/>
          </w:tcPr>
          <w:p w14:paraId="285CA49A" w14:textId="77777777" w:rsidR="00A77631" w:rsidRPr="00D86DB4" w:rsidRDefault="00A77631" w:rsidP="00A77631">
            <w:pPr>
              <w:autoSpaceDE w:val="0"/>
              <w:autoSpaceDN w:val="0"/>
              <w:adjustRightInd w:val="0"/>
              <w:jc w:val="left"/>
              <w:rPr>
                <w:rFonts w:cstheme="minorHAnsi"/>
                <w:lang w:val="en-GB"/>
              </w:rPr>
            </w:pPr>
            <w:r w:rsidRPr="00D86DB4">
              <w:rPr>
                <w:rFonts w:eastAsia="TimesNewRomanPSMT" w:cstheme="minorHAnsi"/>
                <w:lang w:val="en-GB"/>
              </w:rPr>
              <w:t>Poorly characterized, poorly understood, unpredictable, or high risk</w:t>
            </w:r>
          </w:p>
        </w:tc>
      </w:tr>
      <w:tr w:rsidR="00A77631" w:rsidRPr="00A62518" w14:paraId="334C331E" w14:textId="77777777" w:rsidTr="00A77631">
        <w:trPr>
          <w:trHeight w:val="376"/>
        </w:trPr>
        <w:tc>
          <w:tcPr>
            <w:tcW w:w="1326" w:type="pct"/>
          </w:tcPr>
          <w:p w14:paraId="3B42CFB4"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1B. What are the relevant socio-cultural factors and comorbidities?</w:t>
            </w:r>
          </w:p>
        </w:tc>
        <w:tc>
          <w:tcPr>
            <w:tcW w:w="1142" w:type="pct"/>
          </w:tcPr>
          <w:p w14:paraId="0D270F7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Unlikely to affect care significantly</w:t>
            </w:r>
          </w:p>
        </w:tc>
        <w:tc>
          <w:tcPr>
            <w:tcW w:w="1258" w:type="pct"/>
          </w:tcPr>
          <w:p w14:paraId="2E88673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Must be factored into care plan and</w:t>
            </w:r>
          </w:p>
          <w:p w14:paraId="41EBE0C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service model</w:t>
            </w:r>
          </w:p>
        </w:tc>
        <w:tc>
          <w:tcPr>
            <w:tcW w:w="1274" w:type="pct"/>
          </w:tcPr>
          <w:p w14:paraId="1119FBB2"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Pose significant challenges to care</w:t>
            </w:r>
          </w:p>
          <w:p w14:paraId="2CD99C41" w14:textId="77777777" w:rsidR="00A77631" w:rsidRPr="00D86DB4" w:rsidRDefault="00A77631" w:rsidP="00A77631">
            <w:pPr>
              <w:rPr>
                <w:rFonts w:cstheme="minorHAnsi"/>
                <w:lang w:val="en-GB"/>
              </w:rPr>
            </w:pPr>
            <w:r w:rsidRPr="00D86DB4">
              <w:rPr>
                <w:rFonts w:eastAsia="TimesNewRomanPSMT" w:cstheme="minorHAnsi"/>
                <w:lang w:val="en-GB"/>
              </w:rPr>
              <w:t>planning and service provision</w:t>
            </w:r>
          </w:p>
        </w:tc>
      </w:tr>
      <w:tr w:rsidR="00A77631" w:rsidRPr="00D86DB4" w14:paraId="1A17FACA" w14:textId="77777777" w:rsidTr="00A77631">
        <w:trPr>
          <w:trHeight w:val="286"/>
        </w:trPr>
        <w:tc>
          <w:tcPr>
            <w:tcW w:w="5000" w:type="pct"/>
            <w:gridSpan w:val="4"/>
          </w:tcPr>
          <w:p w14:paraId="0D51E702"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cstheme="minorHAnsi"/>
                <w:b/>
                <w:bCs/>
              </w:rPr>
              <w:t>Domain 2: The technology</w:t>
            </w:r>
          </w:p>
        </w:tc>
      </w:tr>
      <w:tr w:rsidR="00A77631" w:rsidRPr="00D86DB4" w14:paraId="20894283" w14:textId="77777777" w:rsidTr="00A77631">
        <w:trPr>
          <w:trHeight w:val="559"/>
        </w:trPr>
        <w:tc>
          <w:tcPr>
            <w:tcW w:w="1326" w:type="pct"/>
          </w:tcPr>
          <w:p w14:paraId="24FCE0A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2A. What are the key features of </w:t>
            </w:r>
            <w:proofErr w:type="gramStart"/>
            <w:r w:rsidRPr="00D86DB4">
              <w:rPr>
                <w:rFonts w:eastAsia="TimesNewRomanPSMT" w:cstheme="minorHAnsi"/>
                <w:lang w:val="en-GB"/>
              </w:rPr>
              <w:t>the</w:t>
            </w:r>
            <w:proofErr w:type="gramEnd"/>
          </w:p>
          <w:p w14:paraId="1443A5F6" w14:textId="77777777" w:rsidR="00A77631" w:rsidRPr="00D86DB4" w:rsidRDefault="00A77631" w:rsidP="00A77631">
            <w:pPr>
              <w:autoSpaceDE w:val="0"/>
              <w:autoSpaceDN w:val="0"/>
              <w:adjustRightInd w:val="0"/>
              <w:jc w:val="left"/>
              <w:rPr>
                <w:rFonts w:cstheme="minorHAnsi"/>
                <w:b/>
                <w:bCs/>
              </w:rPr>
            </w:pPr>
            <w:r w:rsidRPr="00D86DB4">
              <w:rPr>
                <w:rFonts w:eastAsia="TimesNewRomanPSMT" w:cstheme="minorHAnsi"/>
              </w:rPr>
              <w:t>technology?</w:t>
            </w:r>
          </w:p>
        </w:tc>
        <w:tc>
          <w:tcPr>
            <w:tcW w:w="1142" w:type="pct"/>
          </w:tcPr>
          <w:p w14:paraId="02429DC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Off-the-shelf or already installed,</w:t>
            </w:r>
          </w:p>
          <w:p w14:paraId="50AC3CE7"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freestanding, dependable</w:t>
            </w:r>
          </w:p>
        </w:tc>
        <w:tc>
          <w:tcPr>
            <w:tcW w:w="1258" w:type="pct"/>
          </w:tcPr>
          <w:p w14:paraId="7AA940AF"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Not yet developed or fully interoperable; not 100% dependable</w:t>
            </w:r>
          </w:p>
        </w:tc>
        <w:tc>
          <w:tcPr>
            <w:tcW w:w="1274" w:type="pct"/>
          </w:tcPr>
          <w:p w14:paraId="4A237774"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Requires close embedding in complex technical systems; significant</w:t>
            </w:r>
          </w:p>
          <w:p w14:paraId="4DAA7CF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dependability issues</w:t>
            </w:r>
          </w:p>
        </w:tc>
      </w:tr>
      <w:tr w:rsidR="00A77631" w:rsidRPr="00D86DB4" w14:paraId="41B85B58" w14:textId="77777777" w:rsidTr="00A77631">
        <w:trPr>
          <w:trHeight w:val="285"/>
        </w:trPr>
        <w:tc>
          <w:tcPr>
            <w:tcW w:w="1326" w:type="pct"/>
          </w:tcPr>
          <w:p w14:paraId="4CC95E3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2B. What kind of knowledge does the technology bring into play?</w:t>
            </w:r>
          </w:p>
        </w:tc>
        <w:tc>
          <w:tcPr>
            <w:tcW w:w="1142" w:type="pct"/>
          </w:tcPr>
          <w:p w14:paraId="642FB6B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Directly and transparently measures [changes in] the condition</w:t>
            </w:r>
          </w:p>
        </w:tc>
        <w:tc>
          <w:tcPr>
            <w:tcW w:w="1258" w:type="pct"/>
          </w:tcPr>
          <w:p w14:paraId="1581BC2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Partially and indirectly measures</w:t>
            </w:r>
          </w:p>
          <w:p w14:paraId="2D1B57E4"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[changes in] the condition</w:t>
            </w:r>
          </w:p>
        </w:tc>
        <w:tc>
          <w:tcPr>
            <w:tcW w:w="1274" w:type="pct"/>
          </w:tcPr>
          <w:p w14:paraId="0D07A31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Link between data generated and</w:t>
            </w:r>
          </w:p>
          <w:p w14:paraId="79096ED7"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[changes in] the condition is currently</w:t>
            </w:r>
          </w:p>
          <w:p w14:paraId="79EE301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unpredictable or contested</w:t>
            </w:r>
          </w:p>
        </w:tc>
      </w:tr>
      <w:tr w:rsidR="00A77631" w:rsidRPr="00A62518" w14:paraId="329C5733" w14:textId="77777777" w:rsidTr="00A77631">
        <w:trPr>
          <w:trHeight w:val="312"/>
        </w:trPr>
        <w:tc>
          <w:tcPr>
            <w:tcW w:w="1326" w:type="pct"/>
          </w:tcPr>
          <w:p w14:paraId="5895093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2C. What knowledge and/or support is required to use the technology?</w:t>
            </w:r>
          </w:p>
        </w:tc>
        <w:tc>
          <w:tcPr>
            <w:tcW w:w="1142" w:type="pct"/>
          </w:tcPr>
          <w:p w14:paraId="688FA9C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None or a simple set of instructions</w:t>
            </w:r>
          </w:p>
        </w:tc>
        <w:tc>
          <w:tcPr>
            <w:tcW w:w="1258" w:type="pct"/>
          </w:tcPr>
          <w:p w14:paraId="6A70D124"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Detailed instruction and training</w:t>
            </w:r>
          </w:p>
          <w:p w14:paraId="0514457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needed, perhaps with ongoing</w:t>
            </w:r>
          </w:p>
          <w:p w14:paraId="75B9DBF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helpdesk support</w:t>
            </w:r>
          </w:p>
        </w:tc>
        <w:tc>
          <w:tcPr>
            <w:tcW w:w="1274" w:type="pct"/>
          </w:tcPr>
          <w:p w14:paraId="7637941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Effective use of technology requires</w:t>
            </w:r>
          </w:p>
          <w:p w14:paraId="4D39847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advanced training and/or support to adjust to new identity or organizational role</w:t>
            </w:r>
          </w:p>
        </w:tc>
      </w:tr>
      <w:tr w:rsidR="00A77631" w:rsidRPr="00A62518" w14:paraId="70BB0851" w14:textId="77777777" w:rsidTr="00A77631">
        <w:trPr>
          <w:trHeight w:val="70"/>
        </w:trPr>
        <w:tc>
          <w:tcPr>
            <w:tcW w:w="1326" w:type="pct"/>
          </w:tcPr>
          <w:p w14:paraId="32CA045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2D. What is the technology supply model?</w:t>
            </w:r>
          </w:p>
        </w:tc>
        <w:tc>
          <w:tcPr>
            <w:tcW w:w="1142" w:type="pct"/>
          </w:tcPr>
          <w:p w14:paraId="0B14412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Generic, “plug and play,” or</w:t>
            </w:r>
          </w:p>
          <w:p w14:paraId="2314A267"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Customizable, off-the-shelf (COTS) solutions requiring minimal customization; easily substitutable if supplier withdraws</w:t>
            </w:r>
          </w:p>
        </w:tc>
        <w:tc>
          <w:tcPr>
            <w:tcW w:w="1258" w:type="pct"/>
          </w:tcPr>
          <w:p w14:paraId="69A7217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COTS solutions requiring significant customization or bespoke solutions; substitution difficult if supplier withdraws</w:t>
            </w:r>
          </w:p>
        </w:tc>
        <w:tc>
          <w:tcPr>
            <w:tcW w:w="1274" w:type="pct"/>
          </w:tcPr>
          <w:p w14:paraId="4BBB6FC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Solutions requiring significant organizational reconfiguration or medium- to large scale-bespoke solutions; highly vulnerable to supplier withdrawal</w:t>
            </w:r>
          </w:p>
        </w:tc>
      </w:tr>
      <w:tr w:rsidR="00A77631" w:rsidRPr="00D86DB4" w14:paraId="3B2374BA" w14:textId="77777777" w:rsidTr="00A77631">
        <w:trPr>
          <w:trHeight w:val="70"/>
        </w:trPr>
        <w:tc>
          <w:tcPr>
            <w:tcW w:w="5000" w:type="pct"/>
            <w:gridSpan w:val="4"/>
          </w:tcPr>
          <w:p w14:paraId="523AF70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cstheme="minorHAnsi"/>
                <w:b/>
                <w:bCs/>
              </w:rPr>
              <w:t>Domain 3: The value proposition</w:t>
            </w:r>
          </w:p>
        </w:tc>
      </w:tr>
      <w:tr w:rsidR="00A77631" w:rsidRPr="00A62518" w14:paraId="7068F38C" w14:textId="77777777" w:rsidTr="00A77631">
        <w:trPr>
          <w:trHeight w:val="460"/>
        </w:trPr>
        <w:tc>
          <w:tcPr>
            <w:tcW w:w="1326" w:type="pct"/>
          </w:tcPr>
          <w:p w14:paraId="5A41CB5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3A. What is the developer’s </w:t>
            </w:r>
            <w:proofErr w:type="gramStart"/>
            <w:r w:rsidRPr="00D86DB4">
              <w:rPr>
                <w:rFonts w:eastAsia="TimesNewRomanPSMT" w:cstheme="minorHAnsi"/>
                <w:lang w:val="en-GB"/>
              </w:rPr>
              <w:t>business</w:t>
            </w:r>
            <w:proofErr w:type="gramEnd"/>
          </w:p>
          <w:p w14:paraId="292315FC" w14:textId="77777777" w:rsidR="00A77631" w:rsidRPr="00D86DB4" w:rsidRDefault="00A77631" w:rsidP="00A77631">
            <w:pPr>
              <w:autoSpaceDE w:val="0"/>
              <w:autoSpaceDN w:val="0"/>
              <w:adjustRightInd w:val="0"/>
              <w:jc w:val="left"/>
              <w:rPr>
                <w:rFonts w:cstheme="minorHAnsi"/>
                <w:b/>
                <w:bCs/>
                <w:lang w:val="en-GB"/>
              </w:rPr>
            </w:pPr>
            <w:r w:rsidRPr="00D86DB4">
              <w:rPr>
                <w:rFonts w:eastAsia="TimesNewRomanPSMT" w:cstheme="minorHAnsi"/>
                <w:lang w:val="en-GB"/>
              </w:rPr>
              <w:t>case for the technology (supply-side value)?</w:t>
            </w:r>
          </w:p>
        </w:tc>
        <w:tc>
          <w:tcPr>
            <w:tcW w:w="1142" w:type="pct"/>
          </w:tcPr>
          <w:p w14:paraId="420F39A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Clear business case with strong</w:t>
            </w:r>
          </w:p>
          <w:p w14:paraId="5D2415C8"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chance of return on investment</w:t>
            </w:r>
          </w:p>
        </w:tc>
        <w:tc>
          <w:tcPr>
            <w:tcW w:w="1258" w:type="pct"/>
          </w:tcPr>
          <w:p w14:paraId="4C64907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Business case underdeveloped; potential risk to investors</w:t>
            </w:r>
          </w:p>
        </w:tc>
        <w:tc>
          <w:tcPr>
            <w:tcW w:w="1274" w:type="pct"/>
          </w:tcPr>
          <w:p w14:paraId="49080EC2"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Business case implausible; significant</w:t>
            </w:r>
          </w:p>
          <w:p w14:paraId="552B124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risk to investors</w:t>
            </w:r>
          </w:p>
        </w:tc>
      </w:tr>
      <w:tr w:rsidR="00A77631" w:rsidRPr="00D86DB4" w14:paraId="196A8937" w14:textId="77777777" w:rsidTr="00A77631">
        <w:trPr>
          <w:trHeight w:val="357"/>
        </w:trPr>
        <w:tc>
          <w:tcPr>
            <w:tcW w:w="1326" w:type="pct"/>
          </w:tcPr>
          <w:p w14:paraId="0554463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3B. What is its desirability, efficacy, safety, and cost effectiveness (demand-side value)?</w:t>
            </w:r>
          </w:p>
        </w:tc>
        <w:tc>
          <w:tcPr>
            <w:tcW w:w="1142" w:type="pct"/>
          </w:tcPr>
          <w:p w14:paraId="0D154A8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Technology is desirable for patients,</w:t>
            </w:r>
          </w:p>
          <w:p w14:paraId="04D8BB2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effective, safe, and cost effective</w:t>
            </w:r>
          </w:p>
        </w:tc>
        <w:tc>
          <w:tcPr>
            <w:tcW w:w="1258" w:type="pct"/>
          </w:tcPr>
          <w:p w14:paraId="099114D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Technology’s desirability, efficacy,</w:t>
            </w:r>
          </w:p>
          <w:p w14:paraId="1DD99377"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safety, or cost effectiveness is unknown or contested</w:t>
            </w:r>
          </w:p>
        </w:tc>
        <w:tc>
          <w:tcPr>
            <w:tcW w:w="1274" w:type="pct"/>
          </w:tcPr>
          <w:p w14:paraId="3EFAEC6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Significant possibility that technology</w:t>
            </w:r>
          </w:p>
          <w:p w14:paraId="3B4C4A1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is undesirable, unsafe, ineffective,</w:t>
            </w:r>
          </w:p>
          <w:p w14:paraId="78C42FC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or unaffordable</w:t>
            </w:r>
          </w:p>
        </w:tc>
      </w:tr>
      <w:tr w:rsidR="00A77631" w:rsidRPr="00D86DB4" w14:paraId="64274BB0" w14:textId="77777777" w:rsidTr="00A77631">
        <w:trPr>
          <w:trHeight w:val="70"/>
        </w:trPr>
        <w:tc>
          <w:tcPr>
            <w:tcW w:w="5000" w:type="pct"/>
            <w:gridSpan w:val="4"/>
          </w:tcPr>
          <w:p w14:paraId="271ED03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cstheme="minorHAnsi"/>
                <w:b/>
                <w:bCs/>
              </w:rPr>
              <w:t>Domain 4: The adopter system</w:t>
            </w:r>
          </w:p>
        </w:tc>
      </w:tr>
      <w:tr w:rsidR="00A77631" w:rsidRPr="00A62518" w14:paraId="5E539D8D" w14:textId="77777777" w:rsidTr="00A77631">
        <w:trPr>
          <w:trHeight w:val="428"/>
        </w:trPr>
        <w:tc>
          <w:tcPr>
            <w:tcW w:w="1326" w:type="pct"/>
          </w:tcPr>
          <w:p w14:paraId="528F7A20" w14:textId="77777777" w:rsidR="00A77631" w:rsidRPr="00D86DB4" w:rsidRDefault="00A77631" w:rsidP="00A77631">
            <w:pPr>
              <w:autoSpaceDE w:val="0"/>
              <w:autoSpaceDN w:val="0"/>
              <w:adjustRightInd w:val="0"/>
              <w:jc w:val="left"/>
              <w:rPr>
                <w:rFonts w:cstheme="minorHAnsi"/>
                <w:b/>
                <w:bCs/>
                <w:lang w:val="en-GB"/>
              </w:rPr>
            </w:pPr>
            <w:r w:rsidRPr="00D86DB4">
              <w:rPr>
                <w:rFonts w:eastAsia="TimesNewRomanPSMT" w:cstheme="minorHAnsi"/>
                <w:lang w:val="en-GB"/>
              </w:rPr>
              <w:t xml:space="preserve">4A. </w:t>
            </w:r>
            <w:bookmarkStart w:id="35" w:name="_Hlk47788240"/>
            <w:r w:rsidRPr="00D86DB4">
              <w:rPr>
                <w:rFonts w:eastAsia="TimesNewRomanPSMT" w:cstheme="minorHAnsi"/>
                <w:lang w:val="en-GB"/>
              </w:rPr>
              <w:t>What changes in staff roles, practices, and identities are implied?</w:t>
            </w:r>
            <w:bookmarkEnd w:id="35"/>
          </w:p>
        </w:tc>
        <w:tc>
          <w:tcPr>
            <w:tcW w:w="1142" w:type="pct"/>
          </w:tcPr>
          <w:p w14:paraId="654CF9A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None</w:t>
            </w:r>
          </w:p>
        </w:tc>
        <w:tc>
          <w:tcPr>
            <w:tcW w:w="1258" w:type="pct"/>
          </w:tcPr>
          <w:p w14:paraId="5511BE27"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Existing staff must learn new skills</w:t>
            </w:r>
          </w:p>
          <w:p w14:paraId="24B8B32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and/or new staff be appointed</w:t>
            </w:r>
          </w:p>
        </w:tc>
        <w:tc>
          <w:tcPr>
            <w:tcW w:w="1274" w:type="pct"/>
          </w:tcPr>
          <w:p w14:paraId="5CBD1EC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Threat to professional identity, values, or scope of practice; risk of job loss</w:t>
            </w:r>
          </w:p>
        </w:tc>
      </w:tr>
      <w:tr w:rsidR="00A77631" w:rsidRPr="00A62518" w14:paraId="0DA4C2F5" w14:textId="77777777" w:rsidTr="00A77631">
        <w:trPr>
          <w:trHeight w:val="327"/>
        </w:trPr>
        <w:tc>
          <w:tcPr>
            <w:tcW w:w="1326" w:type="pct"/>
            <w:tcBorders>
              <w:bottom w:val="single" w:sz="4" w:space="0" w:color="auto"/>
            </w:tcBorders>
          </w:tcPr>
          <w:p w14:paraId="48D0067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4B. </w:t>
            </w:r>
            <w:bookmarkStart w:id="36" w:name="_Hlk47788245"/>
            <w:r w:rsidRPr="00D86DB4">
              <w:rPr>
                <w:rFonts w:eastAsia="TimesNewRomanPSMT" w:cstheme="minorHAnsi"/>
                <w:lang w:val="en-GB"/>
              </w:rPr>
              <w:t>What is expected of the patient (and/or immediate caregiver)—and is this achievable by, and acceptable to, them?</w:t>
            </w:r>
            <w:bookmarkEnd w:id="36"/>
          </w:p>
        </w:tc>
        <w:tc>
          <w:tcPr>
            <w:tcW w:w="1142" w:type="pct"/>
            <w:tcBorders>
              <w:bottom w:val="single" w:sz="4" w:space="0" w:color="auto"/>
            </w:tcBorders>
          </w:tcPr>
          <w:p w14:paraId="6F94A758"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Nothing</w:t>
            </w:r>
          </w:p>
        </w:tc>
        <w:tc>
          <w:tcPr>
            <w:tcW w:w="1258" w:type="pct"/>
            <w:tcBorders>
              <w:bottom w:val="single" w:sz="4" w:space="0" w:color="auto"/>
            </w:tcBorders>
          </w:tcPr>
          <w:p w14:paraId="34E4C9F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Routine tasks, </w:t>
            </w:r>
            <w:proofErr w:type="spellStart"/>
            <w:r w:rsidRPr="00D86DB4">
              <w:rPr>
                <w:rFonts w:eastAsia="TimesNewRomanPSMT" w:cstheme="minorHAnsi"/>
                <w:lang w:val="en-GB"/>
              </w:rPr>
              <w:t>eg</w:t>
            </w:r>
            <w:proofErr w:type="spellEnd"/>
            <w:r w:rsidRPr="00D86DB4">
              <w:rPr>
                <w:rFonts w:eastAsia="TimesNewRomanPSMT" w:cstheme="minorHAnsi"/>
                <w:lang w:val="en-GB"/>
              </w:rPr>
              <w:t>, log on, enter data,</w:t>
            </w:r>
          </w:p>
          <w:p w14:paraId="4823D67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converse</w:t>
            </w:r>
          </w:p>
        </w:tc>
        <w:tc>
          <w:tcPr>
            <w:tcW w:w="1274" w:type="pct"/>
            <w:tcBorders>
              <w:bottom w:val="single" w:sz="4" w:space="0" w:color="auto"/>
            </w:tcBorders>
          </w:tcPr>
          <w:p w14:paraId="21E7DB7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Complex tasks, </w:t>
            </w:r>
            <w:proofErr w:type="spellStart"/>
            <w:r w:rsidRPr="00D86DB4">
              <w:rPr>
                <w:rFonts w:eastAsia="TimesNewRomanPSMT" w:cstheme="minorHAnsi"/>
                <w:lang w:val="en-GB"/>
              </w:rPr>
              <w:t>eg</w:t>
            </w:r>
            <w:proofErr w:type="spellEnd"/>
            <w:r w:rsidRPr="00D86DB4">
              <w:rPr>
                <w:rFonts w:eastAsia="TimesNewRomanPSMT" w:cstheme="minorHAnsi"/>
                <w:lang w:val="en-GB"/>
              </w:rPr>
              <w:t>, initiate changes</w:t>
            </w:r>
          </w:p>
          <w:p w14:paraId="56DA3EB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in therapy, make judgments, organize</w:t>
            </w:r>
          </w:p>
        </w:tc>
      </w:tr>
      <w:tr w:rsidR="00A77631" w:rsidRPr="00A62518" w14:paraId="5467A286" w14:textId="77777777" w:rsidTr="00A77631">
        <w:trPr>
          <w:trHeight w:val="70"/>
        </w:trPr>
        <w:tc>
          <w:tcPr>
            <w:tcW w:w="1326" w:type="pct"/>
            <w:tcBorders>
              <w:bottom w:val="single" w:sz="4" w:space="0" w:color="auto"/>
            </w:tcBorders>
          </w:tcPr>
          <w:p w14:paraId="04D7E7A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lastRenderedPageBreak/>
              <w:t xml:space="preserve">4C. </w:t>
            </w:r>
            <w:bookmarkStart w:id="37" w:name="_Hlk47788250"/>
            <w:r w:rsidRPr="00D86DB4">
              <w:rPr>
                <w:rFonts w:eastAsia="TimesNewRomanPSMT" w:cstheme="minorHAnsi"/>
                <w:lang w:val="en-GB"/>
              </w:rPr>
              <w:t>What is assumed about the extended network of lay caregivers?</w:t>
            </w:r>
            <w:bookmarkEnd w:id="37"/>
          </w:p>
        </w:tc>
        <w:tc>
          <w:tcPr>
            <w:tcW w:w="1142" w:type="pct"/>
            <w:tcBorders>
              <w:bottom w:val="single" w:sz="4" w:space="0" w:color="auto"/>
            </w:tcBorders>
          </w:tcPr>
          <w:p w14:paraId="69DDCEE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None</w:t>
            </w:r>
          </w:p>
        </w:tc>
        <w:tc>
          <w:tcPr>
            <w:tcW w:w="1258" w:type="pct"/>
            <w:tcBorders>
              <w:bottom w:val="single" w:sz="4" w:space="0" w:color="auto"/>
            </w:tcBorders>
          </w:tcPr>
          <w:p w14:paraId="7D581FD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Assumes a caregiver will be available</w:t>
            </w:r>
          </w:p>
          <w:p w14:paraId="38CAF28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when needed</w:t>
            </w:r>
          </w:p>
        </w:tc>
        <w:tc>
          <w:tcPr>
            <w:tcW w:w="1274" w:type="pct"/>
            <w:tcBorders>
              <w:bottom w:val="single" w:sz="4" w:space="0" w:color="auto"/>
            </w:tcBorders>
          </w:tcPr>
          <w:p w14:paraId="5CC6A9C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Assumes a network of caregivers</w:t>
            </w:r>
          </w:p>
          <w:p w14:paraId="4C6B88B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with ability to coordinate their input</w:t>
            </w:r>
          </w:p>
        </w:tc>
      </w:tr>
      <w:tr w:rsidR="00A77631" w:rsidRPr="00A62518" w14:paraId="02DBA008" w14:textId="77777777" w:rsidTr="00A77631">
        <w:trPr>
          <w:trHeight w:val="70"/>
        </w:trPr>
        <w:tc>
          <w:tcPr>
            <w:tcW w:w="5000" w:type="pct"/>
            <w:gridSpan w:val="4"/>
            <w:tcBorders>
              <w:top w:val="single" w:sz="4" w:space="0" w:color="auto"/>
              <w:left w:val="nil"/>
              <w:bottom w:val="nil"/>
              <w:right w:val="nil"/>
            </w:tcBorders>
          </w:tcPr>
          <w:p w14:paraId="26D2DFAC" w14:textId="77777777" w:rsidR="00A77631" w:rsidRPr="00D86DB4" w:rsidRDefault="00A77631" w:rsidP="00A77631">
            <w:pPr>
              <w:autoSpaceDE w:val="0"/>
              <w:autoSpaceDN w:val="0"/>
              <w:adjustRightInd w:val="0"/>
              <w:jc w:val="left"/>
              <w:rPr>
                <w:rFonts w:cstheme="minorHAnsi"/>
                <w:b/>
                <w:bCs/>
                <w:lang w:val="en-GB"/>
              </w:rPr>
            </w:pPr>
          </w:p>
        </w:tc>
      </w:tr>
      <w:tr w:rsidR="00A77631" w:rsidRPr="00A62518" w14:paraId="41AEDCDB" w14:textId="77777777" w:rsidTr="00A77631">
        <w:trPr>
          <w:trHeight w:val="70"/>
        </w:trPr>
        <w:tc>
          <w:tcPr>
            <w:tcW w:w="5000" w:type="pct"/>
            <w:gridSpan w:val="4"/>
            <w:tcBorders>
              <w:top w:val="nil"/>
              <w:left w:val="nil"/>
              <w:bottom w:val="single" w:sz="4" w:space="0" w:color="auto"/>
              <w:right w:val="nil"/>
            </w:tcBorders>
          </w:tcPr>
          <w:p w14:paraId="3E96FE84" w14:textId="77777777" w:rsidR="00A77631" w:rsidRPr="00D86DB4" w:rsidRDefault="00A77631" w:rsidP="00A77631">
            <w:pPr>
              <w:autoSpaceDE w:val="0"/>
              <w:autoSpaceDN w:val="0"/>
              <w:adjustRightInd w:val="0"/>
              <w:jc w:val="left"/>
              <w:rPr>
                <w:rFonts w:cstheme="minorHAnsi"/>
                <w:b/>
                <w:bCs/>
                <w:lang w:val="en-GB"/>
              </w:rPr>
            </w:pPr>
          </w:p>
        </w:tc>
      </w:tr>
      <w:tr w:rsidR="00A77631" w:rsidRPr="00D86DB4" w14:paraId="10087E86" w14:textId="77777777" w:rsidTr="00A77631">
        <w:trPr>
          <w:trHeight w:val="70"/>
        </w:trPr>
        <w:tc>
          <w:tcPr>
            <w:tcW w:w="5000" w:type="pct"/>
            <w:gridSpan w:val="4"/>
            <w:tcBorders>
              <w:top w:val="single" w:sz="4" w:space="0" w:color="auto"/>
            </w:tcBorders>
          </w:tcPr>
          <w:p w14:paraId="6C5B924D"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cstheme="minorHAnsi"/>
                <w:b/>
                <w:bCs/>
              </w:rPr>
              <w:t>Domain 5: The organization</w:t>
            </w:r>
          </w:p>
        </w:tc>
      </w:tr>
      <w:tr w:rsidR="00A77631" w:rsidRPr="00A62518" w14:paraId="4C609ABD" w14:textId="77777777" w:rsidTr="00A77631">
        <w:trPr>
          <w:trHeight w:val="396"/>
        </w:trPr>
        <w:tc>
          <w:tcPr>
            <w:tcW w:w="1326" w:type="pct"/>
          </w:tcPr>
          <w:p w14:paraId="30EA998C" w14:textId="77777777" w:rsidR="00A77631" w:rsidRPr="00D86DB4" w:rsidRDefault="00A77631" w:rsidP="00A77631">
            <w:pPr>
              <w:autoSpaceDE w:val="0"/>
              <w:autoSpaceDN w:val="0"/>
              <w:adjustRightInd w:val="0"/>
              <w:jc w:val="left"/>
              <w:rPr>
                <w:rFonts w:cstheme="minorHAnsi"/>
                <w:b/>
                <w:bCs/>
                <w:lang w:val="en-GB"/>
              </w:rPr>
            </w:pPr>
            <w:r w:rsidRPr="00D86DB4">
              <w:rPr>
                <w:rFonts w:eastAsia="TimesNewRomanPSMT" w:cstheme="minorHAnsi"/>
                <w:lang w:val="en-GB"/>
              </w:rPr>
              <w:t xml:space="preserve">5A. </w:t>
            </w:r>
            <w:bookmarkStart w:id="38" w:name="_Hlk47788259"/>
            <w:r w:rsidRPr="00D86DB4">
              <w:rPr>
                <w:rFonts w:eastAsia="TimesNewRomanPSMT" w:cstheme="minorHAnsi"/>
                <w:lang w:val="en-GB"/>
              </w:rPr>
              <w:t>What is the organization’s capacity to innovate?</w:t>
            </w:r>
            <w:bookmarkEnd w:id="38"/>
          </w:p>
        </w:tc>
        <w:tc>
          <w:tcPr>
            <w:tcW w:w="1142" w:type="pct"/>
          </w:tcPr>
          <w:p w14:paraId="3311528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Well-led organization with slack</w:t>
            </w:r>
          </w:p>
          <w:p w14:paraId="3A9891A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resources and good managerial relations; risk taking encouraged</w:t>
            </w:r>
          </w:p>
        </w:tc>
        <w:tc>
          <w:tcPr>
            <w:tcW w:w="1258" w:type="pct"/>
          </w:tcPr>
          <w:p w14:paraId="0A18E13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Limited slack resources; suboptimal</w:t>
            </w:r>
          </w:p>
          <w:p w14:paraId="7784557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leadership and managerial </w:t>
            </w:r>
            <w:proofErr w:type="gramStart"/>
            <w:r w:rsidRPr="00D86DB4">
              <w:rPr>
                <w:rFonts w:eastAsia="TimesNewRomanPSMT" w:cstheme="minorHAnsi"/>
                <w:lang w:val="en-GB"/>
              </w:rPr>
              <w:t>relations;</w:t>
            </w:r>
            <w:proofErr w:type="gramEnd"/>
          </w:p>
          <w:p w14:paraId="2ACEA9D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risk taking not encouraged</w:t>
            </w:r>
          </w:p>
        </w:tc>
        <w:tc>
          <w:tcPr>
            <w:tcW w:w="1274" w:type="pct"/>
          </w:tcPr>
          <w:p w14:paraId="555581C7"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Severe resource pressures (</w:t>
            </w:r>
            <w:proofErr w:type="spellStart"/>
            <w:r w:rsidRPr="00D86DB4">
              <w:rPr>
                <w:rFonts w:eastAsia="TimesNewRomanPSMT" w:cstheme="minorHAnsi"/>
                <w:lang w:val="en-GB"/>
              </w:rPr>
              <w:t>eg</w:t>
            </w:r>
            <w:proofErr w:type="spellEnd"/>
            <w:r w:rsidRPr="00D86DB4">
              <w:rPr>
                <w:rFonts w:eastAsia="TimesNewRomanPSMT" w:cstheme="minorHAnsi"/>
                <w:lang w:val="en-GB"/>
              </w:rPr>
              <w:t>, frozen posts); weak leadership and managerial relations; risk taking may be punished</w:t>
            </w:r>
          </w:p>
        </w:tc>
      </w:tr>
      <w:tr w:rsidR="00A77631" w:rsidRPr="00A62518" w14:paraId="5290A820" w14:textId="77777777" w:rsidTr="00A77631">
        <w:trPr>
          <w:trHeight w:val="70"/>
        </w:trPr>
        <w:tc>
          <w:tcPr>
            <w:tcW w:w="1326" w:type="pct"/>
          </w:tcPr>
          <w:p w14:paraId="311D30A2"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5B. </w:t>
            </w:r>
            <w:bookmarkStart w:id="39" w:name="_Hlk47788267"/>
            <w:r w:rsidRPr="00D86DB4">
              <w:rPr>
                <w:rFonts w:eastAsia="TimesNewRomanPSMT" w:cstheme="minorHAnsi"/>
                <w:lang w:val="en-GB"/>
              </w:rPr>
              <w:t>How ready is the organization for this technology-supported change?</w:t>
            </w:r>
            <w:bookmarkEnd w:id="39"/>
          </w:p>
        </w:tc>
        <w:tc>
          <w:tcPr>
            <w:tcW w:w="1142" w:type="pct"/>
          </w:tcPr>
          <w:p w14:paraId="47DF86E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High tension for change, good innovation-system fit, widespread support</w:t>
            </w:r>
          </w:p>
        </w:tc>
        <w:tc>
          <w:tcPr>
            <w:tcW w:w="1258" w:type="pct"/>
          </w:tcPr>
          <w:p w14:paraId="654618E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Little tension for change; moderate</w:t>
            </w:r>
          </w:p>
          <w:p w14:paraId="4D36A52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innovation-system fit; some powerful</w:t>
            </w:r>
          </w:p>
          <w:p w14:paraId="446B4C7F"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opponents</w:t>
            </w:r>
          </w:p>
        </w:tc>
        <w:tc>
          <w:tcPr>
            <w:tcW w:w="1274" w:type="pct"/>
          </w:tcPr>
          <w:p w14:paraId="636270DD"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 tension for change; poor innovation-system fit; many opponents, some with wrecking power</w:t>
            </w:r>
          </w:p>
        </w:tc>
      </w:tr>
      <w:tr w:rsidR="00A77631" w:rsidRPr="00A62518" w14:paraId="6E7F1AA1" w14:textId="77777777" w:rsidTr="00A77631">
        <w:trPr>
          <w:trHeight w:val="1348"/>
        </w:trPr>
        <w:tc>
          <w:tcPr>
            <w:tcW w:w="1326" w:type="pct"/>
          </w:tcPr>
          <w:p w14:paraId="128EA54D"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5C. </w:t>
            </w:r>
            <w:bookmarkStart w:id="40" w:name="_Hlk47788275"/>
            <w:r w:rsidRPr="00D86DB4">
              <w:rPr>
                <w:rFonts w:eastAsia="TimesNewRomanPSMT" w:cstheme="minorHAnsi"/>
                <w:lang w:val="en-GB"/>
              </w:rPr>
              <w:t>How easy will the adoption and funding decision be?</w:t>
            </w:r>
            <w:bookmarkEnd w:id="40"/>
          </w:p>
        </w:tc>
        <w:tc>
          <w:tcPr>
            <w:tcW w:w="1142" w:type="pct"/>
          </w:tcPr>
          <w:p w14:paraId="05682E0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Single organizations with sufficient resources; anticipated cost savings; no new infrastructure or recurrent costs required</w:t>
            </w:r>
          </w:p>
        </w:tc>
        <w:tc>
          <w:tcPr>
            <w:tcW w:w="1258" w:type="pct"/>
          </w:tcPr>
          <w:p w14:paraId="08B9843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Multiple organizations with partnership relationship; cost-benefit balance </w:t>
            </w:r>
            <w:proofErr w:type="spellStart"/>
            <w:r w:rsidRPr="00D86DB4">
              <w:rPr>
                <w:rFonts w:eastAsia="TimesNewRomanPSMT" w:cstheme="minorHAnsi"/>
                <w:lang w:val="en-GB"/>
              </w:rPr>
              <w:t>favorable</w:t>
            </w:r>
            <w:proofErr w:type="spellEnd"/>
            <w:r w:rsidRPr="00D86DB4">
              <w:rPr>
                <w:rFonts w:eastAsia="TimesNewRomanPSMT" w:cstheme="minorHAnsi"/>
                <w:lang w:val="en-GB"/>
              </w:rPr>
              <w:t xml:space="preserve"> or neutral; new infrastructure (</w:t>
            </w:r>
            <w:proofErr w:type="spellStart"/>
            <w:r w:rsidRPr="00D86DB4">
              <w:rPr>
                <w:rFonts w:eastAsia="TimesNewRomanPSMT" w:cstheme="minorHAnsi"/>
                <w:lang w:val="en-GB"/>
              </w:rPr>
              <w:t>eg</w:t>
            </w:r>
            <w:proofErr w:type="spellEnd"/>
            <w:r w:rsidRPr="00D86DB4">
              <w:rPr>
                <w:rFonts w:eastAsia="TimesNewRomanPSMT" w:cstheme="minorHAnsi"/>
                <w:lang w:val="en-GB"/>
              </w:rPr>
              <w:t>, staff roles, training, kit) can mostly be found from repurposing</w:t>
            </w:r>
          </w:p>
        </w:tc>
        <w:tc>
          <w:tcPr>
            <w:tcW w:w="1274" w:type="pct"/>
          </w:tcPr>
          <w:p w14:paraId="501270D2"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Multiple organizations with no formal links and/or conflicting agendas; funding depends on cost savings across system; costs and benefits unclear; new infrastructure conflicts with existing; significant budget implications</w:t>
            </w:r>
          </w:p>
        </w:tc>
      </w:tr>
      <w:tr w:rsidR="00A77631" w:rsidRPr="00A62518" w14:paraId="6BEE3B38" w14:textId="77777777" w:rsidTr="00A77631">
        <w:trPr>
          <w:trHeight w:val="70"/>
        </w:trPr>
        <w:tc>
          <w:tcPr>
            <w:tcW w:w="1326" w:type="pct"/>
          </w:tcPr>
          <w:p w14:paraId="1D2D735F"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5D. </w:t>
            </w:r>
            <w:bookmarkStart w:id="41" w:name="_Hlk47788282"/>
            <w:r w:rsidRPr="00D86DB4">
              <w:rPr>
                <w:rFonts w:eastAsia="TimesNewRomanPSMT" w:cstheme="minorHAnsi"/>
                <w:lang w:val="en-GB"/>
              </w:rPr>
              <w:t>What changes will be needed in team interactions and routines?</w:t>
            </w:r>
            <w:bookmarkEnd w:id="41"/>
          </w:p>
        </w:tc>
        <w:tc>
          <w:tcPr>
            <w:tcW w:w="1142" w:type="pct"/>
          </w:tcPr>
          <w:p w14:paraId="73AFD81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No new team routines or care</w:t>
            </w:r>
          </w:p>
          <w:p w14:paraId="3C02606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pathways needed</w:t>
            </w:r>
          </w:p>
        </w:tc>
        <w:tc>
          <w:tcPr>
            <w:tcW w:w="1258" w:type="pct"/>
          </w:tcPr>
          <w:p w14:paraId="4239D63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New team routines or care pathways</w:t>
            </w:r>
          </w:p>
          <w:p w14:paraId="3FDAF02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that align readily with established ones</w:t>
            </w:r>
          </w:p>
        </w:tc>
        <w:tc>
          <w:tcPr>
            <w:tcW w:w="1274" w:type="pct"/>
          </w:tcPr>
          <w:p w14:paraId="4D3C5758"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New team routines or care pathways</w:t>
            </w:r>
          </w:p>
          <w:p w14:paraId="1EEFADE0"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that conflict with established ones</w:t>
            </w:r>
          </w:p>
        </w:tc>
      </w:tr>
      <w:tr w:rsidR="00A77631" w:rsidRPr="00A62518" w14:paraId="77B08C11" w14:textId="77777777" w:rsidTr="00A77631">
        <w:trPr>
          <w:trHeight w:val="70"/>
        </w:trPr>
        <w:tc>
          <w:tcPr>
            <w:tcW w:w="1326" w:type="pct"/>
          </w:tcPr>
          <w:p w14:paraId="2D62D32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5E. </w:t>
            </w:r>
            <w:bookmarkStart w:id="42" w:name="_Hlk47788290"/>
            <w:r w:rsidRPr="00D86DB4">
              <w:rPr>
                <w:rFonts w:eastAsia="TimesNewRomanPSMT" w:cstheme="minorHAnsi"/>
                <w:lang w:val="en-GB"/>
              </w:rPr>
              <w:t>What work is involved in implementation and who will do it?</w:t>
            </w:r>
            <w:bookmarkEnd w:id="42"/>
          </w:p>
        </w:tc>
        <w:tc>
          <w:tcPr>
            <w:tcW w:w="1142" w:type="pct"/>
          </w:tcPr>
          <w:p w14:paraId="434C1454"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Established shared vision; few simple tasks, uncontested and easily monitored</w:t>
            </w:r>
          </w:p>
        </w:tc>
        <w:tc>
          <w:tcPr>
            <w:tcW w:w="1258" w:type="pct"/>
          </w:tcPr>
          <w:p w14:paraId="58B4B01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Some work needed to build shared</w:t>
            </w:r>
          </w:p>
          <w:p w14:paraId="26D4001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vision, engage staff, enact new</w:t>
            </w:r>
          </w:p>
          <w:p w14:paraId="2E14C38F"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practices, and monitor impact</w:t>
            </w:r>
          </w:p>
        </w:tc>
        <w:tc>
          <w:tcPr>
            <w:tcW w:w="1274" w:type="pct"/>
          </w:tcPr>
          <w:p w14:paraId="6D9EFDD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Significant work needed to build</w:t>
            </w:r>
          </w:p>
          <w:p w14:paraId="077C35F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shared vision, engage staff, enact</w:t>
            </w:r>
          </w:p>
          <w:p w14:paraId="432EDBBC"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new practices, and monitor impact</w:t>
            </w:r>
          </w:p>
        </w:tc>
      </w:tr>
      <w:tr w:rsidR="00A77631" w:rsidRPr="00D86DB4" w14:paraId="02696FAA" w14:textId="77777777" w:rsidTr="00A77631">
        <w:trPr>
          <w:trHeight w:val="70"/>
        </w:trPr>
        <w:tc>
          <w:tcPr>
            <w:tcW w:w="5000" w:type="pct"/>
            <w:gridSpan w:val="4"/>
          </w:tcPr>
          <w:p w14:paraId="4AFA610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cstheme="minorHAnsi"/>
                <w:b/>
                <w:bCs/>
              </w:rPr>
              <w:t>Domain 6: The wider context</w:t>
            </w:r>
          </w:p>
        </w:tc>
      </w:tr>
      <w:tr w:rsidR="00A77631" w:rsidRPr="00A62518" w14:paraId="33C9684E" w14:textId="77777777" w:rsidTr="00A77631">
        <w:trPr>
          <w:trHeight w:val="850"/>
        </w:trPr>
        <w:tc>
          <w:tcPr>
            <w:tcW w:w="1326" w:type="pct"/>
          </w:tcPr>
          <w:p w14:paraId="21ED749F"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6A. </w:t>
            </w:r>
            <w:bookmarkStart w:id="43" w:name="_Hlk47788300"/>
            <w:r w:rsidRPr="00D86DB4">
              <w:rPr>
                <w:rFonts w:eastAsia="TimesNewRomanPSMT" w:cstheme="minorHAnsi"/>
                <w:lang w:val="en-GB"/>
              </w:rPr>
              <w:t xml:space="preserve">What is the political, </w:t>
            </w:r>
            <w:proofErr w:type="gramStart"/>
            <w:r w:rsidRPr="00D86DB4">
              <w:rPr>
                <w:rFonts w:eastAsia="TimesNewRomanPSMT" w:cstheme="minorHAnsi"/>
                <w:lang w:val="en-GB"/>
              </w:rPr>
              <w:t>economic,</w:t>
            </w:r>
            <w:proofErr w:type="gramEnd"/>
          </w:p>
          <w:p w14:paraId="2D9FC385" w14:textId="77777777" w:rsidR="00A77631" w:rsidRPr="00D86DB4" w:rsidRDefault="00A77631" w:rsidP="00A77631">
            <w:pPr>
              <w:autoSpaceDE w:val="0"/>
              <w:autoSpaceDN w:val="0"/>
              <w:adjustRightInd w:val="0"/>
              <w:jc w:val="left"/>
              <w:rPr>
                <w:rFonts w:cstheme="minorHAnsi"/>
                <w:b/>
                <w:bCs/>
                <w:lang w:val="en-GB"/>
              </w:rPr>
            </w:pPr>
            <w:r w:rsidRPr="00D86DB4">
              <w:rPr>
                <w:rFonts w:eastAsia="TimesNewRomanPSMT" w:cstheme="minorHAnsi"/>
                <w:lang w:val="en-GB"/>
              </w:rPr>
              <w:t>regulatory, professional (</w:t>
            </w:r>
            <w:proofErr w:type="spellStart"/>
            <w:r w:rsidRPr="00D86DB4">
              <w:rPr>
                <w:rFonts w:eastAsia="TimesNewRomanPSMT" w:cstheme="minorHAnsi"/>
                <w:lang w:val="en-GB"/>
              </w:rPr>
              <w:t>eg</w:t>
            </w:r>
            <w:proofErr w:type="spellEnd"/>
            <w:r w:rsidRPr="00D86DB4">
              <w:rPr>
                <w:rFonts w:eastAsia="TimesNewRomanPSMT" w:cstheme="minorHAnsi"/>
                <w:lang w:val="en-GB"/>
              </w:rPr>
              <w:t>, medicolegal), and sociocultural context for program rollout?</w:t>
            </w:r>
            <w:bookmarkEnd w:id="43"/>
          </w:p>
        </w:tc>
        <w:tc>
          <w:tcPr>
            <w:tcW w:w="1142" w:type="pct"/>
          </w:tcPr>
          <w:p w14:paraId="651C81E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Financial and regulatory requirements already in place nationally; professional bodies and civil society supportive</w:t>
            </w:r>
          </w:p>
        </w:tc>
        <w:tc>
          <w:tcPr>
            <w:tcW w:w="1258" w:type="pct"/>
          </w:tcPr>
          <w:p w14:paraId="11B185A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Financial and regulatory  requirements being negotiated nationally; professional and lay stakeholders not yet committed</w:t>
            </w:r>
          </w:p>
        </w:tc>
        <w:tc>
          <w:tcPr>
            <w:tcW w:w="1274" w:type="pct"/>
          </w:tcPr>
          <w:p w14:paraId="6260B9E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Financial and regulatory requirements raise tricky legal or other challenges; professional bodies and lay stakeholders unsupportive or opposed</w:t>
            </w:r>
          </w:p>
        </w:tc>
      </w:tr>
      <w:tr w:rsidR="00A77631" w:rsidRPr="00A62518" w14:paraId="0722BF87" w14:textId="77777777" w:rsidTr="00A77631">
        <w:trPr>
          <w:trHeight w:val="70"/>
        </w:trPr>
        <w:tc>
          <w:tcPr>
            <w:tcW w:w="5000" w:type="pct"/>
            <w:gridSpan w:val="4"/>
          </w:tcPr>
          <w:p w14:paraId="50B33C72"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cstheme="minorHAnsi"/>
                <w:b/>
                <w:bCs/>
                <w:lang w:val="en-GB"/>
              </w:rPr>
              <w:t>Domain 7: Embedding and adaptation over time</w:t>
            </w:r>
          </w:p>
        </w:tc>
      </w:tr>
      <w:tr w:rsidR="00A77631" w:rsidRPr="00D86DB4" w14:paraId="1E298AC8" w14:textId="77777777" w:rsidTr="00A77631">
        <w:trPr>
          <w:trHeight w:val="366"/>
        </w:trPr>
        <w:tc>
          <w:tcPr>
            <w:tcW w:w="1326" w:type="pct"/>
          </w:tcPr>
          <w:p w14:paraId="5B1A56EA" w14:textId="77777777" w:rsidR="00A77631" w:rsidRPr="00D86DB4" w:rsidRDefault="00A77631" w:rsidP="00A77631">
            <w:pPr>
              <w:autoSpaceDE w:val="0"/>
              <w:autoSpaceDN w:val="0"/>
              <w:adjustRightInd w:val="0"/>
              <w:jc w:val="left"/>
              <w:rPr>
                <w:rFonts w:cstheme="minorHAnsi"/>
                <w:b/>
                <w:bCs/>
                <w:lang w:val="en-GB"/>
              </w:rPr>
            </w:pPr>
            <w:r w:rsidRPr="00D86DB4">
              <w:rPr>
                <w:rFonts w:eastAsia="TimesNewRomanPSMT" w:cstheme="minorHAnsi"/>
                <w:lang w:val="en-GB"/>
              </w:rPr>
              <w:t xml:space="preserve">7A. </w:t>
            </w:r>
            <w:bookmarkStart w:id="44" w:name="_Hlk47788328"/>
            <w:r w:rsidRPr="00D86DB4">
              <w:rPr>
                <w:rFonts w:eastAsia="TimesNewRomanPSMT" w:cstheme="minorHAnsi"/>
                <w:lang w:val="en-GB"/>
              </w:rPr>
              <w:t>How much scope is there for adapting and coevolving the technology and the service over time?</w:t>
            </w:r>
            <w:bookmarkEnd w:id="44"/>
          </w:p>
        </w:tc>
        <w:tc>
          <w:tcPr>
            <w:tcW w:w="1142" w:type="pct"/>
          </w:tcPr>
          <w:p w14:paraId="1C8523A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Strong scope for adapting and embedding the technology as local need or context changes</w:t>
            </w:r>
          </w:p>
        </w:tc>
        <w:tc>
          <w:tcPr>
            <w:tcW w:w="1258" w:type="pct"/>
          </w:tcPr>
          <w:p w14:paraId="3AB6876E"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Potential for adapting and coevolving</w:t>
            </w:r>
          </w:p>
          <w:p w14:paraId="077649CD"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the technology and service </w:t>
            </w:r>
            <w:proofErr w:type="gramStart"/>
            <w:r w:rsidRPr="00D86DB4">
              <w:rPr>
                <w:rFonts w:eastAsia="TimesNewRomanPSMT" w:cstheme="minorHAnsi"/>
                <w:lang w:val="en-GB"/>
              </w:rPr>
              <w:t>is</w:t>
            </w:r>
            <w:proofErr w:type="gramEnd"/>
            <w:r w:rsidRPr="00D86DB4">
              <w:rPr>
                <w:rFonts w:eastAsia="TimesNewRomanPSMT" w:cstheme="minorHAnsi"/>
                <w:lang w:val="en-GB"/>
              </w:rPr>
              <w:t xml:space="preserve"> limited or uncertain</w:t>
            </w:r>
          </w:p>
        </w:tc>
        <w:tc>
          <w:tcPr>
            <w:tcW w:w="1274" w:type="pct"/>
          </w:tcPr>
          <w:p w14:paraId="5FF9F1D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Significant barriers to further</w:t>
            </w:r>
          </w:p>
          <w:p w14:paraId="12BFEA66"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adaptation and/or coevolution of</w:t>
            </w:r>
          </w:p>
          <w:p w14:paraId="6790195A"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the technology or service</w:t>
            </w:r>
          </w:p>
        </w:tc>
      </w:tr>
      <w:tr w:rsidR="00A77631" w:rsidRPr="00A62518" w14:paraId="2FAF6C98" w14:textId="77777777" w:rsidTr="00A77631">
        <w:trPr>
          <w:trHeight w:val="690"/>
        </w:trPr>
        <w:tc>
          <w:tcPr>
            <w:tcW w:w="1326" w:type="pct"/>
          </w:tcPr>
          <w:p w14:paraId="3ABDE283"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 xml:space="preserve">7B. </w:t>
            </w:r>
            <w:bookmarkStart w:id="45" w:name="_Hlk47788333"/>
            <w:r w:rsidRPr="00D86DB4">
              <w:rPr>
                <w:rFonts w:eastAsia="TimesNewRomanPSMT" w:cstheme="minorHAnsi"/>
                <w:lang w:val="en-GB"/>
              </w:rPr>
              <w:t>How resilient is the organization to handling critical events and adapting to unforeseen eventualities?</w:t>
            </w:r>
            <w:bookmarkEnd w:id="45"/>
          </w:p>
        </w:tc>
        <w:tc>
          <w:tcPr>
            <w:tcW w:w="1142" w:type="pct"/>
          </w:tcPr>
          <w:p w14:paraId="21A79CD9"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Sense making, collective reflection, and adaptive action are ongoing and encouraged</w:t>
            </w:r>
          </w:p>
        </w:tc>
        <w:tc>
          <w:tcPr>
            <w:tcW w:w="1258" w:type="pct"/>
          </w:tcPr>
          <w:p w14:paraId="363901D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Sense making, collective reflection,</w:t>
            </w:r>
          </w:p>
          <w:p w14:paraId="4408096B"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and adaptive action are difficult and</w:t>
            </w:r>
          </w:p>
          <w:p w14:paraId="035E1AD4"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rPr>
              <w:t>viewed as low priority</w:t>
            </w:r>
          </w:p>
        </w:tc>
        <w:tc>
          <w:tcPr>
            <w:tcW w:w="1274" w:type="pct"/>
          </w:tcPr>
          <w:p w14:paraId="4C37D908"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Sense making, collective reflection,</w:t>
            </w:r>
          </w:p>
          <w:p w14:paraId="158DF395"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and adaptive action are discouraged</w:t>
            </w:r>
          </w:p>
          <w:p w14:paraId="01C64F48"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in a rigid, inflexible implementation</w:t>
            </w:r>
          </w:p>
          <w:p w14:paraId="2FDC40D1" w14:textId="77777777" w:rsidR="00A77631" w:rsidRPr="00D86DB4" w:rsidRDefault="00A77631" w:rsidP="00A77631">
            <w:pPr>
              <w:autoSpaceDE w:val="0"/>
              <w:autoSpaceDN w:val="0"/>
              <w:adjustRightInd w:val="0"/>
              <w:jc w:val="left"/>
              <w:rPr>
                <w:rFonts w:eastAsia="TimesNewRomanPSMT" w:cstheme="minorHAnsi"/>
                <w:lang w:val="en-GB"/>
              </w:rPr>
            </w:pPr>
            <w:r w:rsidRPr="00D86DB4">
              <w:rPr>
                <w:rFonts w:eastAsia="TimesNewRomanPSMT" w:cstheme="minorHAnsi"/>
                <w:lang w:val="en-GB"/>
              </w:rPr>
              <w:t>model</w:t>
            </w:r>
          </w:p>
        </w:tc>
      </w:tr>
    </w:tbl>
    <w:p w14:paraId="77E5C574" w14:textId="77777777" w:rsidR="00A77631" w:rsidRPr="00D86DB4" w:rsidRDefault="00A77631" w:rsidP="00A77631">
      <w:pPr>
        <w:jc w:val="left"/>
        <w:rPr>
          <w:rFonts w:eastAsia="TimesNewRomanPSMT" w:cstheme="minorHAnsi"/>
          <w:lang w:val="en-GB"/>
        </w:rPr>
      </w:pPr>
    </w:p>
    <w:p w14:paraId="44D4E2DC" w14:textId="77777777" w:rsidR="00A77631" w:rsidRPr="00D86DB4" w:rsidRDefault="00A77631" w:rsidP="00A77631">
      <w:pPr>
        <w:jc w:val="left"/>
        <w:rPr>
          <w:rFonts w:eastAsia="TimesNewRomanPSMT" w:cstheme="minorHAnsi"/>
          <w:lang w:val="en-GB"/>
        </w:rPr>
        <w:sectPr w:rsidR="00A77631" w:rsidRPr="00D86DB4" w:rsidSect="00A77631">
          <w:pgSz w:w="16838" w:h="11906" w:orient="landscape"/>
          <w:pgMar w:top="720" w:right="720" w:bottom="720" w:left="720" w:header="708" w:footer="708" w:gutter="0"/>
          <w:cols w:space="708"/>
          <w:docGrid w:linePitch="360"/>
        </w:sectPr>
      </w:pPr>
    </w:p>
    <w:p w14:paraId="360FE52B" w14:textId="77777777" w:rsidR="00A77631" w:rsidRPr="00D86DB4" w:rsidRDefault="00A77631" w:rsidP="00A77631">
      <w:pPr>
        <w:pStyle w:val="Heading2"/>
        <w:rPr>
          <w:rFonts w:cstheme="minorHAnsi"/>
          <w:lang w:val="en-GB"/>
        </w:rPr>
      </w:pPr>
      <w:bookmarkStart w:id="46" w:name="_Toc47522436"/>
      <w:bookmarkStart w:id="47" w:name="_Toc51862090"/>
      <w:r w:rsidRPr="00D86DB4">
        <w:rPr>
          <w:rFonts w:cstheme="minorHAnsi"/>
          <w:lang w:val="en-GB"/>
        </w:rPr>
        <w:lastRenderedPageBreak/>
        <w:t>2.5 Normalisation Process Theory (NPT)</w:t>
      </w:r>
      <w:bookmarkEnd w:id="46"/>
      <w:bookmarkEnd w:id="47"/>
    </w:p>
    <w:bookmarkEnd w:id="34"/>
    <w:p w14:paraId="1AD774E5" w14:textId="16D7DBEB" w:rsidR="00A77631" w:rsidRPr="00D86DB4" w:rsidRDefault="00A77631" w:rsidP="00A77631">
      <w:pPr>
        <w:spacing w:line="360" w:lineRule="auto"/>
        <w:rPr>
          <w:rFonts w:cstheme="minorHAnsi"/>
          <w:lang w:val="en-GB"/>
        </w:rPr>
      </w:pPr>
      <w:r w:rsidRPr="00D86DB4">
        <w:rPr>
          <w:rFonts w:cstheme="minorHAnsi"/>
          <w:lang w:val="en-GB"/>
        </w:rPr>
        <w:t>The NPT is a theory which can be used to “focus on the work that individuals and groups do to enable an intervention to become normalised” (Murray et al., 2010, p. 2)</w:t>
      </w:r>
      <w:r w:rsidR="008C73BF">
        <w:rPr>
          <w:rFonts w:cstheme="minorHAnsi"/>
          <w:lang w:val="en-GB"/>
        </w:rPr>
        <w:t xml:space="preserve"> and allows the patient portal to be assessed from a micro perspective</w:t>
      </w:r>
      <w:r w:rsidRPr="00D86DB4">
        <w:rPr>
          <w:rFonts w:cstheme="minorHAnsi"/>
          <w:lang w:val="en-GB"/>
        </w:rPr>
        <w:t xml:space="preserve">. Normalisation implies that an intervention gets successfully implemented and integrated into routine work. The NPT is a theory that is concerned with the dynamics of implementation (the social organisation), embedding (normalisation) and integration (sustained embedding in the social organisation) for new technologies in daily practices (May &amp; Finch, 2009). </w:t>
      </w:r>
      <w:bookmarkStart w:id="48" w:name="_Hlk45545167"/>
      <w:r w:rsidRPr="00D86DB4">
        <w:rPr>
          <w:rFonts w:cstheme="minorHAnsi"/>
          <w:lang w:val="en-GB"/>
        </w:rPr>
        <w:t xml:space="preserve">Normalisation is about the work that is done by actors through which a practice becomes embedded in existing knowledge and practices (Gillespie, </w:t>
      </w:r>
      <w:proofErr w:type="spellStart"/>
      <w:r w:rsidRPr="00D86DB4">
        <w:rPr>
          <w:rFonts w:cstheme="minorHAnsi"/>
          <w:lang w:val="en-GB"/>
        </w:rPr>
        <w:t>Harbeck</w:t>
      </w:r>
      <w:proofErr w:type="spellEnd"/>
      <w:r w:rsidRPr="00D86DB4">
        <w:rPr>
          <w:rFonts w:cstheme="minorHAnsi"/>
          <w:lang w:val="en-GB"/>
        </w:rPr>
        <w:t>, Lavin, Gardiner, Withers, Marshall, 2018). A practice is defined by May &amp; Finch (2009, p. 542) as “an ensemble of beliefs, behaviours and acts that manipulate or organize objects and others”. In order to understand the embedding of a practice, May &amp; Finch (2009) have looked at what people actually do and how they work.</w:t>
      </w:r>
      <w:bookmarkEnd w:id="48"/>
      <w:r w:rsidRPr="00D86DB4">
        <w:rPr>
          <w:rFonts w:cstheme="minorHAnsi"/>
          <w:lang w:val="en-GB"/>
        </w:rPr>
        <w:t xml:space="preserve"> They have operationalized the NPT through four generative mechanisms: coherence, cognitive participation, collective action, and reflexive monitoring (May &amp; Finch, 2009; Murray et al., 2010; Gillespie et al., 2018). These mechanisms are not only in a dynamic relationship with each other, but also with the wider context of the intervention; organizing structures and social norms, and group processes and conventions (see figure 2). These mechanisms are affected by organizing and immediate factors that could either promote or inhibit the normalisation of a practice.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A77631" w:rsidRPr="00A62518" w14:paraId="282A9C91" w14:textId="77777777" w:rsidTr="00A77631">
        <w:tc>
          <w:tcPr>
            <w:tcW w:w="9288" w:type="dxa"/>
          </w:tcPr>
          <w:p w14:paraId="56AC399A" w14:textId="77777777" w:rsidR="00A77631" w:rsidRPr="00D86DB4" w:rsidRDefault="00A77631" w:rsidP="00A77631">
            <w:pPr>
              <w:jc w:val="center"/>
              <w:rPr>
                <w:rFonts w:cstheme="minorHAnsi"/>
                <w:lang w:val="en-GB"/>
              </w:rPr>
            </w:pPr>
            <w:r w:rsidRPr="00014DD3">
              <w:rPr>
                <w:rFonts w:cstheme="minorHAnsi"/>
                <w:lang w:val="en-GB"/>
              </w:rPr>
              <w:t>Figure 2. Normalisation Process Theory</w:t>
            </w:r>
            <w:r w:rsidRPr="00D86DB4">
              <w:rPr>
                <w:rFonts w:cstheme="minorHAnsi"/>
                <w:lang w:val="en-GB"/>
              </w:rPr>
              <w:t xml:space="preserve"> (May &amp; Finch, 2009)</w:t>
            </w:r>
          </w:p>
        </w:tc>
      </w:tr>
      <w:tr w:rsidR="00A77631" w:rsidRPr="00D86DB4" w14:paraId="799F6CC3" w14:textId="77777777" w:rsidTr="00A77631">
        <w:tc>
          <w:tcPr>
            <w:tcW w:w="9288" w:type="dxa"/>
          </w:tcPr>
          <w:p w14:paraId="05C5356E" w14:textId="77777777" w:rsidR="00A77631" w:rsidRPr="00D86DB4" w:rsidRDefault="00A77631" w:rsidP="00A77631">
            <w:pPr>
              <w:jc w:val="center"/>
              <w:rPr>
                <w:rFonts w:cstheme="minorHAnsi"/>
                <w:lang w:val="en-GB"/>
              </w:rPr>
            </w:pPr>
            <w:r w:rsidRPr="00D86DB4">
              <w:rPr>
                <w:rFonts w:cstheme="minorHAnsi"/>
                <w:noProof/>
                <w:lang w:val="en-GB"/>
              </w:rPr>
              <w:drawing>
                <wp:inline distT="0" distB="0" distL="0" distR="0" wp14:anchorId="7A3ECDFD" wp14:editId="11956846">
                  <wp:extent cx="5819140" cy="283772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45385" cy="2850527"/>
                          </a:xfrm>
                          <a:prstGeom prst="rect">
                            <a:avLst/>
                          </a:prstGeom>
                          <a:noFill/>
                          <a:ln>
                            <a:noFill/>
                          </a:ln>
                        </pic:spPr>
                      </pic:pic>
                    </a:graphicData>
                  </a:graphic>
                </wp:inline>
              </w:drawing>
            </w:r>
          </w:p>
        </w:tc>
      </w:tr>
    </w:tbl>
    <w:p w14:paraId="741C70B2" w14:textId="3C1F769B" w:rsidR="00A77631" w:rsidRPr="00D86DB4" w:rsidRDefault="00A77631" w:rsidP="00A77631">
      <w:pPr>
        <w:spacing w:before="240" w:after="0" w:line="360" w:lineRule="auto"/>
        <w:rPr>
          <w:rFonts w:cstheme="minorHAnsi"/>
          <w:lang w:val="en-GB"/>
        </w:rPr>
      </w:pPr>
      <w:r w:rsidRPr="00D86DB4">
        <w:rPr>
          <w:rFonts w:cstheme="minorHAnsi"/>
          <w:lang w:val="en-GB"/>
        </w:rPr>
        <w:t xml:space="preserve">The mechanism of coherence refers to how people make sense of the implementation of a practice, both individually and collectively. Cognitive participation is about how people behave in interaction chains within the process of implementation. Collective action is about how people interact within these chains to enable and organize the work that comprises a practice (May &amp; Finch, 2009). The four </w:t>
      </w:r>
      <w:r w:rsidRPr="00D86DB4">
        <w:rPr>
          <w:rFonts w:cstheme="minorHAnsi"/>
          <w:lang w:val="en-GB"/>
        </w:rPr>
        <w:lastRenderedPageBreak/>
        <w:t>mechanisms respectively answer the following question: What is the work? Who does the work? How does the work get done? How is the work understood? These mechanisms correspond to the NASSS framework and therefore, in this study, we will</w:t>
      </w:r>
      <w:r w:rsidR="0034462F">
        <w:rPr>
          <w:rFonts w:cstheme="minorHAnsi"/>
          <w:lang w:val="en-GB"/>
        </w:rPr>
        <w:t xml:space="preserve"> only</w:t>
      </w:r>
      <w:r w:rsidRPr="00D86DB4">
        <w:rPr>
          <w:rFonts w:cstheme="minorHAnsi"/>
          <w:lang w:val="en-GB"/>
        </w:rPr>
        <w:t xml:space="preserve"> use reflexive monitoring to </w:t>
      </w:r>
      <w:r w:rsidR="0034462F">
        <w:rPr>
          <w:rFonts w:cstheme="minorHAnsi"/>
          <w:lang w:val="en-GB"/>
        </w:rPr>
        <w:t xml:space="preserve">better </w:t>
      </w:r>
      <w:r w:rsidRPr="00D86DB4">
        <w:rPr>
          <w:rFonts w:cstheme="minorHAnsi"/>
          <w:lang w:val="en-GB"/>
        </w:rPr>
        <w:t xml:space="preserve">understand the </w:t>
      </w:r>
      <w:r w:rsidR="0034462F">
        <w:rPr>
          <w:rFonts w:cstheme="minorHAnsi"/>
          <w:lang w:val="en-GB"/>
        </w:rPr>
        <w:t xml:space="preserve">patient portal’s </w:t>
      </w:r>
      <w:r w:rsidRPr="00D86DB4">
        <w:rPr>
          <w:rFonts w:cstheme="minorHAnsi"/>
          <w:lang w:val="en-GB"/>
        </w:rPr>
        <w:t xml:space="preserve">process of embedding practices (table 2).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00"/>
      </w:tblGrid>
      <w:tr w:rsidR="00A77631" w:rsidRPr="00A62518" w14:paraId="10D973CD" w14:textId="77777777" w:rsidTr="00A77631">
        <w:trPr>
          <w:trHeight w:val="265"/>
          <w:jc w:val="center"/>
        </w:trPr>
        <w:tc>
          <w:tcPr>
            <w:tcW w:w="6756" w:type="dxa"/>
          </w:tcPr>
          <w:p w14:paraId="021C403F" w14:textId="77777777" w:rsidR="00A77631" w:rsidRPr="00D86DB4" w:rsidRDefault="00A77631" w:rsidP="00A77631">
            <w:pPr>
              <w:jc w:val="center"/>
              <w:rPr>
                <w:rFonts w:cstheme="minorHAnsi"/>
                <w:b/>
                <w:bCs/>
                <w:lang w:val="en-GB"/>
              </w:rPr>
            </w:pPr>
            <w:r w:rsidRPr="00014DD3">
              <w:rPr>
                <w:rFonts w:cstheme="minorHAnsi"/>
                <w:lang w:val="en-GB"/>
              </w:rPr>
              <w:t xml:space="preserve">Table 2. Mechanisms, </w:t>
            </w:r>
            <w:proofErr w:type="gramStart"/>
            <w:r w:rsidRPr="00014DD3">
              <w:rPr>
                <w:rFonts w:cstheme="minorHAnsi"/>
                <w:lang w:val="en-GB"/>
              </w:rPr>
              <w:t>components</w:t>
            </w:r>
            <w:proofErr w:type="gramEnd"/>
            <w:r w:rsidRPr="00014DD3">
              <w:rPr>
                <w:rFonts w:cstheme="minorHAnsi"/>
                <w:lang w:val="en-GB"/>
              </w:rPr>
              <w:t xml:space="preserve"> and investments</w:t>
            </w:r>
            <w:r w:rsidRPr="00D86DB4">
              <w:rPr>
                <w:rFonts w:cstheme="minorHAnsi"/>
                <w:b/>
                <w:bCs/>
                <w:lang w:val="en-GB"/>
              </w:rPr>
              <w:t xml:space="preserve"> </w:t>
            </w:r>
            <w:r w:rsidRPr="00D86DB4">
              <w:rPr>
                <w:rFonts w:cstheme="minorHAnsi"/>
                <w:lang w:val="en-GB"/>
              </w:rPr>
              <w:t>(May &amp; Finch, 2009)</w:t>
            </w:r>
          </w:p>
        </w:tc>
      </w:tr>
      <w:tr w:rsidR="00A77631" w:rsidRPr="00D86DB4" w14:paraId="7EA94F5F" w14:textId="77777777" w:rsidTr="00A77631">
        <w:trPr>
          <w:trHeight w:val="3141"/>
          <w:jc w:val="center"/>
        </w:trPr>
        <w:tc>
          <w:tcPr>
            <w:tcW w:w="6756" w:type="dxa"/>
          </w:tcPr>
          <w:p w14:paraId="013C3AD3" w14:textId="77777777" w:rsidR="00A77631" w:rsidRPr="00D86DB4" w:rsidRDefault="00A77631" w:rsidP="00A77631">
            <w:pPr>
              <w:rPr>
                <w:rFonts w:cstheme="minorHAnsi"/>
                <w:lang w:val="en-GB"/>
              </w:rPr>
            </w:pPr>
            <w:r w:rsidRPr="00D86DB4">
              <w:rPr>
                <w:rFonts w:cstheme="minorHAnsi"/>
                <w:noProof/>
                <w:lang w:val="en-GB"/>
              </w:rPr>
              <w:drawing>
                <wp:inline distT="0" distB="0" distL="0" distR="0" wp14:anchorId="582D731C" wp14:editId="2BCE0712">
                  <wp:extent cx="4244340" cy="19844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0584" cy="1996710"/>
                          </a:xfrm>
                          <a:prstGeom prst="rect">
                            <a:avLst/>
                          </a:prstGeom>
                          <a:noFill/>
                          <a:ln>
                            <a:noFill/>
                          </a:ln>
                        </pic:spPr>
                      </pic:pic>
                    </a:graphicData>
                  </a:graphic>
                </wp:inline>
              </w:drawing>
            </w:r>
          </w:p>
        </w:tc>
      </w:tr>
    </w:tbl>
    <w:p w14:paraId="4056DB7C" w14:textId="4F028D50" w:rsidR="00A77631" w:rsidRPr="00D86DB4" w:rsidRDefault="00A77631" w:rsidP="00A77631">
      <w:pPr>
        <w:spacing w:line="360" w:lineRule="auto"/>
        <w:rPr>
          <w:rFonts w:cstheme="minorHAnsi"/>
          <w:lang w:val="en-GB"/>
        </w:rPr>
      </w:pPr>
      <w:r w:rsidRPr="00D86DB4">
        <w:rPr>
          <w:rFonts w:cstheme="minorHAnsi"/>
          <w:lang w:val="en-GB"/>
        </w:rPr>
        <w:t xml:space="preserve">Reflexive monitoring provides a coherent understanding of the formal and informal process of implementation through continuous evaluation and reflection. Reflexive monitoring assesses the utility and effectiveness through different components, that comprise the comprehension of the implementation by its users. As such, reflexive monitoring involves judgement of the practice’s benefits and costs. The component of </w:t>
      </w:r>
      <w:r w:rsidRPr="00D86DB4">
        <w:rPr>
          <w:rFonts w:cstheme="minorHAnsi"/>
          <w:i/>
          <w:iCs/>
          <w:lang w:val="en-GB"/>
        </w:rPr>
        <w:t>systematization</w:t>
      </w:r>
      <w:r w:rsidRPr="00D86DB4">
        <w:rPr>
          <w:rFonts w:cstheme="minorHAnsi"/>
          <w:lang w:val="en-GB"/>
        </w:rPr>
        <w:t xml:space="preserve"> looks at the judgements of users and how they are rationalized. Monitoring and assessment of the implementation process are organized within the context of the organization and happens through certain procedures, revealing </w:t>
      </w:r>
      <w:r w:rsidRPr="00D86DB4">
        <w:rPr>
          <w:rFonts w:cstheme="minorHAnsi"/>
          <w:i/>
          <w:iCs/>
          <w:lang w:val="en-GB"/>
        </w:rPr>
        <w:t>communal appraisal</w:t>
      </w:r>
      <w:r w:rsidRPr="00D86DB4">
        <w:rPr>
          <w:rFonts w:cstheme="minorHAnsi"/>
          <w:lang w:val="en-GB"/>
        </w:rPr>
        <w:t xml:space="preserve">. Logically, this happens in co-existence with </w:t>
      </w:r>
      <w:r w:rsidRPr="00D86DB4">
        <w:rPr>
          <w:rFonts w:cstheme="minorHAnsi"/>
          <w:i/>
          <w:iCs/>
          <w:lang w:val="en-GB"/>
        </w:rPr>
        <w:t>individual appraisal</w:t>
      </w:r>
      <w:r w:rsidRPr="00D86DB4">
        <w:rPr>
          <w:rFonts w:cstheme="minorHAnsi"/>
          <w:lang w:val="en-GB"/>
        </w:rPr>
        <w:t xml:space="preserve">, where the individual experiences, values and judges the practice and its outcomes. These lie fundamental in the behaviour and performance of the individual’s commitment towards the implementation practice. These forms of appraisal could trigger </w:t>
      </w:r>
      <w:r w:rsidRPr="00D86DB4">
        <w:rPr>
          <w:rFonts w:cstheme="minorHAnsi"/>
          <w:i/>
          <w:iCs/>
          <w:lang w:val="en-GB"/>
        </w:rPr>
        <w:t>reconfiguration</w:t>
      </w:r>
      <w:r w:rsidRPr="00D86DB4">
        <w:rPr>
          <w:rFonts w:cstheme="minorHAnsi"/>
          <w:lang w:val="en-GB"/>
        </w:rPr>
        <w:t xml:space="preserve">, in which the practice will be adjusted to such an extent that ideas of its use and utility will be taken into account. This relies on all the mechanisms of  the NPT and considers their insights (Murray et al., 2010 &amp; May &amp; Finch, 2009). </w:t>
      </w:r>
      <w:proofErr w:type="spellStart"/>
      <w:r w:rsidRPr="00D86DB4">
        <w:rPr>
          <w:rFonts w:cstheme="minorHAnsi"/>
          <w:lang w:val="en-GB"/>
        </w:rPr>
        <w:t>Ammenwerth</w:t>
      </w:r>
      <w:proofErr w:type="spellEnd"/>
      <w:r w:rsidRPr="00D86DB4">
        <w:rPr>
          <w:rFonts w:cstheme="minorHAnsi"/>
          <w:lang w:val="en-GB"/>
        </w:rPr>
        <w:t xml:space="preserve"> et al. (2003) emphasize that monitoring and evaluation is crucial for technological innovation</w:t>
      </w:r>
      <w:r w:rsidR="0034462F">
        <w:rPr>
          <w:rFonts w:cstheme="minorHAnsi"/>
          <w:lang w:val="en-GB"/>
        </w:rPr>
        <w:t xml:space="preserve"> and thus the patient portal</w:t>
      </w:r>
      <w:r w:rsidRPr="00D86DB4">
        <w:rPr>
          <w:rFonts w:cstheme="minorHAnsi"/>
          <w:lang w:val="en-GB"/>
        </w:rPr>
        <w:t xml:space="preserve">, stating that it should accompany the intervention throughout its whole life cycle. According to Mackenzie et al. (2019, p. 460) NPT “prompts us to look to the productive interactions between top, middle, and bottom sites of policymaking. To appreciate the many steps of policy implementation that exist between paper and practice and between design and discretion.” Further, they suggest that NPT facilitates a holistic understanding of why practice deviates from policy on paper. Combining the NPT with insights from the NASSS framework will allow for an enhanced, holistic understanding of governance, strategy and their complexities, and their contributions towards the embedding </w:t>
      </w:r>
      <w:r w:rsidR="0058552C">
        <w:rPr>
          <w:rFonts w:cstheme="minorHAnsi"/>
          <w:lang w:val="en-GB"/>
        </w:rPr>
        <w:t xml:space="preserve">and stimulation </w:t>
      </w:r>
      <w:r w:rsidRPr="00D86DB4">
        <w:rPr>
          <w:rFonts w:cstheme="minorHAnsi"/>
          <w:lang w:val="en-GB"/>
        </w:rPr>
        <w:t>of patient portals.</w:t>
      </w:r>
    </w:p>
    <w:p w14:paraId="5F2EFFAF" w14:textId="77777777" w:rsidR="00A77631" w:rsidRDefault="00A77631" w:rsidP="00A77631">
      <w:pPr>
        <w:pStyle w:val="Heading1"/>
        <w:rPr>
          <w:lang w:val="en-GB"/>
        </w:rPr>
      </w:pPr>
      <w:bookmarkStart w:id="49" w:name="_Toc38275733"/>
      <w:bookmarkStart w:id="50" w:name="_Toc47522437"/>
      <w:bookmarkStart w:id="51" w:name="_Toc51862091"/>
      <w:r>
        <w:rPr>
          <w:lang w:val="en-GB"/>
        </w:rPr>
        <w:lastRenderedPageBreak/>
        <w:t>3. Research methods</w:t>
      </w:r>
      <w:bookmarkEnd w:id="49"/>
      <w:bookmarkEnd w:id="50"/>
      <w:bookmarkEnd w:id="51"/>
    </w:p>
    <w:p w14:paraId="2913BC09" w14:textId="77777777" w:rsidR="00A77631" w:rsidRDefault="00A77631" w:rsidP="007904BC">
      <w:pPr>
        <w:pStyle w:val="Heading2"/>
        <w:spacing w:before="0"/>
        <w:rPr>
          <w:lang w:val="en-GB"/>
        </w:rPr>
      </w:pPr>
      <w:bookmarkStart w:id="52" w:name="_Toc38275734"/>
      <w:bookmarkStart w:id="53" w:name="_Toc47522438"/>
      <w:bookmarkStart w:id="54" w:name="_Toc51862092"/>
      <w:r>
        <w:rPr>
          <w:lang w:val="en-GB"/>
        </w:rPr>
        <w:t>3.1 Study design</w:t>
      </w:r>
      <w:bookmarkEnd w:id="52"/>
      <w:bookmarkEnd w:id="53"/>
      <w:bookmarkEnd w:id="54"/>
    </w:p>
    <w:p w14:paraId="7521687A" w14:textId="2521C64F" w:rsidR="00A77631" w:rsidRDefault="00A77631" w:rsidP="00A77631">
      <w:pPr>
        <w:spacing w:line="360" w:lineRule="auto"/>
        <w:rPr>
          <w:lang w:val="en-GB"/>
        </w:rPr>
      </w:pPr>
      <w:r>
        <w:rPr>
          <w:lang w:val="en-GB"/>
        </w:rPr>
        <w:t>To address the range of research questions the design of the study was a qualitative multi-case study</w:t>
      </w:r>
      <w:r w:rsidR="0034462F">
        <w:rPr>
          <w:lang w:val="en-GB"/>
        </w:rPr>
        <w:t xml:space="preserve"> (Creswell, 2018)</w:t>
      </w:r>
      <w:r>
        <w:rPr>
          <w:lang w:val="en-GB"/>
        </w:rPr>
        <w:t xml:space="preserve">, in order to get an enhanced understanding of the differences and similarities </w:t>
      </w:r>
      <w:r w:rsidR="0034462F" w:rsidRPr="0034462F">
        <w:rPr>
          <w:lang w:val="en-GB"/>
        </w:rPr>
        <w:t>be</w:t>
      </w:r>
      <w:r w:rsidR="0034462F">
        <w:rPr>
          <w:lang w:val="en-GB"/>
        </w:rPr>
        <w:t>tween the hospitals’ governance and strategy practices towards the patient portal's embedding</w:t>
      </w:r>
      <w:r>
        <w:rPr>
          <w:lang w:val="en-GB"/>
        </w:rPr>
        <w:t>.</w:t>
      </w:r>
      <w:r w:rsidR="00455A00" w:rsidRPr="00455A00">
        <w:rPr>
          <w:lang w:val="en-GB"/>
        </w:rPr>
        <w:t xml:space="preserve"> </w:t>
      </w:r>
      <w:r w:rsidR="00455A00">
        <w:rPr>
          <w:lang w:val="en-GB"/>
        </w:rPr>
        <w:t>Despite being a multi-case study, th</w:t>
      </w:r>
      <w:r w:rsidR="00DF604F">
        <w:rPr>
          <w:lang w:val="en-GB"/>
        </w:rPr>
        <w:t xml:space="preserve">e </w:t>
      </w:r>
      <w:r w:rsidR="00455A00">
        <w:rPr>
          <w:lang w:val="en-GB"/>
        </w:rPr>
        <w:t>study</w:t>
      </w:r>
      <w:r w:rsidR="00DF604F">
        <w:rPr>
          <w:lang w:val="en-GB"/>
        </w:rPr>
        <w:t>’s findings</w:t>
      </w:r>
      <w:r w:rsidR="00455A00">
        <w:rPr>
          <w:lang w:val="en-GB"/>
        </w:rPr>
        <w:t xml:space="preserve"> ha</w:t>
      </w:r>
      <w:r w:rsidR="00DF604F">
        <w:rPr>
          <w:lang w:val="en-GB"/>
        </w:rPr>
        <w:t>ve</w:t>
      </w:r>
      <w:r w:rsidR="00455A00">
        <w:rPr>
          <w:lang w:val="en-GB"/>
        </w:rPr>
        <w:t xml:space="preserve"> primarily been focused on the </w:t>
      </w:r>
      <w:r w:rsidR="00136FB9">
        <w:rPr>
          <w:lang w:val="en-GB"/>
        </w:rPr>
        <w:t xml:space="preserve">academic hospital </w:t>
      </w:r>
      <w:r w:rsidR="00BC0C49">
        <w:rPr>
          <w:lang w:val="en-GB"/>
        </w:rPr>
        <w:t xml:space="preserve"> </w:t>
      </w:r>
      <w:r w:rsidR="00455A00">
        <w:rPr>
          <w:lang w:val="en-GB"/>
        </w:rPr>
        <w:t>and has used the other VIPP-cases as an addition.</w:t>
      </w:r>
      <w:r>
        <w:rPr>
          <w:lang w:val="en-GB"/>
        </w:rPr>
        <w:t xml:space="preserve"> In getting a clear description of the cases and analysis of the problem, the following sources of information have been used</w:t>
      </w:r>
      <w:r w:rsidRPr="006726F9">
        <w:rPr>
          <w:lang w:val="en-GB"/>
        </w:rPr>
        <w:t>:</w:t>
      </w:r>
      <w:r>
        <w:rPr>
          <w:lang w:val="en-GB"/>
        </w:rPr>
        <w:t xml:space="preserve"> secondary data-analysis, document analysis and interviews. The document analysis entailed an analysis of hospital’s governance and strategy efforts towards embedding patient portals in care processes. </w:t>
      </w:r>
      <w:r w:rsidRPr="00D52B27">
        <w:rPr>
          <w:lang w:val="en-GB"/>
        </w:rPr>
        <w:t>This consisted of data from different levels within the organisation (e.g. hospital innovation programme, implementation plan of departments</w:t>
      </w:r>
      <w:r>
        <w:rPr>
          <w:lang w:val="en-GB"/>
        </w:rPr>
        <w:t xml:space="preserve">). Following the analysis and preparation of questions, the study involved interviewing various </w:t>
      </w:r>
      <w:r w:rsidR="00622E76">
        <w:rPr>
          <w:lang w:val="en-GB"/>
        </w:rPr>
        <w:t>staff members</w:t>
      </w:r>
      <w:r>
        <w:rPr>
          <w:lang w:val="en-GB"/>
        </w:rPr>
        <w:t xml:space="preserve"> within the hospital’s organization. These interviews have been recorded and transcribed with the respondent’s approval, following privacy guidelines (GDPR, n.d.)</w:t>
      </w:r>
      <w:r w:rsidR="00014DD3">
        <w:rPr>
          <w:lang w:val="en-GB"/>
        </w:rPr>
        <w:t xml:space="preserve">. </w:t>
      </w:r>
    </w:p>
    <w:p w14:paraId="1DB20DE7" w14:textId="77777777" w:rsidR="00A77631" w:rsidRDefault="00A77631" w:rsidP="007904BC">
      <w:pPr>
        <w:pStyle w:val="Heading2"/>
        <w:rPr>
          <w:lang w:val="en-GB"/>
        </w:rPr>
      </w:pPr>
      <w:bookmarkStart w:id="55" w:name="_Toc38275735"/>
      <w:bookmarkStart w:id="56" w:name="_Toc47522439"/>
      <w:bookmarkStart w:id="57" w:name="_Toc51862093"/>
      <w:r>
        <w:rPr>
          <w:lang w:val="en-GB"/>
        </w:rPr>
        <w:t>3.2 Organisation</w:t>
      </w:r>
      <w:bookmarkEnd w:id="55"/>
      <w:bookmarkEnd w:id="56"/>
      <w:bookmarkEnd w:id="57"/>
    </w:p>
    <w:p w14:paraId="52CC1AE1" w14:textId="2ECA7F2E" w:rsidR="00A77631" w:rsidRDefault="00A77631" w:rsidP="00765A6F">
      <w:pPr>
        <w:spacing w:line="360" w:lineRule="auto"/>
        <w:rPr>
          <w:lang w:val="en-GB"/>
        </w:rPr>
      </w:pPr>
      <w:r>
        <w:rPr>
          <w:lang w:val="en-GB"/>
        </w:rPr>
        <w:t>This study provides an in-width analysis of healthcare organizations that have participated in the VIPP-research of</w:t>
      </w:r>
      <w:r w:rsidRPr="0054357E">
        <w:rPr>
          <w:lang w:val="en-GB"/>
        </w:rPr>
        <w:t xml:space="preserve"> </w:t>
      </w:r>
      <w:proofErr w:type="spellStart"/>
      <w:r w:rsidRPr="00163326">
        <w:rPr>
          <w:lang w:val="en-GB"/>
        </w:rPr>
        <w:t>Hulter</w:t>
      </w:r>
      <w:proofErr w:type="spellEnd"/>
      <w:r w:rsidRPr="00163326">
        <w:rPr>
          <w:lang w:val="en-GB"/>
        </w:rPr>
        <w:t xml:space="preserve">, </w:t>
      </w:r>
      <w:proofErr w:type="spellStart"/>
      <w:r w:rsidRPr="00163326">
        <w:rPr>
          <w:lang w:val="en-GB"/>
        </w:rPr>
        <w:t>Pluut</w:t>
      </w:r>
      <w:proofErr w:type="spellEnd"/>
      <w:r w:rsidRPr="00163326">
        <w:rPr>
          <w:lang w:val="en-GB"/>
        </w:rPr>
        <w:t xml:space="preserve">, </w:t>
      </w:r>
      <w:r w:rsidR="00325A9E">
        <w:rPr>
          <w:lang w:val="en-GB"/>
        </w:rPr>
        <w:t>&amp;</w:t>
      </w:r>
      <w:r w:rsidR="00B9378A">
        <w:rPr>
          <w:lang w:val="en-GB"/>
        </w:rPr>
        <w:t xml:space="preserve"> </w:t>
      </w:r>
      <w:proofErr w:type="spellStart"/>
      <w:r w:rsidRPr="00163326">
        <w:rPr>
          <w:lang w:val="en-GB"/>
        </w:rPr>
        <w:t>Weggelaa</w:t>
      </w:r>
      <w:r w:rsidR="0034462F">
        <w:rPr>
          <w:lang w:val="en-GB"/>
        </w:rPr>
        <w:t>r</w:t>
      </w:r>
      <w:proofErr w:type="spellEnd"/>
      <w:r w:rsidRPr="00163326">
        <w:rPr>
          <w:lang w:val="en-GB"/>
        </w:rPr>
        <w:t xml:space="preserve"> (2019)</w:t>
      </w:r>
      <w:r>
        <w:rPr>
          <w:lang w:val="en-GB"/>
        </w:rPr>
        <w:t xml:space="preserve">. </w:t>
      </w:r>
      <w:proofErr w:type="spellStart"/>
      <w:r>
        <w:rPr>
          <w:lang w:val="en-GB"/>
        </w:rPr>
        <w:t>Hulter</w:t>
      </w:r>
      <w:proofErr w:type="spellEnd"/>
      <w:r>
        <w:rPr>
          <w:lang w:val="en-GB"/>
        </w:rPr>
        <w:t xml:space="preserve"> et al. (2019) have researched the success factors that enable (sustained) use of digital patient environments. </w:t>
      </w:r>
      <w:r>
        <w:rPr>
          <w:rStyle w:val="downloadtitle"/>
          <w:lang w:val="en-GB"/>
        </w:rPr>
        <w:t xml:space="preserve">In their research they conducted interviews with a total of </w:t>
      </w:r>
      <w:r w:rsidRPr="0054357E">
        <w:rPr>
          <w:lang w:val="en-GB"/>
        </w:rPr>
        <w:t>69 respondents from 12 hospitals</w:t>
      </w:r>
      <w:r>
        <w:rPr>
          <w:lang w:val="en-GB"/>
        </w:rPr>
        <w:t xml:space="preserve">, ranging from patients, healthcare professionals to staff members. </w:t>
      </w:r>
      <w:proofErr w:type="spellStart"/>
      <w:r>
        <w:rPr>
          <w:lang w:val="en-GB"/>
        </w:rPr>
        <w:t>Hulter</w:t>
      </w:r>
      <w:proofErr w:type="spellEnd"/>
      <w:r>
        <w:rPr>
          <w:lang w:val="en-GB"/>
        </w:rPr>
        <w:t xml:space="preserve"> et al. (2019) conducted a total of 22 interviews, of which 16 were done in group settings ranging from two to six people. This study has only assessed the interviews with VIPP-hospitals, totalling 57 respondents. Further, they held four focus groups with project leaders from hospitals and categorical institutions, suppliers and national stakeholders and international experts. Of the 12 hospitals, ten were teaching hospitals and two were general hospitals, located a</w:t>
      </w:r>
      <w:r w:rsidR="00B9378A">
        <w:rPr>
          <w:lang w:val="en-GB"/>
        </w:rPr>
        <w:t>cross</w:t>
      </w:r>
      <w:r>
        <w:rPr>
          <w:lang w:val="en-GB"/>
        </w:rPr>
        <w:t xml:space="preserve"> the country. The hospitals use different EHRs, depending on the supplier they contracted, from </w:t>
      </w:r>
      <w:proofErr w:type="spellStart"/>
      <w:r>
        <w:rPr>
          <w:lang w:val="en-GB"/>
        </w:rPr>
        <w:t>HiX</w:t>
      </w:r>
      <w:proofErr w:type="spellEnd"/>
      <w:r>
        <w:rPr>
          <w:lang w:val="en-GB"/>
        </w:rPr>
        <w:t xml:space="preserve">, Epic to ZIS/EPD. </w:t>
      </w:r>
      <w:r w:rsidR="00325A9E">
        <w:rPr>
          <w:lang w:val="en-GB"/>
        </w:rPr>
        <w:t>The</w:t>
      </w:r>
      <w:r w:rsidR="00765A6F">
        <w:rPr>
          <w:lang w:val="en-GB"/>
        </w:rPr>
        <w:t xml:space="preserve">se cases </w:t>
      </w:r>
      <w:r w:rsidR="00325A9E">
        <w:rPr>
          <w:lang w:val="en-GB"/>
        </w:rPr>
        <w:t xml:space="preserve">were expected to illustrate a general trend in Dutch hospitals. </w:t>
      </w:r>
      <w:r>
        <w:rPr>
          <w:lang w:val="en-GB"/>
        </w:rPr>
        <w:t>The</w:t>
      </w:r>
      <w:r w:rsidR="00325A9E">
        <w:rPr>
          <w:lang w:val="en-GB"/>
        </w:rPr>
        <w:t xml:space="preserve"> multi-case study further included an in-depth case study on </w:t>
      </w:r>
      <w:r w:rsidR="00BC0C49">
        <w:rPr>
          <w:lang w:val="en-GB"/>
        </w:rPr>
        <w:t xml:space="preserve">an </w:t>
      </w:r>
      <w:r w:rsidR="00136FB9">
        <w:rPr>
          <w:lang w:val="en-GB"/>
        </w:rPr>
        <w:t xml:space="preserve">academic hospital </w:t>
      </w:r>
      <w:r w:rsidR="00325A9E">
        <w:rPr>
          <w:lang w:val="en-GB"/>
        </w:rPr>
        <w:t>.</w:t>
      </w:r>
      <w:r>
        <w:rPr>
          <w:lang w:val="en-GB"/>
        </w:rPr>
        <w:t xml:space="preserve"> Th</w:t>
      </w:r>
      <w:r w:rsidR="00BC0C49">
        <w:rPr>
          <w:lang w:val="en-GB"/>
        </w:rPr>
        <w:t>is hospital</w:t>
      </w:r>
      <w:r>
        <w:rPr>
          <w:lang w:val="en-GB"/>
        </w:rPr>
        <w:t xml:space="preserve"> was particularly interesting for this research, as it operates as the largest organisation within the region, using the patient portal </w:t>
      </w:r>
      <w:proofErr w:type="spellStart"/>
      <w:r>
        <w:rPr>
          <w:lang w:val="en-GB"/>
        </w:rPr>
        <w:t>HiX</w:t>
      </w:r>
      <w:proofErr w:type="spellEnd"/>
      <w:r>
        <w:rPr>
          <w:lang w:val="en-GB"/>
        </w:rPr>
        <w:t xml:space="preserve"> in correspondence with some of the hospitals within the VIPP-research and it</w:t>
      </w:r>
      <w:r w:rsidR="00D52B27">
        <w:rPr>
          <w:lang w:val="en-GB"/>
        </w:rPr>
        <w:t xml:space="preserve">s status of </w:t>
      </w:r>
      <w:r>
        <w:rPr>
          <w:lang w:val="en-GB"/>
        </w:rPr>
        <w:t xml:space="preserve">an </w:t>
      </w:r>
      <w:r w:rsidR="00136FB9">
        <w:rPr>
          <w:lang w:val="en-GB"/>
        </w:rPr>
        <w:t xml:space="preserve">academic hospital </w:t>
      </w:r>
      <w:r>
        <w:rPr>
          <w:lang w:val="en-GB"/>
        </w:rPr>
        <w:t>. Through a point of contact, and by means of ‘snowball sampling’ (Goodman, 1961), respondents have been selected.</w:t>
      </w:r>
      <w:r w:rsidRPr="00231EF5">
        <w:rPr>
          <w:lang w:val="en-GB"/>
        </w:rPr>
        <w:t xml:space="preserve"> </w:t>
      </w:r>
      <w:r>
        <w:rPr>
          <w:lang w:val="en-GB"/>
        </w:rPr>
        <w:t>A total of three respondents, that have been involved in the patient portal’s embedding through participation in the</w:t>
      </w:r>
      <w:r w:rsidR="00512255">
        <w:rPr>
          <w:lang w:val="en-GB"/>
        </w:rPr>
        <w:t xml:space="preserve"> </w:t>
      </w:r>
      <w:r w:rsidR="00136FB9">
        <w:rPr>
          <w:lang w:val="en-GB"/>
        </w:rPr>
        <w:t xml:space="preserve">academic hospital </w:t>
      </w:r>
      <w:r w:rsidR="00BC0C49">
        <w:rPr>
          <w:lang w:val="en-GB"/>
        </w:rPr>
        <w:t xml:space="preserve">’s </w:t>
      </w:r>
      <w:r w:rsidR="00622E76">
        <w:rPr>
          <w:lang w:val="en-GB"/>
        </w:rPr>
        <w:t xml:space="preserve">domain consultation ‘Patient Portal’ (DC) </w:t>
      </w:r>
      <w:r>
        <w:rPr>
          <w:lang w:val="en-GB"/>
        </w:rPr>
        <w:t>have been interviewed.</w:t>
      </w:r>
      <w:r w:rsidR="00622E76">
        <w:rPr>
          <w:lang w:val="en-GB"/>
        </w:rPr>
        <w:t xml:space="preserve"> </w:t>
      </w:r>
    </w:p>
    <w:p w14:paraId="7B2FF9E9" w14:textId="4496591F" w:rsidR="00A77631" w:rsidRDefault="00A77631" w:rsidP="007904BC">
      <w:pPr>
        <w:pStyle w:val="Heading2"/>
        <w:rPr>
          <w:lang w:val="en-GB"/>
        </w:rPr>
      </w:pPr>
      <w:bookmarkStart w:id="58" w:name="_Toc38275736"/>
      <w:bookmarkStart w:id="59" w:name="_Toc47522440"/>
      <w:bookmarkStart w:id="60" w:name="_Toc51862094"/>
      <w:r>
        <w:rPr>
          <w:lang w:val="en-GB"/>
        </w:rPr>
        <w:lastRenderedPageBreak/>
        <w:t xml:space="preserve">3.3 </w:t>
      </w:r>
      <w:bookmarkEnd w:id="58"/>
      <w:bookmarkEnd w:id="59"/>
      <w:r w:rsidR="00917091">
        <w:rPr>
          <w:lang w:val="en-GB"/>
        </w:rPr>
        <w:t>Research approach</w:t>
      </w:r>
      <w:bookmarkEnd w:id="60"/>
    </w:p>
    <w:p w14:paraId="7A93471E" w14:textId="5A40528D" w:rsidR="00A77631" w:rsidRDefault="00A77631" w:rsidP="007904BC">
      <w:pPr>
        <w:spacing w:line="360" w:lineRule="auto"/>
        <w:rPr>
          <w:lang w:val="en-GB"/>
        </w:rPr>
      </w:pPr>
      <w:r>
        <w:rPr>
          <w:lang w:val="en-GB"/>
        </w:rPr>
        <w:t xml:space="preserve">For a better theoretical understanding of the research concepts in a hospital setting, an extensive literature study has been conducted. The concepts from the theoretical framework are central in this study. The following databases have been searched for Dutch or English articles: Google Scholar, Erasmus University Library and PubMed. For an empirical understanding of the cases, the functionalities of the hospitals’ patient portals were assessed through the analysis of </w:t>
      </w:r>
      <w:proofErr w:type="spellStart"/>
      <w:r>
        <w:rPr>
          <w:lang w:val="en-GB"/>
        </w:rPr>
        <w:t>Nictiz</w:t>
      </w:r>
      <w:proofErr w:type="spellEnd"/>
      <w:r>
        <w:rPr>
          <w:lang w:val="en-GB"/>
        </w:rPr>
        <w:t xml:space="preserve"> (2019), which researched the patient portals of Dutch hospitals, including their details. Then, the hospital’s governance and strategy towards the embedding of patient portal</w:t>
      </w:r>
      <w:r w:rsidR="00544040">
        <w:rPr>
          <w:lang w:val="en-GB"/>
        </w:rPr>
        <w:t>s</w:t>
      </w:r>
      <w:r>
        <w:rPr>
          <w:lang w:val="en-GB"/>
        </w:rPr>
        <w:t xml:space="preserve"> in local care processes and stimulation of its increased and sustained use was assessed by searching online and receiving documents from the hospitals’ database. </w:t>
      </w:r>
      <w:r w:rsidR="00105AA3">
        <w:rPr>
          <w:lang w:val="en-GB"/>
        </w:rPr>
        <w:t xml:space="preserve">These documents entailed annual reports, strategy </w:t>
      </w:r>
      <w:r w:rsidR="00917091">
        <w:rPr>
          <w:lang w:val="en-GB"/>
        </w:rPr>
        <w:t xml:space="preserve">and policy </w:t>
      </w:r>
      <w:r w:rsidR="00105AA3">
        <w:rPr>
          <w:lang w:val="en-GB"/>
        </w:rPr>
        <w:t>documents, news articles</w:t>
      </w:r>
      <w:r w:rsidR="005B5332">
        <w:rPr>
          <w:lang w:val="en-GB"/>
        </w:rPr>
        <w:t xml:space="preserve"> and</w:t>
      </w:r>
      <w:r w:rsidR="00105AA3">
        <w:rPr>
          <w:lang w:val="en-GB"/>
        </w:rPr>
        <w:t xml:space="preserve"> hospital newsletters</w:t>
      </w:r>
      <w:r w:rsidR="00917091">
        <w:rPr>
          <w:lang w:val="en-GB"/>
        </w:rPr>
        <w:t xml:space="preserve">. </w:t>
      </w:r>
      <w:r>
        <w:rPr>
          <w:lang w:val="en-GB"/>
        </w:rPr>
        <w:t xml:space="preserve">Since the interviews from </w:t>
      </w:r>
      <w:proofErr w:type="spellStart"/>
      <w:r>
        <w:rPr>
          <w:lang w:val="en-GB"/>
        </w:rPr>
        <w:t>Hulter</w:t>
      </w:r>
      <w:proofErr w:type="spellEnd"/>
      <w:r>
        <w:rPr>
          <w:lang w:val="en-GB"/>
        </w:rPr>
        <w:t xml:space="preserve"> et al. (2019) were conducted throughout 2018, all relevant documents,</w:t>
      </w:r>
      <w:r w:rsidRPr="00956161">
        <w:rPr>
          <w:lang w:val="en-GB"/>
        </w:rPr>
        <w:t xml:space="preserve"> </w:t>
      </w:r>
      <w:r>
        <w:rPr>
          <w:lang w:val="en-GB"/>
        </w:rPr>
        <w:t>ranging from macro, meso to micro levels, in the period from 2015-2018 have been retrospectively collected.</w:t>
      </w:r>
      <w:r w:rsidR="005B5332">
        <w:rPr>
          <w:lang w:val="en-GB"/>
        </w:rPr>
        <w:t xml:space="preserve"> </w:t>
      </w:r>
      <w:r>
        <w:rPr>
          <w:lang w:val="en-GB"/>
        </w:rPr>
        <w:t xml:space="preserve">In addition, the central database of the Dutch Ministry of Public Health, Welfare and Sport (MVWS, n.d.), where healthcare organizations have to report annually on their performance, has been consulted for the in-width and in-depth study. The interviews with the </w:t>
      </w:r>
      <w:r w:rsidR="00136FB9">
        <w:rPr>
          <w:lang w:val="en-GB"/>
        </w:rPr>
        <w:t>academic hospital ’s</w:t>
      </w:r>
      <w:r>
        <w:rPr>
          <w:lang w:val="en-GB"/>
        </w:rPr>
        <w:t xml:space="preserve"> respondents were conducted semi-structured in June and July 2020, with the support of a topic list </w:t>
      </w:r>
      <w:r w:rsidR="00765A6F">
        <w:rPr>
          <w:lang w:val="en-GB"/>
        </w:rPr>
        <w:t xml:space="preserve">(Appendix 1) </w:t>
      </w:r>
      <w:r>
        <w:rPr>
          <w:lang w:val="en-GB"/>
        </w:rPr>
        <w:t>drawn up from the theoretical concepts and empirical insights from the in-width study.</w:t>
      </w:r>
      <w:r w:rsidR="005B5332">
        <w:rPr>
          <w:lang w:val="en-GB"/>
        </w:rPr>
        <w:t xml:space="preserve"> </w:t>
      </w:r>
      <w:r w:rsidR="00AB24C9">
        <w:rPr>
          <w:lang w:val="en-GB"/>
        </w:rPr>
        <w:t>All t</w:t>
      </w:r>
      <w:r w:rsidR="005B5332">
        <w:rPr>
          <w:lang w:val="en-GB"/>
        </w:rPr>
        <w:t>h</w:t>
      </w:r>
      <w:r w:rsidR="00AB24C9">
        <w:rPr>
          <w:lang w:val="en-GB"/>
        </w:rPr>
        <w:t xml:space="preserve">e </w:t>
      </w:r>
      <w:r w:rsidR="005B5332">
        <w:rPr>
          <w:lang w:val="en-GB"/>
        </w:rPr>
        <w:t xml:space="preserve">respondents </w:t>
      </w:r>
      <w:r w:rsidR="00AB24C9">
        <w:rPr>
          <w:lang w:val="en-GB"/>
        </w:rPr>
        <w:t>of this study, and their corresponding roles in the hospitals, are depicted</w:t>
      </w:r>
      <w:r w:rsidR="005B5332">
        <w:rPr>
          <w:lang w:val="en-GB"/>
        </w:rPr>
        <w:t xml:space="preserve"> in </w:t>
      </w:r>
      <w:r w:rsidR="006D2DE2">
        <w:rPr>
          <w:lang w:val="en-GB"/>
        </w:rPr>
        <w:t xml:space="preserve">Appendix </w:t>
      </w:r>
      <w:r w:rsidR="0045223E">
        <w:rPr>
          <w:lang w:val="en-GB"/>
        </w:rPr>
        <w:t>2</w:t>
      </w:r>
      <w:r w:rsidR="005B5332">
        <w:rPr>
          <w:lang w:val="en-GB"/>
        </w:rPr>
        <w:t>.</w:t>
      </w:r>
    </w:p>
    <w:p w14:paraId="7F1C4441" w14:textId="56FAD147" w:rsidR="00A77631" w:rsidRDefault="00A77631" w:rsidP="007904BC">
      <w:pPr>
        <w:pStyle w:val="Heading2"/>
        <w:rPr>
          <w:lang w:val="en-GB"/>
        </w:rPr>
      </w:pPr>
      <w:bookmarkStart w:id="61" w:name="_Toc38275737"/>
      <w:bookmarkStart w:id="62" w:name="_Toc47522441"/>
      <w:bookmarkStart w:id="63" w:name="_Toc51862095"/>
      <w:r>
        <w:rPr>
          <w:lang w:val="en-GB"/>
        </w:rPr>
        <w:t xml:space="preserve">3.4 </w:t>
      </w:r>
      <w:r w:rsidR="00917091">
        <w:rPr>
          <w:lang w:val="en-GB"/>
        </w:rPr>
        <w:t>Study</w:t>
      </w:r>
      <w:r>
        <w:rPr>
          <w:lang w:val="en-GB"/>
        </w:rPr>
        <w:t xml:space="preserve"> analysis</w:t>
      </w:r>
      <w:bookmarkEnd w:id="61"/>
      <w:bookmarkEnd w:id="62"/>
      <w:bookmarkEnd w:id="63"/>
    </w:p>
    <w:p w14:paraId="7A736347" w14:textId="701F9081" w:rsidR="00A77631" w:rsidRDefault="00A77631" w:rsidP="00A77631">
      <w:pPr>
        <w:spacing w:line="360" w:lineRule="auto"/>
        <w:rPr>
          <w:lang w:val="en-GB"/>
        </w:rPr>
      </w:pPr>
      <w:r>
        <w:rPr>
          <w:lang w:val="en-GB"/>
        </w:rPr>
        <w:t>Relevant documents were systematically reviewed through an iterative process of document analysis (Bowen, 2009). This combines elements of content and thematic analysis, in which information was categorised and analysed for emerging themes. These themes were deducted from the theoretical concepts to provide a rich source for analysis. Document analysis provides historical insights by tracking changes and developments, establishing the contribution certain documents tried to have on the process of embedding. The document analysis has been conducted by individually reviewing all 1</w:t>
      </w:r>
      <w:r w:rsidR="005B5332">
        <w:rPr>
          <w:lang w:val="en-GB"/>
        </w:rPr>
        <w:t>3</w:t>
      </w:r>
      <w:r>
        <w:rPr>
          <w:lang w:val="en-GB"/>
        </w:rPr>
        <w:t xml:space="preserve"> hospitals’ websites for information.</w:t>
      </w:r>
      <w:r w:rsidRPr="0075443A">
        <w:rPr>
          <w:lang w:val="en-GB"/>
        </w:rPr>
        <w:t xml:space="preserve"> </w:t>
      </w:r>
      <w:r>
        <w:rPr>
          <w:lang w:val="en-GB"/>
        </w:rPr>
        <w:t xml:space="preserve">The VIPP-research interviews were analysed through the research concepts of the NASSS framework and the NPT for elements of </w:t>
      </w:r>
      <w:r w:rsidR="005B5332">
        <w:rPr>
          <w:lang w:val="en-GB"/>
        </w:rPr>
        <w:t>s</w:t>
      </w:r>
      <w:r>
        <w:rPr>
          <w:lang w:val="en-GB"/>
        </w:rPr>
        <w:t xml:space="preserve">trategy and </w:t>
      </w:r>
      <w:r w:rsidR="005B5332">
        <w:rPr>
          <w:lang w:val="en-GB"/>
        </w:rPr>
        <w:t>go</w:t>
      </w:r>
      <w:r>
        <w:rPr>
          <w:lang w:val="en-GB"/>
        </w:rPr>
        <w:t>vernance, and essentially the embedding of patient portals in care processes. In determining the complexity of domains, the researcher judged the level of correspondence between the results and the given descriptions of table 1 and labelled the domains accordingly</w:t>
      </w:r>
      <w:r w:rsidR="00917091">
        <w:rPr>
          <w:lang w:val="en-GB"/>
        </w:rPr>
        <w:t xml:space="preserve"> to their complexity</w:t>
      </w:r>
      <w:r>
        <w:rPr>
          <w:lang w:val="en-GB"/>
        </w:rPr>
        <w:t xml:space="preserve">. The researcher’s judgement on this has been made transparent by clearly explaining the reasoning behind these decisions. The qualitative data, gathered through the interviews, </w:t>
      </w:r>
      <w:r w:rsidR="00917091">
        <w:rPr>
          <w:lang w:val="en-GB"/>
        </w:rPr>
        <w:t>ha</w:t>
      </w:r>
      <w:r w:rsidR="00544040">
        <w:rPr>
          <w:lang w:val="en-GB"/>
        </w:rPr>
        <w:t>ve</w:t>
      </w:r>
      <w:r w:rsidR="00917091">
        <w:rPr>
          <w:lang w:val="en-GB"/>
        </w:rPr>
        <w:t xml:space="preserve"> been </w:t>
      </w:r>
      <w:r>
        <w:rPr>
          <w:lang w:val="en-GB"/>
        </w:rPr>
        <w:t xml:space="preserve">analysed through the coding program </w:t>
      </w:r>
      <w:proofErr w:type="spellStart"/>
      <w:r>
        <w:rPr>
          <w:lang w:val="en-GB"/>
        </w:rPr>
        <w:t>Atlas.TI</w:t>
      </w:r>
      <w:proofErr w:type="spellEnd"/>
      <w:r>
        <w:rPr>
          <w:lang w:val="en-GB"/>
        </w:rPr>
        <w:t xml:space="preserve">. By means of the coding process (Williams &amp; Moser, 2019) the data was </w:t>
      </w:r>
      <w:r>
        <w:rPr>
          <w:lang w:val="en-GB"/>
        </w:rPr>
        <w:lastRenderedPageBreak/>
        <w:t xml:space="preserve">analysed using open, </w:t>
      </w:r>
      <w:proofErr w:type="gramStart"/>
      <w:r>
        <w:rPr>
          <w:lang w:val="en-GB"/>
        </w:rPr>
        <w:t>axial</w:t>
      </w:r>
      <w:proofErr w:type="gramEnd"/>
      <w:r>
        <w:rPr>
          <w:lang w:val="en-GB"/>
        </w:rPr>
        <w:t xml:space="preserve"> and selective coding. This study analysed the governance and strategy hospitals have used for the embedding of patient portals in care processes.</w:t>
      </w:r>
      <w:r w:rsidRPr="0075443A">
        <w:rPr>
          <w:lang w:val="en-GB"/>
        </w:rPr>
        <w:t xml:space="preserve"> </w:t>
      </w:r>
      <w:r>
        <w:rPr>
          <w:lang w:val="en-GB"/>
        </w:rPr>
        <w:t>Finally, a comparison has been made between the in-width and in-depth analysis, enlightening similarities, and differences towards, and, in-practice success of embedding patient portals, to observe the consequences of these practices.</w:t>
      </w:r>
    </w:p>
    <w:p w14:paraId="37B489C3" w14:textId="77777777" w:rsidR="00A77631" w:rsidRDefault="00A77631" w:rsidP="007904BC">
      <w:pPr>
        <w:pStyle w:val="Heading2"/>
        <w:rPr>
          <w:lang w:val="en-GB"/>
        </w:rPr>
      </w:pPr>
      <w:bookmarkStart w:id="64" w:name="_Toc38275738"/>
      <w:bookmarkStart w:id="65" w:name="_Toc47522442"/>
      <w:bookmarkStart w:id="66" w:name="_Toc51862096"/>
      <w:r>
        <w:rPr>
          <w:lang w:val="en-GB"/>
        </w:rPr>
        <w:t>3.5 Validity &amp; Reliability</w:t>
      </w:r>
      <w:bookmarkEnd w:id="64"/>
      <w:bookmarkEnd w:id="65"/>
      <w:bookmarkEnd w:id="66"/>
    </w:p>
    <w:p w14:paraId="2415D821" w14:textId="0D2BD504" w:rsidR="00A77631" w:rsidRPr="002F0964" w:rsidRDefault="00A77631" w:rsidP="00A77631">
      <w:pPr>
        <w:spacing w:line="360" w:lineRule="auto"/>
        <w:rPr>
          <w:lang w:val="en-GB"/>
        </w:rPr>
      </w:pPr>
      <w:r>
        <w:rPr>
          <w:lang w:val="en-GB"/>
        </w:rPr>
        <w:t xml:space="preserve">To guarantee the research’s quality, the validity and reliability have been taken into account. In this study the internal validity </w:t>
      </w:r>
      <w:r w:rsidR="00917091">
        <w:rPr>
          <w:lang w:val="en-GB"/>
        </w:rPr>
        <w:t>has been</w:t>
      </w:r>
      <w:r>
        <w:rPr>
          <w:lang w:val="en-GB"/>
        </w:rPr>
        <w:t xml:space="preserve"> secured by using data and theory triangulation. A multitude of interviews and documents </w:t>
      </w:r>
      <w:r w:rsidR="00917091">
        <w:rPr>
          <w:lang w:val="en-GB"/>
        </w:rPr>
        <w:t>have been</w:t>
      </w:r>
      <w:r>
        <w:rPr>
          <w:lang w:val="en-GB"/>
        </w:rPr>
        <w:t xml:space="preserve"> analysed using different theories, like the NASSS framework and NPT. The topic list for instance, has been derived from the theoretical concepts and </w:t>
      </w:r>
      <w:r w:rsidR="00917091">
        <w:rPr>
          <w:lang w:val="en-GB"/>
        </w:rPr>
        <w:t>was</w:t>
      </w:r>
      <w:r>
        <w:rPr>
          <w:lang w:val="en-GB"/>
        </w:rPr>
        <w:t xml:space="preserve"> clearly demarcated. Comparing </w:t>
      </w:r>
      <w:r w:rsidR="00917091">
        <w:rPr>
          <w:lang w:val="en-GB"/>
        </w:rPr>
        <w:t>multiple hospitals’ cases</w:t>
      </w:r>
      <w:r>
        <w:rPr>
          <w:lang w:val="en-GB"/>
        </w:rPr>
        <w:t xml:space="preserve"> might also enhance the external validity of the study. By carefully considering the topics and respondents for these interviews, the validity and reliability was enhanced. Additionally, member checking (Scott, Campbell, Cavers et al., 2016) the </w:t>
      </w:r>
      <w:r w:rsidR="00544040">
        <w:rPr>
          <w:lang w:val="en-GB"/>
        </w:rPr>
        <w:t xml:space="preserve">interview </w:t>
      </w:r>
      <w:r>
        <w:rPr>
          <w:lang w:val="en-GB"/>
        </w:rPr>
        <w:t xml:space="preserve">transcripts will allow for trustworthiness of the data and validation. </w:t>
      </w:r>
      <w:r w:rsidRPr="00A60BAF">
        <w:rPr>
          <w:lang w:val="en-GB"/>
        </w:rPr>
        <w:t xml:space="preserve">The design of the study will allow for diversity </w:t>
      </w:r>
      <w:r>
        <w:rPr>
          <w:lang w:val="en-GB"/>
        </w:rPr>
        <w:t xml:space="preserve">in </w:t>
      </w:r>
      <w:r w:rsidRPr="00A60BAF">
        <w:rPr>
          <w:lang w:val="en-GB"/>
        </w:rPr>
        <w:t>a</w:t>
      </w:r>
      <w:r>
        <w:rPr>
          <w:lang w:val="en-GB"/>
        </w:rPr>
        <w:t>nd a multitude of insights. The external validity will be considered by taking into account the scope and complexity of the research object. To ensure the best possible reflection for this study, the respondents have been selected</w:t>
      </w:r>
      <w:r w:rsidR="00D52B27">
        <w:rPr>
          <w:lang w:val="en-GB"/>
        </w:rPr>
        <w:t xml:space="preserve"> by the researcher and the point of contact</w:t>
      </w:r>
      <w:r>
        <w:rPr>
          <w:lang w:val="en-GB"/>
        </w:rPr>
        <w:t xml:space="preserve">. By focusing on the </w:t>
      </w:r>
      <w:r w:rsidR="00136FB9">
        <w:rPr>
          <w:lang w:val="en-GB"/>
        </w:rPr>
        <w:t xml:space="preserve">academic hospital </w:t>
      </w:r>
      <w:r>
        <w:rPr>
          <w:lang w:val="en-GB"/>
        </w:rPr>
        <w:t xml:space="preserve"> and especially the people </w:t>
      </w:r>
      <w:r w:rsidR="00D52B27">
        <w:rPr>
          <w:lang w:val="en-GB"/>
        </w:rPr>
        <w:t xml:space="preserve">with a primary responsibility for the technical and operational aspects of the patient portal, </w:t>
      </w:r>
      <w:r>
        <w:rPr>
          <w:lang w:val="en-GB"/>
        </w:rPr>
        <w:t>the aim has been to guarantee external validity thereof. The validity will in general be high, by checking the in-width to the in-depth study.</w:t>
      </w:r>
      <w:r w:rsidRPr="00092FD2">
        <w:rPr>
          <w:lang w:val="en-GB"/>
        </w:rPr>
        <w:t xml:space="preserve"> </w:t>
      </w:r>
      <w:r w:rsidRPr="002F0964">
        <w:rPr>
          <w:lang w:val="en-GB"/>
        </w:rPr>
        <w:t xml:space="preserve">The reliability of the research is warranted by </w:t>
      </w:r>
      <w:r>
        <w:rPr>
          <w:lang w:val="en-GB"/>
        </w:rPr>
        <w:t xml:space="preserve">maintaining the conceptual model in the collection and analysis of data. Despite the low reliability of interviews, due to an interview’s subjective nature, this research restored that by semi-structured interviewing different stakeholders from the </w:t>
      </w:r>
      <w:r w:rsidR="00136FB9">
        <w:rPr>
          <w:lang w:val="en-GB"/>
        </w:rPr>
        <w:t xml:space="preserve">academic hospital </w:t>
      </w:r>
      <w:r>
        <w:rPr>
          <w:lang w:val="en-GB"/>
        </w:rPr>
        <w:t xml:space="preserve"> </w:t>
      </w:r>
      <w:r w:rsidR="00056FDB">
        <w:rPr>
          <w:lang w:val="en-GB"/>
        </w:rPr>
        <w:t xml:space="preserve">DC </w:t>
      </w:r>
      <w:r>
        <w:rPr>
          <w:lang w:val="en-GB"/>
        </w:rPr>
        <w:t>and coding them along the theoretical concepts.</w:t>
      </w:r>
    </w:p>
    <w:p w14:paraId="75113F1B" w14:textId="77777777" w:rsidR="00A77631" w:rsidRDefault="00A77631" w:rsidP="00A77631">
      <w:pPr>
        <w:pStyle w:val="Heading2"/>
        <w:rPr>
          <w:lang w:val="en-GB"/>
        </w:rPr>
      </w:pPr>
      <w:r>
        <w:rPr>
          <w:lang w:val="en-GB"/>
        </w:rPr>
        <w:br w:type="page"/>
      </w:r>
    </w:p>
    <w:p w14:paraId="31AED5D6" w14:textId="77777777" w:rsidR="00A77631" w:rsidRDefault="00A77631" w:rsidP="00A77631">
      <w:pPr>
        <w:pStyle w:val="Heading1"/>
        <w:spacing w:before="0"/>
        <w:rPr>
          <w:lang w:val="en-GB"/>
        </w:rPr>
      </w:pPr>
      <w:bookmarkStart w:id="67" w:name="_Hlk45791409"/>
      <w:bookmarkStart w:id="68" w:name="_Toc38284057"/>
      <w:bookmarkStart w:id="69" w:name="_Toc47522443"/>
      <w:bookmarkStart w:id="70" w:name="_Toc51862097"/>
      <w:bookmarkEnd w:id="67"/>
      <w:r>
        <w:rPr>
          <w:lang w:val="en-GB"/>
        </w:rPr>
        <w:lastRenderedPageBreak/>
        <w:t>4. Results</w:t>
      </w:r>
      <w:bookmarkEnd w:id="68"/>
      <w:bookmarkEnd w:id="69"/>
      <w:bookmarkEnd w:id="70"/>
    </w:p>
    <w:p w14:paraId="48CD4BC0" w14:textId="0851459E" w:rsidR="0053576D" w:rsidRDefault="00A77631" w:rsidP="00A77631">
      <w:pPr>
        <w:spacing w:line="360" w:lineRule="auto"/>
        <w:rPr>
          <w:lang w:val="en-GB"/>
        </w:rPr>
      </w:pPr>
      <w:r>
        <w:rPr>
          <w:lang w:val="en-GB"/>
        </w:rPr>
        <w:t xml:space="preserve">This chapter will </w:t>
      </w:r>
      <w:r w:rsidR="0053576D">
        <w:rPr>
          <w:lang w:val="en-GB"/>
        </w:rPr>
        <w:t xml:space="preserve">give a detailed overview of the research’s findings, by assessing and elaborating on the in-depth case study of </w:t>
      </w:r>
      <w:r w:rsidR="00136FB9">
        <w:rPr>
          <w:lang w:val="en-GB"/>
        </w:rPr>
        <w:t xml:space="preserve">academic hospital </w:t>
      </w:r>
      <w:r w:rsidR="0053576D">
        <w:rPr>
          <w:lang w:val="en-GB"/>
        </w:rPr>
        <w:t xml:space="preserve">and the in-width study of the VIPP-hospitals. </w:t>
      </w:r>
      <w:r w:rsidR="00C3348C">
        <w:rPr>
          <w:lang w:val="en-GB"/>
        </w:rPr>
        <w:t xml:space="preserve">By doing so, elements of governance and strategy-as-practice will be revealed towards the contribution or withholding of the patient portals’ embedding in care processes and sustained use by </w:t>
      </w:r>
      <w:r w:rsidR="00141072">
        <w:rPr>
          <w:lang w:val="en-GB"/>
        </w:rPr>
        <w:t xml:space="preserve">patients and </w:t>
      </w:r>
      <w:r w:rsidR="00C3348C">
        <w:rPr>
          <w:lang w:val="en-GB"/>
        </w:rPr>
        <w:t>healthcare professionals.</w:t>
      </w:r>
    </w:p>
    <w:p w14:paraId="49545FD0" w14:textId="6CDE8948" w:rsidR="0053576D" w:rsidRDefault="0053576D" w:rsidP="00FC6A96">
      <w:pPr>
        <w:pStyle w:val="Heading2"/>
        <w:jc w:val="left"/>
        <w:rPr>
          <w:lang w:val="en-GB"/>
        </w:rPr>
      </w:pPr>
      <w:bookmarkStart w:id="71" w:name="_Toc51862098"/>
      <w:r>
        <w:rPr>
          <w:lang w:val="en-GB"/>
        </w:rPr>
        <w:t xml:space="preserve">4.1 </w:t>
      </w:r>
      <w:r w:rsidR="00FB1C9A">
        <w:rPr>
          <w:lang w:val="en-GB"/>
        </w:rPr>
        <w:t>Analysis of t</w:t>
      </w:r>
      <w:r>
        <w:rPr>
          <w:lang w:val="en-GB"/>
        </w:rPr>
        <w:t xml:space="preserve">he </w:t>
      </w:r>
      <w:proofErr w:type="spellStart"/>
      <w:r w:rsidR="006D0365" w:rsidRPr="00D86DB4">
        <w:rPr>
          <w:rFonts w:cstheme="minorHAnsi"/>
          <w:lang w:val="en-GB"/>
        </w:rPr>
        <w:t>Nonadoption</w:t>
      </w:r>
      <w:proofErr w:type="spellEnd"/>
      <w:r w:rsidR="006D0365" w:rsidRPr="00D86DB4">
        <w:rPr>
          <w:rFonts w:cstheme="minorHAnsi"/>
          <w:lang w:val="en-GB"/>
        </w:rPr>
        <w:t xml:space="preserve">, Abandonment, Scale-up, Spread, and Sustainability </w:t>
      </w:r>
      <w:r>
        <w:rPr>
          <w:lang w:val="en-GB"/>
        </w:rPr>
        <w:t>framework</w:t>
      </w:r>
      <w:bookmarkEnd w:id="71"/>
    </w:p>
    <w:p w14:paraId="706EC5DD" w14:textId="00A6DF6B" w:rsidR="00AD1741" w:rsidRDefault="007C1FE7" w:rsidP="00FB1C9A">
      <w:pPr>
        <w:spacing w:line="360" w:lineRule="auto"/>
        <w:rPr>
          <w:lang w:val="en-GB"/>
        </w:rPr>
      </w:pPr>
      <w:r w:rsidRPr="00AD1741">
        <w:rPr>
          <w:noProof/>
        </w:rPr>
        <w:drawing>
          <wp:anchor distT="0" distB="0" distL="114300" distR="114300" simplePos="0" relativeHeight="251658240" behindDoc="1" locked="0" layoutInCell="1" allowOverlap="1" wp14:anchorId="65593D78" wp14:editId="19F1F583">
            <wp:simplePos x="0" y="0"/>
            <wp:positionH relativeFrom="column">
              <wp:posOffset>4370070</wp:posOffset>
            </wp:positionH>
            <wp:positionV relativeFrom="paragraph">
              <wp:posOffset>9525</wp:posOffset>
            </wp:positionV>
            <wp:extent cx="1393190" cy="1196340"/>
            <wp:effectExtent l="0" t="0" r="0" b="0"/>
            <wp:wrapTight wrapText="bothSides">
              <wp:wrapPolygon edited="0">
                <wp:start x="0" y="0"/>
                <wp:lineTo x="0" y="21325"/>
                <wp:lineTo x="10337" y="21325"/>
                <wp:lineTo x="21265" y="19261"/>
                <wp:lineTo x="21265" y="17197"/>
                <wp:lineTo x="14177" y="16510"/>
                <wp:lineTo x="21265" y="14446"/>
                <wp:lineTo x="21265" y="6535"/>
                <wp:lineTo x="18016" y="5503"/>
                <wp:lineTo x="21265" y="688"/>
                <wp:lineTo x="2126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3190" cy="1196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576D">
        <w:rPr>
          <w:lang w:val="en-GB"/>
        </w:rPr>
        <w:t xml:space="preserve">This section will follow the structure and expand on the different domains of the NASSS framework, applying it to the multiple case studies. </w:t>
      </w:r>
      <w:r w:rsidR="004E6F44">
        <w:rPr>
          <w:lang w:val="en-GB"/>
        </w:rPr>
        <w:t xml:space="preserve">Table </w:t>
      </w:r>
      <w:r w:rsidR="00014DD3">
        <w:rPr>
          <w:lang w:val="en-GB"/>
        </w:rPr>
        <w:t>3</w:t>
      </w:r>
      <w:r w:rsidR="00AD1741">
        <w:rPr>
          <w:lang w:val="en-GB"/>
        </w:rPr>
        <w:t xml:space="preserve"> gives an overview </w:t>
      </w:r>
      <w:r w:rsidR="00E1345D">
        <w:rPr>
          <w:lang w:val="en-GB"/>
        </w:rPr>
        <w:t xml:space="preserve">of </w:t>
      </w:r>
      <w:r w:rsidR="00AD1741">
        <w:rPr>
          <w:lang w:val="en-GB"/>
        </w:rPr>
        <w:t>the NASSS framework and illustrates the complexity of the patient portal</w:t>
      </w:r>
      <w:r>
        <w:rPr>
          <w:lang w:val="en-GB"/>
        </w:rPr>
        <w:t>.</w:t>
      </w:r>
      <w:r w:rsidR="00AD1741">
        <w:rPr>
          <w:lang w:val="en-GB"/>
        </w:rPr>
        <w:t xml:space="preserve"> </w:t>
      </w:r>
      <w:r w:rsidR="00C66388">
        <w:rPr>
          <w:lang w:val="en-GB"/>
        </w:rPr>
        <w:t>Also, the overall l</w:t>
      </w:r>
      <w:r w:rsidR="00AD1741">
        <w:rPr>
          <w:lang w:val="en-GB"/>
        </w:rPr>
        <w:t>evel of difficulty</w:t>
      </w:r>
      <w:r w:rsidR="00C66388">
        <w:rPr>
          <w:lang w:val="en-GB"/>
        </w:rPr>
        <w:t xml:space="preserve"> in the patient portal’s embedding, as perceived in this multi-case study, has been assessed. This assessment </w:t>
      </w:r>
      <w:r w:rsidR="00E1345D">
        <w:rPr>
          <w:lang w:val="en-GB"/>
        </w:rPr>
        <w:t xml:space="preserve">is made to </w:t>
      </w:r>
      <w:r w:rsidR="00C66388">
        <w:rPr>
          <w:lang w:val="en-GB"/>
        </w:rPr>
        <w:t>provide</w:t>
      </w:r>
      <w:r w:rsidR="00E1345D">
        <w:rPr>
          <w:lang w:val="en-GB"/>
        </w:rPr>
        <w:t xml:space="preserve"> an enhanced understanding of topics’ complexity and elicits the fact that change on these topics is not to be underestimated.</w:t>
      </w:r>
      <w:r>
        <w:rPr>
          <w:lang w:val="en-GB"/>
        </w:rPr>
        <w:t xml:space="preserve"> </w:t>
      </w:r>
      <w:r w:rsidR="00F479CB">
        <w:rPr>
          <w:lang w:val="en-GB"/>
        </w:rPr>
        <w:t>The following paragraphs will further expand on these results.</w:t>
      </w:r>
    </w:p>
    <w:tbl>
      <w:tblPr>
        <w:tblW w:w="9081" w:type="dxa"/>
        <w:tblInd w:w="75" w:type="dxa"/>
        <w:tblCellMar>
          <w:left w:w="70" w:type="dxa"/>
          <w:right w:w="70" w:type="dxa"/>
        </w:tblCellMar>
        <w:tblLook w:val="04A0" w:firstRow="1" w:lastRow="0" w:firstColumn="1" w:lastColumn="0" w:noHBand="0" w:noVBand="1"/>
      </w:tblPr>
      <w:tblGrid>
        <w:gridCol w:w="4268"/>
        <w:gridCol w:w="547"/>
        <w:gridCol w:w="1367"/>
        <w:gridCol w:w="1468"/>
        <w:gridCol w:w="1431"/>
      </w:tblGrid>
      <w:tr w:rsidR="00FF5832" w:rsidRPr="00FF5832" w14:paraId="50B2AC6B" w14:textId="77777777" w:rsidTr="00AD1741">
        <w:trPr>
          <w:trHeight w:val="391"/>
        </w:trPr>
        <w:tc>
          <w:tcPr>
            <w:tcW w:w="9081"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3FC4A14" w14:textId="3E3CC757" w:rsidR="00FF5832" w:rsidRPr="00FF5832" w:rsidRDefault="00FF5832" w:rsidP="00FF5832">
            <w:pPr>
              <w:spacing w:after="0" w:line="240" w:lineRule="auto"/>
              <w:jc w:val="left"/>
              <w:rPr>
                <w:rFonts w:ascii="Calibri" w:eastAsia="Times New Roman" w:hAnsi="Calibri" w:cs="Calibri"/>
                <w:color w:val="000000"/>
                <w:sz w:val="28"/>
                <w:szCs w:val="28"/>
                <w:lang w:eastAsia="nl-NL"/>
              </w:rPr>
            </w:pPr>
            <w:r w:rsidRPr="00FF5832">
              <w:rPr>
                <w:rFonts w:ascii="Calibri" w:eastAsia="Times New Roman" w:hAnsi="Calibri" w:cs="Calibri"/>
                <w:color w:val="000000"/>
                <w:lang w:eastAsia="nl-NL"/>
              </w:rPr>
              <w:t xml:space="preserve">Table </w:t>
            </w:r>
            <w:r w:rsidR="00014DD3">
              <w:rPr>
                <w:rFonts w:ascii="Calibri" w:eastAsia="Times New Roman" w:hAnsi="Calibri" w:cs="Calibri"/>
                <w:color w:val="000000"/>
                <w:lang w:eastAsia="nl-NL"/>
              </w:rPr>
              <w:t>3</w:t>
            </w:r>
            <w:r w:rsidRPr="00FF5832">
              <w:rPr>
                <w:rFonts w:ascii="Calibri" w:eastAsia="Times New Roman" w:hAnsi="Calibri" w:cs="Calibri"/>
                <w:color w:val="000000"/>
                <w:lang w:eastAsia="nl-NL"/>
              </w:rPr>
              <w:t>. Results NASSS Framework</w:t>
            </w:r>
          </w:p>
        </w:tc>
      </w:tr>
      <w:tr w:rsidR="00FF5832" w:rsidRPr="00FF5832" w14:paraId="45BD7B47"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718D65D3"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Topic</w:t>
            </w:r>
          </w:p>
        </w:tc>
        <w:tc>
          <w:tcPr>
            <w:tcW w:w="547" w:type="dxa"/>
            <w:tcBorders>
              <w:top w:val="nil"/>
              <w:left w:val="nil"/>
              <w:bottom w:val="single" w:sz="4" w:space="0" w:color="auto"/>
              <w:right w:val="single" w:sz="4" w:space="0" w:color="auto"/>
            </w:tcBorders>
            <w:shd w:val="clear" w:color="auto" w:fill="auto"/>
            <w:noWrap/>
            <w:vAlign w:val="bottom"/>
            <w:hideMark/>
          </w:tcPr>
          <w:p w14:paraId="5888518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Q</w:t>
            </w:r>
          </w:p>
        </w:tc>
        <w:tc>
          <w:tcPr>
            <w:tcW w:w="1367" w:type="dxa"/>
            <w:tcBorders>
              <w:top w:val="nil"/>
              <w:left w:val="nil"/>
              <w:bottom w:val="single" w:sz="4" w:space="0" w:color="auto"/>
              <w:right w:val="single" w:sz="4" w:space="0" w:color="auto"/>
            </w:tcBorders>
            <w:shd w:val="clear" w:color="auto" w:fill="auto"/>
            <w:noWrap/>
            <w:vAlign w:val="bottom"/>
            <w:hideMark/>
          </w:tcPr>
          <w:p w14:paraId="00AB9377" w14:textId="28723165" w:rsidR="00FF5832" w:rsidRPr="00FF5832" w:rsidRDefault="00FB1C9A" w:rsidP="00FF5832">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Simple</w:t>
            </w:r>
          </w:p>
        </w:tc>
        <w:tc>
          <w:tcPr>
            <w:tcW w:w="1468" w:type="dxa"/>
            <w:tcBorders>
              <w:top w:val="nil"/>
              <w:left w:val="nil"/>
              <w:bottom w:val="single" w:sz="4" w:space="0" w:color="auto"/>
              <w:right w:val="single" w:sz="4" w:space="0" w:color="auto"/>
            </w:tcBorders>
            <w:shd w:val="clear" w:color="auto" w:fill="auto"/>
            <w:noWrap/>
            <w:vAlign w:val="bottom"/>
            <w:hideMark/>
          </w:tcPr>
          <w:p w14:paraId="5144E84A"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Complicated</w:t>
            </w:r>
          </w:p>
        </w:tc>
        <w:tc>
          <w:tcPr>
            <w:tcW w:w="1431" w:type="dxa"/>
            <w:tcBorders>
              <w:top w:val="nil"/>
              <w:left w:val="nil"/>
              <w:bottom w:val="single" w:sz="4" w:space="0" w:color="auto"/>
              <w:right w:val="single" w:sz="4" w:space="0" w:color="auto"/>
            </w:tcBorders>
            <w:shd w:val="clear" w:color="auto" w:fill="auto"/>
            <w:noWrap/>
            <w:vAlign w:val="bottom"/>
            <w:hideMark/>
          </w:tcPr>
          <w:p w14:paraId="5B90313B" w14:textId="68CAC0E1" w:rsidR="00FF5832" w:rsidRPr="00FF5832" w:rsidRDefault="00FB1C9A" w:rsidP="00FF5832">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Complex</w:t>
            </w:r>
            <w:r w:rsidRPr="00FF5832">
              <w:rPr>
                <w:rFonts w:ascii="Calibri" w:eastAsia="Times New Roman" w:hAnsi="Calibri" w:cs="Calibri"/>
                <w:color w:val="000000"/>
                <w:lang w:eastAsia="nl-NL"/>
              </w:rPr>
              <w:t xml:space="preserve"> </w:t>
            </w:r>
          </w:p>
        </w:tc>
      </w:tr>
      <w:tr w:rsidR="00FF5832" w:rsidRPr="00FF5832" w14:paraId="190D36E8"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112F1A47" w14:textId="77777777" w:rsidR="00FF5832" w:rsidRPr="00FF5832" w:rsidRDefault="00FF5832" w:rsidP="00FF5832">
            <w:pPr>
              <w:spacing w:after="0" w:line="240" w:lineRule="auto"/>
              <w:jc w:val="left"/>
              <w:rPr>
                <w:rFonts w:ascii="Calibri" w:eastAsia="Times New Roman" w:hAnsi="Calibri" w:cs="Calibri"/>
                <w:color w:val="000000"/>
                <w:lang w:val="en-GB" w:eastAsia="nl-NL"/>
              </w:rPr>
            </w:pPr>
            <w:r w:rsidRPr="00FF5832">
              <w:rPr>
                <w:rFonts w:ascii="Calibri" w:eastAsia="Times New Roman" w:hAnsi="Calibri" w:cs="Calibri"/>
                <w:color w:val="000000"/>
                <w:lang w:val="en-GB" w:eastAsia="nl-NL"/>
              </w:rPr>
              <w:t>Clinical aspects of the condition</w:t>
            </w:r>
          </w:p>
        </w:tc>
        <w:tc>
          <w:tcPr>
            <w:tcW w:w="547" w:type="dxa"/>
            <w:tcBorders>
              <w:top w:val="nil"/>
              <w:left w:val="nil"/>
              <w:bottom w:val="single" w:sz="4" w:space="0" w:color="auto"/>
              <w:right w:val="single" w:sz="4" w:space="0" w:color="auto"/>
            </w:tcBorders>
            <w:shd w:val="clear" w:color="auto" w:fill="auto"/>
            <w:noWrap/>
            <w:vAlign w:val="bottom"/>
            <w:hideMark/>
          </w:tcPr>
          <w:p w14:paraId="570FD43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1A</w:t>
            </w:r>
          </w:p>
        </w:tc>
        <w:tc>
          <w:tcPr>
            <w:tcW w:w="1367" w:type="dxa"/>
            <w:tcBorders>
              <w:top w:val="nil"/>
              <w:left w:val="nil"/>
              <w:bottom w:val="single" w:sz="4" w:space="0" w:color="auto"/>
              <w:right w:val="single" w:sz="4" w:space="0" w:color="auto"/>
            </w:tcBorders>
            <w:shd w:val="clear" w:color="auto" w:fill="auto"/>
            <w:noWrap/>
            <w:vAlign w:val="bottom"/>
            <w:hideMark/>
          </w:tcPr>
          <w:p w14:paraId="154CDADC"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auto" w:fill="auto"/>
            <w:noWrap/>
            <w:vAlign w:val="bottom"/>
            <w:hideMark/>
          </w:tcPr>
          <w:p w14:paraId="4074E916"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000000" w:fill="FFC000"/>
            <w:noWrap/>
            <w:vAlign w:val="bottom"/>
            <w:hideMark/>
          </w:tcPr>
          <w:p w14:paraId="601ECF8D"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3D6A1A09"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2B001E3A"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Comorbidities and sociocultural aspects</w:t>
            </w:r>
          </w:p>
        </w:tc>
        <w:tc>
          <w:tcPr>
            <w:tcW w:w="547" w:type="dxa"/>
            <w:tcBorders>
              <w:top w:val="nil"/>
              <w:left w:val="nil"/>
              <w:bottom w:val="single" w:sz="4" w:space="0" w:color="auto"/>
              <w:right w:val="single" w:sz="4" w:space="0" w:color="auto"/>
            </w:tcBorders>
            <w:shd w:val="clear" w:color="auto" w:fill="auto"/>
            <w:noWrap/>
            <w:vAlign w:val="bottom"/>
            <w:hideMark/>
          </w:tcPr>
          <w:p w14:paraId="3E94568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1B</w:t>
            </w:r>
          </w:p>
        </w:tc>
        <w:tc>
          <w:tcPr>
            <w:tcW w:w="1367" w:type="dxa"/>
            <w:tcBorders>
              <w:top w:val="nil"/>
              <w:left w:val="nil"/>
              <w:bottom w:val="single" w:sz="4" w:space="0" w:color="auto"/>
              <w:right w:val="single" w:sz="4" w:space="0" w:color="auto"/>
            </w:tcBorders>
            <w:shd w:val="clear" w:color="auto" w:fill="auto"/>
            <w:noWrap/>
            <w:vAlign w:val="bottom"/>
            <w:hideMark/>
          </w:tcPr>
          <w:p w14:paraId="5BC899D6"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39C29F4D"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7A6630C6"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581D1009"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2A7599B9" w14:textId="02EA6C11"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Material and technical features</w:t>
            </w:r>
          </w:p>
        </w:tc>
        <w:tc>
          <w:tcPr>
            <w:tcW w:w="547" w:type="dxa"/>
            <w:tcBorders>
              <w:top w:val="nil"/>
              <w:left w:val="nil"/>
              <w:bottom w:val="single" w:sz="4" w:space="0" w:color="auto"/>
              <w:right w:val="single" w:sz="4" w:space="0" w:color="auto"/>
            </w:tcBorders>
            <w:shd w:val="clear" w:color="auto" w:fill="auto"/>
            <w:noWrap/>
            <w:vAlign w:val="bottom"/>
            <w:hideMark/>
          </w:tcPr>
          <w:p w14:paraId="7C97087F"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2A</w:t>
            </w:r>
          </w:p>
        </w:tc>
        <w:tc>
          <w:tcPr>
            <w:tcW w:w="1367" w:type="dxa"/>
            <w:tcBorders>
              <w:top w:val="nil"/>
              <w:left w:val="nil"/>
              <w:bottom w:val="single" w:sz="4" w:space="0" w:color="auto"/>
              <w:right w:val="single" w:sz="4" w:space="0" w:color="auto"/>
            </w:tcBorders>
            <w:shd w:val="clear" w:color="auto" w:fill="auto"/>
            <w:noWrap/>
            <w:vAlign w:val="bottom"/>
            <w:hideMark/>
          </w:tcPr>
          <w:p w14:paraId="492DFC7A"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043BB66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01D15E5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6093E840"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6DFD20B5"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Visible/generated knowledge</w:t>
            </w:r>
          </w:p>
        </w:tc>
        <w:tc>
          <w:tcPr>
            <w:tcW w:w="547" w:type="dxa"/>
            <w:tcBorders>
              <w:top w:val="nil"/>
              <w:left w:val="nil"/>
              <w:bottom w:val="single" w:sz="4" w:space="0" w:color="auto"/>
              <w:right w:val="single" w:sz="4" w:space="0" w:color="auto"/>
            </w:tcBorders>
            <w:shd w:val="clear" w:color="auto" w:fill="auto"/>
            <w:noWrap/>
            <w:vAlign w:val="bottom"/>
            <w:hideMark/>
          </w:tcPr>
          <w:p w14:paraId="22DC9EC4"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2B</w:t>
            </w:r>
          </w:p>
        </w:tc>
        <w:tc>
          <w:tcPr>
            <w:tcW w:w="1367" w:type="dxa"/>
            <w:tcBorders>
              <w:top w:val="nil"/>
              <w:left w:val="nil"/>
              <w:bottom w:val="single" w:sz="4" w:space="0" w:color="auto"/>
              <w:right w:val="single" w:sz="4" w:space="0" w:color="auto"/>
            </w:tcBorders>
            <w:shd w:val="clear" w:color="auto" w:fill="auto"/>
            <w:noWrap/>
            <w:vAlign w:val="bottom"/>
            <w:hideMark/>
          </w:tcPr>
          <w:p w14:paraId="04C384F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5BD0E7AC"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7854998F"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7A008F9A"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2541CF45" w14:textId="77777777" w:rsidR="00FF5832" w:rsidRPr="00FF5832" w:rsidRDefault="00FF5832" w:rsidP="00FF5832">
            <w:pPr>
              <w:spacing w:after="0" w:line="240" w:lineRule="auto"/>
              <w:jc w:val="left"/>
              <w:rPr>
                <w:rFonts w:ascii="Calibri" w:eastAsia="Times New Roman" w:hAnsi="Calibri" w:cs="Calibri"/>
                <w:color w:val="000000"/>
                <w:lang w:val="en-GB" w:eastAsia="nl-NL"/>
              </w:rPr>
            </w:pPr>
            <w:r w:rsidRPr="00FF5832">
              <w:rPr>
                <w:rFonts w:ascii="Calibri" w:eastAsia="Times New Roman" w:hAnsi="Calibri" w:cs="Calibri"/>
                <w:color w:val="000000"/>
                <w:lang w:val="en-GB" w:eastAsia="nl-NL"/>
              </w:rPr>
              <w:t>Knowledge and support needed to use</w:t>
            </w:r>
          </w:p>
        </w:tc>
        <w:tc>
          <w:tcPr>
            <w:tcW w:w="547" w:type="dxa"/>
            <w:tcBorders>
              <w:top w:val="nil"/>
              <w:left w:val="nil"/>
              <w:bottom w:val="single" w:sz="4" w:space="0" w:color="auto"/>
              <w:right w:val="single" w:sz="4" w:space="0" w:color="auto"/>
            </w:tcBorders>
            <w:shd w:val="clear" w:color="auto" w:fill="auto"/>
            <w:noWrap/>
            <w:vAlign w:val="bottom"/>
            <w:hideMark/>
          </w:tcPr>
          <w:p w14:paraId="68B952BF"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2C</w:t>
            </w:r>
          </w:p>
        </w:tc>
        <w:tc>
          <w:tcPr>
            <w:tcW w:w="1367" w:type="dxa"/>
            <w:tcBorders>
              <w:top w:val="nil"/>
              <w:left w:val="nil"/>
              <w:bottom w:val="single" w:sz="4" w:space="0" w:color="auto"/>
              <w:right w:val="single" w:sz="4" w:space="0" w:color="auto"/>
            </w:tcBorders>
            <w:shd w:val="clear" w:color="auto" w:fill="auto"/>
            <w:noWrap/>
            <w:vAlign w:val="bottom"/>
            <w:hideMark/>
          </w:tcPr>
          <w:p w14:paraId="28A84A9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C000"/>
            <w:noWrap/>
            <w:vAlign w:val="bottom"/>
            <w:hideMark/>
          </w:tcPr>
          <w:p w14:paraId="5B418D11"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7CCDB0B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39323834"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0291F95D" w14:textId="40234773"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Technology supply model</w:t>
            </w:r>
          </w:p>
        </w:tc>
        <w:tc>
          <w:tcPr>
            <w:tcW w:w="547" w:type="dxa"/>
            <w:tcBorders>
              <w:top w:val="nil"/>
              <w:left w:val="nil"/>
              <w:bottom w:val="single" w:sz="4" w:space="0" w:color="auto"/>
              <w:right w:val="single" w:sz="4" w:space="0" w:color="auto"/>
            </w:tcBorders>
            <w:shd w:val="clear" w:color="auto" w:fill="auto"/>
            <w:noWrap/>
            <w:vAlign w:val="bottom"/>
            <w:hideMark/>
          </w:tcPr>
          <w:p w14:paraId="3518265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2D</w:t>
            </w:r>
          </w:p>
        </w:tc>
        <w:tc>
          <w:tcPr>
            <w:tcW w:w="1367" w:type="dxa"/>
            <w:tcBorders>
              <w:top w:val="nil"/>
              <w:left w:val="nil"/>
              <w:bottom w:val="single" w:sz="4" w:space="0" w:color="auto"/>
              <w:right w:val="single" w:sz="4" w:space="0" w:color="auto"/>
            </w:tcBorders>
            <w:shd w:val="clear" w:color="auto" w:fill="auto"/>
            <w:noWrap/>
            <w:vAlign w:val="bottom"/>
            <w:hideMark/>
          </w:tcPr>
          <w:p w14:paraId="7A83FBB3"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345BEAEE"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45506B53"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50778825"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56A2EFB1"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Supplier's upstream value</w:t>
            </w:r>
          </w:p>
        </w:tc>
        <w:tc>
          <w:tcPr>
            <w:tcW w:w="547" w:type="dxa"/>
            <w:tcBorders>
              <w:top w:val="nil"/>
              <w:left w:val="nil"/>
              <w:bottom w:val="single" w:sz="4" w:space="0" w:color="auto"/>
              <w:right w:val="single" w:sz="4" w:space="0" w:color="auto"/>
            </w:tcBorders>
            <w:shd w:val="clear" w:color="auto" w:fill="auto"/>
            <w:noWrap/>
            <w:vAlign w:val="bottom"/>
            <w:hideMark/>
          </w:tcPr>
          <w:p w14:paraId="43D23A1C"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3A</w:t>
            </w:r>
          </w:p>
        </w:tc>
        <w:tc>
          <w:tcPr>
            <w:tcW w:w="1367" w:type="dxa"/>
            <w:tcBorders>
              <w:top w:val="nil"/>
              <w:left w:val="nil"/>
              <w:bottom w:val="single" w:sz="4" w:space="0" w:color="auto"/>
              <w:right w:val="single" w:sz="4" w:space="0" w:color="auto"/>
            </w:tcBorders>
            <w:shd w:val="clear" w:color="000000" w:fill="92D050"/>
            <w:noWrap/>
            <w:vAlign w:val="bottom"/>
            <w:hideMark/>
          </w:tcPr>
          <w:p w14:paraId="730C11B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auto" w:fill="auto"/>
            <w:noWrap/>
            <w:vAlign w:val="bottom"/>
            <w:hideMark/>
          </w:tcPr>
          <w:p w14:paraId="3110BFF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6AA17E4F"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2191DFD7"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14AEDF6B" w14:textId="04EB7AA6"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Consumer's downstream value</w:t>
            </w:r>
          </w:p>
        </w:tc>
        <w:tc>
          <w:tcPr>
            <w:tcW w:w="547" w:type="dxa"/>
            <w:tcBorders>
              <w:top w:val="nil"/>
              <w:left w:val="nil"/>
              <w:bottom w:val="single" w:sz="4" w:space="0" w:color="auto"/>
              <w:right w:val="single" w:sz="4" w:space="0" w:color="auto"/>
            </w:tcBorders>
            <w:shd w:val="clear" w:color="auto" w:fill="auto"/>
            <w:noWrap/>
            <w:vAlign w:val="bottom"/>
            <w:hideMark/>
          </w:tcPr>
          <w:p w14:paraId="13BDB58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3B</w:t>
            </w:r>
          </w:p>
        </w:tc>
        <w:tc>
          <w:tcPr>
            <w:tcW w:w="1367" w:type="dxa"/>
            <w:tcBorders>
              <w:top w:val="nil"/>
              <w:left w:val="nil"/>
              <w:bottom w:val="single" w:sz="4" w:space="0" w:color="auto"/>
              <w:right w:val="single" w:sz="4" w:space="0" w:color="auto"/>
            </w:tcBorders>
            <w:shd w:val="clear" w:color="auto" w:fill="auto"/>
            <w:noWrap/>
            <w:vAlign w:val="bottom"/>
            <w:hideMark/>
          </w:tcPr>
          <w:p w14:paraId="6FE9FBF1"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C000"/>
            <w:noWrap/>
            <w:vAlign w:val="bottom"/>
            <w:hideMark/>
          </w:tcPr>
          <w:p w14:paraId="7E734F13"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28AD75ED"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532A1FBD"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7444ED4E"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Adoption by staff</w:t>
            </w:r>
          </w:p>
        </w:tc>
        <w:tc>
          <w:tcPr>
            <w:tcW w:w="547" w:type="dxa"/>
            <w:tcBorders>
              <w:top w:val="nil"/>
              <w:left w:val="nil"/>
              <w:bottom w:val="single" w:sz="4" w:space="0" w:color="auto"/>
              <w:right w:val="single" w:sz="4" w:space="0" w:color="auto"/>
            </w:tcBorders>
            <w:shd w:val="clear" w:color="auto" w:fill="auto"/>
            <w:noWrap/>
            <w:vAlign w:val="bottom"/>
            <w:hideMark/>
          </w:tcPr>
          <w:p w14:paraId="1350BE01"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4A</w:t>
            </w:r>
          </w:p>
        </w:tc>
        <w:tc>
          <w:tcPr>
            <w:tcW w:w="1367" w:type="dxa"/>
            <w:tcBorders>
              <w:top w:val="nil"/>
              <w:left w:val="nil"/>
              <w:bottom w:val="single" w:sz="4" w:space="0" w:color="auto"/>
              <w:right w:val="single" w:sz="4" w:space="0" w:color="auto"/>
            </w:tcBorders>
            <w:shd w:val="clear" w:color="auto" w:fill="auto"/>
            <w:noWrap/>
            <w:vAlign w:val="bottom"/>
            <w:hideMark/>
          </w:tcPr>
          <w:p w14:paraId="1B95D8CC"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0000"/>
            <w:noWrap/>
            <w:vAlign w:val="bottom"/>
            <w:hideMark/>
          </w:tcPr>
          <w:p w14:paraId="5EAAD8EF"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000000" w:fill="FF0000"/>
            <w:noWrap/>
            <w:vAlign w:val="bottom"/>
            <w:hideMark/>
          </w:tcPr>
          <w:p w14:paraId="5B5125F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56FC33F7"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1210798B" w14:textId="77777777" w:rsidR="00FF5832" w:rsidRPr="00FF5832" w:rsidRDefault="00FF5832" w:rsidP="00FF5832">
            <w:pPr>
              <w:spacing w:after="0" w:line="240" w:lineRule="auto"/>
              <w:jc w:val="left"/>
              <w:rPr>
                <w:rFonts w:ascii="Calibri" w:eastAsia="Times New Roman" w:hAnsi="Calibri" w:cs="Calibri"/>
                <w:color w:val="000000"/>
                <w:lang w:val="en-GB" w:eastAsia="nl-NL"/>
              </w:rPr>
            </w:pPr>
            <w:r w:rsidRPr="00FF5832">
              <w:rPr>
                <w:rFonts w:ascii="Calibri" w:eastAsia="Times New Roman" w:hAnsi="Calibri" w:cs="Calibri"/>
                <w:color w:val="000000"/>
                <w:lang w:val="en-GB" w:eastAsia="nl-NL"/>
              </w:rPr>
              <w:t>Adoption by patients or clients</w:t>
            </w:r>
          </w:p>
        </w:tc>
        <w:tc>
          <w:tcPr>
            <w:tcW w:w="547" w:type="dxa"/>
            <w:tcBorders>
              <w:top w:val="nil"/>
              <w:left w:val="nil"/>
              <w:bottom w:val="single" w:sz="4" w:space="0" w:color="auto"/>
              <w:right w:val="single" w:sz="4" w:space="0" w:color="auto"/>
            </w:tcBorders>
            <w:shd w:val="clear" w:color="auto" w:fill="auto"/>
            <w:noWrap/>
            <w:vAlign w:val="bottom"/>
            <w:hideMark/>
          </w:tcPr>
          <w:p w14:paraId="1D1381D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4B</w:t>
            </w:r>
          </w:p>
        </w:tc>
        <w:tc>
          <w:tcPr>
            <w:tcW w:w="1367" w:type="dxa"/>
            <w:tcBorders>
              <w:top w:val="nil"/>
              <w:left w:val="nil"/>
              <w:bottom w:val="single" w:sz="4" w:space="0" w:color="auto"/>
              <w:right w:val="single" w:sz="4" w:space="0" w:color="auto"/>
            </w:tcBorders>
            <w:shd w:val="clear" w:color="000000" w:fill="FFFF00"/>
            <w:noWrap/>
            <w:vAlign w:val="bottom"/>
            <w:hideMark/>
          </w:tcPr>
          <w:p w14:paraId="106905BA"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280D6446"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24CC91A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5E69EB41"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24628072"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Assumption lay caregivers</w:t>
            </w:r>
          </w:p>
        </w:tc>
        <w:tc>
          <w:tcPr>
            <w:tcW w:w="547" w:type="dxa"/>
            <w:tcBorders>
              <w:top w:val="nil"/>
              <w:left w:val="nil"/>
              <w:bottom w:val="single" w:sz="4" w:space="0" w:color="auto"/>
              <w:right w:val="single" w:sz="4" w:space="0" w:color="auto"/>
            </w:tcBorders>
            <w:shd w:val="clear" w:color="auto" w:fill="auto"/>
            <w:noWrap/>
            <w:vAlign w:val="bottom"/>
            <w:hideMark/>
          </w:tcPr>
          <w:p w14:paraId="71E6569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4C</w:t>
            </w:r>
          </w:p>
        </w:tc>
        <w:tc>
          <w:tcPr>
            <w:tcW w:w="1367" w:type="dxa"/>
            <w:tcBorders>
              <w:top w:val="nil"/>
              <w:left w:val="nil"/>
              <w:bottom w:val="single" w:sz="4" w:space="0" w:color="auto"/>
              <w:right w:val="single" w:sz="4" w:space="0" w:color="auto"/>
            </w:tcBorders>
            <w:shd w:val="clear" w:color="000000" w:fill="92D050"/>
            <w:noWrap/>
            <w:vAlign w:val="bottom"/>
            <w:hideMark/>
          </w:tcPr>
          <w:p w14:paraId="2C952CD6"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auto" w:fill="auto"/>
            <w:noWrap/>
            <w:vAlign w:val="bottom"/>
            <w:hideMark/>
          </w:tcPr>
          <w:p w14:paraId="71E5CDF4"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181AFD0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0CB92247"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2073042B"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Organization's innovation capacity</w:t>
            </w:r>
          </w:p>
        </w:tc>
        <w:tc>
          <w:tcPr>
            <w:tcW w:w="547" w:type="dxa"/>
            <w:tcBorders>
              <w:top w:val="nil"/>
              <w:left w:val="nil"/>
              <w:bottom w:val="single" w:sz="4" w:space="0" w:color="auto"/>
              <w:right w:val="single" w:sz="4" w:space="0" w:color="auto"/>
            </w:tcBorders>
            <w:shd w:val="clear" w:color="auto" w:fill="auto"/>
            <w:noWrap/>
            <w:vAlign w:val="bottom"/>
            <w:hideMark/>
          </w:tcPr>
          <w:p w14:paraId="77739A2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5A</w:t>
            </w:r>
          </w:p>
        </w:tc>
        <w:tc>
          <w:tcPr>
            <w:tcW w:w="1367" w:type="dxa"/>
            <w:tcBorders>
              <w:top w:val="nil"/>
              <w:left w:val="nil"/>
              <w:bottom w:val="single" w:sz="4" w:space="0" w:color="auto"/>
              <w:right w:val="single" w:sz="4" w:space="0" w:color="auto"/>
            </w:tcBorders>
            <w:shd w:val="clear" w:color="000000" w:fill="FF0000"/>
            <w:noWrap/>
            <w:vAlign w:val="bottom"/>
            <w:hideMark/>
          </w:tcPr>
          <w:p w14:paraId="28ED63F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0000"/>
            <w:noWrap/>
            <w:vAlign w:val="bottom"/>
            <w:hideMark/>
          </w:tcPr>
          <w:p w14:paraId="362000F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04D223EE"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5C9662D4"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3564B5D7" w14:textId="77777777" w:rsidR="00FF5832" w:rsidRPr="00FF5832" w:rsidRDefault="00FF5832" w:rsidP="00FF5832">
            <w:pPr>
              <w:spacing w:after="0" w:line="240" w:lineRule="auto"/>
              <w:jc w:val="left"/>
              <w:rPr>
                <w:rFonts w:ascii="Calibri" w:eastAsia="Times New Roman" w:hAnsi="Calibri" w:cs="Calibri"/>
                <w:color w:val="000000"/>
                <w:lang w:val="en-GB" w:eastAsia="nl-NL"/>
              </w:rPr>
            </w:pPr>
            <w:r w:rsidRPr="00FF5832">
              <w:rPr>
                <w:rFonts w:ascii="Calibri" w:eastAsia="Times New Roman" w:hAnsi="Calibri" w:cs="Calibri"/>
                <w:color w:val="000000"/>
                <w:lang w:val="en-GB" w:eastAsia="nl-NL"/>
              </w:rPr>
              <w:t>Readiness for technology-supported change</w:t>
            </w:r>
          </w:p>
        </w:tc>
        <w:tc>
          <w:tcPr>
            <w:tcW w:w="547" w:type="dxa"/>
            <w:tcBorders>
              <w:top w:val="nil"/>
              <w:left w:val="nil"/>
              <w:bottom w:val="single" w:sz="4" w:space="0" w:color="auto"/>
              <w:right w:val="single" w:sz="4" w:space="0" w:color="auto"/>
            </w:tcBorders>
            <w:shd w:val="clear" w:color="auto" w:fill="auto"/>
            <w:noWrap/>
            <w:vAlign w:val="bottom"/>
            <w:hideMark/>
          </w:tcPr>
          <w:p w14:paraId="73A0CDD9"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5B</w:t>
            </w:r>
          </w:p>
        </w:tc>
        <w:tc>
          <w:tcPr>
            <w:tcW w:w="1367" w:type="dxa"/>
            <w:tcBorders>
              <w:top w:val="nil"/>
              <w:left w:val="nil"/>
              <w:bottom w:val="single" w:sz="4" w:space="0" w:color="auto"/>
              <w:right w:val="single" w:sz="4" w:space="0" w:color="auto"/>
            </w:tcBorders>
            <w:shd w:val="clear" w:color="auto" w:fill="auto"/>
            <w:noWrap/>
            <w:vAlign w:val="bottom"/>
            <w:hideMark/>
          </w:tcPr>
          <w:p w14:paraId="7B05E86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C000"/>
            <w:noWrap/>
            <w:vAlign w:val="bottom"/>
            <w:hideMark/>
          </w:tcPr>
          <w:p w14:paraId="2CB0B67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1254DC5C"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2FF1C416"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105A3BB5" w14:textId="545F24AC"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The adoption decision</w:t>
            </w:r>
          </w:p>
        </w:tc>
        <w:tc>
          <w:tcPr>
            <w:tcW w:w="547" w:type="dxa"/>
            <w:tcBorders>
              <w:top w:val="nil"/>
              <w:left w:val="nil"/>
              <w:bottom w:val="single" w:sz="4" w:space="0" w:color="auto"/>
              <w:right w:val="single" w:sz="4" w:space="0" w:color="auto"/>
            </w:tcBorders>
            <w:shd w:val="clear" w:color="auto" w:fill="auto"/>
            <w:noWrap/>
            <w:vAlign w:val="bottom"/>
            <w:hideMark/>
          </w:tcPr>
          <w:p w14:paraId="70B1365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5C</w:t>
            </w:r>
          </w:p>
        </w:tc>
        <w:tc>
          <w:tcPr>
            <w:tcW w:w="1367" w:type="dxa"/>
            <w:tcBorders>
              <w:top w:val="nil"/>
              <w:left w:val="nil"/>
              <w:bottom w:val="single" w:sz="4" w:space="0" w:color="auto"/>
              <w:right w:val="single" w:sz="4" w:space="0" w:color="auto"/>
            </w:tcBorders>
            <w:shd w:val="clear" w:color="000000" w:fill="92D050"/>
            <w:noWrap/>
            <w:vAlign w:val="bottom"/>
            <w:hideMark/>
          </w:tcPr>
          <w:p w14:paraId="597D97AB"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auto" w:fill="auto"/>
            <w:noWrap/>
            <w:vAlign w:val="bottom"/>
            <w:hideMark/>
          </w:tcPr>
          <w:p w14:paraId="423057A8"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539FAE6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16B613DC"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68FC5BB4"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Established work routines</w:t>
            </w:r>
          </w:p>
        </w:tc>
        <w:tc>
          <w:tcPr>
            <w:tcW w:w="547" w:type="dxa"/>
            <w:tcBorders>
              <w:top w:val="nil"/>
              <w:left w:val="nil"/>
              <w:bottom w:val="single" w:sz="4" w:space="0" w:color="auto"/>
              <w:right w:val="single" w:sz="4" w:space="0" w:color="auto"/>
            </w:tcBorders>
            <w:shd w:val="clear" w:color="auto" w:fill="auto"/>
            <w:noWrap/>
            <w:vAlign w:val="bottom"/>
            <w:hideMark/>
          </w:tcPr>
          <w:p w14:paraId="3456EED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5D</w:t>
            </w:r>
          </w:p>
        </w:tc>
        <w:tc>
          <w:tcPr>
            <w:tcW w:w="1367" w:type="dxa"/>
            <w:tcBorders>
              <w:top w:val="nil"/>
              <w:left w:val="nil"/>
              <w:bottom w:val="single" w:sz="4" w:space="0" w:color="auto"/>
              <w:right w:val="single" w:sz="4" w:space="0" w:color="auto"/>
            </w:tcBorders>
            <w:shd w:val="clear" w:color="auto" w:fill="auto"/>
            <w:noWrap/>
            <w:vAlign w:val="bottom"/>
            <w:hideMark/>
          </w:tcPr>
          <w:p w14:paraId="0614AD6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C000"/>
            <w:noWrap/>
            <w:vAlign w:val="bottom"/>
            <w:hideMark/>
          </w:tcPr>
          <w:p w14:paraId="624C39D4"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215360D2"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06BE7F39"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6224A1E8"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Implementation work</w:t>
            </w:r>
          </w:p>
        </w:tc>
        <w:tc>
          <w:tcPr>
            <w:tcW w:w="547" w:type="dxa"/>
            <w:tcBorders>
              <w:top w:val="nil"/>
              <w:left w:val="nil"/>
              <w:bottom w:val="single" w:sz="4" w:space="0" w:color="auto"/>
              <w:right w:val="single" w:sz="4" w:space="0" w:color="auto"/>
            </w:tcBorders>
            <w:shd w:val="clear" w:color="auto" w:fill="auto"/>
            <w:noWrap/>
            <w:vAlign w:val="bottom"/>
            <w:hideMark/>
          </w:tcPr>
          <w:p w14:paraId="326429F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5E</w:t>
            </w:r>
          </w:p>
        </w:tc>
        <w:tc>
          <w:tcPr>
            <w:tcW w:w="1367" w:type="dxa"/>
            <w:tcBorders>
              <w:top w:val="nil"/>
              <w:left w:val="nil"/>
              <w:bottom w:val="single" w:sz="4" w:space="0" w:color="auto"/>
              <w:right w:val="single" w:sz="4" w:space="0" w:color="auto"/>
            </w:tcBorders>
            <w:shd w:val="clear" w:color="auto" w:fill="auto"/>
            <w:noWrap/>
            <w:vAlign w:val="bottom"/>
            <w:hideMark/>
          </w:tcPr>
          <w:p w14:paraId="47AA6C54"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0000"/>
            <w:noWrap/>
            <w:vAlign w:val="bottom"/>
            <w:hideMark/>
          </w:tcPr>
          <w:p w14:paraId="700AA19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62E5035A"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18BC0EF3"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552353EB"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Wider context</w:t>
            </w:r>
          </w:p>
        </w:tc>
        <w:tc>
          <w:tcPr>
            <w:tcW w:w="547" w:type="dxa"/>
            <w:tcBorders>
              <w:top w:val="nil"/>
              <w:left w:val="nil"/>
              <w:bottom w:val="single" w:sz="4" w:space="0" w:color="auto"/>
              <w:right w:val="single" w:sz="4" w:space="0" w:color="auto"/>
            </w:tcBorders>
            <w:shd w:val="clear" w:color="auto" w:fill="auto"/>
            <w:noWrap/>
            <w:vAlign w:val="bottom"/>
            <w:hideMark/>
          </w:tcPr>
          <w:p w14:paraId="475750A3"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6A</w:t>
            </w:r>
          </w:p>
        </w:tc>
        <w:tc>
          <w:tcPr>
            <w:tcW w:w="1367" w:type="dxa"/>
            <w:tcBorders>
              <w:top w:val="nil"/>
              <w:left w:val="nil"/>
              <w:bottom w:val="single" w:sz="4" w:space="0" w:color="auto"/>
              <w:right w:val="single" w:sz="4" w:space="0" w:color="auto"/>
            </w:tcBorders>
            <w:shd w:val="clear" w:color="000000" w:fill="FFFF00"/>
            <w:noWrap/>
            <w:vAlign w:val="bottom"/>
            <w:hideMark/>
          </w:tcPr>
          <w:p w14:paraId="7BBD572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29C465A1"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6E7BA6D4"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6FB642C6"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0196448B" w14:textId="77777777" w:rsidR="00FF5832" w:rsidRPr="00FF5832" w:rsidRDefault="00FF5832" w:rsidP="00FF5832">
            <w:pPr>
              <w:spacing w:after="0" w:line="240" w:lineRule="auto"/>
              <w:jc w:val="left"/>
              <w:rPr>
                <w:rFonts w:ascii="Calibri" w:eastAsia="Times New Roman" w:hAnsi="Calibri" w:cs="Calibri"/>
                <w:color w:val="000000"/>
                <w:lang w:val="en-GB" w:eastAsia="nl-NL"/>
              </w:rPr>
            </w:pPr>
            <w:r w:rsidRPr="00FF5832">
              <w:rPr>
                <w:rFonts w:ascii="Calibri" w:eastAsia="Times New Roman" w:hAnsi="Calibri" w:cs="Calibri"/>
                <w:color w:val="000000"/>
                <w:lang w:val="en-GB" w:eastAsia="nl-NL"/>
              </w:rPr>
              <w:t>Scope for adapting and coevolving</w:t>
            </w:r>
          </w:p>
        </w:tc>
        <w:tc>
          <w:tcPr>
            <w:tcW w:w="547" w:type="dxa"/>
            <w:tcBorders>
              <w:top w:val="nil"/>
              <w:left w:val="nil"/>
              <w:bottom w:val="single" w:sz="4" w:space="0" w:color="auto"/>
              <w:right w:val="single" w:sz="4" w:space="0" w:color="auto"/>
            </w:tcBorders>
            <w:shd w:val="clear" w:color="auto" w:fill="auto"/>
            <w:noWrap/>
            <w:vAlign w:val="bottom"/>
            <w:hideMark/>
          </w:tcPr>
          <w:p w14:paraId="7CD027D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7A</w:t>
            </w:r>
          </w:p>
        </w:tc>
        <w:tc>
          <w:tcPr>
            <w:tcW w:w="1367" w:type="dxa"/>
            <w:tcBorders>
              <w:top w:val="nil"/>
              <w:left w:val="nil"/>
              <w:bottom w:val="single" w:sz="4" w:space="0" w:color="auto"/>
              <w:right w:val="single" w:sz="4" w:space="0" w:color="auto"/>
            </w:tcBorders>
            <w:shd w:val="clear" w:color="000000" w:fill="FF0000"/>
            <w:noWrap/>
            <w:vAlign w:val="bottom"/>
            <w:hideMark/>
          </w:tcPr>
          <w:p w14:paraId="589453EB"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0000"/>
            <w:noWrap/>
            <w:vAlign w:val="bottom"/>
            <w:hideMark/>
          </w:tcPr>
          <w:p w14:paraId="4D643F67"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19E134E0"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r w:rsidR="00FF5832" w:rsidRPr="00FF5832" w14:paraId="611BDAFA" w14:textId="77777777" w:rsidTr="00711E0E">
        <w:trPr>
          <w:trHeight w:val="312"/>
        </w:trPr>
        <w:tc>
          <w:tcPr>
            <w:tcW w:w="4268" w:type="dxa"/>
            <w:tcBorders>
              <w:top w:val="nil"/>
              <w:left w:val="single" w:sz="4" w:space="0" w:color="auto"/>
              <w:bottom w:val="single" w:sz="4" w:space="0" w:color="auto"/>
              <w:right w:val="single" w:sz="4" w:space="0" w:color="auto"/>
            </w:tcBorders>
            <w:shd w:val="clear" w:color="auto" w:fill="auto"/>
            <w:noWrap/>
            <w:vAlign w:val="bottom"/>
            <w:hideMark/>
          </w:tcPr>
          <w:p w14:paraId="3E2C981F" w14:textId="77777777" w:rsidR="00FF5832" w:rsidRPr="00FF5832" w:rsidRDefault="00FF5832" w:rsidP="00FF5832">
            <w:pPr>
              <w:spacing w:after="0" w:line="240" w:lineRule="auto"/>
              <w:jc w:val="left"/>
              <w:rPr>
                <w:rFonts w:ascii="Calibri" w:eastAsia="Times New Roman" w:hAnsi="Calibri" w:cs="Calibri"/>
                <w:color w:val="000000"/>
                <w:lang w:eastAsia="nl-NL"/>
              </w:rPr>
            </w:pPr>
            <w:r w:rsidRPr="00FF5832">
              <w:rPr>
                <w:rFonts w:ascii="Calibri" w:eastAsia="Times New Roman" w:hAnsi="Calibri" w:cs="Calibri"/>
                <w:color w:val="000000"/>
                <w:lang w:eastAsia="nl-NL"/>
              </w:rPr>
              <w:t xml:space="preserve">Resilience organization </w:t>
            </w:r>
          </w:p>
        </w:tc>
        <w:tc>
          <w:tcPr>
            <w:tcW w:w="547" w:type="dxa"/>
            <w:tcBorders>
              <w:top w:val="nil"/>
              <w:left w:val="nil"/>
              <w:bottom w:val="single" w:sz="4" w:space="0" w:color="auto"/>
              <w:right w:val="single" w:sz="4" w:space="0" w:color="auto"/>
            </w:tcBorders>
            <w:shd w:val="clear" w:color="auto" w:fill="auto"/>
            <w:noWrap/>
            <w:vAlign w:val="bottom"/>
            <w:hideMark/>
          </w:tcPr>
          <w:p w14:paraId="4FD4B03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7B</w:t>
            </w:r>
          </w:p>
        </w:tc>
        <w:tc>
          <w:tcPr>
            <w:tcW w:w="1367" w:type="dxa"/>
            <w:tcBorders>
              <w:top w:val="nil"/>
              <w:left w:val="nil"/>
              <w:bottom w:val="single" w:sz="4" w:space="0" w:color="auto"/>
              <w:right w:val="single" w:sz="4" w:space="0" w:color="auto"/>
            </w:tcBorders>
            <w:shd w:val="clear" w:color="000000" w:fill="FFFF00"/>
            <w:noWrap/>
            <w:vAlign w:val="bottom"/>
            <w:hideMark/>
          </w:tcPr>
          <w:p w14:paraId="2D78BE04"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68" w:type="dxa"/>
            <w:tcBorders>
              <w:top w:val="nil"/>
              <w:left w:val="nil"/>
              <w:bottom w:val="single" w:sz="4" w:space="0" w:color="auto"/>
              <w:right w:val="single" w:sz="4" w:space="0" w:color="auto"/>
            </w:tcBorders>
            <w:shd w:val="clear" w:color="000000" w:fill="FFFF00"/>
            <w:noWrap/>
            <w:vAlign w:val="bottom"/>
            <w:hideMark/>
          </w:tcPr>
          <w:p w14:paraId="0C1E745A"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c>
          <w:tcPr>
            <w:tcW w:w="1431" w:type="dxa"/>
            <w:tcBorders>
              <w:top w:val="nil"/>
              <w:left w:val="nil"/>
              <w:bottom w:val="single" w:sz="4" w:space="0" w:color="auto"/>
              <w:right w:val="single" w:sz="4" w:space="0" w:color="auto"/>
            </w:tcBorders>
            <w:shd w:val="clear" w:color="auto" w:fill="auto"/>
            <w:noWrap/>
            <w:vAlign w:val="bottom"/>
            <w:hideMark/>
          </w:tcPr>
          <w:p w14:paraId="07624C75" w14:textId="77777777" w:rsidR="00FF5832" w:rsidRPr="00FF5832" w:rsidRDefault="00FF5832" w:rsidP="00FF5832">
            <w:pPr>
              <w:spacing w:after="0" w:line="240" w:lineRule="auto"/>
              <w:jc w:val="center"/>
              <w:rPr>
                <w:rFonts w:ascii="Calibri" w:eastAsia="Times New Roman" w:hAnsi="Calibri" w:cs="Calibri"/>
                <w:color w:val="000000"/>
                <w:lang w:eastAsia="nl-NL"/>
              </w:rPr>
            </w:pPr>
            <w:r w:rsidRPr="00FF5832">
              <w:rPr>
                <w:rFonts w:ascii="Calibri" w:eastAsia="Times New Roman" w:hAnsi="Calibri" w:cs="Calibri"/>
                <w:color w:val="000000"/>
                <w:lang w:eastAsia="nl-NL"/>
              </w:rPr>
              <w:t> </w:t>
            </w:r>
          </w:p>
        </w:tc>
      </w:tr>
    </w:tbl>
    <w:p w14:paraId="656B0C0B" w14:textId="3B52103C" w:rsidR="005949F6" w:rsidRPr="0053576D" w:rsidRDefault="005949F6" w:rsidP="0053576D">
      <w:pPr>
        <w:spacing w:line="360" w:lineRule="auto"/>
        <w:rPr>
          <w:lang w:val="en-GB"/>
        </w:rPr>
      </w:pPr>
    </w:p>
    <w:p w14:paraId="247851D7" w14:textId="1CD5BC5A" w:rsidR="00A77631" w:rsidRDefault="00FA7135" w:rsidP="00C66388">
      <w:pPr>
        <w:pStyle w:val="Heading3"/>
        <w:rPr>
          <w:lang w:val="en-GB"/>
        </w:rPr>
      </w:pPr>
      <w:bookmarkStart w:id="72" w:name="_Toc47522444"/>
      <w:bookmarkStart w:id="73" w:name="_Toc51862099"/>
      <w:r>
        <w:rPr>
          <w:lang w:val="en-GB"/>
        </w:rPr>
        <w:lastRenderedPageBreak/>
        <w:t>4.1.1 The Condition (NASSS Domain 1)</w:t>
      </w:r>
      <w:bookmarkEnd w:id="73"/>
      <w:r>
        <w:rPr>
          <w:lang w:val="en-GB"/>
        </w:rPr>
        <w:t xml:space="preserve"> </w:t>
      </w:r>
      <w:bookmarkEnd w:id="72"/>
    </w:p>
    <w:p w14:paraId="36E8646C" w14:textId="36F2F1E0" w:rsidR="00A77631" w:rsidRDefault="00A77631" w:rsidP="00A77631">
      <w:pPr>
        <w:spacing w:line="360" w:lineRule="auto"/>
        <w:rPr>
          <w:rFonts w:cstheme="minorHAnsi"/>
          <w:lang w:val="en-GB"/>
        </w:rPr>
      </w:pPr>
      <w:r>
        <w:rPr>
          <w:rFonts w:cstheme="minorHAnsi"/>
          <w:lang w:val="en-GB"/>
        </w:rPr>
        <w:t xml:space="preserve">Due to a great diversity in types of illnesses, and their differing care paths, differences in the use of the patient portal can be explained. The </w:t>
      </w:r>
      <w:r w:rsidR="00136FB9">
        <w:rPr>
          <w:lang w:val="en-GB"/>
        </w:rPr>
        <w:t xml:space="preserve">academic hospital </w:t>
      </w:r>
      <w:r>
        <w:rPr>
          <w:rFonts w:cstheme="minorHAnsi"/>
          <w:lang w:val="en-GB"/>
        </w:rPr>
        <w:t xml:space="preserve">has distributed healthcare along nine themes, in several departments and medical disciplines. Individually, these departments see their own patients with their own protocols, allowing for great differences in how often care is provided, ranging from regular to irregular appointments or single visits. The nature of the individual patients’ condition or illness therefore can be simple, complicated, or complex. Considering that in 2018 the </w:t>
      </w:r>
      <w:r w:rsidR="00136FB9">
        <w:rPr>
          <w:lang w:val="en-GB"/>
        </w:rPr>
        <w:t xml:space="preserve">academic hospital </w:t>
      </w:r>
      <w:r>
        <w:rPr>
          <w:rFonts w:cstheme="minorHAnsi"/>
          <w:lang w:val="en-GB"/>
        </w:rPr>
        <w:t xml:space="preserve">had 31.923 hospitalizations and 512.717 first outpatient clinic visits and the highly academic nature of the hospital, health status of the patients has to be characterized as complex </w:t>
      </w:r>
      <w:r w:rsidRPr="00164032">
        <w:rPr>
          <w:rFonts w:cstheme="minorHAnsi"/>
          <w:b/>
          <w:bCs/>
          <w:lang w:val="en-GB"/>
        </w:rPr>
        <w:t>(1A)</w:t>
      </w:r>
      <w:r>
        <w:rPr>
          <w:rFonts w:cstheme="minorHAnsi"/>
          <w:lang w:val="en-GB"/>
        </w:rPr>
        <w:t xml:space="preserve">. The status of the patient will initially be poorly </w:t>
      </w:r>
      <w:r w:rsidRPr="00235581">
        <w:rPr>
          <w:rFonts w:cstheme="minorHAnsi"/>
          <w:lang w:val="en-GB"/>
        </w:rPr>
        <w:t>characterizable</w:t>
      </w:r>
      <w:r>
        <w:rPr>
          <w:rFonts w:cstheme="minorHAnsi"/>
          <w:lang w:val="en-GB"/>
        </w:rPr>
        <w:t xml:space="preserve">, poorly understood, unpredictable and high risk. The complexity in the nature of the condition or illness is also underlined by the in-width study, in which the diversity and multitude of patients, care paths and medical departments do not allow for the underlying nature of the condition or illness to be simply captured into existing protocols or definitions. </w:t>
      </w:r>
    </w:p>
    <w:p w14:paraId="0C61495F" w14:textId="03009351" w:rsidR="00A77631" w:rsidRDefault="00A77631" w:rsidP="00A77631">
      <w:pPr>
        <w:spacing w:after="0"/>
        <w:ind w:firstLine="708"/>
        <w:jc w:val="left"/>
        <w:rPr>
          <w:rFonts w:cstheme="minorHAnsi"/>
          <w:i/>
          <w:iCs/>
          <w:lang w:val="en-GB"/>
        </w:rPr>
      </w:pPr>
      <w:r>
        <w:rPr>
          <w:rFonts w:cstheme="minorHAnsi"/>
          <w:i/>
          <w:iCs/>
          <w:lang w:val="en-GB"/>
        </w:rPr>
        <w:t>VIPP 11.2: You have different types of patients (..)</w:t>
      </w:r>
    </w:p>
    <w:p w14:paraId="0B487597" w14:textId="229DDD0B" w:rsidR="00A77631" w:rsidRPr="00910F73" w:rsidRDefault="00A77631" w:rsidP="00A77631">
      <w:pPr>
        <w:ind w:firstLine="708"/>
        <w:jc w:val="left"/>
        <w:rPr>
          <w:rFonts w:cstheme="minorHAnsi"/>
          <w:lang w:val="en-GB"/>
        </w:rPr>
      </w:pPr>
      <w:r>
        <w:rPr>
          <w:rFonts w:cstheme="minorHAnsi"/>
          <w:i/>
          <w:iCs/>
          <w:lang w:val="en-GB"/>
        </w:rPr>
        <w:t>VIPP 11.4: I think that ‘the patient’ does not exist.</w:t>
      </w:r>
    </w:p>
    <w:p w14:paraId="75D3DE8B" w14:textId="77777777" w:rsidR="00A77631" w:rsidRDefault="00A77631" w:rsidP="00A77631">
      <w:pPr>
        <w:spacing w:line="360" w:lineRule="auto"/>
        <w:rPr>
          <w:lang w:val="en-GB"/>
        </w:rPr>
      </w:pPr>
      <w:r>
        <w:rPr>
          <w:lang w:val="en-GB"/>
        </w:rPr>
        <w:t>The complexity of the individual’s health status seems precedent to the adoption and substantial use of the patient portal. Depending on its functionalities, the patient portal</w:t>
      </w:r>
      <w:r w:rsidRPr="008904C7">
        <w:rPr>
          <w:lang w:val="en-GB"/>
        </w:rPr>
        <w:t xml:space="preserve"> can count as a supplement t</w:t>
      </w:r>
      <w:r>
        <w:rPr>
          <w:lang w:val="en-GB"/>
        </w:rPr>
        <w:t>o the information process of healthcare and treatment, as it allows for more alignment and a possibility to take another look at information provided. For chronic patients, with complicated or complex conditions or illnesses, the patient portal generates more usefulness. For them, the patient portal can serve as an easily accessible way of communication with healthcare professionals and their personal medical information</w:t>
      </w:r>
      <w:r w:rsidRPr="00E679FC">
        <w:rPr>
          <w:lang w:val="en-GB"/>
        </w:rPr>
        <w:t xml:space="preserve"> </w:t>
      </w:r>
      <w:r>
        <w:rPr>
          <w:lang w:val="en-GB"/>
        </w:rPr>
        <w:t xml:space="preserve">storage. Whereas for acute patients, with a simple condition or illness, the patient portal does not have as much use. Due to their limited stay in the hospital and severity of their disease, the necessity to use the patient portal is less imminent. </w:t>
      </w:r>
    </w:p>
    <w:p w14:paraId="5C0D7FA4" w14:textId="0036F3B7" w:rsidR="00A77631" w:rsidRPr="00B13E61" w:rsidRDefault="00A77631" w:rsidP="00A77631">
      <w:pPr>
        <w:ind w:left="708"/>
        <w:jc w:val="left"/>
        <w:rPr>
          <w:rFonts w:eastAsia="TimesNewRomanPSMT" w:cstheme="minorHAnsi"/>
          <w:i/>
          <w:iCs/>
          <w:lang w:val="en-GB"/>
        </w:rPr>
      </w:pPr>
      <w:r w:rsidRPr="00B13E61">
        <w:rPr>
          <w:rFonts w:eastAsia="TimesNewRomanPSMT" w:cstheme="minorHAnsi"/>
          <w:i/>
          <w:iCs/>
          <w:lang w:val="en-GB"/>
        </w:rPr>
        <w:t>VIPP 5.5: I have been a patient in this hospital, and it has been nice to check some things. So, I believe that the patient portal, when looking from a patient’s perspective, does certainly add something.</w:t>
      </w:r>
    </w:p>
    <w:p w14:paraId="0CE6AE3E" w14:textId="77777777" w:rsidR="00A77631" w:rsidRDefault="00A77631" w:rsidP="00A77631">
      <w:pPr>
        <w:spacing w:line="360" w:lineRule="auto"/>
        <w:rPr>
          <w:rFonts w:eastAsia="TimesNewRomanPSMT" w:cstheme="minorHAnsi"/>
          <w:lang w:val="en-GB"/>
        </w:rPr>
      </w:pPr>
      <w:r>
        <w:rPr>
          <w:lang w:val="en-GB"/>
        </w:rPr>
        <w:t xml:space="preserve">Further, differences in patients’ socio-cultural backgrounds play a role too. In the in-width study, (digital) illiteracy of patients poses significant challenges for the patient portal and certain illnesses, for instance blindness and dyslexia, would not even allow for patient portal usage unless it has been taken into account, which has not been the case in this study. Next to that, differences in patients’ age and education seem to magnify their (digital) illiteracy and their ability to be taught and learn. Therefore </w:t>
      </w:r>
      <w:r w:rsidRPr="00D015FC">
        <w:rPr>
          <w:rFonts w:eastAsia="TimesNewRomanPSMT" w:cstheme="minorHAnsi"/>
          <w:lang w:val="en-GB"/>
        </w:rPr>
        <w:t>relevant socio-cultural factors and comorbidities</w:t>
      </w:r>
      <w:r>
        <w:rPr>
          <w:rFonts w:eastAsia="TimesNewRomanPSMT" w:cstheme="minorHAnsi"/>
          <w:lang w:val="en-GB"/>
        </w:rPr>
        <w:t xml:space="preserve"> must be taken into account and factored </w:t>
      </w:r>
      <w:r>
        <w:rPr>
          <w:rFonts w:eastAsia="TimesNewRomanPSMT" w:cstheme="minorHAnsi"/>
          <w:lang w:val="en-GB"/>
        </w:rPr>
        <w:lastRenderedPageBreak/>
        <w:t xml:space="preserve">into the care plan and service model and it is thus specified as complicated </w:t>
      </w:r>
      <w:r w:rsidRPr="00164032">
        <w:rPr>
          <w:rFonts w:eastAsia="TimesNewRomanPSMT" w:cstheme="minorHAnsi"/>
          <w:b/>
          <w:bCs/>
          <w:lang w:val="en-GB"/>
        </w:rPr>
        <w:t>(1B)</w:t>
      </w:r>
      <w:r>
        <w:rPr>
          <w:rFonts w:eastAsia="TimesNewRomanPSMT" w:cstheme="minorHAnsi"/>
          <w:lang w:val="en-GB"/>
        </w:rPr>
        <w:t xml:space="preserve">. The in-width study has shown that these topics were taken into consideration but require extensive work in practice. Some VIPP-hospitals have even consulted a specialist to make texts consist of less words, shorter and easier-to-understand sentences. </w:t>
      </w:r>
    </w:p>
    <w:p w14:paraId="08B73713" w14:textId="3AC57492" w:rsidR="00A77631" w:rsidRPr="00BC644D" w:rsidRDefault="00FA7135" w:rsidP="00A77631">
      <w:pPr>
        <w:pStyle w:val="Heading3"/>
        <w:rPr>
          <w:lang w:val="en-GB"/>
        </w:rPr>
      </w:pPr>
      <w:bookmarkStart w:id="74" w:name="_Toc47522445"/>
      <w:bookmarkStart w:id="75" w:name="_Toc51862100"/>
      <w:r>
        <w:rPr>
          <w:lang w:val="en-GB"/>
        </w:rPr>
        <w:t>4.1.2 The Technology (</w:t>
      </w:r>
      <w:r w:rsidR="00A77631">
        <w:rPr>
          <w:lang w:val="en-GB"/>
        </w:rPr>
        <w:t>NASSS Domain 2</w:t>
      </w:r>
      <w:bookmarkEnd w:id="74"/>
      <w:r>
        <w:rPr>
          <w:lang w:val="en-GB"/>
        </w:rPr>
        <w:t>)</w:t>
      </w:r>
      <w:bookmarkEnd w:id="75"/>
    </w:p>
    <w:tbl>
      <w:tblPr>
        <w:tblStyle w:val="TableGrid"/>
        <w:tblpPr w:leftFromText="141" w:rightFromText="141" w:vertAnchor="text" w:horzAnchor="margin" w:tblpXSpec="right" w:tblpY="83"/>
        <w:tblW w:w="0" w:type="auto"/>
        <w:tblLook w:val="04A0" w:firstRow="1" w:lastRow="0" w:firstColumn="1" w:lastColumn="0" w:noHBand="0" w:noVBand="1"/>
      </w:tblPr>
      <w:tblGrid>
        <w:gridCol w:w="950"/>
        <w:gridCol w:w="419"/>
      </w:tblGrid>
      <w:tr w:rsidR="00A77631" w14:paraId="059A1811" w14:textId="77777777" w:rsidTr="00A77631">
        <w:trPr>
          <w:trHeight w:val="387"/>
        </w:trPr>
        <w:tc>
          <w:tcPr>
            <w:tcW w:w="1369" w:type="dxa"/>
            <w:gridSpan w:val="2"/>
          </w:tcPr>
          <w:p w14:paraId="77C8905E" w14:textId="0D52FEA2" w:rsidR="00A77631" w:rsidRPr="006B1CE0" w:rsidRDefault="00A77631" w:rsidP="00A77631">
            <w:pPr>
              <w:autoSpaceDE w:val="0"/>
              <w:autoSpaceDN w:val="0"/>
              <w:adjustRightInd w:val="0"/>
              <w:spacing w:line="360" w:lineRule="auto"/>
              <w:rPr>
                <w:rFonts w:eastAsia="TimesNewRomanPSMT" w:cstheme="minorHAnsi"/>
                <w:b/>
                <w:bCs/>
                <w:sz w:val="20"/>
                <w:szCs w:val="20"/>
                <w:lang w:val="en-GB"/>
              </w:rPr>
            </w:pPr>
            <w:bookmarkStart w:id="76" w:name="_Hlk47620652"/>
            <w:r w:rsidRPr="006B1CE0">
              <w:rPr>
                <w:rFonts w:eastAsia="TimesNewRomanPSMT" w:cstheme="minorHAnsi"/>
                <w:b/>
                <w:bCs/>
                <w:sz w:val="20"/>
                <w:szCs w:val="20"/>
                <w:lang w:val="en-GB"/>
              </w:rPr>
              <w:t xml:space="preserve">Table </w:t>
            </w:r>
            <w:r w:rsidR="00014DD3">
              <w:rPr>
                <w:rFonts w:eastAsia="TimesNewRomanPSMT" w:cstheme="minorHAnsi"/>
                <w:b/>
                <w:bCs/>
                <w:sz w:val="20"/>
                <w:szCs w:val="20"/>
                <w:lang w:val="en-GB"/>
              </w:rPr>
              <w:t>4</w:t>
            </w:r>
            <w:r w:rsidRPr="006B1CE0">
              <w:rPr>
                <w:rFonts w:eastAsia="TimesNewRomanPSMT" w:cstheme="minorHAnsi"/>
                <w:b/>
                <w:bCs/>
                <w:sz w:val="20"/>
                <w:szCs w:val="20"/>
                <w:lang w:val="en-GB"/>
              </w:rPr>
              <w:t>.</w:t>
            </w:r>
            <w:r>
              <w:rPr>
                <w:rFonts w:eastAsia="TimesNewRomanPSMT" w:cstheme="minorHAnsi"/>
                <w:b/>
                <w:bCs/>
                <w:sz w:val="20"/>
                <w:szCs w:val="20"/>
                <w:lang w:val="en-GB"/>
              </w:rPr>
              <w:t xml:space="preserve"> NL</w:t>
            </w:r>
          </w:p>
          <w:p w14:paraId="64575664" w14:textId="77777777" w:rsidR="00A77631" w:rsidRPr="006B1CE0" w:rsidRDefault="00A77631" w:rsidP="00A77631">
            <w:pPr>
              <w:autoSpaceDE w:val="0"/>
              <w:autoSpaceDN w:val="0"/>
              <w:adjustRightInd w:val="0"/>
              <w:spacing w:line="360" w:lineRule="auto"/>
              <w:rPr>
                <w:rFonts w:eastAsia="TimesNewRomanPSMT" w:cstheme="minorHAnsi"/>
                <w:b/>
                <w:bCs/>
                <w:lang w:val="en-GB"/>
              </w:rPr>
            </w:pPr>
            <w:r>
              <w:rPr>
                <w:rFonts w:eastAsia="TimesNewRomanPSMT" w:cstheme="minorHAnsi"/>
                <w:b/>
                <w:bCs/>
                <w:sz w:val="20"/>
                <w:szCs w:val="20"/>
                <w:lang w:val="en-GB"/>
              </w:rPr>
              <w:t>EHR</w:t>
            </w:r>
            <w:r w:rsidRPr="006B1CE0">
              <w:rPr>
                <w:rFonts w:eastAsia="TimesNewRomanPSMT" w:cstheme="minorHAnsi"/>
                <w:b/>
                <w:bCs/>
                <w:sz w:val="20"/>
                <w:szCs w:val="20"/>
                <w:lang w:val="en-GB"/>
              </w:rPr>
              <w:t xml:space="preserve"> overview </w:t>
            </w:r>
          </w:p>
        </w:tc>
      </w:tr>
      <w:tr w:rsidR="00A77631" w14:paraId="20E282FC" w14:textId="77777777" w:rsidTr="00A77631">
        <w:trPr>
          <w:trHeight w:val="401"/>
        </w:trPr>
        <w:tc>
          <w:tcPr>
            <w:tcW w:w="950" w:type="dxa"/>
          </w:tcPr>
          <w:p w14:paraId="039A0092"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proofErr w:type="spellStart"/>
            <w:r w:rsidRPr="006B1CE0">
              <w:rPr>
                <w:rFonts w:eastAsia="TimesNewRomanPSMT" w:cstheme="minorHAnsi"/>
                <w:sz w:val="20"/>
                <w:szCs w:val="20"/>
                <w:lang w:val="en-GB"/>
              </w:rPr>
              <w:t>Chipsoft</w:t>
            </w:r>
            <w:proofErr w:type="spellEnd"/>
          </w:p>
        </w:tc>
        <w:tc>
          <w:tcPr>
            <w:tcW w:w="419" w:type="dxa"/>
          </w:tcPr>
          <w:p w14:paraId="4614A3F3"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50</w:t>
            </w:r>
          </w:p>
        </w:tc>
      </w:tr>
      <w:tr w:rsidR="00A77631" w14:paraId="26CFF87A" w14:textId="77777777" w:rsidTr="00A77631">
        <w:trPr>
          <w:trHeight w:val="387"/>
        </w:trPr>
        <w:tc>
          <w:tcPr>
            <w:tcW w:w="950" w:type="dxa"/>
          </w:tcPr>
          <w:p w14:paraId="2CC7D1FE"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Epic</w:t>
            </w:r>
          </w:p>
        </w:tc>
        <w:tc>
          <w:tcPr>
            <w:tcW w:w="419" w:type="dxa"/>
          </w:tcPr>
          <w:p w14:paraId="08CFCBF4"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11</w:t>
            </w:r>
          </w:p>
        </w:tc>
      </w:tr>
      <w:tr w:rsidR="00A77631" w14:paraId="40123E65" w14:textId="77777777" w:rsidTr="00A77631">
        <w:trPr>
          <w:trHeight w:val="401"/>
        </w:trPr>
        <w:tc>
          <w:tcPr>
            <w:tcW w:w="950" w:type="dxa"/>
          </w:tcPr>
          <w:p w14:paraId="137C39F0"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CSC</w:t>
            </w:r>
          </w:p>
        </w:tc>
        <w:tc>
          <w:tcPr>
            <w:tcW w:w="419" w:type="dxa"/>
          </w:tcPr>
          <w:p w14:paraId="1FC768F5"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2</w:t>
            </w:r>
          </w:p>
        </w:tc>
      </w:tr>
      <w:tr w:rsidR="00A77631" w14:paraId="39BF203E" w14:textId="77777777" w:rsidTr="00A77631">
        <w:trPr>
          <w:trHeight w:val="387"/>
        </w:trPr>
        <w:tc>
          <w:tcPr>
            <w:tcW w:w="950" w:type="dxa"/>
          </w:tcPr>
          <w:p w14:paraId="16F075CC"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Nexus</w:t>
            </w:r>
          </w:p>
        </w:tc>
        <w:tc>
          <w:tcPr>
            <w:tcW w:w="419" w:type="dxa"/>
          </w:tcPr>
          <w:p w14:paraId="21E3C311"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8</w:t>
            </w:r>
          </w:p>
        </w:tc>
      </w:tr>
      <w:tr w:rsidR="00A77631" w14:paraId="66683EE4" w14:textId="77777777" w:rsidTr="00A77631">
        <w:trPr>
          <w:trHeight w:val="387"/>
        </w:trPr>
        <w:tc>
          <w:tcPr>
            <w:tcW w:w="950" w:type="dxa"/>
          </w:tcPr>
          <w:p w14:paraId="7444C5C9"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Cerner</w:t>
            </w:r>
          </w:p>
        </w:tc>
        <w:tc>
          <w:tcPr>
            <w:tcW w:w="419" w:type="dxa"/>
          </w:tcPr>
          <w:p w14:paraId="0D649301" w14:textId="77777777" w:rsidR="00A77631" w:rsidRPr="006B1CE0" w:rsidRDefault="00A77631" w:rsidP="00A77631">
            <w:pPr>
              <w:autoSpaceDE w:val="0"/>
              <w:autoSpaceDN w:val="0"/>
              <w:adjustRightInd w:val="0"/>
              <w:spacing w:line="360" w:lineRule="auto"/>
              <w:rPr>
                <w:rFonts w:eastAsia="TimesNewRomanPSMT" w:cstheme="minorHAnsi"/>
                <w:sz w:val="20"/>
                <w:szCs w:val="20"/>
                <w:lang w:val="en-GB"/>
              </w:rPr>
            </w:pPr>
            <w:r w:rsidRPr="006B1CE0">
              <w:rPr>
                <w:rFonts w:eastAsia="TimesNewRomanPSMT" w:cstheme="minorHAnsi"/>
                <w:sz w:val="20"/>
                <w:szCs w:val="20"/>
                <w:lang w:val="en-GB"/>
              </w:rPr>
              <w:t>6</w:t>
            </w:r>
          </w:p>
        </w:tc>
      </w:tr>
    </w:tbl>
    <w:bookmarkEnd w:id="76"/>
    <w:p w14:paraId="48418D24" w14:textId="14C6ED5B"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 xml:space="preserve">The technology for the patient portal is dominantly provided by </w:t>
      </w:r>
      <w:proofErr w:type="spellStart"/>
      <w:r>
        <w:rPr>
          <w:rFonts w:eastAsia="TimesNewRomanPSMT" w:cstheme="minorHAnsi"/>
          <w:lang w:val="en-GB"/>
        </w:rPr>
        <w:t>Chipsoft</w:t>
      </w:r>
      <w:proofErr w:type="spellEnd"/>
      <w:r>
        <w:rPr>
          <w:rFonts w:eastAsia="TimesNewRomanPSMT" w:cstheme="minorHAnsi"/>
          <w:lang w:val="en-GB"/>
        </w:rPr>
        <w:t xml:space="preserve">, they also supply the EHR in the </w:t>
      </w:r>
      <w:r w:rsidR="00136FB9">
        <w:rPr>
          <w:lang w:val="en-GB"/>
        </w:rPr>
        <w:t>academic hospital</w:t>
      </w:r>
      <w:r>
        <w:rPr>
          <w:rFonts w:eastAsia="TimesNewRomanPSMT" w:cstheme="minorHAnsi"/>
          <w:lang w:val="en-GB"/>
        </w:rPr>
        <w:t xml:space="preserve">. The patient portal could thus be seen as a by-product of that system and is integrated with it. In the case of </w:t>
      </w:r>
      <w:r w:rsidR="00136FB9">
        <w:rPr>
          <w:lang w:val="en-GB"/>
        </w:rPr>
        <w:t>academic hospital</w:t>
      </w:r>
      <w:r>
        <w:rPr>
          <w:rFonts w:eastAsia="TimesNewRomanPSMT" w:cstheme="minorHAnsi"/>
          <w:lang w:val="en-GB"/>
        </w:rPr>
        <w:t xml:space="preserve">, the patient portal is set up by technical management in the </w:t>
      </w:r>
      <w:r w:rsidR="00136FB9">
        <w:rPr>
          <w:lang w:val="en-GB"/>
        </w:rPr>
        <w:t>academic hospital</w:t>
      </w:r>
      <w:r>
        <w:rPr>
          <w:rFonts w:eastAsia="TimesNewRomanPSMT" w:cstheme="minorHAnsi"/>
          <w:lang w:val="en-GB"/>
        </w:rPr>
        <w:t>, for which it is supported by a third party, technical consultancy company, ICT-Z. Despite its dependency on the supplier and the standard content that is provided within the product,</w:t>
      </w:r>
      <w:r w:rsidR="00136FB9">
        <w:rPr>
          <w:rFonts w:eastAsia="TimesNewRomanPSMT" w:cstheme="minorHAnsi"/>
          <w:lang w:val="en-GB"/>
        </w:rPr>
        <w:t xml:space="preserve"> the</w:t>
      </w:r>
      <w:r>
        <w:rPr>
          <w:rFonts w:eastAsia="TimesNewRomanPSMT" w:cstheme="minorHAnsi"/>
          <w:lang w:val="en-GB"/>
        </w:rPr>
        <w:t xml:space="preserve"> </w:t>
      </w:r>
      <w:r w:rsidR="00136FB9">
        <w:rPr>
          <w:lang w:val="en-GB"/>
        </w:rPr>
        <w:t xml:space="preserve">academic hospital </w:t>
      </w:r>
      <w:r>
        <w:rPr>
          <w:rFonts w:eastAsia="TimesNewRomanPSMT" w:cstheme="minorHAnsi"/>
          <w:lang w:val="en-GB"/>
        </w:rPr>
        <w:t>has the ability to make certain adjustments and did set up the patient portal themselves. Somewhat</w:t>
      </w:r>
      <w:r w:rsidRPr="00325FD6">
        <w:rPr>
          <w:rFonts w:eastAsia="TimesNewRomanPSMT" w:cstheme="minorHAnsi"/>
          <w:lang w:val="en-GB"/>
        </w:rPr>
        <w:t xml:space="preserve"> </w:t>
      </w:r>
      <w:r>
        <w:rPr>
          <w:rFonts w:eastAsia="TimesNewRomanPSMT" w:cstheme="minorHAnsi"/>
          <w:lang w:val="en-GB"/>
        </w:rPr>
        <w:t xml:space="preserve">in </w:t>
      </w:r>
      <w:r w:rsidRPr="00325FD6">
        <w:rPr>
          <w:rFonts w:eastAsia="TimesNewRomanPSMT" w:cstheme="minorHAnsi"/>
          <w:lang w:val="en-GB"/>
        </w:rPr>
        <w:t xml:space="preserve">line with the </w:t>
      </w:r>
      <w:r>
        <w:rPr>
          <w:rFonts w:eastAsia="TimesNewRomanPSMT" w:cstheme="minorHAnsi"/>
          <w:lang w:val="en-GB"/>
        </w:rPr>
        <w:t xml:space="preserve">Dutch trend from table </w:t>
      </w:r>
      <w:r w:rsidR="00014DD3">
        <w:rPr>
          <w:rFonts w:eastAsia="TimesNewRomanPSMT" w:cstheme="minorHAnsi"/>
          <w:lang w:val="en-GB"/>
        </w:rPr>
        <w:t>4</w:t>
      </w:r>
      <w:r>
        <w:rPr>
          <w:rFonts w:eastAsia="TimesNewRomanPSMT" w:cstheme="minorHAnsi"/>
          <w:lang w:val="en-GB"/>
        </w:rPr>
        <w:t xml:space="preserve"> (van </w:t>
      </w:r>
      <w:proofErr w:type="spellStart"/>
      <w:r>
        <w:rPr>
          <w:rFonts w:eastAsia="TimesNewRomanPSMT" w:cstheme="minorHAnsi"/>
          <w:lang w:val="en-GB"/>
        </w:rPr>
        <w:t>Eekeren</w:t>
      </w:r>
      <w:proofErr w:type="spellEnd"/>
      <w:r>
        <w:rPr>
          <w:rFonts w:eastAsia="TimesNewRomanPSMT" w:cstheme="minorHAnsi"/>
          <w:lang w:val="en-GB"/>
        </w:rPr>
        <w:t xml:space="preserve"> &amp; van </w:t>
      </w:r>
      <w:proofErr w:type="spellStart"/>
      <w:r>
        <w:rPr>
          <w:rFonts w:eastAsia="TimesNewRomanPSMT" w:cstheme="minorHAnsi"/>
          <w:lang w:val="en-GB"/>
        </w:rPr>
        <w:t>Zuilen</w:t>
      </w:r>
      <w:proofErr w:type="spellEnd"/>
      <w:r>
        <w:rPr>
          <w:rFonts w:eastAsia="TimesNewRomanPSMT" w:cstheme="minorHAnsi"/>
          <w:lang w:val="en-GB"/>
        </w:rPr>
        <w:t xml:space="preserve">, 2018), the in-width study shows nine hospitals being supplied by </w:t>
      </w:r>
      <w:proofErr w:type="spellStart"/>
      <w:r>
        <w:rPr>
          <w:rFonts w:eastAsia="TimesNewRomanPSMT" w:cstheme="minorHAnsi"/>
          <w:lang w:val="en-GB"/>
        </w:rPr>
        <w:t>Chipsoft</w:t>
      </w:r>
      <w:proofErr w:type="spellEnd"/>
      <w:r>
        <w:rPr>
          <w:rFonts w:eastAsia="TimesNewRomanPSMT" w:cstheme="minorHAnsi"/>
          <w:lang w:val="en-GB"/>
        </w:rPr>
        <w:t>, two hospitals by Epic and one by CSC. The</w:t>
      </w:r>
      <w:r w:rsidRPr="0099643A">
        <w:rPr>
          <w:rFonts w:eastAsia="TimesNewRomanPSMT" w:cstheme="minorHAnsi"/>
          <w:lang w:val="en-GB"/>
        </w:rPr>
        <w:t xml:space="preserve"> key features</w:t>
      </w:r>
      <w:r>
        <w:rPr>
          <w:rFonts w:eastAsia="TimesNewRomanPSMT" w:cstheme="minorHAnsi"/>
          <w:lang w:val="en-GB"/>
        </w:rPr>
        <w:t xml:space="preserve"> for the </w:t>
      </w:r>
      <w:r w:rsidR="00136FB9">
        <w:rPr>
          <w:lang w:val="en-GB"/>
        </w:rPr>
        <w:t xml:space="preserve">academic hospital </w:t>
      </w:r>
      <w:r>
        <w:rPr>
          <w:rFonts w:eastAsia="TimesNewRomanPSMT" w:cstheme="minorHAnsi"/>
          <w:lang w:val="en-GB"/>
        </w:rPr>
        <w:t>are as follows (</w:t>
      </w:r>
      <w:proofErr w:type="spellStart"/>
      <w:r>
        <w:rPr>
          <w:rFonts w:eastAsia="TimesNewRomanPSMT" w:cstheme="minorHAnsi"/>
          <w:lang w:val="en-GB"/>
        </w:rPr>
        <w:t>Nictiz</w:t>
      </w:r>
      <w:proofErr w:type="spellEnd"/>
      <w:r>
        <w:rPr>
          <w:rFonts w:eastAsia="TimesNewRomanPSMT" w:cstheme="minorHAnsi"/>
          <w:lang w:val="en-GB"/>
        </w:rPr>
        <w:t xml:space="preserve">, July 2019): secured login via </w:t>
      </w:r>
      <w:proofErr w:type="spellStart"/>
      <w:r>
        <w:rPr>
          <w:rFonts w:eastAsia="TimesNewRomanPSMT" w:cstheme="minorHAnsi"/>
          <w:lang w:val="en-GB"/>
        </w:rPr>
        <w:t>Digid</w:t>
      </w:r>
      <w:proofErr w:type="spellEnd"/>
      <w:r>
        <w:rPr>
          <w:rFonts w:eastAsia="TimesNewRomanPSMT" w:cstheme="minorHAnsi"/>
          <w:lang w:val="en-GB"/>
        </w:rPr>
        <w:t>/</w:t>
      </w:r>
      <w:proofErr w:type="spellStart"/>
      <w:r>
        <w:rPr>
          <w:rFonts w:eastAsia="TimesNewRomanPSMT" w:cstheme="minorHAnsi"/>
          <w:lang w:val="en-GB"/>
        </w:rPr>
        <w:t>sms</w:t>
      </w:r>
      <w:proofErr w:type="spellEnd"/>
      <w:r>
        <w:rPr>
          <w:rFonts w:eastAsia="TimesNewRomanPSMT" w:cstheme="minorHAnsi"/>
          <w:lang w:val="en-GB"/>
        </w:rPr>
        <w:t xml:space="preserve">, access for children &lt;16 years, access to personal data, supplement/change personal data, information to sets of medical data, information to research results, insight of laboratory results, information to results of imaging research (report), real-time insight (24h), insight of medication overview, insight to treatment information, insight to letters, insight into appointment overview and possibility to make/change/cancel online appointments. However, it should be noted that the patient portal is in constant development, integrating new- and improving on existing functionalities. Therefore, a judgment on dependability and interoperability cannot be done in full and thus, it should be specified as complicated </w:t>
      </w:r>
      <w:r w:rsidRPr="00164032">
        <w:rPr>
          <w:rFonts w:eastAsia="TimesNewRomanPSMT" w:cstheme="minorHAnsi"/>
          <w:b/>
          <w:bCs/>
          <w:lang w:val="en-GB"/>
        </w:rPr>
        <w:t>(2A)</w:t>
      </w:r>
      <w:r>
        <w:rPr>
          <w:rFonts w:eastAsia="TimesNewRomanPSMT" w:cstheme="minorHAnsi"/>
          <w:lang w:val="en-GB"/>
        </w:rPr>
        <w:t xml:space="preserve">. These developments are designed within </w:t>
      </w:r>
      <w:r w:rsidR="00056FDB">
        <w:rPr>
          <w:rFonts w:eastAsia="TimesNewRomanPSMT" w:cstheme="minorHAnsi"/>
          <w:lang w:val="en-GB"/>
        </w:rPr>
        <w:t>patient portals’ consulting groups,</w:t>
      </w:r>
      <w:r>
        <w:rPr>
          <w:rFonts w:eastAsia="TimesNewRomanPSMT" w:cstheme="minorHAnsi"/>
          <w:lang w:val="en-GB"/>
        </w:rPr>
        <w:t xml:space="preserve"> which has existed </w:t>
      </w:r>
      <w:r w:rsidR="00056FDB">
        <w:rPr>
          <w:rFonts w:eastAsia="TimesNewRomanPSMT" w:cstheme="minorHAnsi"/>
          <w:lang w:val="en-GB"/>
        </w:rPr>
        <w:t xml:space="preserve">in the </w:t>
      </w:r>
      <w:r w:rsidR="00136FB9">
        <w:rPr>
          <w:lang w:val="en-GB"/>
        </w:rPr>
        <w:t xml:space="preserve">academic hospital </w:t>
      </w:r>
      <w:r>
        <w:rPr>
          <w:rFonts w:eastAsia="TimesNewRomanPSMT" w:cstheme="minorHAnsi"/>
          <w:lang w:val="en-GB"/>
        </w:rPr>
        <w:t xml:space="preserve">since the announcement of the EHR and consists of different people from within the organization. Interestingly, the key features of the patient portals differ per hospital, even despite having the same supplier and product. The patient portal is often an outcome of individual hospital’s efforts and communication with the supplier, as well as a willingness to invest resources. </w:t>
      </w:r>
    </w:p>
    <w:p w14:paraId="15D06F87" w14:textId="34308E50" w:rsidR="00A77631" w:rsidRPr="002F157D" w:rsidRDefault="00A77631" w:rsidP="00A77631">
      <w:pPr>
        <w:autoSpaceDE w:val="0"/>
        <w:autoSpaceDN w:val="0"/>
        <w:adjustRightInd w:val="0"/>
        <w:ind w:left="708"/>
        <w:jc w:val="left"/>
        <w:rPr>
          <w:rFonts w:eastAsia="TimesNewRomanPSMT" w:cstheme="minorHAnsi"/>
          <w:i/>
          <w:iCs/>
          <w:lang w:val="en-GB"/>
        </w:rPr>
      </w:pPr>
      <w:r w:rsidRPr="002F157D">
        <w:rPr>
          <w:rFonts w:eastAsia="TimesNewRomanPSMT" w:cstheme="minorHAnsi"/>
          <w:i/>
          <w:iCs/>
          <w:lang w:val="en-GB"/>
        </w:rPr>
        <w:t xml:space="preserve">VIPP 9.4: We have an EHR system containing everything of the hospital’s information system. We deliver </w:t>
      </w:r>
      <w:r>
        <w:rPr>
          <w:rFonts w:eastAsia="TimesNewRomanPSMT" w:cstheme="minorHAnsi"/>
          <w:i/>
          <w:iCs/>
          <w:lang w:val="en-GB"/>
        </w:rPr>
        <w:t>it</w:t>
      </w:r>
      <w:r w:rsidRPr="002F157D">
        <w:rPr>
          <w:rFonts w:eastAsia="TimesNewRomanPSMT" w:cstheme="minorHAnsi"/>
          <w:i/>
          <w:iCs/>
          <w:lang w:val="en-GB"/>
        </w:rPr>
        <w:t xml:space="preserve"> to a supplier that works with several hospitals. However, we still have some freedom to setup the system in the way we would want to. So, if you were to be in another hospital with the same supplier, the portal could look a bit different.</w:t>
      </w:r>
    </w:p>
    <w:p w14:paraId="78535286" w14:textId="2B9442CE" w:rsidR="00A77631" w:rsidRPr="009A185A" w:rsidRDefault="00A77631" w:rsidP="00A77631">
      <w:pPr>
        <w:autoSpaceDE w:val="0"/>
        <w:autoSpaceDN w:val="0"/>
        <w:adjustRightInd w:val="0"/>
        <w:spacing w:line="360" w:lineRule="auto"/>
        <w:rPr>
          <w:rFonts w:eastAsia="TimesNewRomanPSMT" w:cstheme="minorHAnsi"/>
          <w:color w:val="FF0000"/>
          <w:lang w:val="en-GB"/>
        </w:rPr>
      </w:pPr>
      <w:r>
        <w:rPr>
          <w:rFonts w:eastAsia="TimesNewRomanPSMT" w:cstheme="minorHAnsi"/>
          <w:lang w:val="en-GB"/>
        </w:rPr>
        <w:t xml:space="preserve">Since the in-width study covers VIPP-hospitals, who have financial incentives to expand and stimulate the patients’ use of their patient portals, the </w:t>
      </w:r>
      <w:r w:rsidR="00136FB9">
        <w:rPr>
          <w:lang w:val="en-GB"/>
        </w:rPr>
        <w:t xml:space="preserve">academic hospital </w:t>
      </w:r>
      <w:r>
        <w:rPr>
          <w:rFonts w:eastAsia="TimesNewRomanPSMT" w:cstheme="minorHAnsi"/>
          <w:lang w:val="en-GB"/>
        </w:rPr>
        <w:t xml:space="preserve">does not have entirely corresponding </w:t>
      </w:r>
      <w:r>
        <w:rPr>
          <w:rFonts w:eastAsia="TimesNewRomanPSMT" w:cstheme="minorHAnsi"/>
          <w:lang w:val="en-GB"/>
        </w:rPr>
        <w:lastRenderedPageBreak/>
        <w:t xml:space="preserve">functionalities of the patient portal. The earlier stages of the VIPP-programme, VIPP1 and VIPP2, excluded the </w:t>
      </w:r>
      <w:r w:rsidR="00136FB9">
        <w:rPr>
          <w:lang w:val="en-GB"/>
        </w:rPr>
        <w:t xml:space="preserve">academic hospital </w:t>
      </w:r>
      <w:r>
        <w:rPr>
          <w:rFonts w:eastAsia="TimesNewRomanPSMT" w:cstheme="minorHAnsi"/>
          <w:lang w:val="en-GB"/>
        </w:rPr>
        <w:t xml:space="preserve">in partaking, as a result of which they had no entitlement to subsidiary grants or seen the same prioritization. Of particular interest are the functionalities that </w:t>
      </w:r>
      <w:r w:rsidR="00136FB9">
        <w:rPr>
          <w:lang w:val="en-GB"/>
        </w:rPr>
        <w:t>academic hospital</w:t>
      </w:r>
      <w:r>
        <w:rPr>
          <w:rFonts w:eastAsia="TimesNewRomanPSMT" w:cstheme="minorHAnsi"/>
          <w:lang w:val="en-GB"/>
        </w:rPr>
        <w:t xml:space="preserve"> does not have as of July 2019, with a corresponding ratio of VIPP-hospitals that do have that specific functionality: E-consult (11/12), forms/questionnaires (12/12), patient folder (9/12), supplement/change medical data (2/12), supplement/change medication overview (3/12), request a prescription repeat (3/12), video consult (1/12), diary (1/12), download data (1/12). </w:t>
      </w:r>
    </w:p>
    <w:p w14:paraId="2F91DFA2" w14:textId="3E38AC1E" w:rsidR="00A77631" w:rsidRPr="00C80F74" w:rsidRDefault="00A77631" w:rsidP="00A77631">
      <w:pPr>
        <w:autoSpaceDE w:val="0"/>
        <w:autoSpaceDN w:val="0"/>
        <w:adjustRightInd w:val="0"/>
        <w:ind w:firstLine="708"/>
        <w:jc w:val="left"/>
        <w:rPr>
          <w:rFonts w:eastAsia="TimesNewRomanPSMT" w:cstheme="minorHAnsi"/>
          <w:lang w:val="en-GB"/>
        </w:rPr>
      </w:pPr>
      <w:r w:rsidRPr="00DB7D2E">
        <w:rPr>
          <w:rFonts w:eastAsia="TimesNewRomanPSMT" w:cstheme="minorHAnsi"/>
          <w:i/>
          <w:iCs/>
          <w:lang w:val="en-GB"/>
        </w:rPr>
        <w:t>VIPP</w:t>
      </w:r>
      <w:r w:rsidR="00C3348C">
        <w:rPr>
          <w:rFonts w:eastAsia="TimesNewRomanPSMT" w:cstheme="minorHAnsi"/>
          <w:i/>
          <w:iCs/>
          <w:lang w:val="en-GB"/>
        </w:rPr>
        <w:t xml:space="preserve"> </w:t>
      </w:r>
      <w:r w:rsidRPr="00DB7D2E">
        <w:rPr>
          <w:rFonts w:eastAsia="TimesNewRomanPSMT" w:cstheme="minorHAnsi"/>
          <w:i/>
          <w:iCs/>
          <w:lang w:val="en-GB"/>
        </w:rPr>
        <w:t>3.5: You n</w:t>
      </w:r>
      <w:r>
        <w:rPr>
          <w:rFonts w:eastAsia="TimesNewRomanPSMT" w:cstheme="minorHAnsi"/>
          <w:i/>
          <w:iCs/>
          <w:lang w:val="en-GB"/>
        </w:rPr>
        <w:t xml:space="preserve">eed functionalities to make it interesting to use. </w:t>
      </w:r>
    </w:p>
    <w:p w14:paraId="0A3D148F" w14:textId="47B12C35" w:rsidR="00A77631" w:rsidRPr="00AB5CF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 xml:space="preserve">Since the patient portal is integrated within the EHR, and healthcare professionals only work within the EHR, respondents have widely stated that it is often unknown to healthcare professionals how the patient portal looks and/or works. </w:t>
      </w:r>
      <w:r w:rsidR="00136FB9">
        <w:rPr>
          <w:lang w:val="en-GB"/>
        </w:rPr>
        <w:t>academic hospital</w:t>
      </w:r>
      <w:r w:rsidR="00360E1A">
        <w:rPr>
          <w:rFonts w:eastAsia="TimesNewRomanPSMT" w:cstheme="minorHAnsi"/>
          <w:lang w:val="en-GB"/>
        </w:rPr>
        <w:t>’s</w:t>
      </w:r>
      <w:r>
        <w:rPr>
          <w:rFonts w:eastAsia="TimesNewRomanPSMT" w:cstheme="minorHAnsi"/>
          <w:lang w:val="en-GB"/>
        </w:rPr>
        <w:t xml:space="preserve"> decision to adopt the EHR of </w:t>
      </w:r>
      <w:proofErr w:type="spellStart"/>
      <w:r>
        <w:rPr>
          <w:rFonts w:eastAsia="TimesNewRomanPSMT" w:cstheme="minorHAnsi"/>
          <w:lang w:val="en-GB"/>
        </w:rPr>
        <w:t>Chipsoft</w:t>
      </w:r>
      <w:proofErr w:type="spellEnd"/>
      <w:r>
        <w:rPr>
          <w:rFonts w:eastAsia="TimesNewRomanPSMT" w:cstheme="minorHAnsi"/>
          <w:lang w:val="en-GB"/>
        </w:rPr>
        <w:t xml:space="preserve"> has been made in the beginning of 2016. The embedding was ensured by integrating it in programme Our New </w:t>
      </w:r>
      <w:r w:rsidR="00136FB9">
        <w:rPr>
          <w:rFonts w:eastAsia="TimesNewRomanPSMT" w:cstheme="minorHAnsi"/>
          <w:lang w:val="en-GB"/>
        </w:rPr>
        <w:t>A</w:t>
      </w:r>
      <w:r w:rsidR="00136FB9">
        <w:rPr>
          <w:lang w:val="en-GB"/>
        </w:rPr>
        <w:t>cademic Hospital</w:t>
      </w:r>
      <w:r>
        <w:rPr>
          <w:rFonts w:eastAsia="TimesNewRomanPSMT" w:cstheme="minorHAnsi"/>
          <w:lang w:val="en-GB"/>
        </w:rPr>
        <w:t>, within which the new building, the new care suite (EHR) and innovative work have been brought together</w:t>
      </w:r>
      <w:r w:rsidR="00796E91">
        <w:rPr>
          <w:rFonts w:eastAsia="TimesNewRomanPSMT" w:cstheme="minorHAnsi"/>
          <w:lang w:val="en-GB"/>
        </w:rPr>
        <w:t xml:space="preserve"> (</w:t>
      </w:r>
      <w:r w:rsidR="000C0887">
        <w:rPr>
          <w:lang w:val="en-GB"/>
        </w:rPr>
        <w:t>Annual report</w:t>
      </w:r>
      <w:r w:rsidR="00796E91">
        <w:rPr>
          <w:rFonts w:eastAsia="TimesNewRomanPSMT" w:cstheme="minorHAnsi"/>
          <w:lang w:val="en-GB"/>
        </w:rPr>
        <w:t>, 2016)</w:t>
      </w:r>
      <w:r>
        <w:rPr>
          <w:rFonts w:eastAsia="TimesNewRomanPSMT" w:cstheme="minorHAnsi"/>
          <w:lang w:val="en-GB"/>
        </w:rPr>
        <w:t>. These programmes have been completed in phases from the beginning until the end of the research period (2015-2018) and healthcare professionals had to be extensively trained and coordinated in its daily use. This also holds in the in-width study; to reach its full potential, the EHR technology required substantial skill and knowledge to use. Since the EHR is a vital component of hospitals’ information organization, a lot of priority has been given towards its embedding, which is exactly what the patient portal might have been missing. In contrast, the healthcare professionals’ lack of awareness towards the patient portal is a recurring theme in</w:t>
      </w:r>
      <w:r w:rsidR="00360E1A">
        <w:rPr>
          <w:rFonts w:eastAsia="TimesNewRomanPSMT" w:cstheme="minorHAnsi"/>
          <w:lang w:val="en-GB"/>
        </w:rPr>
        <w:t xml:space="preserve"> this multi-case </w:t>
      </w:r>
      <w:r>
        <w:rPr>
          <w:rFonts w:eastAsia="TimesNewRomanPSMT" w:cstheme="minorHAnsi"/>
          <w:lang w:val="en-GB"/>
        </w:rPr>
        <w:t>study. It is widely stated that the patient’s use of the patient portal is highly dependent on the healthcare professional, in particular the medical specialist or doctor. However, in practice, a lack of awareness and commitment by healthcare professionals has been shown towards the patient portal. Doctors are often seen as the people to start with, because of their position in the care process (</w:t>
      </w:r>
      <w:proofErr w:type="spellStart"/>
      <w:r>
        <w:rPr>
          <w:rFonts w:eastAsia="TimesNewRomanPSMT" w:cstheme="minorHAnsi"/>
          <w:lang w:val="en-GB"/>
        </w:rPr>
        <w:t>Hulter</w:t>
      </w:r>
      <w:proofErr w:type="spellEnd"/>
      <w:r>
        <w:rPr>
          <w:rFonts w:eastAsia="TimesNewRomanPSMT" w:cstheme="minorHAnsi"/>
          <w:lang w:val="en-GB"/>
        </w:rPr>
        <w:t>, 2019). They are seen as vital stakeholders</w:t>
      </w:r>
      <w:r w:rsidRPr="00AD4653">
        <w:rPr>
          <w:rFonts w:eastAsia="TimesNewRomanPSMT" w:cstheme="minorHAnsi"/>
          <w:lang w:val="en-GB"/>
        </w:rPr>
        <w:t xml:space="preserve"> </w:t>
      </w:r>
      <w:r>
        <w:rPr>
          <w:rFonts w:eastAsia="TimesNewRomanPSMT" w:cstheme="minorHAnsi"/>
          <w:lang w:val="en-GB"/>
        </w:rPr>
        <w:t xml:space="preserve">in stimulating other healthcare professionals as well as patients. Their support is perceived as necessary because without it, not much has happened and progress has shown to be limited, which has often been reflected in the user statistics. </w:t>
      </w:r>
    </w:p>
    <w:p w14:paraId="644A6918" w14:textId="16C0BEA7" w:rsidR="00A77631" w:rsidRPr="00752975" w:rsidRDefault="00A77631" w:rsidP="00A77631">
      <w:pPr>
        <w:autoSpaceDE w:val="0"/>
        <w:autoSpaceDN w:val="0"/>
        <w:adjustRightInd w:val="0"/>
        <w:ind w:left="708"/>
        <w:jc w:val="left"/>
        <w:rPr>
          <w:rFonts w:eastAsia="TimesNewRomanPSMT" w:cstheme="minorHAnsi"/>
          <w:i/>
          <w:iCs/>
          <w:lang w:val="en-GB"/>
        </w:rPr>
      </w:pPr>
      <w:r>
        <w:rPr>
          <w:rFonts w:eastAsia="TimesNewRomanPSMT" w:cstheme="minorHAnsi"/>
          <w:i/>
          <w:iCs/>
          <w:lang w:val="en-GB"/>
        </w:rPr>
        <w:t>VIPP 7.1: When the doctors are sceptical, then the rest of the employee will also be sceptical. The moment the doctors become more positive; you will notice that this had an effect on the rest of the group.</w:t>
      </w:r>
    </w:p>
    <w:p w14:paraId="15AEB1EF" w14:textId="45D56ACB" w:rsidR="00A77631" w:rsidRDefault="00A77631" w:rsidP="00A77631">
      <w:pPr>
        <w:autoSpaceDE w:val="0"/>
        <w:autoSpaceDN w:val="0"/>
        <w:adjustRightInd w:val="0"/>
        <w:ind w:left="708"/>
        <w:jc w:val="left"/>
        <w:rPr>
          <w:rFonts w:eastAsia="TimesNewRomanPSMT" w:cstheme="minorHAnsi"/>
          <w:i/>
          <w:iCs/>
          <w:lang w:val="en-GB"/>
        </w:rPr>
      </w:pPr>
      <w:r>
        <w:rPr>
          <w:rFonts w:eastAsia="TimesNewRomanPSMT" w:cstheme="minorHAnsi"/>
          <w:i/>
          <w:iCs/>
          <w:lang w:val="en-GB"/>
        </w:rPr>
        <w:t xml:space="preserve">VIPP 5.4: If my doctor tells me to use the patient portal so ‘we can communicate, and you get your results quickly and you can ask questions.’ Well, then I am motivated to do that as a patient! </w:t>
      </w:r>
    </w:p>
    <w:p w14:paraId="69ECED19" w14:textId="60142194"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lastRenderedPageBreak/>
        <w:t xml:space="preserve">However, this does not mean that the doctor should be the only one involved in the process of embedding, a number of cases state a role for the nursing group and the administration staff too. Since they often have more and/or different interactions with a patient, they are also seen as valuable assets in the embedding of patient portals and stimulation of its use. Administrative functionalities concerning scheduling and appointments for instance could be elaborated upon by administrative staff, and thus they should be made aware of the underlying conditions that are at hand in the patient portal. Overall, it is of great importance that the healthcare professionals are made aware of the patient portal’s functionalities and their subsequent benefits, in promoting its use amongst themselves and their patients. Apart from passive communication via its communication channels and promotion through hospital desktops’ background, the </w:t>
      </w:r>
      <w:r w:rsidR="000C0887">
        <w:rPr>
          <w:lang w:val="en-GB"/>
        </w:rPr>
        <w:t>academic hospital</w:t>
      </w:r>
      <w:r>
        <w:rPr>
          <w:rFonts w:eastAsia="TimesNewRomanPSMT" w:cstheme="minorHAnsi"/>
          <w:lang w:val="en-GB"/>
        </w:rPr>
        <w:t xml:space="preserve">’s efforts towards active promotion have been limited to a presentation in the ‘e-health week’ and a presentation for a group of medical specialists by a functional management representative. The required knowledge of patients, in using the patient portal, focuses upon standard digital issues such as knowing how to cope with logging on or </w:t>
      </w:r>
      <w:proofErr w:type="spellStart"/>
      <w:r>
        <w:rPr>
          <w:rFonts w:eastAsia="TimesNewRomanPSMT" w:cstheme="minorHAnsi"/>
          <w:lang w:val="en-GB"/>
        </w:rPr>
        <w:t>Digid</w:t>
      </w:r>
      <w:proofErr w:type="spellEnd"/>
      <w:r>
        <w:rPr>
          <w:rFonts w:eastAsia="TimesNewRomanPSMT" w:cstheme="minorHAnsi"/>
          <w:lang w:val="en-GB"/>
        </w:rPr>
        <w:t xml:space="preserve"> and where to find, but also read and interpret information. The patient portal, depending on its functionalities, only entails parts of the information the EHR holds and the kind of knowledge it brings into play is therefore specified as complicated </w:t>
      </w:r>
      <w:r w:rsidRPr="00164032">
        <w:rPr>
          <w:rFonts w:eastAsia="TimesNewRomanPSMT" w:cstheme="minorHAnsi"/>
          <w:b/>
          <w:bCs/>
          <w:lang w:val="en-GB"/>
        </w:rPr>
        <w:t>(2B)</w:t>
      </w:r>
      <w:r>
        <w:rPr>
          <w:rFonts w:eastAsia="TimesNewRomanPSMT" w:cstheme="minorHAnsi"/>
          <w:lang w:val="en-GB"/>
        </w:rPr>
        <w:t xml:space="preserve">. Also, the patient’s condition will still be measured by the healthcare professional and visible changes in the patient portal will therefore be of a partial and indirect nature, rather than full and direct measuring by patients themselves.   </w:t>
      </w:r>
    </w:p>
    <w:p w14:paraId="4150B8AA" w14:textId="1721BC20" w:rsidR="00A77631" w:rsidRPr="00F51ADE" w:rsidRDefault="00A77631" w:rsidP="00A77631">
      <w:pPr>
        <w:autoSpaceDE w:val="0"/>
        <w:autoSpaceDN w:val="0"/>
        <w:adjustRightInd w:val="0"/>
        <w:spacing w:line="360" w:lineRule="auto"/>
        <w:rPr>
          <w:rFonts w:eastAsia="TimesNewRomanPSMT" w:cstheme="minorHAnsi"/>
          <w:color w:val="FF0000"/>
          <w:lang w:val="en-GB"/>
        </w:rPr>
      </w:pPr>
      <w:r>
        <w:rPr>
          <w:rFonts w:eastAsia="TimesNewRomanPSMT" w:cstheme="minorHAnsi"/>
          <w:lang w:val="en-GB"/>
        </w:rPr>
        <w:t xml:space="preserve">The </w:t>
      </w:r>
      <w:r w:rsidRPr="00D135FC">
        <w:rPr>
          <w:rFonts w:eastAsia="TimesNewRomanPSMT" w:cstheme="minorHAnsi"/>
          <w:lang w:val="en-GB"/>
        </w:rPr>
        <w:t>knowledge and/or support</w:t>
      </w:r>
      <w:r>
        <w:rPr>
          <w:rFonts w:eastAsia="TimesNewRomanPSMT" w:cstheme="minorHAnsi"/>
          <w:lang w:val="en-GB"/>
        </w:rPr>
        <w:t xml:space="preserve"> </w:t>
      </w:r>
      <w:r w:rsidRPr="00D135FC">
        <w:rPr>
          <w:rFonts w:eastAsia="TimesNewRomanPSMT" w:cstheme="minorHAnsi"/>
          <w:lang w:val="en-GB"/>
        </w:rPr>
        <w:t>required to use the technology</w:t>
      </w:r>
      <w:r>
        <w:rPr>
          <w:rFonts w:eastAsia="TimesNewRomanPSMT" w:cstheme="minorHAnsi"/>
          <w:lang w:val="en-GB"/>
        </w:rPr>
        <w:t xml:space="preserve"> can also be specified as complicated </w:t>
      </w:r>
      <w:r w:rsidRPr="00164032">
        <w:rPr>
          <w:rFonts w:eastAsia="TimesNewRomanPSMT" w:cstheme="minorHAnsi"/>
          <w:b/>
          <w:bCs/>
          <w:lang w:val="en-GB"/>
        </w:rPr>
        <w:t>(2C)</w:t>
      </w:r>
      <w:r>
        <w:rPr>
          <w:rFonts w:eastAsia="TimesNewRomanPSMT" w:cstheme="minorHAnsi"/>
          <w:lang w:val="en-GB"/>
        </w:rPr>
        <w:t xml:space="preserve">. Since there is a lack of awareness and commitment among healthcare professionals, simple instructions will not suffice in intensifying the patient portal’s use. Both the in-width and in-depth study show that the limited embedding efforts and interaction with the patient portal show a necessity to invest in detailed instructions, training, and perhaps </w:t>
      </w:r>
      <w:r w:rsidRPr="00C3348C">
        <w:rPr>
          <w:rFonts w:eastAsia="TimesNewRomanPSMT" w:cstheme="minorHAnsi"/>
          <w:lang w:val="en-GB"/>
        </w:rPr>
        <w:t>even</w:t>
      </w:r>
      <w:r>
        <w:rPr>
          <w:rFonts w:eastAsia="TimesNewRomanPSMT" w:cstheme="minorHAnsi"/>
          <w:lang w:val="en-GB"/>
        </w:rPr>
        <w:t xml:space="preserve"> support by </w:t>
      </w:r>
      <w:r w:rsidR="00C3348C">
        <w:rPr>
          <w:rFonts w:eastAsia="TimesNewRomanPSMT" w:cstheme="minorHAnsi"/>
          <w:lang w:val="en-GB"/>
        </w:rPr>
        <w:t>f</w:t>
      </w:r>
      <w:r>
        <w:rPr>
          <w:rFonts w:eastAsia="TimesNewRomanPSMT" w:cstheme="minorHAnsi"/>
          <w:lang w:val="en-GB"/>
        </w:rPr>
        <w:t xml:space="preserve">unctional management or a helpdesk. The hospitals that have already made certain efforts, such as roadmaps and workshops within the organization, have shown higher user statistics. User friendliness is perceived as the most important factor in using the patient portal and consequently, the patient portal should be made easy and understandable, requiring limited ambiguity and explanation in its use. </w:t>
      </w:r>
    </w:p>
    <w:p w14:paraId="50C930C4" w14:textId="17B00BF3" w:rsidR="00A77631" w:rsidRDefault="00A77631" w:rsidP="00A77631">
      <w:pPr>
        <w:autoSpaceDE w:val="0"/>
        <w:autoSpaceDN w:val="0"/>
        <w:adjustRightInd w:val="0"/>
        <w:spacing w:line="360" w:lineRule="auto"/>
        <w:rPr>
          <w:rFonts w:eastAsia="TimesNewRomanPSMT" w:cstheme="minorHAnsi"/>
          <w:lang w:val="en-GB"/>
        </w:rPr>
      </w:pPr>
      <w:r w:rsidRPr="0039716F">
        <w:rPr>
          <w:rFonts w:eastAsia="TimesNewRomanPSMT" w:cstheme="minorHAnsi"/>
          <w:lang w:val="en-GB"/>
        </w:rPr>
        <w:t xml:space="preserve">The technology supply model </w:t>
      </w:r>
      <w:r>
        <w:rPr>
          <w:rFonts w:eastAsia="TimesNewRomanPSMT" w:cstheme="minorHAnsi"/>
          <w:lang w:val="en-GB"/>
        </w:rPr>
        <w:t xml:space="preserve">of the EHR </w:t>
      </w:r>
      <w:r w:rsidRPr="0039716F">
        <w:rPr>
          <w:rFonts w:eastAsia="TimesNewRomanPSMT" w:cstheme="minorHAnsi"/>
          <w:lang w:val="en-GB"/>
        </w:rPr>
        <w:t>i</w:t>
      </w:r>
      <w:r>
        <w:rPr>
          <w:rFonts w:eastAsia="TimesNewRomanPSMT" w:cstheme="minorHAnsi"/>
          <w:lang w:val="en-GB"/>
        </w:rPr>
        <w:t xml:space="preserve">s complex, the implementation of the EHR systems within hospitals have been of a great scale, requiring significant organizational reconfigurations. The </w:t>
      </w:r>
      <w:r w:rsidR="000C0887">
        <w:rPr>
          <w:lang w:val="en-GB"/>
        </w:rPr>
        <w:t xml:space="preserve">academic hospital </w:t>
      </w:r>
      <w:r>
        <w:rPr>
          <w:rFonts w:eastAsia="TimesNewRomanPSMT" w:cstheme="minorHAnsi"/>
          <w:lang w:val="en-GB"/>
        </w:rPr>
        <w:t xml:space="preserve">launch of the current EHR on June 23, 2017 required substantial preparations, consultations, all in consideration of its impact on the care processes. It has been noted that management and control information has certainly not been at the desired level, and information on </w:t>
      </w:r>
      <w:r>
        <w:rPr>
          <w:rFonts w:eastAsia="TimesNewRomanPSMT" w:cstheme="minorHAnsi"/>
          <w:lang w:val="en-GB"/>
        </w:rPr>
        <w:lastRenderedPageBreak/>
        <w:t>quality and production was flawed (</w:t>
      </w:r>
      <w:r w:rsidR="000C0887">
        <w:rPr>
          <w:lang w:val="en-GB"/>
        </w:rPr>
        <w:t>Annual report</w:t>
      </w:r>
      <w:r>
        <w:rPr>
          <w:rFonts w:eastAsia="TimesNewRomanPSMT" w:cstheme="minorHAnsi"/>
          <w:lang w:val="en-GB"/>
        </w:rPr>
        <w:t xml:space="preserve">, 2018). The provided patient portal itself is a customizable, off-the-shelf solution, with standard content. Many hospitals in the in-width study have chosen for the standard content patient portal, reasons for it being that this format allows that if something new does come up, they would not have to adjust it themselves every time. However, the differences in functionalities between </w:t>
      </w:r>
      <w:r w:rsidR="000C0887">
        <w:rPr>
          <w:rFonts w:eastAsia="TimesNewRomanPSMT" w:cstheme="minorHAnsi"/>
          <w:lang w:val="en-GB"/>
        </w:rPr>
        <w:t xml:space="preserve">the </w:t>
      </w:r>
      <w:r w:rsidR="000C0887">
        <w:rPr>
          <w:lang w:val="en-GB"/>
        </w:rPr>
        <w:t xml:space="preserve">academic hospital </w:t>
      </w:r>
      <w:r>
        <w:rPr>
          <w:rFonts w:eastAsia="TimesNewRomanPSMT" w:cstheme="minorHAnsi"/>
          <w:lang w:val="en-GB"/>
        </w:rPr>
        <w:t>and the VIPP-hospitals show that there is significant customization</w:t>
      </w:r>
      <w:r w:rsidRPr="00D526F5">
        <w:rPr>
          <w:rFonts w:eastAsia="TimesNewRomanPSMT" w:cstheme="minorHAnsi"/>
          <w:lang w:val="en-GB"/>
        </w:rPr>
        <w:t xml:space="preserve"> </w:t>
      </w:r>
      <w:r>
        <w:rPr>
          <w:rFonts w:eastAsia="TimesNewRomanPSMT" w:cstheme="minorHAnsi"/>
          <w:lang w:val="en-GB"/>
        </w:rPr>
        <w:t>required to provide solutions for problems, which are different for each hospital’s case. Still</w:t>
      </w:r>
      <w:r w:rsidRPr="00D526F5">
        <w:rPr>
          <w:rFonts w:eastAsia="TimesNewRomanPSMT" w:cstheme="minorHAnsi"/>
          <w:lang w:val="en-GB"/>
        </w:rPr>
        <w:t>, the technology supply model of the patient p</w:t>
      </w:r>
      <w:r>
        <w:rPr>
          <w:rFonts w:eastAsia="TimesNewRomanPSMT" w:cstheme="minorHAnsi"/>
          <w:lang w:val="en-GB"/>
        </w:rPr>
        <w:t xml:space="preserve">ortal itself </w:t>
      </w:r>
      <w:r w:rsidRPr="00D526F5">
        <w:rPr>
          <w:rFonts w:eastAsia="TimesNewRomanPSMT" w:cstheme="minorHAnsi"/>
          <w:lang w:val="en-GB"/>
        </w:rPr>
        <w:t>is complicated</w:t>
      </w:r>
      <w:r>
        <w:rPr>
          <w:rFonts w:eastAsia="TimesNewRomanPSMT" w:cstheme="minorHAnsi"/>
          <w:lang w:val="en-GB"/>
        </w:rPr>
        <w:t xml:space="preserve"> </w:t>
      </w:r>
      <w:r w:rsidRPr="00164032">
        <w:rPr>
          <w:rFonts w:eastAsia="TimesNewRomanPSMT" w:cstheme="minorHAnsi"/>
          <w:b/>
          <w:bCs/>
          <w:lang w:val="en-GB"/>
        </w:rPr>
        <w:t>(2D)</w:t>
      </w:r>
      <w:r>
        <w:rPr>
          <w:rFonts w:eastAsia="TimesNewRomanPSMT" w:cstheme="minorHAnsi"/>
          <w:lang w:val="en-GB"/>
        </w:rPr>
        <w:t xml:space="preserve">, because of its integration with the EHR. Considering the fact that the </w:t>
      </w:r>
      <w:r w:rsidR="000C0887">
        <w:rPr>
          <w:lang w:val="en-GB"/>
        </w:rPr>
        <w:t>academic hospital</w:t>
      </w:r>
      <w:r>
        <w:rPr>
          <w:rFonts w:eastAsia="TimesNewRomanPSMT" w:cstheme="minorHAnsi"/>
          <w:lang w:val="en-GB"/>
        </w:rPr>
        <w:t xml:space="preserve">, as well as a couple of the hospitals from the in-width study, had already developed a patient portal before taking the patient portal as a product from </w:t>
      </w:r>
      <w:proofErr w:type="spellStart"/>
      <w:r>
        <w:rPr>
          <w:rFonts w:eastAsia="TimesNewRomanPSMT" w:cstheme="minorHAnsi"/>
          <w:lang w:val="en-GB"/>
        </w:rPr>
        <w:t>Chipsoft</w:t>
      </w:r>
      <w:proofErr w:type="spellEnd"/>
      <w:r>
        <w:rPr>
          <w:rFonts w:eastAsia="TimesNewRomanPSMT" w:cstheme="minorHAnsi"/>
          <w:lang w:val="en-GB"/>
        </w:rPr>
        <w:t xml:space="preserve">, substitution is a possibility. Still, this will run into difficulties as the patient portal’s data is currently integrated in the EHR. </w:t>
      </w:r>
    </w:p>
    <w:p w14:paraId="5160B554" w14:textId="5F94F7EF" w:rsidR="00A77631" w:rsidRDefault="00FA7135" w:rsidP="00A77631">
      <w:pPr>
        <w:pStyle w:val="Heading3"/>
        <w:rPr>
          <w:lang w:val="en-GB"/>
        </w:rPr>
      </w:pPr>
      <w:bookmarkStart w:id="77" w:name="_Toc47522446"/>
      <w:bookmarkStart w:id="78" w:name="_Toc51862101"/>
      <w:r>
        <w:rPr>
          <w:lang w:val="en-GB"/>
        </w:rPr>
        <w:t>4.1.3</w:t>
      </w:r>
      <w:r w:rsidRPr="00FA7135">
        <w:rPr>
          <w:lang w:val="en-GB"/>
        </w:rPr>
        <w:t xml:space="preserve"> </w:t>
      </w:r>
      <w:r>
        <w:rPr>
          <w:lang w:val="en-GB"/>
        </w:rPr>
        <w:t>The Value Proposition (</w:t>
      </w:r>
      <w:r w:rsidR="00A77631">
        <w:rPr>
          <w:lang w:val="en-GB"/>
        </w:rPr>
        <w:t>NASSS Domain 3</w:t>
      </w:r>
      <w:bookmarkEnd w:id="77"/>
      <w:r>
        <w:rPr>
          <w:lang w:val="en-GB"/>
        </w:rPr>
        <w:t>)</w:t>
      </w:r>
      <w:bookmarkEnd w:id="78"/>
    </w:p>
    <w:p w14:paraId="06194776" w14:textId="54C7570F" w:rsidR="00A77631" w:rsidRDefault="00A77631" w:rsidP="00A77631">
      <w:pPr>
        <w:spacing w:line="360" w:lineRule="auto"/>
        <w:rPr>
          <w:lang w:val="en-GB"/>
        </w:rPr>
      </w:pPr>
      <w:r>
        <w:rPr>
          <w:lang w:val="en-GB"/>
        </w:rPr>
        <w:t xml:space="preserve">The supply-side value proposition for the EHR and thus patient portal providers appears simple </w:t>
      </w:r>
      <w:r w:rsidRPr="00164032">
        <w:rPr>
          <w:b/>
          <w:bCs/>
          <w:lang w:val="en-GB"/>
        </w:rPr>
        <w:t>(3A)</w:t>
      </w:r>
      <w:r>
        <w:rPr>
          <w:lang w:val="en-GB"/>
        </w:rPr>
        <w:t xml:space="preserve">. The companies behind it have focused on developing one integrated ICT solution that optimizes patient information and logistics in hospitals. The EHRs are designed to provide each healthcare professional with specific support to deliver top quality of care. According to the </w:t>
      </w:r>
      <w:r w:rsidR="000C0887">
        <w:rPr>
          <w:lang w:val="en-GB"/>
        </w:rPr>
        <w:t>academic hospital</w:t>
      </w:r>
      <w:r>
        <w:rPr>
          <w:lang w:val="en-GB"/>
        </w:rPr>
        <w:t xml:space="preserve">’s supplier </w:t>
      </w:r>
      <w:proofErr w:type="spellStart"/>
      <w:r>
        <w:rPr>
          <w:lang w:val="en-GB"/>
        </w:rPr>
        <w:t>Chipsoft</w:t>
      </w:r>
      <w:proofErr w:type="spellEnd"/>
      <w:r>
        <w:rPr>
          <w:lang w:val="en-GB"/>
        </w:rPr>
        <w:t xml:space="preserve"> (n.d.), the patient portal allows the patient to share their own care process in a user-friendly way. These companies have clear business cases and, considering the recent demand-trend towards their products, it can be argued that there is a strong chance of return on investment.</w:t>
      </w:r>
    </w:p>
    <w:p w14:paraId="12D73B95" w14:textId="1CC1E9D2" w:rsidR="00A77631" w:rsidRPr="002D3992" w:rsidRDefault="00A77631" w:rsidP="00A77631">
      <w:pPr>
        <w:autoSpaceDE w:val="0"/>
        <w:autoSpaceDN w:val="0"/>
        <w:adjustRightInd w:val="0"/>
        <w:spacing w:line="360" w:lineRule="auto"/>
        <w:rPr>
          <w:lang w:val="en-GB"/>
        </w:rPr>
      </w:pPr>
      <w:r>
        <w:rPr>
          <w:lang w:val="en-GB"/>
        </w:rPr>
        <w:t xml:space="preserve">The demand-side value proposition is complicated </w:t>
      </w:r>
      <w:r w:rsidRPr="00164032">
        <w:rPr>
          <w:b/>
          <w:bCs/>
          <w:lang w:val="en-GB"/>
        </w:rPr>
        <w:t>(3B)</w:t>
      </w:r>
      <w:r>
        <w:rPr>
          <w:lang w:val="en-GB"/>
        </w:rPr>
        <w:t>. The technology for the patient portal is contested considering the scarcity of its evidence. Research on patient portals has been limited to its expectations, rather than its evidence. It should be noted that there are differences between</w:t>
      </w:r>
      <w:r w:rsidRPr="006A4BA6">
        <w:rPr>
          <w:lang w:val="en-GB"/>
        </w:rPr>
        <w:t xml:space="preserve"> </w:t>
      </w:r>
      <w:r>
        <w:rPr>
          <w:lang w:val="en-GB"/>
        </w:rPr>
        <w:t xml:space="preserve">healthcare professionals and patients in perceiving the technology’s value. The healthcare professionals’ desirability towards the technology is dependent on the potential added value and its proposed benefits on local care processes. The in-width study perceives these benefits in general to be better relationships with patients, less registration pressure and more efficient use of personnel and resources. This requires the healthcare professional to be motivated for which it is partly dependent on the patient’s attitude and willingness. It should be noted that this added value can be created both for healthcare professionals and patients, but also by them. Multiple respondents have argued that the patient portal can help to get the patient involved in its own care process and could lead to better informed and more interested patients, subsequently creating value for the healthcare professional. In practice however, this has caused patients to accept things either easier or more difficult, impacting the overall speed of the care process. Since the patient portal involves patients’ interpretation and understanding, its desirability might thus be contested by healthcare </w:t>
      </w:r>
      <w:r>
        <w:rPr>
          <w:lang w:val="en-GB"/>
        </w:rPr>
        <w:lastRenderedPageBreak/>
        <w:t xml:space="preserve">professionals. This applies to the efficacy too, which is also influenced by the way in which the patient portal is set up and which functionalities it has. In the patient portal’s use patients and healthcare professionals have experienced thresholds that complicated rather than simplified matters. For instance, the log-in procedure of the </w:t>
      </w:r>
      <w:r w:rsidR="000C0887">
        <w:rPr>
          <w:lang w:val="en-GB"/>
        </w:rPr>
        <w:t xml:space="preserve">academic hospital </w:t>
      </w:r>
      <w:r>
        <w:rPr>
          <w:lang w:val="en-GB"/>
        </w:rPr>
        <w:t xml:space="preserve">and 10/12 VIPP-hospitals, through verification and authentication via </w:t>
      </w:r>
      <w:proofErr w:type="spellStart"/>
      <w:r>
        <w:rPr>
          <w:lang w:val="en-GB"/>
        </w:rPr>
        <w:t>Digid</w:t>
      </w:r>
      <w:proofErr w:type="spellEnd"/>
      <w:r>
        <w:rPr>
          <w:lang w:val="en-GB"/>
        </w:rPr>
        <w:t xml:space="preserve"> and SMS, has proven to be difficult for some patients. In some VIPP-hospitals responses were given to this by setting up a (physical) support helpdesk or instructional videos. The patient portal’s safety is assumed, as it is part of a larger structure that has to comply with laws and regulations, in particular the former </w:t>
      </w:r>
      <w:r w:rsidRPr="007458BF">
        <w:rPr>
          <w:lang w:val="en-GB"/>
        </w:rPr>
        <w:t xml:space="preserve">Law for the </w:t>
      </w:r>
      <w:r>
        <w:rPr>
          <w:lang w:val="en-GB"/>
        </w:rPr>
        <w:t>P</w:t>
      </w:r>
      <w:r w:rsidRPr="007458BF">
        <w:rPr>
          <w:lang w:val="en-GB"/>
        </w:rPr>
        <w:t xml:space="preserve">rotection of </w:t>
      </w:r>
      <w:r>
        <w:rPr>
          <w:lang w:val="en-GB"/>
        </w:rPr>
        <w:t>P</w:t>
      </w:r>
      <w:r w:rsidRPr="007458BF">
        <w:rPr>
          <w:lang w:val="en-GB"/>
        </w:rPr>
        <w:t xml:space="preserve">ersonal </w:t>
      </w:r>
      <w:r>
        <w:rPr>
          <w:lang w:val="en-GB"/>
        </w:rPr>
        <w:t>I</w:t>
      </w:r>
      <w:r w:rsidRPr="007458BF">
        <w:rPr>
          <w:lang w:val="en-GB"/>
        </w:rPr>
        <w:t>nformation</w:t>
      </w:r>
      <w:r>
        <w:rPr>
          <w:lang w:val="en-GB"/>
        </w:rPr>
        <w:t xml:space="preserve"> (until 2018) and later General Date Protection Regulation (GDPR). Further, the </w:t>
      </w:r>
      <w:r w:rsidR="000C0887">
        <w:rPr>
          <w:lang w:val="en-GB"/>
        </w:rPr>
        <w:t xml:space="preserve">academic hospital </w:t>
      </w:r>
      <w:r>
        <w:rPr>
          <w:lang w:val="en-GB"/>
        </w:rPr>
        <w:t>has been certified in accordance with standards for information security in healthcare NEN7510 and management systems for information security, ISO27001 (</w:t>
      </w:r>
      <w:r w:rsidR="000C0887">
        <w:rPr>
          <w:lang w:val="en-GB"/>
        </w:rPr>
        <w:t>Annual report</w:t>
      </w:r>
      <w:r>
        <w:rPr>
          <w:lang w:val="en-GB"/>
        </w:rPr>
        <w:t xml:space="preserve">, 2017). All hospitals have recognized ICT as an important pillar for daily operation and have incorporated ICT strategies by focusing on topics like ICT foundation, information security, digital innovation, and information exchange. Further, the cost effectiveness is somewhat unknown, as most hospitals have not defined or measured benefits. It has shown to be difficult to define cost efficiency, as the patient portal does have measurable costs, but it does not really have measurable income. However, </w:t>
      </w:r>
      <w:r w:rsidR="000C0887">
        <w:rPr>
          <w:lang w:val="en-GB"/>
        </w:rPr>
        <w:t>academic hospital</w:t>
      </w:r>
      <w:r>
        <w:rPr>
          <w:lang w:val="en-GB"/>
        </w:rPr>
        <w:t>’s supervisory boards controls finances and risk management and the hospital’s model is based on the principle of</w:t>
      </w:r>
      <w:r w:rsidRPr="00DD7538">
        <w:rPr>
          <w:lang w:val="en-GB"/>
        </w:rPr>
        <w:t xml:space="preserve"> </w:t>
      </w:r>
      <w:r>
        <w:rPr>
          <w:lang w:val="en-GB"/>
        </w:rPr>
        <w:t xml:space="preserve">decentralization and integral management. This means that the </w:t>
      </w:r>
      <w:r w:rsidR="000C0887">
        <w:rPr>
          <w:lang w:val="en-GB"/>
        </w:rPr>
        <w:t xml:space="preserve">academic hospital </w:t>
      </w:r>
      <w:r>
        <w:rPr>
          <w:lang w:val="en-GB"/>
        </w:rPr>
        <w:t>is managed on three levels: strategic, tactical, and operational, in which managers can manage all functional task fields because the leading control and management system is anchored within the planning and control cycle (</w:t>
      </w:r>
      <w:r w:rsidR="000C0887">
        <w:rPr>
          <w:lang w:val="en-GB"/>
        </w:rPr>
        <w:t>Annual report</w:t>
      </w:r>
      <w:r>
        <w:rPr>
          <w:lang w:val="en-GB"/>
        </w:rPr>
        <w:t xml:space="preserve">, 2019). On a strategic level are the Board of Directors, Supervisory board, advisory bodies, and core staff. On a tactical level are the nine themes with their own theme board, consisting of a chairman, director, and department heads. Within these themes are 51 departments, for which department heads are operationally responsible. These themes are focused on providing healthcare and are supported by the service company, consisting of seven departments, and governed by a director. The formal assurance of governance is captured in </w:t>
      </w:r>
      <w:r w:rsidR="000C0887">
        <w:rPr>
          <w:lang w:val="en-GB"/>
        </w:rPr>
        <w:t xml:space="preserve">academic hospital </w:t>
      </w:r>
      <w:r>
        <w:rPr>
          <w:lang w:val="en-GB"/>
        </w:rPr>
        <w:t>Board Regulations. Hospitals and healthcare professionals can only hope that the patient portal ensures the patient to become more interested towards their own care process. For which they have strived by incorporating the element of ‘the self-management of patients’ within hospital’s goals and ambitions.</w:t>
      </w:r>
      <w:r w:rsidRPr="00CC43A6">
        <w:rPr>
          <w:lang w:val="en-GB"/>
        </w:rPr>
        <w:t xml:space="preserve"> </w:t>
      </w:r>
      <w:r>
        <w:rPr>
          <w:lang w:val="en-GB"/>
        </w:rPr>
        <w:t xml:space="preserve">This element specifically is widely quoted by respondents as it provides reason for both the healthcare professional and the patient to use the technology and promote health welfare. </w:t>
      </w:r>
    </w:p>
    <w:p w14:paraId="66158211" w14:textId="018C9B30" w:rsidR="00A77631" w:rsidRDefault="000C0887" w:rsidP="00A77631">
      <w:pPr>
        <w:autoSpaceDE w:val="0"/>
        <w:autoSpaceDN w:val="0"/>
        <w:adjustRightInd w:val="0"/>
        <w:ind w:left="708"/>
        <w:jc w:val="left"/>
        <w:rPr>
          <w:i/>
          <w:iCs/>
          <w:lang w:val="en-GB"/>
        </w:rPr>
      </w:pPr>
      <w:r w:rsidRPr="00D70BA2">
        <w:rPr>
          <w:i/>
          <w:iCs/>
          <w:lang w:val="en-GB"/>
        </w:rPr>
        <w:t>Academic hospital</w:t>
      </w:r>
      <w:r>
        <w:rPr>
          <w:lang w:val="en-GB"/>
        </w:rPr>
        <w:t xml:space="preserve"> </w:t>
      </w:r>
      <w:r w:rsidR="00A77631" w:rsidRPr="00902890">
        <w:rPr>
          <w:i/>
          <w:iCs/>
          <w:lang w:val="en-GB"/>
        </w:rPr>
        <w:t xml:space="preserve">1: </w:t>
      </w:r>
      <w:r w:rsidR="00A77631">
        <w:rPr>
          <w:i/>
          <w:iCs/>
          <w:lang w:val="en-GB"/>
        </w:rPr>
        <w:t xml:space="preserve">After all, it is about the patient. (..) </w:t>
      </w:r>
      <w:r w:rsidR="00A77631" w:rsidRPr="00902890">
        <w:rPr>
          <w:i/>
          <w:iCs/>
          <w:lang w:val="en-GB"/>
        </w:rPr>
        <w:t xml:space="preserve">We would like patients to </w:t>
      </w:r>
      <w:r w:rsidR="00C3348C">
        <w:rPr>
          <w:i/>
          <w:iCs/>
          <w:lang w:val="en-GB"/>
        </w:rPr>
        <w:t>be in the lead</w:t>
      </w:r>
      <w:r w:rsidR="00A77631">
        <w:rPr>
          <w:i/>
          <w:iCs/>
          <w:lang w:val="en-GB"/>
        </w:rPr>
        <w:t>.</w:t>
      </w:r>
    </w:p>
    <w:p w14:paraId="622BB631" w14:textId="0B7DA004" w:rsidR="00A77631" w:rsidRDefault="00FA7135" w:rsidP="00A77631">
      <w:pPr>
        <w:pStyle w:val="Heading3"/>
        <w:rPr>
          <w:lang w:val="en-GB"/>
        </w:rPr>
      </w:pPr>
      <w:bookmarkStart w:id="79" w:name="_Toc47522447"/>
      <w:bookmarkStart w:id="80" w:name="_Toc51862102"/>
      <w:r>
        <w:rPr>
          <w:lang w:val="en-GB"/>
        </w:rPr>
        <w:lastRenderedPageBreak/>
        <w:t>4.1.4 The Adopter System (</w:t>
      </w:r>
      <w:r w:rsidR="00A77631">
        <w:rPr>
          <w:lang w:val="en-GB"/>
        </w:rPr>
        <w:t>NASSS Domain 4</w:t>
      </w:r>
      <w:bookmarkEnd w:id="79"/>
      <w:r>
        <w:rPr>
          <w:lang w:val="en-GB"/>
        </w:rPr>
        <w:t>)</w:t>
      </w:r>
      <w:bookmarkEnd w:id="80"/>
    </w:p>
    <w:p w14:paraId="41F964D8" w14:textId="399DF2FD" w:rsidR="00A77631" w:rsidRDefault="00A77631" w:rsidP="00A77631">
      <w:pPr>
        <w:autoSpaceDE w:val="0"/>
        <w:autoSpaceDN w:val="0"/>
        <w:adjustRightInd w:val="0"/>
        <w:spacing w:line="360" w:lineRule="auto"/>
        <w:rPr>
          <w:lang w:val="en-GB"/>
        </w:rPr>
      </w:pPr>
      <w:r>
        <w:rPr>
          <w:lang w:val="en-GB"/>
        </w:rPr>
        <w:t xml:space="preserve">For the adoption of the patient portal, it can be argued that there is both complicatedness and complexity among the </w:t>
      </w:r>
      <w:r w:rsidR="000C0887">
        <w:rPr>
          <w:lang w:val="en-GB"/>
        </w:rPr>
        <w:t xml:space="preserve">academic hospital </w:t>
      </w:r>
      <w:r>
        <w:rPr>
          <w:lang w:val="en-GB"/>
        </w:rPr>
        <w:t xml:space="preserve">and the in-width study VIPP-hospitals </w:t>
      </w:r>
      <w:r w:rsidRPr="00164032">
        <w:rPr>
          <w:b/>
          <w:bCs/>
          <w:lang w:val="en-GB"/>
        </w:rPr>
        <w:t>(4A)</w:t>
      </w:r>
      <w:r>
        <w:rPr>
          <w:lang w:val="en-GB"/>
        </w:rPr>
        <w:t xml:space="preserve">. In the </w:t>
      </w:r>
      <w:r w:rsidR="000C0887">
        <w:rPr>
          <w:lang w:val="en-GB"/>
        </w:rPr>
        <w:t xml:space="preserve">academic hospital </w:t>
      </w:r>
      <w:r>
        <w:rPr>
          <w:lang w:val="en-GB"/>
        </w:rPr>
        <w:t xml:space="preserve">noticeable differences were spotted between healthcare professionals from the same and different levels of profession, as well as between medical departments. Certain healthcare professionals look very critically towards the patient portal. Indicated reasons for this have been an unwillingness towards the patient reading their own medical file and having to change their personal way of work. These arguments are supported by the fact that in the past more innovations have been proposed as solutions and failed in doing so, raising scepticism towards new innovations. A strategy that has been suggested in some of the VIPP-hospitals has been to search for ambassadors, preferably a doctor, which enthuses </w:t>
      </w:r>
      <w:r w:rsidRPr="003E3ED7">
        <w:rPr>
          <w:lang w:val="en-GB"/>
        </w:rPr>
        <w:t xml:space="preserve">colleagues </w:t>
      </w:r>
      <w:r>
        <w:rPr>
          <w:lang w:val="en-GB"/>
        </w:rPr>
        <w:t xml:space="preserve">with whom they work with as well as other doctors. However, in practice, obtaining ambassadors has experienced to be more difficult than expected, this applies to the </w:t>
      </w:r>
      <w:r w:rsidR="000C0887">
        <w:rPr>
          <w:lang w:val="en-GB"/>
        </w:rPr>
        <w:t>academic hospital</w:t>
      </w:r>
      <w:r>
        <w:rPr>
          <w:lang w:val="en-GB"/>
        </w:rPr>
        <w:t xml:space="preserve">. </w:t>
      </w:r>
    </w:p>
    <w:p w14:paraId="179E93A7" w14:textId="01F35D71" w:rsidR="00A77631" w:rsidRDefault="000C0887" w:rsidP="00A77631">
      <w:pPr>
        <w:autoSpaceDE w:val="0"/>
        <w:autoSpaceDN w:val="0"/>
        <w:adjustRightInd w:val="0"/>
        <w:ind w:left="708"/>
        <w:jc w:val="left"/>
        <w:rPr>
          <w:lang w:val="en-GB"/>
        </w:rPr>
      </w:pPr>
      <w:r w:rsidRPr="00D70BA2">
        <w:rPr>
          <w:i/>
          <w:iCs/>
          <w:lang w:val="en-GB"/>
        </w:rPr>
        <w:t xml:space="preserve">Academic hospital </w:t>
      </w:r>
      <w:r w:rsidR="00A77631" w:rsidRPr="00D70BA2">
        <w:rPr>
          <w:i/>
          <w:iCs/>
          <w:lang w:val="en-GB"/>
        </w:rPr>
        <w:t>3</w:t>
      </w:r>
      <w:r w:rsidR="00A77631">
        <w:rPr>
          <w:i/>
          <w:iCs/>
          <w:lang w:val="en-GB"/>
        </w:rPr>
        <w:t xml:space="preserve">: I especially think it is a good idea to have some sort of champion, a figurehead for the patient portal. A doctor who says I support it, I am going to think along. I will also </w:t>
      </w:r>
      <w:r w:rsidR="005949F6">
        <w:rPr>
          <w:i/>
          <w:iCs/>
          <w:lang w:val="en-GB"/>
        </w:rPr>
        <w:t>tell</w:t>
      </w:r>
      <w:r w:rsidR="00A77631">
        <w:rPr>
          <w:i/>
          <w:iCs/>
          <w:lang w:val="en-GB"/>
        </w:rPr>
        <w:t xml:space="preserve"> my colleagues that it is a good idea. That often helps, yet I do not think we have that at the moment</w:t>
      </w:r>
      <w:r w:rsidR="00A77631">
        <w:rPr>
          <w:lang w:val="en-GB"/>
        </w:rPr>
        <w:t>.</w:t>
      </w:r>
    </w:p>
    <w:p w14:paraId="399337B3" w14:textId="530D17AA" w:rsidR="00A77631" w:rsidRDefault="00A77631" w:rsidP="00A77631">
      <w:pPr>
        <w:ind w:left="708"/>
        <w:jc w:val="left"/>
        <w:rPr>
          <w:i/>
          <w:iCs/>
          <w:lang w:val="en-GB"/>
        </w:rPr>
      </w:pPr>
      <w:r>
        <w:rPr>
          <w:i/>
          <w:iCs/>
          <w:lang w:val="en-GB"/>
        </w:rPr>
        <w:t>VIPP 4.1: In order to promote patient portal use, I think we should bring in ambassadors, so the doctors. We need to invest more there. You can also push from the patient’s side, two variants. If all patients use it, then doctors have no choice and have to take into account that patients are better prepared.</w:t>
      </w:r>
    </w:p>
    <w:p w14:paraId="5FCC932F" w14:textId="77777777" w:rsidR="00A77631" w:rsidRDefault="00A77631" w:rsidP="00A77631">
      <w:pPr>
        <w:autoSpaceDE w:val="0"/>
        <w:autoSpaceDN w:val="0"/>
        <w:adjustRightInd w:val="0"/>
        <w:spacing w:line="360" w:lineRule="auto"/>
        <w:rPr>
          <w:lang w:val="en-GB"/>
        </w:rPr>
      </w:pPr>
      <w:r>
        <w:rPr>
          <w:lang w:val="en-GB"/>
        </w:rPr>
        <w:t xml:space="preserve">Often, this role is reserved for a CMIO, which is a role that has increasingly been included in the hospitals’ governance. Currently, the CMIO is also at the same time a practicing doctor in his medical department, resulting in conflicting staff roles and not enough time to handle both functions well. The board of directors’ attention towards the embedding has been valued as important in this study but seems to be lacking in practice. In this study, a stark contrast has been noted between healthcare professionals that embraced the way of working and patient portal with great enthusiasm and other healthcare professionals within the same teams that were hesitant to change. Again, the role of the treating physician has been highlighted as critical in obtaining the desired result. Both the in-depth and in-width study show that their interaction with the patients, especially in conversations, has to change in order to impact the behaviour of the patient and stimulate the use of the patient portal. </w:t>
      </w:r>
    </w:p>
    <w:p w14:paraId="46376504" w14:textId="0FCF6EF5" w:rsidR="00A77631" w:rsidRPr="00E847AE" w:rsidRDefault="000C0887" w:rsidP="00A77631">
      <w:pPr>
        <w:autoSpaceDE w:val="0"/>
        <w:autoSpaceDN w:val="0"/>
        <w:adjustRightInd w:val="0"/>
        <w:ind w:left="708"/>
        <w:jc w:val="left"/>
        <w:rPr>
          <w:i/>
          <w:iCs/>
          <w:lang w:val="en-GB"/>
        </w:rPr>
      </w:pPr>
      <w:r w:rsidRPr="00D70BA2">
        <w:rPr>
          <w:i/>
          <w:iCs/>
          <w:lang w:val="en-GB"/>
        </w:rPr>
        <w:t>Academic hospital</w:t>
      </w:r>
      <w:r>
        <w:rPr>
          <w:lang w:val="en-GB"/>
        </w:rPr>
        <w:t xml:space="preserve"> </w:t>
      </w:r>
      <w:r w:rsidR="00A77631" w:rsidRPr="00E847AE">
        <w:rPr>
          <w:i/>
          <w:iCs/>
          <w:lang w:val="en-GB"/>
        </w:rPr>
        <w:t xml:space="preserve">2: </w:t>
      </w:r>
      <w:r w:rsidR="00A77631">
        <w:rPr>
          <w:i/>
          <w:iCs/>
          <w:lang w:val="en-GB"/>
        </w:rPr>
        <w:t xml:space="preserve">I think it is good that, at home, the patient reads what has been discussed. </w:t>
      </w:r>
      <w:r w:rsidR="00A77631" w:rsidRPr="00E847AE">
        <w:rPr>
          <w:i/>
          <w:iCs/>
          <w:lang w:val="en-GB"/>
        </w:rPr>
        <w:t>A patient portal can be additional, like ‘I went to the doctor yesterday, what did he exactly say and what did we exactly agree on?’ The problem is in healthcare professionals’ status management, of which insufficient use has been made. If you make a letter, there is a very clear policy, but that is not the case in a lot of status management.</w:t>
      </w:r>
    </w:p>
    <w:p w14:paraId="562B165B" w14:textId="57FCC859" w:rsidR="00A77631" w:rsidRDefault="00A77631" w:rsidP="00A77631">
      <w:pPr>
        <w:autoSpaceDE w:val="0"/>
        <w:autoSpaceDN w:val="0"/>
        <w:adjustRightInd w:val="0"/>
        <w:spacing w:line="360" w:lineRule="auto"/>
        <w:rPr>
          <w:lang w:val="en-GB"/>
        </w:rPr>
      </w:pPr>
      <w:r>
        <w:rPr>
          <w:lang w:val="en-GB"/>
        </w:rPr>
        <w:lastRenderedPageBreak/>
        <w:t>However, this does not rule out that patients do not have a responsibility themselves in the stimulation process of patient portal use. They could for instance put pressure on the doctor by bringing up the patient portal in their conversations.</w:t>
      </w:r>
      <w:r w:rsidRPr="0007274D">
        <w:rPr>
          <w:lang w:val="en-GB"/>
        </w:rPr>
        <w:t xml:space="preserve"> </w:t>
      </w:r>
      <w:r w:rsidRPr="001D10CE">
        <w:rPr>
          <w:lang w:val="en-GB"/>
        </w:rPr>
        <w:t>Despite the fact that t</w:t>
      </w:r>
      <w:r>
        <w:rPr>
          <w:lang w:val="en-GB"/>
        </w:rPr>
        <w:t>here were no healthcare professionals in risk of job loss as a consequence of the patient portal, it can be stated that, to some extent, it does threaten their current values and scope of practice, seeing that a change in their work practice is required. Essentially, the noticeable differences between healthcare professionals illustrate that uptake of the patient portal requires, for some individuals, more help and training than others. This is seen as the</w:t>
      </w:r>
      <w:r w:rsidRPr="00980B45">
        <w:rPr>
          <w:lang w:val="en-GB"/>
        </w:rPr>
        <w:t xml:space="preserve"> responsibility for </w:t>
      </w:r>
      <w:r w:rsidR="000C0887">
        <w:rPr>
          <w:lang w:val="en-GB"/>
        </w:rPr>
        <w:t>academic hospital</w:t>
      </w:r>
      <w:r>
        <w:rPr>
          <w:lang w:val="en-GB"/>
        </w:rPr>
        <w:t xml:space="preserve">’s </w:t>
      </w:r>
      <w:r w:rsidR="000C2B36">
        <w:rPr>
          <w:lang w:val="en-GB"/>
        </w:rPr>
        <w:t>f</w:t>
      </w:r>
      <w:r>
        <w:rPr>
          <w:lang w:val="en-GB"/>
        </w:rPr>
        <w:t>unctional management, as they should provide the support towards the medical departments and make the patient portal tangible for healthcare professionals.</w:t>
      </w:r>
      <w:r w:rsidRPr="00980B45">
        <w:rPr>
          <w:lang w:val="en-GB"/>
        </w:rPr>
        <w:t xml:space="preserve"> </w:t>
      </w:r>
      <w:r>
        <w:rPr>
          <w:lang w:val="en-GB"/>
        </w:rPr>
        <w:t xml:space="preserve">Interestingly, a top-down approach towards the embedding of the patient portal seems to lack in practice. </w:t>
      </w:r>
      <w:r w:rsidRPr="00980B45">
        <w:rPr>
          <w:lang w:val="en-GB"/>
        </w:rPr>
        <w:t xml:space="preserve">In the </w:t>
      </w:r>
      <w:r w:rsidR="000C0887">
        <w:rPr>
          <w:lang w:val="en-GB"/>
        </w:rPr>
        <w:t xml:space="preserve">academic hospital </w:t>
      </w:r>
      <w:r w:rsidRPr="00980B45">
        <w:rPr>
          <w:lang w:val="en-GB"/>
        </w:rPr>
        <w:t>there ha</w:t>
      </w:r>
      <w:r>
        <w:rPr>
          <w:lang w:val="en-GB"/>
        </w:rPr>
        <w:t>ve</w:t>
      </w:r>
      <w:r w:rsidRPr="00980B45">
        <w:rPr>
          <w:lang w:val="en-GB"/>
        </w:rPr>
        <w:t xml:space="preserve"> been limited communications with the </w:t>
      </w:r>
      <w:r>
        <w:rPr>
          <w:lang w:val="en-GB"/>
        </w:rPr>
        <w:t>healthcare</w:t>
      </w:r>
      <w:r w:rsidRPr="00980B45">
        <w:rPr>
          <w:lang w:val="en-GB"/>
        </w:rPr>
        <w:t xml:space="preserve"> professionals on what the patient portal entails and how they should use it within the</w:t>
      </w:r>
      <w:r>
        <w:rPr>
          <w:lang w:val="en-GB"/>
        </w:rPr>
        <w:t>ir</w:t>
      </w:r>
      <w:r w:rsidRPr="00980B45">
        <w:rPr>
          <w:lang w:val="en-GB"/>
        </w:rPr>
        <w:t xml:space="preserve"> process</w:t>
      </w:r>
      <w:r>
        <w:rPr>
          <w:lang w:val="en-GB"/>
        </w:rPr>
        <w:t>es</w:t>
      </w:r>
      <w:r w:rsidRPr="00980B45">
        <w:rPr>
          <w:lang w:val="en-GB"/>
        </w:rPr>
        <w:t xml:space="preserve"> of care. </w:t>
      </w:r>
      <w:r>
        <w:rPr>
          <w:lang w:val="en-GB"/>
        </w:rPr>
        <w:t xml:space="preserve">Given the fact that value-based healthcare is getting more and more attention in the medical field, </w:t>
      </w:r>
      <w:r w:rsidR="000C0887">
        <w:rPr>
          <w:lang w:val="en-GB"/>
        </w:rPr>
        <w:t xml:space="preserve">academic hospital </w:t>
      </w:r>
      <w:r>
        <w:rPr>
          <w:lang w:val="en-GB"/>
        </w:rPr>
        <w:t xml:space="preserve">has planned to give extra attention towards the patient portal by integrating it into the programme of value-based healthcare. </w:t>
      </w:r>
      <w:r w:rsidRPr="00980B45">
        <w:rPr>
          <w:lang w:val="en-GB"/>
        </w:rPr>
        <w:t>This seems to be the case</w:t>
      </w:r>
      <w:r>
        <w:rPr>
          <w:lang w:val="en-GB"/>
        </w:rPr>
        <w:t>, or at least similar trends,</w:t>
      </w:r>
      <w:r w:rsidRPr="00980B45">
        <w:rPr>
          <w:lang w:val="en-GB"/>
        </w:rPr>
        <w:t xml:space="preserve"> for most of the hospitals in the in-width study as well. Again, </w:t>
      </w:r>
      <w:r>
        <w:rPr>
          <w:lang w:val="en-GB"/>
        </w:rPr>
        <w:t>prioritization of the patient portal, recurring through available resources such as capacity and budget, are forecasters for the embedding.</w:t>
      </w:r>
    </w:p>
    <w:p w14:paraId="4E057AF9" w14:textId="18CE0D0A" w:rsidR="00A77631" w:rsidRDefault="00A77631" w:rsidP="00A77631">
      <w:pPr>
        <w:spacing w:after="0"/>
        <w:ind w:left="708"/>
        <w:jc w:val="left"/>
        <w:rPr>
          <w:i/>
          <w:iCs/>
          <w:lang w:val="en-GB"/>
        </w:rPr>
      </w:pPr>
      <w:r>
        <w:rPr>
          <w:i/>
          <w:iCs/>
          <w:lang w:val="en-GB"/>
        </w:rPr>
        <w:t>VIPP 10.4: The technology is changing, but we are not looking at how care must then be adjusted. It just continues for a while. You should actually take all the levels into account; it is about care and not about technical changes. This may also mean that as a hospital you have to organize your time differently.</w:t>
      </w:r>
    </w:p>
    <w:p w14:paraId="434B7B19" w14:textId="37C17FAD" w:rsidR="00A77631" w:rsidRDefault="00A77631" w:rsidP="00A77631">
      <w:pPr>
        <w:ind w:left="708"/>
        <w:jc w:val="left"/>
        <w:rPr>
          <w:i/>
          <w:iCs/>
          <w:lang w:val="en-GB"/>
        </w:rPr>
      </w:pPr>
      <w:r>
        <w:rPr>
          <w:i/>
          <w:iCs/>
          <w:lang w:val="en-GB"/>
        </w:rPr>
        <w:t>VIPP 10.1: The healthcare professional must take a different look at his work.</w:t>
      </w:r>
    </w:p>
    <w:p w14:paraId="41BE435A" w14:textId="291BAC05" w:rsidR="00A77631" w:rsidRPr="00573B0B" w:rsidRDefault="000C0887" w:rsidP="00A77631">
      <w:pPr>
        <w:autoSpaceDE w:val="0"/>
        <w:autoSpaceDN w:val="0"/>
        <w:adjustRightInd w:val="0"/>
        <w:ind w:left="708"/>
        <w:jc w:val="left"/>
        <w:rPr>
          <w:i/>
          <w:iCs/>
          <w:lang w:val="en-GB"/>
        </w:rPr>
      </w:pPr>
      <w:r w:rsidRPr="00D70BA2">
        <w:rPr>
          <w:i/>
          <w:iCs/>
          <w:lang w:val="en-GB"/>
        </w:rPr>
        <w:t>Academic hospital</w:t>
      </w:r>
      <w:r>
        <w:rPr>
          <w:lang w:val="en-GB"/>
        </w:rPr>
        <w:t xml:space="preserve"> </w:t>
      </w:r>
      <w:r w:rsidR="00A77631">
        <w:rPr>
          <w:i/>
          <w:iCs/>
          <w:lang w:val="en-GB"/>
        </w:rPr>
        <w:t>3: First, internally everything must be in order, then communicate it by means of a communication action that approaches patients. (..) To realize the first point, there is really more priority in IT necessary and more room within the budget and capacity (..) The executive work lies with Functional management and very often we get that they do not have the time. So if it cannot be managed by them, it will stay put.</w:t>
      </w:r>
    </w:p>
    <w:p w14:paraId="3B2AA24C" w14:textId="77777777" w:rsidR="00A77631" w:rsidRDefault="00A77631" w:rsidP="00A77631">
      <w:pPr>
        <w:autoSpaceDE w:val="0"/>
        <w:autoSpaceDN w:val="0"/>
        <w:adjustRightInd w:val="0"/>
        <w:spacing w:line="360" w:lineRule="auto"/>
        <w:rPr>
          <w:lang w:val="en-GB"/>
        </w:rPr>
      </w:pPr>
      <w:r w:rsidRPr="00980B45">
        <w:rPr>
          <w:lang w:val="en-GB"/>
        </w:rPr>
        <w:t xml:space="preserve">Moreover, </w:t>
      </w:r>
      <w:r>
        <w:rPr>
          <w:lang w:val="en-GB"/>
        </w:rPr>
        <w:t xml:space="preserve">given the hospitals’ size and complexity, actual embedding efforts towards the patient portal have often only been deployed at a few medical departments before it happens at a full scale. These ‘pilots’ are organized around a few departments, combining both simple, complicated, and complex care, so that there could be learned and eventually generalized for other departments. To do this, it is vital to focus on how the patient portal really works, so that, step by step, its full deployment is deemed possible and/or requested by other departments. In some cases, this has </w:t>
      </w:r>
      <w:r>
        <w:rPr>
          <w:lang w:val="en-GB"/>
        </w:rPr>
        <w:lastRenderedPageBreak/>
        <w:t>eventually led to an easier implementation process, knowing the lesson learned of the patient portal in practice, avoiding unnecessary mistakes and delays.</w:t>
      </w:r>
    </w:p>
    <w:p w14:paraId="6DA105D6" w14:textId="77777777" w:rsidR="00A77631" w:rsidRDefault="00A77631" w:rsidP="00A77631">
      <w:pPr>
        <w:spacing w:line="360" w:lineRule="auto"/>
        <w:rPr>
          <w:lang w:val="en-GB"/>
        </w:rPr>
      </w:pPr>
      <w:r>
        <w:rPr>
          <w:lang w:val="en-GB"/>
        </w:rPr>
        <w:t xml:space="preserve">The possibilities that patient portals provided with their functionalities are often in line with what is expected the patient wants. Taking the fact that the current uptake is low one can assume patients’ expectations are not well understood. These expectations of the patient (and/or immediate caregiver) show that it is both simple and complicated </w:t>
      </w:r>
      <w:r w:rsidRPr="00164032">
        <w:rPr>
          <w:b/>
          <w:bCs/>
          <w:lang w:val="en-GB"/>
        </w:rPr>
        <w:t>(4B)</w:t>
      </w:r>
      <w:r>
        <w:rPr>
          <w:lang w:val="en-GB"/>
        </w:rPr>
        <w:t>. Since the majority of healthcare professionals use the EHR and never have seen the patient portal in the first place, they hardly have any idea of the patient’s expectations. Obviously, the minority of healthcare professionals that does involve the patient with the patient portal, emphasize its added benefits on the overall process of care and will align the expectations with the offered functionalities. Routine tasks such as logging in, checking results, filling in questionnaires, reading folders and online conversations are available and acceptable to patients (and/or immediate caregivers), as these tasks are helpful in streamlining the care process. The achievability and acceptability, as experienced by patients, are dependent on their perception of the patient portal’s capabilities and user-friendliness. It should also be stated that the health status of the patient plays a large factor in the healthcare professional’s determination of the expectations. Obviously, this is accompanied with the patient portal’s uptake by specific medical departments. Benefits of the patient portal as perceived by healthcare professionals, support how they compose their expectations of a patient.</w:t>
      </w:r>
    </w:p>
    <w:p w14:paraId="5569E6D7" w14:textId="47749205" w:rsidR="00A77631" w:rsidRPr="0035038A" w:rsidRDefault="000C0887" w:rsidP="00A77631">
      <w:pPr>
        <w:autoSpaceDE w:val="0"/>
        <w:autoSpaceDN w:val="0"/>
        <w:adjustRightInd w:val="0"/>
        <w:ind w:left="708"/>
        <w:jc w:val="left"/>
        <w:rPr>
          <w:i/>
          <w:iCs/>
          <w:lang w:val="en-GB"/>
        </w:rPr>
      </w:pPr>
      <w:r w:rsidRPr="00D70BA2">
        <w:rPr>
          <w:i/>
          <w:iCs/>
          <w:lang w:val="en-GB"/>
        </w:rPr>
        <w:t>Academic hospital</w:t>
      </w:r>
      <w:r>
        <w:rPr>
          <w:lang w:val="en-GB"/>
        </w:rPr>
        <w:t xml:space="preserve"> </w:t>
      </w:r>
      <w:r w:rsidR="00A77631" w:rsidRPr="0035038A">
        <w:rPr>
          <w:i/>
          <w:iCs/>
          <w:lang w:val="en-GB"/>
        </w:rPr>
        <w:t xml:space="preserve">3: </w:t>
      </w:r>
      <w:r w:rsidR="00A77631">
        <w:rPr>
          <w:i/>
          <w:iCs/>
          <w:lang w:val="en-GB"/>
        </w:rPr>
        <w:t xml:space="preserve">It is difficult to express an expectation for the patient, so we mainly give them the opportunity to at least want it. (..) </w:t>
      </w:r>
      <w:r w:rsidR="00A77631" w:rsidRPr="0035038A">
        <w:rPr>
          <w:i/>
          <w:iCs/>
          <w:lang w:val="en-GB"/>
        </w:rPr>
        <w:t>You cannot oblige a patient to use the portal, but you can encourage him.</w:t>
      </w:r>
    </w:p>
    <w:p w14:paraId="5AC9A8EF" w14:textId="73BF30BB" w:rsidR="00A77631" w:rsidRPr="0007274D" w:rsidRDefault="00A77631" w:rsidP="00A77631">
      <w:pPr>
        <w:spacing w:line="360" w:lineRule="auto"/>
        <w:rPr>
          <w:lang w:val="en-GB"/>
        </w:rPr>
      </w:pPr>
      <w:r>
        <w:rPr>
          <w:lang w:val="en-GB"/>
        </w:rPr>
        <w:t xml:space="preserve">For the </w:t>
      </w:r>
      <w:r w:rsidR="000C0887">
        <w:rPr>
          <w:lang w:val="en-GB"/>
        </w:rPr>
        <w:t xml:space="preserve">academic hospital </w:t>
      </w:r>
      <w:r>
        <w:rPr>
          <w:lang w:val="en-GB"/>
        </w:rPr>
        <w:t xml:space="preserve">and in-width study’s hospital professionals, not directly involved with healthcare and/or patients, the patient portal is expected to be an enrichment of the local care process. Given the available functionalities, they expect the patient to engage with the patient portal’s routine tasks, as described above. They also expect the healthcare professional to encourage the patient using the patient portal, as in their opinion, the patient portal is designed in such a way that complexity is low. The complexity of the care process; in initiating changes, making judgments, and organizing the process is of responsibility of the healthcare professional. None is explicitly assumed about the extended network of lay caregivers, for which it classifies as simple </w:t>
      </w:r>
      <w:r w:rsidRPr="00164032">
        <w:rPr>
          <w:b/>
          <w:bCs/>
          <w:lang w:val="en-GB"/>
        </w:rPr>
        <w:t>(4C)</w:t>
      </w:r>
      <w:r>
        <w:rPr>
          <w:lang w:val="en-GB"/>
        </w:rPr>
        <w:t xml:space="preserve">. Considering the fact that not only care processes but also the content of the patient portal is very personal, and should remain as such, the healthcare professionals and other hospital respondents have not indicated any assumptions for the patient portal on the patient’s environment. In the case of younger patients, it is assumed that the parents or immediate caregivers support the process of </w:t>
      </w:r>
      <w:r>
        <w:rPr>
          <w:lang w:val="en-GB"/>
        </w:rPr>
        <w:lastRenderedPageBreak/>
        <w:t>care and are therefore regarded as the users. Finally, in the case of patients with chronic conditions or illnesses, it is assumed that a caregiver may help when needed in the use of the patient portal.</w:t>
      </w:r>
    </w:p>
    <w:p w14:paraId="0562C912" w14:textId="139FAB7D" w:rsidR="00A77631" w:rsidRDefault="00FA7135" w:rsidP="00A77631">
      <w:pPr>
        <w:pStyle w:val="Heading3"/>
        <w:rPr>
          <w:lang w:val="en-GB"/>
        </w:rPr>
      </w:pPr>
      <w:bookmarkStart w:id="81" w:name="_Toc47522448"/>
      <w:bookmarkStart w:id="82" w:name="_Toc51862103"/>
      <w:r>
        <w:rPr>
          <w:lang w:val="en-GB"/>
        </w:rPr>
        <w:t>4.1.5 The Organization (</w:t>
      </w:r>
      <w:r w:rsidR="00A77631">
        <w:rPr>
          <w:lang w:val="en-GB"/>
        </w:rPr>
        <w:t>NASSS Domain 5</w:t>
      </w:r>
      <w:bookmarkEnd w:id="81"/>
      <w:r>
        <w:rPr>
          <w:lang w:val="en-GB"/>
        </w:rPr>
        <w:t>)</w:t>
      </w:r>
      <w:bookmarkEnd w:id="82"/>
    </w:p>
    <w:p w14:paraId="39C86EC3" w14:textId="26FE8850"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In the Netherlands, hospitals have to comply with the requirements of transparency and organization of business operations as laid down in the law</w:t>
      </w:r>
      <w:r>
        <w:rPr>
          <w:rStyle w:val="FootnoteReference"/>
          <w:rFonts w:eastAsia="TimesNewRomanPSMT" w:cstheme="minorHAnsi"/>
          <w:lang w:val="en-GB"/>
        </w:rPr>
        <w:footnoteReference w:id="1"/>
      </w:r>
      <w:r>
        <w:rPr>
          <w:rFonts w:eastAsia="TimesNewRomanPSMT" w:cstheme="minorHAnsi"/>
          <w:lang w:val="en-GB"/>
        </w:rPr>
        <w:t xml:space="preserve">. </w:t>
      </w:r>
      <w:r w:rsidRPr="00C03B5E">
        <w:rPr>
          <w:rFonts w:eastAsia="TimesNewRomanPSMT" w:cstheme="minorHAnsi"/>
          <w:lang w:val="en-GB"/>
        </w:rPr>
        <w:t>For this</w:t>
      </w:r>
      <w:r>
        <w:rPr>
          <w:rFonts w:eastAsia="TimesNewRomanPSMT" w:cstheme="minorHAnsi"/>
          <w:lang w:val="en-GB"/>
        </w:rPr>
        <w:t>,</w:t>
      </w:r>
      <w:r w:rsidRPr="00C03B5E">
        <w:rPr>
          <w:rFonts w:eastAsia="TimesNewRomanPSMT" w:cstheme="minorHAnsi"/>
          <w:lang w:val="en-GB"/>
        </w:rPr>
        <w:t xml:space="preserve"> hospitals have to test against the </w:t>
      </w:r>
      <w:r>
        <w:rPr>
          <w:rFonts w:eastAsia="TimesNewRomanPSMT" w:cstheme="minorHAnsi"/>
          <w:lang w:val="en-GB"/>
        </w:rPr>
        <w:t xml:space="preserve">healthcare-wide </w:t>
      </w:r>
      <w:r w:rsidRPr="00C03B5E">
        <w:rPr>
          <w:rFonts w:eastAsia="TimesNewRomanPSMT" w:cstheme="minorHAnsi"/>
          <w:lang w:val="en-GB"/>
        </w:rPr>
        <w:t xml:space="preserve">Governance Code </w:t>
      </w:r>
      <w:r>
        <w:rPr>
          <w:rFonts w:eastAsia="TimesNewRomanPSMT" w:cstheme="minorHAnsi"/>
          <w:lang w:val="en-GB"/>
        </w:rPr>
        <w:t xml:space="preserve">Care </w:t>
      </w:r>
      <w:r w:rsidRPr="00C03B5E">
        <w:rPr>
          <w:rFonts w:eastAsia="TimesNewRomanPSMT" w:cstheme="minorHAnsi"/>
          <w:lang w:val="en-GB"/>
        </w:rPr>
        <w:t>2017</w:t>
      </w:r>
      <w:r>
        <w:rPr>
          <w:rFonts w:eastAsia="TimesNewRomanPSMT" w:cstheme="minorHAnsi"/>
          <w:lang w:val="en-GB"/>
        </w:rPr>
        <w:t>,</w:t>
      </w:r>
      <w:r w:rsidRPr="00C03B5E">
        <w:rPr>
          <w:rFonts w:eastAsia="TimesNewRomanPSMT" w:cstheme="minorHAnsi"/>
          <w:lang w:val="en-GB"/>
        </w:rPr>
        <w:t xml:space="preserve"> in which </w:t>
      </w:r>
      <w:r>
        <w:rPr>
          <w:rFonts w:eastAsia="TimesNewRomanPSMT" w:cstheme="minorHAnsi"/>
          <w:lang w:val="en-GB"/>
        </w:rPr>
        <w:t>seven core principles have been outlined. These principles range from good care, standards and values, stakeholder influence, governance structure, good governance, responsible supervision to continuous development. An eight</w:t>
      </w:r>
      <w:r w:rsidR="003508C8">
        <w:rPr>
          <w:rFonts w:eastAsia="TimesNewRomanPSMT" w:cstheme="minorHAnsi"/>
          <w:lang w:val="en-GB"/>
        </w:rPr>
        <w:t>h</w:t>
      </w:r>
      <w:r>
        <w:rPr>
          <w:rFonts w:eastAsia="TimesNewRomanPSMT" w:cstheme="minorHAnsi"/>
          <w:lang w:val="en-GB"/>
        </w:rPr>
        <w:t xml:space="preserve"> principle has been added for specific situations. When the corporation is different, which is the case for </w:t>
      </w:r>
      <w:r w:rsidR="00136FB9">
        <w:rPr>
          <w:rFonts w:eastAsia="TimesNewRomanPSMT" w:cstheme="minorHAnsi"/>
          <w:lang w:val="en-GB"/>
        </w:rPr>
        <w:t xml:space="preserve">academic hospital </w:t>
      </w:r>
      <w:r w:rsidRPr="005460C9">
        <w:rPr>
          <w:rFonts w:eastAsia="TimesNewRomanPSMT" w:cstheme="minorHAnsi"/>
          <w:lang w:val="en-GB"/>
        </w:rPr>
        <w:t>s in the Netherlands</w:t>
      </w:r>
      <w:r>
        <w:rPr>
          <w:rFonts w:eastAsia="TimesNewRomanPSMT" w:cstheme="minorHAnsi"/>
          <w:lang w:val="en-GB"/>
        </w:rPr>
        <w:t xml:space="preserve">, the governance code deviates on points related to the organization’s specific position, target and laws and regulations. Seeing that </w:t>
      </w:r>
      <w:r w:rsidR="000C0887">
        <w:rPr>
          <w:rFonts w:eastAsia="TimesNewRomanPSMT" w:cstheme="minorHAnsi"/>
          <w:lang w:val="en-GB"/>
        </w:rPr>
        <w:t xml:space="preserve">the </w:t>
      </w:r>
      <w:r w:rsidR="000C0887">
        <w:rPr>
          <w:lang w:val="en-GB"/>
        </w:rPr>
        <w:t xml:space="preserve">academic hospital </w:t>
      </w:r>
      <w:r>
        <w:rPr>
          <w:rFonts w:eastAsia="TimesNewRomanPSMT" w:cstheme="minorHAnsi"/>
          <w:lang w:val="en-GB"/>
        </w:rPr>
        <w:t xml:space="preserve">is an organization in which the </w:t>
      </w:r>
      <w:r w:rsidR="00136FB9">
        <w:rPr>
          <w:rFonts w:eastAsia="TimesNewRomanPSMT" w:cstheme="minorHAnsi"/>
          <w:lang w:val="en-GB"/>
        </w:rPr>
        <w:t>academic hospital</w:t>
      </w:r>
      <w:r w:rsidR="00D70BA2">
        <w:rPr>
          <w:rFonts w:eastAsia="TimesNewRomanPSMT" w:cstheme="minorHAnsi"/>
          <w:lang w:val="en-GB"/>
        </w:rPr>
        <w:t xml:space="preserve"> </w:t>
      </w:r>
      <w:r>
        <w:rPr>
          <w:rFonts w:eastAsia="TimesNewRomanPSMT" w:cstheme="minorHAnsi"/>
          <w:lang w:val="en-GB"/>
        </w:rPr>
        <w:t>and medical faculty of the university shape a cooperation, the ‘</w:t>
      </w:r>
      <w:r>
        <w:rPr>
          <w:rFonts w:eastAsia="TimesNewRomanPSMT" w:cstheme="minorHAnsi"/>
          <w:i/>
          <w:iCs/>
          <w:lang w:val="en-GB"/>
        </w:rPr>
        <w:t>Law on higher education and academic research</w:t>
      </w:r>
      <w:r>
        <w:rPr>
          <w:rFonts w:eastAsia="TimesNewRomanPSMT" w:cstheme="minorHAnsi"/>
          <w:lang w:val="en-GB"/>
        </w:rPr>
        <w:t xml:space="preserve">’ applies (N.A., 2017). Therefore, it differs from the VIPP-hospitals as the </w:t>
      </w:r>
      <w:r w:rsidR="00005E63">
        <w:rPr>
          <w:lang w:val="en-GB"/>
        </w:rPr>
        <w:t xml:space="preserve">academic hospital </w:t>
      </w:r>
      <w:r>
        <w:rPr>
          <w:rFonts w:eastAsia="TimesNewRomanPSMT" w:cstheme="minorHAnsi"/>
          <w:lang w:val="en-GB"/>
        </w:rPr>
        <w:t xml:space="preserve">also has responsibilities in education and research, apart from those in healthcare. The </w:t>
      </w:r>
      <w:r w:rsidR="00005E63">
        <w:rPr>
          <w:lang w:val="en-GB"/>
        </w:rPr>
        <w:t xml:space="preserve">academic hospital </w:t>
      </w:r>
      <w:r>
        <w:rPr>
          <w:rFonts w:eastAsia="TimesNewRomanPSMT" w:cstheme="minorHAnsi"/>
          <w:lang w:val="en-GB"/>
        </w:rPr>
        <w:t xml:space="preserve">and VIPP-hospitals all share the same type of legal entity, namely of a no-profit foundation, which means that they are not primarily aimed at profit making, but rather aim to set goals on medical practice, patient safety and privacy, mainly to increase the welfare of Dutch citizens. In essence, this legal entity supports sound business processes and innovation, as the profit from business operations remain within the foundation and is invested into resources that achieve these goals. By complying with the principles of the Governance Code Care 2017, one may assume that the </w:t>
      </w:r>
      <w:r w:rsidR="00005E63">
        <w:rPr>
          <w:lang w:val="en-GB"/>
        </w:rPr>
        <w:t xml:space="preserve">academic hospital </w:t>
      </w:r>
      <w:r>
        <w:rPr>
          <w:rFonts w:eastAsia="TimesNewRomanPSMT" w:cstheme="minorHAnsi"/>
          <w:lang w:val="en-GB"/>
        </w:rPr>
        <w:t xml:space="preserve">is a well-led organization with good managerial relations, in which scientific and medical innovation is encouraged. Evidently, the </w:t>
      </w:r>
      <w:r w:rsidR="00005E63">
        <w:rPr>
          <w:lang w:val="en-GB"/>
        </w:rPr>
        <w:t>academic hospital</w:t>
      </w:r>
      <w:r>
        <w:rPr>
          <w:rFonts w:eastAsia="TimesNewRomanPSMT" w:cstheme="minorHAnsi"/>
          <w:lang w:val="en-GB"/>
        </w:rPr>
        <w:t>’s specific social position and responsibilities assure that infrastructure and marketing are an integral part of the innovative organization. Therefore, it would appear to be specified as simple, in practice however, due to its limited slack resources, it shows to be somewhat complicated too</w:t>
      </w:r>
      <w:r w:rsidR="005C0866">
        <w:rPr>
          <w:rFonts w:eastAsia="TimesNewRomanPSMT" w:cstheme="minorHAnsi"/>
          <w:lang w:val="en-GB"/>
        </w:rPr>
        <w:t xml:space="preserve"> </w:t>
      </w:r>
      <w:r w:rsidR="005C0866" w:rsidRPr="00EC6BE4">
        <w:rPr>
          <w:rFonts w:eastAsia="TimesNewRomanPSMT" w:cstheme="minorHAnsi"/>
          <w:b/>
          <w:bCs/>
          <w:lang w:val="en-GB"/>
        </w:rPr>
        <w:t>(5A)</w:t>
      </w:r>
      <w:r>
        <w:rPr>
          <w:rFonts w:eastAsia="TimesNewRomanPSMT" w:cstheme="minorHAnsi"/>
          <w:lang w:val="en-GB"/>
        </w:rPr>
        <w:t xml:space="preserve">. The sheer scale at which the </w:t>
      </w:r>
      <w:r w:rsidR="00005E63">
        <w:rPr>
          <w:lang w:val="en-GB"/>
        </w:rPr>
        <w:t xml:space="preserve">academic hospital </w:t>
      </w:r>
      <w:r>
        <w:rPr>
          <w:rFonts w:eastAsia="TimesNewRomanPSMT" w:cstheme="minorHAnsi"/>
          <w:lang w:val="en-GB"/>
        </w:rPr>
        <w:t xml:space="preserve">operates ensures that resources such as time, budget and capacity have been divided amongst the organization. </w:t>
      </w:r>
      <w:bookmarkStart w:id="83" w:name="_Hlk47941895"/>
      <w:r w:rsidRPr="00F21007">
        <w:rPr>
          <w:rFonts w:eastAsia="TimesNewRomanPSMT" w:cstheme="minorHAnsi"/>
          <w:lang w:val="en-GB"/>
        </w:rPr>
        <w:t>Additionally,</w:t>
      </w:r>
      <w:r>
        <w:rPr>
          <w:rFonts w:eastAsia="TimesNewRomanPSMT" w:cstheme="minorHAnsi"/>
          <w:lang w:val="en-GB"/>
        </w:rPr>
        <w:t xml:space="preserve"> the overall</w:t>
      </w:r>
      <w:r w:rsidRPr="00F21007">
        <w:rPr>
          <w:rFonts w:eastAsia="TimesNewRomanPSMT" w:cstheme="minorHAnsi"/>
          <w:lang w:val="en-GB"/>
        </w:rPr>
        <w:t xml:space="preserve"> </w:t>
      </w:r>
      <w:r>
        <w:rPr>
          <w:rFonts w:eastAsia="TimesNewRomanPSMT" w:cstheme="minorHAnsi"/>
          <w:lang w:val="en-GB"/>
        </w:rPr>
        <w:t>field of healthcare</w:t>
      </w:r>
      <w:r w:rsidRPr="00F21007">
        <w:rPr>
          <w:rFonts w:eastAsia="TimesNewRomanPSMT" w:cstheme="minorHAnsi"/>
          <w:lang w:val="en-GB"/>
        </w:rPr>
        <w:t xml:space="preserve"> in the Netherlands </w:t>
      </w:r>
      <w:r>
        <w:rPr>
          <w:rFonts w:eastAsia="TimesNewRomanPSMT" w:cstheme="minorHAnsi"/>
          <w:lang w:val="en-GB"/>
        </w:rPr>
        <w:t xml:space="preserve">is </w:t>
      </w:r>
      <w:r w:rsidRPr="00F21007">
        <w:rPr>
          <w:rFonts w:eastAsia="TimesNewRomanPSMT" w:cstheme="minorHAnsi"/>
          <w:lang w:val="en-GB"/>
        </w:rPr>
        <w:t>struggl</w:t>
      </w:r>
      <w:r>
        <w:rPr>
          <w:rFonts w:eastAsia="TimesNewRomanPSMT" w:cstheme="minorHAnsi"/>
          <w:lang w:val="en-GB"/>
        </w:rPr>
        <w:t>ing</w:t>
      </w:r>
      <w:r w:rsidRPr="00F21007">
        <w:rPr>
          <w:rFonts w:eastAsia="TimesNewRomanPSMT" w:cstheme="minorHAnsi"/>
          <w:lang w:val="en-GB"/>
        </w:rPr>
        <w:t xml:space="preserve"> with short</w:t>
      </w:r>
      <w:r>
        <w:rPr>
          <w:rFonts w:eastAsia="TimesNewRomanPSMT" w:cstheme="minorHAnsi"/>
          <w:lang w:val="en-GB"/>
        </w:rPr>
        <w:t xml:space="preserve">ages on the labour market and an increasing demand for care amongst Dutch citizens. </w:t>
      </w:r>
      <w:bookmarkEnd w:id="83"/>
      <w:r>
        <w:rPr>
          <w:rFonts w:eastAsia="TimesNewRomanPSMT" w:cstheme="minorHAnsi"/>
          <w:lang w:val="en-GB"/>
        </w:rPr>
        <w:t xml:space="preserve">This has put hospitals in difficult positions, in which they have to prioritize resources. </w:t>
      </w:r>
      <w:r w:rsidR="00005E63">
        <w:rPr>
          <w:lang w:val="en-GB"/>
        </w:rPr>
        <w:t xml:space="preserve">academic hospital </w:t>
      </w:r>
      <w:r w:rsidRPr="005C75DF">
        <w:rPr>
          <w:rFonts w:eastAsia="TimesNewRomanPSMT" w:cstheme="minorHAnsi"/>
          <w:lang w:val="en-GB"/>
        </w:rPr>
        <w:t xml:space="preserve">expresses their vision in </w:t>
      </w:r>
      <w:r>
        <w:rPr>
          <w:rFonts w:eastAsia="TimesNewRomanPSMT" w:cstheme="minorHAnsi"/>
          <w:lang w:val="en-GB"/>
        </w:rPr>
        <w:t>‘</w:t>
      </w:r>
      <w:r w:rsidRPr="005C75DF">
        <w:rPr>
          <w:rFonts w:eastAsia="TimesNewRomanPSMT" w:cstheme="minorHAnsi"/>
          <w:lang w:val="en-GB"/>
        </w:rPr>
        <w:t>recognized leadership in innovations for health and care</w:t>
      </w:r>
      <w:r>
        <w:rPr>
          <w:rFonts w:eastAsia="TimesNewRomanPSMT" w:cstheme="minorHAnsi"/>
          <w:lang w:val="en-GB"/>
        </w:rPr>
        <w:t>’ and labels their core values as responsible, connected, and entrepreneurial (</w:t>
      </w:r>
      <w:r w:rsidR="00005E63">
        <w:rPr>
          <w:rFonts w:eastAsia="TimesNewRomanPSMT" w:cstheme="minorHAnsi"/>
          <w:lang w:val="en-GB"/>
        </w:rPr>
        <w:t xml:space="preserve">Strategy Course </w:t>
      </w:r>
      <w:r w:rsidR="00005E63">
        <w:rPr>
          <w:lang w:val="en-GB"/>
        </w:rPr>
        <w:t xml:space="preserve">academic hospital </w:t>
      </w:r>
      <w:r w:rsidRPr="008F5C61">
        <w:rPr>
          <w:rFonts w:eastAsia="TimesNewRomanPSMT" w:cstheme="minorHAnsi"/>
          <w:sz w:val="14"/>
          <w:szCs w:val="14"/>
          <w:lang w:val="en-GB"/>
        </w:rPr>
        <w:t>1</w:t>
      </w:r>
      <w:r>
        <w:rPr>
          <w:rFonts w:eastAsia="TimesNewRomanPSMT" w:cstheme="minorHAnsi"/>
          <w:lang w:val="en-GB"/>
        </w:rPr>
        <w:t xml:space="preserve">, 2018).  </w:t>
      </w:r>
      <w:r w:rsidR="00005E63">
        <w:rPr>
          <w:lang w:val="en-GB"/>
        </w:rPr>
        <w:t xml:space="preserve">The academic hospital </w:t>
      </w:r>
      <w:r>
        <w:rPr>
          <w:rFonts w:eastAsia="TimesNewRomanPSMT" w:cstheme="minorHAnsi"/>
          <w:lang w:val="en-GB"/>
        </w:rPr>
        <w:t xml:space="preserve">and the VIPP-hospitals have been putting E-Health, innovation, and ICT on the </w:t>
      </w:r>
      <w:r>
        <w:rPr>
          <w:rFonts w:eastAsia="TimesNewRomanPSMT" w:cstheme="minorHAnsi"/>
          <w:lang w:val="en-GB"/>
        </w:rPr>
        <w:lastRenderedPageBreak/>
        <w:t xml:space="preserve">strategic agenda for some time now, as well as the upcoming development of integral risk management. These prioritizations can be seen as strategizing activities and have looked into the possibilities these tools could have in the improvement of healthcare, and/or empowerment of the patient. Interesting is the fact that the patient portal has not been explicitly mentioned </w:t>
      </w:r>
      <w:r>
        <w:rPr>
          <w:lang w:val="en-US"/>
        </w:rPr>
        <w:t>as an important innovative project</w:t>
      </w:r>
      <w:r>
        <w:rPr>
          <w:rFonts w:eastAsia="TimesNewRomanPSMT" w:cstheme="minorHAnsi"/>
          <w:lang w:val="en-GB"/>
        </w:rPr>
        <w:t xml:space="preserve"> in goal setting (</w:t>
      </w:r>
      <w:r w:rsidR="00005E63">
        <w:rPr>
          <w:rFonts w:eastAsia="TimesNewRomanPSMT" w:cstheme="minorHAnsi"/>
          <w:lang w:val="en-GB"/>
        </w:rPr>
        <w:t>Strategy Course</w:t>
      </w:r>
      <w:r w:rsidR="00136FB9">
        <w:rPr>
          <w:rFonts w:eastAsia="TimesNewRomanPSMT" w:cstheme="minorHAnsi"/>
          <w:lang w:val="en-GB"/>
        </w:rPr>
        <w:t xml:space="preserve"> </w:t>
      </w:r>
      <w:r w:rsidR="00005E63">
        <w:rPr>
          <w:lang w:val="en-GB"/>
        </w:rPr>
        <w:t xml:space="preserve">academic hospital </w:t>
      </w:r>
      <w:r>
        <w:rPr>
          <w:rFonts w:eastAsia="TimesNewRomanPSMT" w:cstheme="minorHAnsi"/>
          <w:sz w:val="14"/>
          <w:szCs w:val="14"/>
          <w:lang w:val="en-GB"/>
        </w:rPr>
        <w:t>1</w:t>
      </w:r>
      <w:r>
        <w:rPr>
          <w:rFonts w:eastAsia="TimesNewRomanPSMT" w:cstheme="minorHAnsi"/>
          <w:lang w:val="en-GB"/>
        </w:rPr>
        <w:t>, 2018). It should be noted that the prioritizations of hospitals’ policy efforts in the period of 2015-2018 should be considered in light of the fact that some of this study’s hospitals had major circumstances such as mergers and migrations. 8/13 hospitals reported on this in 2018, some concerning ICT migrations.</w:t>
      </w:r>
    </w:p>
    <w:p w14:paraId="594E03A8" w14:textId="7DC2E3C3" w:rsidR="00A77631" w:rsidRPr="007812CA" w:rsidRDefault="00005E63" w:rsidP="00A77631">
      <w:pPr>
        <w:autoSpaceDE w:val="0"/>
        <w:autoSpaceDN w:val="0"/>
        <w:adjustRightInd w:val="0"/>
        <w:ind w:left="708"/>
        <w:jc w:val="left"/>
        <w:rPr>
          <w:rFonts w:eastAsia="TimesNewRomanPSMT" w:cstheme="minorHAnsi"/>
          <w:i/>
          <w:iCs/>
          <w:lang w:val="en-GB"/>
        </w:rPr>
      </w:pPr>
      <w:r w:rsidRPr="00D70BA2">
        <w:rPr>
          <w:i/>
          <w:iCs/>
          <w:lang w:val="en-GB"/>
        </w:rPr>
        <w:t>Academic hospital</w:t>
      </w:r>
      <w:r>
        <w:rPr>
          <w:lang w:val="en-GB"/>
        </w:rPr>
        <w:t xml:space="preserve"> </w:t>
      </w:r>
      <w:r w:rsidR="00A77631" w:rsidRPr="007812CA">
        <w:rPr>
          <w:rFonts w:eastAsia="TimesNewRomanPSMT" w:cstheme="minorHAnsi"/>
          <w:i/>
          <w:iCs/>
          <w:lang w:val="en-GB"/>
        </w:rPr>
        <w:t xml:space="preserve">2: I </w:t>
      </w:r>
      <w:r w:rsidR="00A77631">
        <w:rPr>
          <w:rFonts w:eastAsia="TimesNewRomanPSMT" w:cstheme="minorHAnsi"/>
          <w:i/>
          <w:iCs/>
          <w:lang w:val="en-GB"/>
        </w:rPr>
        <w:t xml:space="preserve">really feel that the patient portal is not very prominent here. That is also because we have been busy with a lot of other things, we had to move, new construction, EHR had to be different, renewed. I think that the patient portal has always adhered a little, it was not of the highest priority. </w:t>
      </w:r>
    </w:p>
    <w:p w14:paraId="20EF358D" w14:textId="3AF8D5E2"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 xml:space="preserve">The readiness of the organization towards this technology-supported change has shown to be complicated over the years </w:t>
      </w:r>
      <w:r w:rsidRPr="00164032">
        <w:rPr>
          <w:rFonts w:eastAsia="TimesNewRomanPSMT" w:cstheme="minorHAnsi"/>
          <w:b/>
          <w:bCs/>
          <w:lang w:val="en-GB"/>
        </w:rPr>
        <w:t>(5B)</w:t>
      </w:r>
      <w:r>
        <w:rPr>
          <w:rFonts w:eastAsia="TimesNewRomanPSMT" w:cstheme="minorHAnsi"/>
          <w:lang w:val="en-GB"/>
        </w:rPr>
        <w:t xml:space="preserve">. In the period of 2015-2018 the </w:t>
      </w:r>
      <w:r w:rsidR="00005E63">
        <w:rPr>
          <w:lang w:val="en-GB"/>
        </w:rPr>
        <w:t>academic hospital</w:t>
      </w:r>
      <w:r>
        <w:rPr>
          <w:rFonts w:eastAsia="TimesNewRomanPSMT" w:cstheme="minorHAnsi"/>
          <w:lang w:val="en-GB"/>
        </w:rPr>
        <w:t xml:space="preserve">, like 10 of the 12 VIPP-hospitals, had gone live with its current EHR. For all hospitals this has been a programme of such scale and complexity, that this took up quite some resources, especially in time and financial. The EHR had to be completely incorporated, requiring extensive preparations in dedicated teams. Again, since this has been at the foreground in the hospitals, the additional patient portal has often been forgotten and did not see the same priority setting. </w:t>
      </w:r>
      <w:r w:rsidRPr="00E138F1">
        <w:rPr>
          <w:rFonts w:eastAsia="TimesNewRomanPSMT" w:cstheme="minorHAnsi"/>
          <w:lang w:val="en-GB"/>
        </w:rPr>
        <w:t>The expected changes in the professionals’ daily work processes ha</w:t>
      </w:r>
      <w:r>
        <w:rPr>
          <w:rFonts w:eastAsia="TimesNewRomanPSMT" w:cstheme="minorHAnsi"/>
          <w:lang w:val="en-GB"/>
        </w:rPr>
        <w:t>s logically ran into some tensions for change. Professionals often have worked in a certain way for years and changing that will initially not be embraced. Undeniably, the EHR has had its opponents and given the fact</w:t>
      </w:r>
      <w:r w:rsidRPr="00E138F1">
        <w:rPr>
          <w:rFonts w:eastAsia="TimesNewRomanPSMT" w:cstheme="minorHAnsi"/>
          <w:lang w:val="en-GB"/>
        </w:rPr>
        <w:t xml:space="preserve"> </w:t>
      </w:r>
      <w:r>
        <w:rPr>
          <w:rFonts w:eastAsia="TimesNewRomanPSMT" w:cstheme="minorHAnsi"/>
          <w:lang w:val="en-GB"/>
        </w:rPr>
        <w:t xml:space="preserve">that the patient portal is integrated within the EHR, it has seen the same complications fitting into the existing system, requiring severe adjustments to be made in the processes of care. However, now that the EHR is functional, and healthcare professionals have seen the added benefits it has on their work processes, the system is there to stay. Interesting to note is that over the course of 2015-2018 the two VIPP-hospitals (1 and 5) that have mentioned the patient portal the most often in their newsletters and on their website have reported the highest user statistics among patients. Interestingly, in </w:t>
      </w:r>
      <w:r w:rsidRPr="00571BDE">
        <w:rPr>
          <w:rFonts w:eastAsia="TimesNewRomanPSMT" w:cstheme="minorHAnsi"/>
          <w:lang w:val="en-GB"/>
        </w:rPr>
        <w:t>the</w:t>
      </w:r>
      <w:r>
        <w:rPr>
          <w:rFonts w:eastAsia="TimesNewRomanPSMT" w:cstheme="minorHAnsi"/>
          <w:lang w:val="en-GB"/>
        </w:rPr>
        <w:t>se</w:t>
      </w:r>
      <w:r w:rsidRPr="00571BDE">
        <w:rPr>
          <w:rFonts w:eastAsia="TimesNewRomanPSMT" w:cstheme="minorHAnsi"/>
          <w:lang w:val="en-GB"/>
        </w:rPr>
        <w:t xml:space="preserve"> cases the internal o</w:t>
      </w:r>
      <w:r>
        <w:rPr>
          <w:rFonts w:eastAsia="TimesNewRomanPSMT" w:cstheme="minorHAnsi"/>
          <w:lang w:val="en-GB"/>
        </w:rPr>
        <w:t>rganization and support for the patient portal is seen as vital, placing it before the importance of external promotion and information.</w:t>
      </w:r>
    </w:p>
    <w:p w14:paraId="13E61CD2" w14:textId="7D8BFBFD" w:rsidR="00A77631" w:rsidRPr="003106C8" w:rsidRDefault="005949F6" w:rsidP="00A77631">
      <w:pPr>
        <w:autoSpaceDE w:val="0"/>
        <w:autoSpaceDN w:val="0"/>
        <w:adjustRightInd w:val="0"/>
        <w:ind w:left="708"/>
        <w:jc w:val="left"/>
        <w:rPr>
          <w:rFonts w:eastAsia="TimesNewRomanPSMT" w:cstheme="minorHAnsi"/>
          <w:i/>
          <w:iCs/>
          <w:lang w:val="en-GB"/>
        </w:rPr>
      </w:pPr>
      <w:r>
        <w:rPr>
          <w:rFonts w:eastAsia="TimesNewRomanPSMT" w:cstheme="minorHAnsi"/>
          <w:i/>
          <w:iCs/>
          <w:lang w:val="en-GB"/>
        </w:rPr>
        <w:t>VIPP</w:t>
      </w:r>
      <w:r w:rsidR="00A77631">
        <w:rPr>
          <w:rFonts w:eastAsia="TimesNewRomanPSMT" w:cstheme="minorHAnsi"/>
          <w:i/>
          <w:iCs/>
          <w:lang w:val="en-GB"/>
        </w:rPr>
        <w:t xml:space="preserve"> 1.2</w:t>
      </w:r>
      <w:r>
        <w:rPr>
          <w:rFonts w:eastAsia="TimesNewRomanPSMT" w:cstheme="minorHAnsi"/>
          <w:i/>
          <w:iCs/>
          <w:lang w:val="en-GB"/>
        </w:rPr>
        <w:t>: N</w:t>
      </w:r>
      <w:r w:rsidR="00A77631">
        <w:rPr>
          <w:rFonts w:eastAsia="TimesNewRomanPSMT" w:cstheme="minorHAnsi"/>
          <w:i/>
          <w:iCs/>
          <w:lang w:val="en-GB"/>
        </w:rPr>
        <w:t xml:space="preserve">ow we are really focusing on how we involve the doctor so that they understand it first, and that also applies to the assistant and team manager. Since they are always in an area of tension. </w:t>
      </w:r>
      <w:r w:rsidR="00A77631" w:rsidRPr="003106C8">
        <w:rPr>
          <w:rFonts w:eastAsia="TimesNewRomanPSMT" w:cstheme="minorHAnsi"/>
          <w:i/>
          <w:iCs/>
          <w:lang w:val="en-GB"/>
        </w:rPr>
        <w:t>And then second, that is the next step, now t</w:t>
      </w:r>
      <w:r w:rsidR="00A77631">
        <w:rPr>
          <w:rFonts w:eastAsia="TimesNewRomanPSMT" w:cstheme="minorHAnsi"/>
          <w:i/>
          <w:iCs/>
          <w:lang w:val="en-GB"/>
        </w:rPr>
        <w:t xml:space="preserve">hey understand it, they have to take that role pro-actively to start promoting it. Of course, this falls or stands with external </w:t>
      </w:r>
      <w:r w:rsidR="00A77631">
        <w:rPr>
          <w:rFonts w:eastAsia="TimesNewRomanPSMT" w:cstheme="minorHAnsi"/>
          <w:i/>
          <w:iCs/>
          <w:lang w:val="en-GB"/>
        </w:rPr>
        <w:lastRenderedPageBreak/>
        <w:t>promotion by social media, here in the hall, and in the newspapers. But it will be much better or even faster to see an increase if it is internally pushed.</w:t>
      </w:r>
    </w:p>
    <w:p w14:paraId="7DEC5969" w14:textId="7D93F72F" w:rsidR="00A77631" w:rsidRPr="00AE5EB9" w:rsidRDefault="005949F6" w:rsidP="00A77631">
      <w:pPr>
        <w:ind w:left="708"/>
        <w:jc w:val="left"/>
        <w:rPr>
          <w:i/>
          <w:iCs/>
          <w:lang w:val="en-GB"/>
        </w:rPr>
      </w:pPr>
      <w:r>
        <w:rPr>
          <w:i/>
          <w:iCs/>
          <w:lang w:val="en-GB"/>
        </w:rPr>
        <w:t>VIPP</w:t>
      </w:r>
      <w:r w:rsidR="00A77631" w:rsidRPr="00AE5EB9">
        <w:rPr>
          <w:i/>
          <w:iCs/>
          <w:lang w:val="en-GB"/>
        </w:rPr>
        <w:t xml:space="preserve"> 5.4: It</w:t>
      </w:r>
      <w:r w:rsidR="00A77631">
        <w:rPr>
          <w:i/>
          <w:iCs/>
          <w:lang w:val="en-GB"/>
        </w:rPr>
        <w:t xml:space="preserve"> i</w:t>
      </w:r>
      <w:r w:rsidR="00A77631" w:rsidRPr="00AE5EB9">
        <w:rPr>
          <w:i/>
          <w:iCs/>
          <w:lang w:val="en-GB"/>
        </w:rPr>
        <w:t>s the attention we have for it. We have a dedicated team who</w:t>
      </w:r>
      <w:r w:rsidR="00A77631">
        <w:rPr>
          <w:i/>
          <w:iCs/>
          <w:lang w:val="en-GB"/>
        </w:rPr>
        <w:t xml:space="preserve"> i</w:t>
      </w:r>
      <w:r w:rsidR="00A77631" w:rsidRPr="00AE5EB9">
        <w:rPr>
          <w:i/>
          <w:iCs/>
          <w:lang w:val="en-GB"/>
        </w:rPr>
        <w:t>s working on it</w:t>
      </w:r>
      <w:r w:rsidR="00A77631">
        <w:rPr>
          <w:i/>
          <w:iCs/>
          <w:lang w:val="en-GB"/>
        </w:rPr>
        <w:t>. A team from the supplier with the task force and communication included, doctors too. Yes, attention. It is really set as a strategic objective that if we want to be a digital hospital, then the patient portal must be adopted by patients.</w:t>
      </w:r>
    </w:p>
    <w:p w14:paraId="6F2F0907" w14:textId="41E0F13B" w:rsidR="00A77631" w:rsidRDefault="00A77631" w:rsidP="00A77631">
      <w:pPr>
        <w:autoSpaceDE w:val="0"/>
        <w:autoSpaceDN w:val="0"/>
        <w:adjustRightInd w:val="0"/>
        <w:spacing w:line="360" w:lineRule="auto"/>
        <w:rPr>
          <w:rFonts w:eastAsia="TimesNewRomanPSMT" w:cstheme="minorHAnsi"/>
          <w:lang w:val="en-GB"/>
        </w:rPr>
      </w:pPr>
      <w:r w:rsidRPr="00342998">
        <w:rPr>
          <w:rFonts w:eastAsia="TimesNewRomanPSMT" w:cstheme="minorHAnsi"/>
          <w:lang w:val="en-GB"/>
        </w:rPr>
        <w:t>The decision to adopt a</w:t>
      </w:r>
      <w:r>
        <w:rPr>
          <w:rFonts w:eastAsia="TimesNewRomanPSMT" w:cstheme="minorHAnsi"/>
          <w:lang w:val="en-GB"/>
        </w:rPr>
        <w:t xml:space="preserve">nd fund the patient portal has been simple </w:t>
      </w:r>
      <w:r w:rsidRPr="00724950">
        <w:rPr>
          <w:rFonts w:eastAsia="TimesNewRomanPSMT" w:cstheme="minorHAnsi"/>
          <w:b/>
          <w:bCs/>
          <w:lang w:val="en-GB"/>
        </w:rPr>
        <w:t>(5C)</w:t>
      </w:r>
      <w:r>
        <w:rPr>
          <w:rFonts w:eastAsia="TimesNewRomanPSMT" w:cstheme="minorHAnsi"/>
          <w:lang w:val="en-GB"/>
        </w:rPr>
        <w:t>, for the simple reason that it comes as an integral part with the EHR. Moreover, all the</w:t>
      </w:r>
      <w:r w:rsidRPr="00342998">
        <w:rPr>
          <w:rFonts w:eastAsia="TimesNewRomanPSMT" w:cstheme="minorHAnsi"/>
          <w:lang w:val="en-GB"/>
        </w:rPr>
        <w:t xml:space="preserve"> hospitals </w:t>
      </w:r>
      <w:r>
        <w:rPr>
          <w:rFonts w:eastAsia="TimesNewRomanPSMT" w:cstheme="minorHAnsi"/>
          <w:lang w:val="en-GB"/>
        </w:rPr>
        <w:t>have operated</w:t>
      </w:r>
      <w:r w:rsidRPr="00342998">
        <w:rPr>
          <w:rFonts w:eastAsia="TimesNewRomanPSMT" w:cstheme="minorHAnsi"/>
          <w:lang w:val="en-GB"/>
        </w:rPr>
        <w:t xml:space="preserve"> as single organizations with sufficient r</w:t>
      </w:r>
      <w:r>
        <w:rPr>
          <w:rFonts w:eastAsia="TimesNewRomanPSMT" w:cstheme="minorHAnsi"/>
          <w:lang w:val="en-GB"/>
        </w:rPr>
        <w:t xml:space="preserve">esources, anticipated cost savings, needing no new infrastructure or recurrent costs required. </w:t>
      </w:r>
      <w:bookmarkStart w:id="84" w:name="_Hlk47942139"/>
      <w:r>
        <w:rPr>
          <w:rFonts w:eastAsia="TimesNewRomanPSMT" w:cstheme="minorHAnsi"/>
          <w:lang w:val="en-GB"/>
        </w:rPr>
        <w:t>An increase in demand by patients to direct their own care process has been noticed over the years</w:t>
      </w:r>
      <w:bookmarkEnd w:id="84"/>
      <w:r>
        <w:rPr>
          <w:rFonts w:eastAsia="TimesNewRomanPSMT" w:cstheme="minorHAnsi"/>
          <w:lang w:val="en-GB"/>
        </w:rPr>
        <w:t xml:space="preserve"> and the Dutch government has given by July 1, 2020, patients the legal right to view and copy their medical files in electronic format. </w:t>
      </w:r>
      <w:r w:rsidRPr="00BE6083">
        <w:rPr>
          <w:rFonts w:eastAsia="TimesNewRomanPSMT" w:cstheme="minorHAnsi"/>
          <w:lang w:val="en-GB"/>
        </w:rPr>
        <w:t xml:space="preserve">Also, the increase of EHRs </w:t>
      </w:r>
      <w:r>
        <w:rPr>
          <w:rFonts w:eastAsia="TimesNewRomanPSMT" w:cstheme="minorHAnsi"/>
          <w:lang w:val="en-GB"/>
        </w:rPr>
        <w:t>in</w:t>
      </w:r>
      <w:r w:rsidRPr="00BE6083">
        <w:rPr>
          <w:rFonts w:eastAsia="TimesNewRomanPSMT" w:cstheme="minorHAnsi"/>
          <w:lang w:val="en-GB"/>
        </w:rPr>
        <w:t xml:space="preserve"> hospitals, and the</w:t>
      </w:r>
      <w:r>
        <w:rPr>
          <w:rFonts w:eastAsia="TimesNewRomanPSMT" w:cstheme="minorHAnsi"/>
          <w:lang w:val="en-GB"/>
        </w:rPr>
        <w:t>ir</w:t>
      </w:r>
      <w:r w:rsidRPr="00BE6083">
        <w:rPr>
          <w:rFonts w:eastAsia="TimesNewRomanPSMT" w:cstheme="minorHAnsi"/>
          <w:lang w:val="en-GB"/>
        </w:rPr>
        <w:t xml:space="preserve"> integ</w:t>
      </w:r>
      <w:r>
        <w:rPr>
          <w:rFonts w:eastAsia="TimesNewRomanPSMT" w:cstheme="minorHAnsi"/>
          <w:lang w:val="en-GB"/>
        </w:rPr>
        <w:t xml:space="preserve">rated patient portals enabled the adoption and funding decision to be more simple and logic. The VIPP-hospitals were given the possibility to receive subsidiary grants if they met the criteria of the VIPP-programme. These grants were of such interest that most the hospitals in the Netherlands, who were allowed to participate, started investing resources into it in order to be able the claim the subsidiary grants. For the </w:t>
      </w:r>
      <w:r w:rsidR="00005E63">
        <w:rPr>
          <w:lang w:val="en-GB"/>
        </w:rPr>
        <w:t>academic hospital</w:t>
      </w:r>
      <w:r>
        <w:rPr>
          <w:rFonts w:eastAsia="TimesNewRomanPSMT" w:cstheme="minorHAnsi"/>
          <w:lang w:val="en-GB"/>
        </w:rPr>
        <w:t xml:space="preserve">, the decision to adopt these technologies had already happened before, since they had a patient portal from 2014, long before the VIPP-programme and the moment the law for electronical medical access had been introduced. For an organisation such as the </w:t>
      </w:r>
      <w:r w:rsidR="00005E63">
        <w:rPr>
          <w:lang w:val="en-GB"/>
        </w:rPr>
        <w:t>academic hospital</w:t>
      </w:r>
      <w:r>
        <w:rPr>
          <w:rFonts w:eastAsia="TimesNewRomanPSMT" w:cstheme="minorHAnsi"/>
          <w:lang w:val="en-GB"/>
        </w:rPr>
        <w:t>, innovative as it is, certain decisions seem to be natural.</w:t>
      </w:r>
    </w:p>
    <w:p w14:paraId="7A7A435B" w14:textId="5BB40240" w:rsidR="00A77631" w:rsidRPr="0098136D" w:rsidRDefault="00005E63" w:rsidP="00A77631">
      <w:pPr>
        <w:autoSpaceDE w:val="0"/>
        <w:autoSpaceDN w:val="0"/>
        <w:adjustRightInd w:val="0"/>
        <w:ind w:left="708"/>
        <w:jc w:val="left"/>
        <w:rPr>
          <w:rFonts w:eastAsia="TimesNewRomanPSMT" w:cstheme="minorHAnsi"/>
          <w:i/>
          <w:iCs/>
          <w:lang w:val="en-GB"/>
        </w:rPr>
      </w:pPr>
      <w:r w:rsidRPr="00D70BA2">
        <w:rPr>
          <w:i/>
          <w:iCs/>
          <w:lang w:val="en-GB"/>
        </w:rPr>
        <w:t>Academic hospital</w:t>
      </w:r>
      <w:r>
        <w:rPr>
          <w:lang w:val="en-GB"/>
        </w:rPr>
        <w:t xml:space="preserve"> </w:t>
      </w:r>
      <w:r w:rsidR="00A77631" w:rsidRPr="007F71C6">
        <w:rPr>
          <w:rFonts w:eastAsia="TimesNewRomanPSMT" w:cstheme="minorHAnsi"/>
          <w:i/>
          <w:iCs/>
          <w:lang w:val="en-GB"/>
        </w:rPr>
        <w:t xml:space="preserve">3: We </w:t>
      </w:r>
      <w:r w:rsidR="00A77631">
        <w:rPr>
          <w:rFonts w:eastAsia="TimesNewRomanPSMT" w:cstheme="minorHAnsi"/>
          <w:i/>
          <w:iCs/>
          <w:lang w:val="en-GB"/>
        </w:rPr>
        <w:t>have a new strategic course, which has been drafted for the following years, called ‘</w:t>
      </w:r>
      <w:r w:rsidR="00D70BA2">
        <w:rPr>
          <w:rFonts w:eastAsia="TimesNewRomanPSMT" w:cstheme="minorHAnsi"/>
          <w:i/>
          <w:iCs/>
          <w:lang w:val="en-GB"/>
        </w:rPr>
        <w:t xml:space="preserve">Strategy course </w:t>
      </w:r>
      <w:r w:rsidR="00A77631">
        <w:rPr>
          <w:rFonts w:eastAsia="TimesNewRomanPSMT" w:cstheme="minorHAnsi"/>
          <w:i/>
          <w:iCs/>
          <w:lang w:val="en-GB"/>
        </w:rPr>
        <w:t xml:space="preserve">23’. </w:t>
      </w:r>
      <w:r w:rsidR="00A77631" w:rsidRPr="0098136D">
        <w:rPr>
          <w:rFonts w:eastAsia="TimesNewRomanPSMT" w:cstheme="minorHAnsi"/>
          <w:i/>
          <w:iCs/>
          <w:lang w:val="en-GB"/>
        </w:rPr>
        <w:t>This has included innovation as priority, for which budgets c</w:t>
      </w:r>
      <w:r w:rsidR="00A77631">
        <w:rPr>
          <w:rFonts w:eastAsia="TimesNewRomanPSMT" w:cstheme="minorHAnsi"/>
          <w:i/>
          <w:iCs/>
          <w:lang w:val="en-GB"/>
        </w:rPr>
        <w:t xml:space="preserve">an be requested. </w:t>
      </w:r>
      <w:r w:rsidR="00A77631" w:rsidRPr="0098136D">
        <w:rPr>
          <w:rFonts w:eastAsia="TimesNewRomanPSMT" w:cstheme="minorHAnsi"/>
          <w:i/>
          <w:iCs/>
          <w:lang w:val="en-GB"/>
        </w:rPr>
        <w:t>These projects focus on patients rather than</w:t>
      </w:r>
      <w:r w:rsidR="00A77631">
        <w:rPr>
          <w:rFonts w:eastAsia="TimesNewRomanPSMT" w:cstheme="minorHAnsi"/>
          <w:i/>
          <w:iCs/>
          <w:lang w:val="en-GB"/>
        </w:rPr>
        <w:t xml:space="preserve"> specifically on</w:t>
      </w:r>
      <w:r w:rsidR="00A77631" w:rsidRPr="0098136D">
        <w:rPr>
          <w:rFonts w:eastAsia="TimesNewRomanPSMT" w:cstheme="minorHAnsi"/>
          <w:i/>
          <w:iCs/>
          <w:lang w:val="en-GB"/>
        </w:rPr>
        <w:t xml:space="preserve"> innovation.</w:t>
      </w:r>
    </w:p>
    <w:p w14:paraId="3F76F6F7" w14:textId="01629945"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 xml:space="preserve">This strategic course continues the efforts of </w:t>
      </w:r>
      <w:r w:rsidR="00D70BA2">
        <w:rPr>
          <w:rFonts w:eastAsia="TimesNewRomanPSMT" w:cstheme="minorHAnsi"/>
          <w:lang w:val="en-GB"/>
        </w:rPr>
        <w:t>Strategy Course 18</w:t>
      </w:r>
      <w:r>
        <w:rPr>
          <w:rFonts w:eastAsia="TimesNewRomanPSMT" w:cstheme="minorHAnsi"/>
          <w:lang w:val="en-GB"/>
        </w:rPr>
        <w:t>, emphasizing the importance of a functioning internal organization and views the patient as partner. Person-oriented healthcare has been pursued by setting the norm at shared-decision making and value-based healthcare was intended by striving for the best patient outcomes at reasonable costs (</w:t>
      </w:r>
      <w:r w:rsidR="00005E63">
        <w:rPr>
          <w:rFonts w:eastAsia="TimesNewRomanPSMT" w:cstheme="minorHAnsi"/>
          <w:lang w:val="en-GB"/>
        </w:rPr>
        <w:t xml:space="preserve">Strategy Course </w:t>
      </w:r>
      <w:r w:rsidR="00D70BA2">
        <w:rPr>
          <w:rFonts w:eastAsia="TimesNewRomanPSMT" w:cstheme="minorHAnsi"/>
          <w:lang w:val="en-GB"/>
        </w:rPr>
        <w:t>23</w:t>
      </w:r>
      <w:r w:rsidRPr="00EC28D1">
        <w:rPr>
          <w:rFonts w:eastAsia="TimesNewRomanPSMT" w:cstheme="minorHAnsi"/>
          <w:sz w:val="14"/>
          <w:szCs w:val="14"/>
          <w:lang w:val="en-GB"/>
        </w:rPr>
        <w:t>1</w:t>
      </w:r>
      <w:r>
        <w:rPr>
          <w:rFonts w:eastAsia="TimesNewRomanPSMT" w:cstheme="minorHAnsi"/>
          <w:lang w:val="en-GB"/>
        </w:rPr>
        <w:t xml:space="preserve">, 2018). The VIPP-hospitals have set their strategic courses on different time periods, ranging from 2 to 7 years. The patient portal has implications for the hospital’s processes and systems, depending on its functionalities. Eventually, this requires team interactions and routines to change, which has been and still is a complicated matter </w:t>
      </w:r>
      <w:r w:rsidRPr="00724950">
        <w:rPr>
          <w:rFonts w:eastAsia="TimesNewRomanPSMT" w:cstheme="minorHAnsi"/>
          <w:b/>
          <w:bCs/>
          <w:lang w:val="en-GB"/>
        </w:rPr>
        <w:t>(5D)</w:t>
      </w:r>
      <w:r>
        <w:rPr>
          <w:rFonts w:eastAsia="TimesNewRomanPSMT" w:cstheme="minorHAnsi"/>
          <w:lang w:val="en-GB"/>
        </w:rPr>
        <w:t xml:space="preserve">. The patient portal is presently an integrated addition to the EHR and only requires those team routines that can be aligned readily with established ones. Rather than using the communication channels at hand at the moment, such as paper folders and questionnaires or e-mails, the patient portal provides an easy alternative to integrate all. However, </w:t>
      </w:r>
      <w:r>
        <w:rPr>
          <w:rFonts w:eastAsia="TimesNewRomanPSMT" w:cstheme="minorHAnsi"/>
          <w:lang w:val="en-GB"/>
        </w:rPr>
        <w:lastRenderedPageBreak/>
        <w:t xml:space="preserve">this changes small steps in the ongoing process of care for healthcare professionals, for which they have to make adaptations. </w:t>
      </w:r>
    </w:p>
    <w:p w14:paraId="51ED33C7" w14:textId="36366894" w:rsidR="00A77631" w:rsidRPr="00915C4C" w:rsidRDefault="00A77631" w:rsidP="00A77631">
      <w:pPr>
        <w:autoSpaceDE w:val="0"/>
        <w:autoSpaceDN w:val="0"/>
        <w:adjustRightInd w:val="0"/>
        <w:ind w:left="708"/>
        <w:jc w:val="left"/>
        <w:rPr>
          <w:rFonts w:eastAsia="TimesNewRomanPSMT" w:cstheme="minorHAnsi"/>
          <w:i/>
          <w:iCs/>
          <w:lang w:val="en-GB"/>
        </w:rPr>
      </w:pPr>
      <w:r w:rsidRPr="00915C4C">
        <w:rPr>
          <w:rFonts w:eastAsia="TimesNewRomanPSMT" w:cstheme="minorHAnsi"/>
          <w:i/>
          <w:iCs/>
          <w:lang w:val="en-GB"/>
        </w:rPr>
        <w:t>VIPP 2.3: I do not think that healthcare professionals do not want to, but it is difficult for them to break through the routine of their current processes. The only thing we can do is support them as much as possible, where and whenever we can. Especially letting the patient be heard, in saying that it (patient portal) is rather beneficial.</w:t>
      </w:r>
    </w:p>
    <w:p w14:paraId="13E82F2A" w14:textId="172710FA"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 xml:space="preserve">Also, as noted before, communication is essential for both healthcare professionals and the patients. In the case of the healthcare professional, respondents have stated that it is important to know what their role is towards the patient portal and how they can support patients with its use. Obviously, this differs per healthcare professional and medical departments. The expectations that come with the healthcare professionals’ use of the patient portal means that patients have to slightly adjust their position in the care process, as a consequence of their changing status, as well as their stance towards the patient portal, in order to obtain its added benefits. As most of the team interactions and routines within the hospitals have been organized and optimized around the actually provided healthcare, and the fact that the patient portal is not a tangible part of it, the implementation requires integration within those processes. However, this implementation has shown to be complicated </w:t>
      </w:r>
      <w:r w:rsidRPr="00F86A39">
        <w:rPr>
          <w:rFonts w:eastAsia="TimesNewRomanPSMT" w:cstheme="minorHAnsi"/>
          <w:b/>
          <w:bCs/>
          <w:lang w:val="en-GB"/>
        </w:rPr>
        <w:t>(5E)</w:t>
      </w:r>
      <w:r>
        <w:rPr>
          <w:rFonts w:eastAsia="TimesNewRomanPSMT" w:cstheme="minorHAnsi"/>
          <w:lang w:val="en-GB"/>
        </w:rPr>
        <w:t xml:space="preserve"> in practice. In the </w:t>
      </w:r>
      <w:r w:rsidR="00005E63">
        <w:rPr>
          <w:lang w:val="en-GB"/>
        </w:rPr>
        <w:t>academic hospital</w:t>
      </w:r>
      <w:r>
        <w:rPr>
          <w:rFonts w:eastAsia="TimesNewRomanPSMT" w:cstheme="minorHAnsi"/>
          <w:lang w:val="en-GB"/>
        </w:rPr>
        <w:t xml:space="preserve">, it has been acknowledged that support by </w:t>
      </w:r>
      <w:r w:rsidR="006E5EB3">
        <w:rPr>
          <w:rFonts w:eastAsia="TimesNewRomanPSMT" w:cstheme="minorHAnsi"/>
          <w:lang w:val="en-GB"/>
        </w:rPr>
        <w:t>f</w:t>
      </w:r>
      <w:r>
        <w:rPr>
          <w:rFonts w:eastAsia="TimesNewRomanPSMT" w:cstheme="minorHAnsi"/>
          <w:lang w:val="en-GB"/>
        </w:rPr>
        <w:t xml:space="preserve">unctional management is vital, in that it is the link between the healthcare professionals and the technical management of the patient portal or EHR. Functional management therefore has the task to ensure that healthcare professionals have the support necessary to ensure successful implementation. The current lack of commitment towards the patient portal from within the organization has to be tackled by expanding on benefits the patient portal has for the care process and requires practices to be adapted and staff to be engaged but mostly, supported. </w:t>
      </w:r>
      <w:proofErr w:type="spellStart"/>
      <w:r>
        <w:rPr>
          <w:rFonts w:eastAsia="TimesNewRomanPSMT" w:cstheme="minorHAnsi"/>
          <w:lang w:val="en-GB"/>
        </w:rPr>
        <w:t>Hulter</w:t>
      </w:r>
      <w:proofErr w:type="spellEnd"/>
      <w:r>
        <w:rPr>
          <w:rFonts w:eastAsia="TimesNewRomanPSMT" w:cstheme="minorHAnsi"/>
          <w:lang w:val="en-GB"/>
        </w:rPr>
        <w:t xml:space="preserve"> et al. (2019) expand on this by stating that patients and healthcare professionals become more positive towards the patient portal after they have used it and experienced its added value and possibilities. The monitoring of impact has so far only been done </w:t>
      </w:r>
      <w:r w:rsidR="00512255">
        <w:rPr>
          <w:rFonts w:eastAsia="TimesNewRomanPSMT" w:cstheme="minorHAnsi"/>
          <w:lang w:val="en-GB"/>
        </w:rPr>
        <w:t xml:space="preserve">in the </w:t>
      </w:r>
      <w:r w:rsidR="00005E63">
        <w:rPr>
          <w:lang w:val="en-GB"/>
        </w:rPr>
        <w:t xml:space="preserve">academic hospital </w:t>
      </w:r>
      <w:r>
        <w:rPr>
          <w:rFonts w:eastAsia="TimesNewRomanPSMT" w:cstheme="minorHAnsi"/>
          <w:lang w:val="en-GB"/>
        </w:rPr>
        <w:t xml:space="preserve">with the </w:t>
      </w:r>
      <w:r w:rsidR="006E5EB3">
        <w:rPr>
          <w:rFonts w:eastAsia="TimesNewRomanPSMT" w:cstheme="minorHAnsi"/>
          <w:lang w:val="en-GB"/>
        </w:rPr>
        <w:t>DC</w:t>
      </w:r>
      <w:r>
        <w:rPr>
          <w:rFonts w:eastAsia="TimesNewRomanPSMT" w:cstheme="minorHAnsi"/>
          <w:lang w:val="en-GB"/>
        </w:rPr>
        <w:t xml:space="preserve">, but within a limited scope. Only since 2019, a report has been drafted monthly to inform the domain’s stakeholders on the patient portal’s user statistics. This report has only established general user statistics, such as the number of visitors and which webpages have been opened by them on the patient portal. It is thus unclear what the differences are between medical departments and healthcare professionals. The in-width study shows an interesting case towards the monitoring of the patient portal’s use and therefore its implementation. Important here is the fact that monitoring </w:t>
      </w:r>
      <w:r w:rsidR="006E5EB3">
        <w:rPr>
          <w:rFonts w:eastAsia="TimesNewRomanPSMT" w:cstheme="minorHAnsi"/>
          <w:lang w:val="en-GB"/>
        </w:rPr>
        <w:t>happens</w:t>
      </w:r>
      <w:r>
        <w:rPr>
          <w:rFonts w:eastAsia="TimesNewRomanPSMT" w:cstheme="minorHAnsi"/>
          <w:lang w:val="en-GB"/>
        </w:rPr>
        <w:t xml:space="preserve"> on different levels within the organization and is reflected upon with department heads. In some cases, for instance, the healthcare professional </w:t>
      </w:r>
      <w:r w:rsidR="006E5EB3">
        <w:rPr>
          <w:rFonts w:eastAsia="TimesNewRomanPSMT" w:cstheme="minorHAnsi"/>
          <w:lang w:val="en-GB"/>
        </w:rPr>
        <w:t>is</w:t>
      </w:r>
      <w:r>
        <w:rPr>
          <w:rFonts w:eastAsia="TimesNewRomanPSMT" w:cstheme="minorHAnsi"/>
          <w:lang w:val="en-GB"/>
        </w:rPr>
        <w:t xml:space="preserve"> obliged to ask patients whether they would want to make use of the patient portal. Whenever a healthcare professional scores low, on an earlier </w:t>
      </w:r>
      <w:r>
        <w:rPr>
          <w:rFonts w:eastAsia="TimesNewRomanPSMT" w:cstheme="minorHAnsi"/>
          <w:lang w:val="en-GB"/>
        </w:rPr>
        <w:lastRenderedPageBreak/>
        <w:t>agreed-on scale, in comparison with their colleagues, a plan is made to improve it. Elsewhere, the monitor’s information has been made available for individual healthcare professionals to see. By making these statistics available, whether they were collectively or individually assembled, it has helped in making the patient portal a tangible asset of a healthcare professional’s work process.</w:t>
      </w:r>
    </w:p>
    <w:p w14:paraId="4D6617E1" w14:textId="652A95C9" w:rsidR="00A77631" w:rsidRDefault="005949F6" w:rsidP="00A77631">
      <w:pPr>
        <w:autoSpaceDE w:val="0"/>
        <w:autoSpaceDN w:val="0"/>
        <w:adjustRightInd w:val="0"/>
        <w:ind w:left="708"/>
        <w:jc w:val="left"/>
        <w:rPr>
          <w:rFonts w:eastAsia="TimesNewRomanPSMT" w:cstheme="minorHAnsi"/>
          <w:i/>
          <w:iCs/>
          <w:lang w:val="en-GB"/>
        </w:rPr>
      </w:pPr>
      <w:r>
        <w:rPr>
          <w:rFonts w:eastAsia="TimesNewRomanPSMT" w:cstheme="minorHAnsi"/>
          <w:i/>
          <w:iCs/>
          <w:lang w:val="en-GB"/>
        </w:rPr>
        <w:t>VIPP</w:t>
      </w:r>
      <w:r w:rsidR="00A77631">
        <w:rPr>
          <w:rFonts w:eastAsia="TimesNewRomanPSMT" w:cstheme="minorHAnsi"/>
          <w:i/>
          <w:iCs/>
          <w:lang w:val="en-GB"/>
        </w:rPr>
        <w:t xml:space="preserve"> 1.1: I think a strength is that we are measuring more now, and communication is making </w:t>
      </w:r>
      <w:r w:rsidR="0082621B">
        <w:rPr>
          <w:rFonts w:eastAsia="TimesNewRomanPSMT" w:cstheme="minorHAnsi"/>
          <w:i/>
          <w:iCs/>
          <w:lang w:val="en-GB"/>
        </w:rPr>
        <w:t xml:space="preserve">a </w:t>
      </w:r>
      <w:r w:rsidR="00A77631">
        <w:rPr>
          <w:rFonts w:eastAsia="TimesNewRomanPSMT" w:cstheme="minorHAnsi"/>
          <w:i/>
          <w:iCs/>
          <w:lang w:val="en-GB"/>
        </w:rPr>
        <w:t xml:space="preserve">dashboard to really show the results that the patient portal has on the amount of phone calls for instance. And make those results clear internal and show that it is a serious part of your work, and not just something extra. </w:t>
      </w:r>
    </w:p>
    <w:p w14:paraId="60AEE05D" w14:textId="666D2039" w:rsidR="00A77631" w:rsidRDefault="00A77631" w:rsidP="00A77631">
      <w:pPr>
        <w:autoSpaceDE w:val="0"/>
        <w:autoSpaceDN w:val="0"/>
        <w:adjustRightInd w:val="0"/>
        <w:spacing w:line="360" w:lineRule="auto"/>
        <w:rPr>
          <w:rFonts w:eastAsia="TimesNewRomanPSMT" w:cstheme="minorHAnsi"/>
          <w:lang w:val="en-GB"/>
        </w:rPr>
      </w:pPr>
      <w:r>
        <w:rPr>
          <w:rFonts w:eastAsia="TimesNewRomanPSMT" w:cstheme="minorHAnsi"/>
          <w:lang w:val="en-GB"/>
        </w:rPr>
        <w:t xml:space="preserve">As mentioned before, other VIPP-hospitals have used roadshows and workshops or trainings to educate the healthcare professionals on the patient portal. These roadshows were drafted to emphasize the patients’ changing role in the processes of care and how different medical departments could respond to this. By starting the conversation on different departments, these VIPP-hospitals succeeded in drawing attention towards the patient portal. In some cases, this attention has been supported by the board of directors. The interaction between bottom-up conversations and top-down attention has been deemed very desirable and has ensured that the patient portal became an integral part of healthcare professional’s work processes. Interesting is the fact that most hospitals have consciously chosen for a quiet go-live for the patient portal, whereas the EHR could count on a lot of (media) attention. This quiet go-live has repeatedly been, in combination with the earlier mentioned pilots, chosen as otherwise the available resources, specifically capacity, will fall short. In the </w:t>
      </w:r>
      <w:r w:rsidR="00005E63">
        <w:rPr>
          <w:lang w:val="en-GB"/>
        </w:rPr>
        <w:t>academic hospital</w:t>
      </w:r>
      <w:r>
        <w:rPr>
          <w:rFonts w:eastAsia="TimesNewRomanPSMT" w:cstheme="minorHAnsi"/>
          <w:lang w:val="en-GB"/>
        </w:rPr>
        <w:t>, the following has been quoted:</w:t>
      </w:r>
    </w:p>
    <w:p w14:paraId="2FE23085" w14:textId="25F86B30" w:rsidR="00A77631" w:rsidRPr="001F7CEC" w:rsidRDefault="00005E63" w:rsidP="00A77631">
      <w:pPr>
        <w:autoSpaceDE w:val="0"/>
        <w:autoSpaceDN w:val="0"/>
        <w:adjustRightInd w:val="0"/>
        <w:ind w:left="708"/>
        <w:jc w:val="left"/>
        <w:rPr>
          <w:rFonts w:eastAsia="TimesNewRomanPSMT" w:cstheme="minorHAnsi"/>
          <w:i/>
          <w:iCs/>
          <w:lang w:val="en-GB"/>
        </w:rPr>
      </w:pPr>
      <w:r w:rsidRPr="00D70BA2">
        <w:rPr>
          <w:i/>
          <w:iCs/>
          <w:lang w:val="en-GB"/>
        </w:rPr>
        <w:t>Academic hospital</w:t>
      </w:r>
      <w:r>
        <w:rPr>
          <w:lang w:val="en-GB"/>
        </w:rPr>
        <w:t xml:space="preserve"> </w:t>
      </w:r>
      <w:r w:rsidR="00A77631" w:rsidRPr="001F7CEC">
        <w:rPr>
          <w:rFonts w:eastAsia="TimesNewRomanPSMT" w:cstheme="minorHAnsi"/>
          <w:i/>
          <w:iCs/>
          <w:lang w:val="en-GB"/>
        </w:rPr>
        <w:t>1: top-down, in that the patient portal is arranged well for the entire organization, the</w:t>
      </w:r>
      <w:r w:rsidR="00A77631">
        <w:rPr>
          <w:rFonts w:eastAsia="TimesNewRomanPSMT" w:cstheme="minorHAnsi"/>
          <w:i/>
          <w:iCs/>
          <w:lang w:val="en-GB"/>
        </w:rPr>
        <w:t xml:space="preserve"> </w:t>
      </w:r>
      <w:r w:rsidR="00A77631" w:rsidRPr="001F7CEC">
        <w:rPr>
          <w:rFonts w:eastAsia="TimesNewRomanPSMT" w:cstheme="minorHAnsi"/>
          <w:i/>
          <w:iCs/>
          <w:lang w:val="en-GB"/>
        </w:rPr>
        <w:t xml:space="preserve">organization </w:t>
      </w:r>
      <w:r w:rsidR="00A77631">
        <w:rPr>
          <w:rFonts w:eastAsia="TimesNewRomanPSMT" w:cstheme="minorHAnsi"/>
          <w:i/>
          <w:iCs/>
          <w:lang w:val="en-GB"/>
        </w:rPr>
        <w:t xml:space="preserve">is </w:t>
      </w:r>
      <w:r w:rsidR="00A77631" w:rsidRPr="001F7CEC">
        <w:rPr>
          <w:rFonts w:eastAsia="TimesNewRomanPSMT" w:cstheme="minorHAnsi"/>
          <w:i/>
          <w:iCs/>
          <w:lang w:val="en-GB"/>
        </w:rPr>
        <w:t>far too large for</w:t>
      </w:r>
      <w:r w:rsidR="00A77631">
        <w:rPr>
          <w:rFonts w:eastAsia="TimesNewRomanPSMT" w:cstheme="minorHAnsi"/>
          <w:i/>
          <w:iCs/>
          <w:lang w:val="en-GB"/>
        </w:rPr>
        <w:t xml:space="preserve"> that</w:t>
      </w:r>
      <w:r w:rsidR="00A77631" w:rsidRPr="001F7CEC">
        <w:rPr>
          <w:rFonts w:eastAsia="TimesNewRomanPSMT" w:cstheme="minorHAnsi"/>
          <w:i/>
          <w:iCs/>
          <w:lang w:val="en-GB"/>
        </w:rPr>
        <w:t>.</w:t>
      </w:r>
    </w:p>
    <w:p w14:paraId="136C24E7" w14:textId="48A24C6C" w:rsidR="00A77631" w:rsidRDefault="00FA7135" w:rsidP="00A77631">
      <w:pPr>
        <w:pStyle w:val="Heading3"/>
        <w:rPr>
          <w:lang w:val="en-GB"/>
        </w:rPr>
      </w:pPr>
      <w:bookmarkStart w:id="85" w:name="_Toc47522449"/>
      <w:bookmarkStart w:id="86" w:name="_Toc51862104"/>
      <w:r>
        <w:rPr>
          <w:lang w:val="en-GB"/>
        </w:rPr>
        <w:t>4.1.6 Th</w:t>
      </w:r>
      <w:r w:rsidR="00A77631">
        <w:rPr>
          <w:lang w:val="en-GB"/>
        </w:rPr>
        <w:t>e Wider Context</w:t>
      </w:r>
      <w:bookmarkEnd w:id="85"/>
      <w:r>
        <w:rPr>
          <w:lang w:val="en-GB"/>
        </w:rPr>
        <w:t xml:space="preserve"> (NASSS Domain 6)</w:t>
      </w:r>
      <w:bookmarkEnd w:id="86"/>
    </w:p>
    <w:p w14:paraId="36D06971" w14:textId="51C64D7E" w:rsidR="00A77631" w:rsidRDefault="00A77631" w:rsidP="00A77631">
      <w:pPr>
        <w:spacing w:after="0" w:line="360" w:lineRule="auto"/>
        <w:rPr>
          <w:lang w:val="en-GB"/>
        </w:rPr>
      </w:pPr>
      <w:r w:rsidRPr="004B4A81">
        <w:rPr>
          <w:lang w:val="en-GB"/>
        </w:rPr>
        <w:t xml:space="preserve">In the </w:t>
      </w:r>
      <w:r>
        <w:rPr>
          <w:lang w:val="en-GB"/>
        </w:rPr>
        <w:t xml:space="preserve">patient portal’s </w:t>
      </w:r>
      <w:r w:rsidRPr="004B4A81">
        <w:rPr>
          <w:lang w:val="en-GB"/>
        </w:rPr>
        <w:t>wider context</w:t>
      </w:r>
      <w:r>
        <w:rPr>
          <w:lang w:val="en-GB"/>
        </w:rPr>
        <w:t xml:space="preserve"> there have been some noticeable developments in the period of 2015-2018. As noted, part of this context has existed within the VIPP regulations, which had placed requirements the VIPP-hospitals had to meet in order to obtain their subsidiary grants. The national VIPP programme has known VIPP 1 with modules A1, A2 and A3 were, and VIPP 2 with modules B1 and B2 (NVZ, 2020). The financial and regulatory requirements therefore had already been in place nationally. The modules A1, A2 and A3 respectively accounted for the patient’s possibility to download medical data, the presence of a secured patient portal in which the patient can consult and download its data in a structured format or link to a Personal Health Environment (PGO</w:t>
      </w:r>
      <w:r>
        <w:rPr>
          <w:rStyle w:val="FootnoteReference"/>
          <w:lang w:val="en-GB"/>
        </w:rPr>
        <w:footnoteReference w:id="2"/>
      </w:r>
      <w:r>
        <w:rPr>
          <w:lang w:val="en-GB"/>
        </w:rPr>
        <w:t xml:space="preserve">), to be able to keep the data themselves or transfer data to another healthcare provider, and five subgoals </w:t>
      </w:r>
      <w:r>
        <w:rPr>
          <w:lang w:val="en-GB"/>
        </w:rPr>
        <w:lastRenderedPageBreak/>
        <w:t>concerning functionalities: increased use, implementation ‘</w:t>
      </w:r>
      <w:proofErr w:type="spellStart"/>
      <w:r>
        <w:rPr>
          <w:lang w:val="en-GB"/>
        </w:rPr>
        <w:t>MedMij</w:t>
      </w:r>
      <w:proofErr w:type="spellEnd"/>
      <w:r>
        <w:rPr>
          <w:lang w:val="en-GB"/>
        </w:rPr>
        <w:t>’</w:t>
      </w:r>
      <w:r>
        <w:rPr>
          <w:rStyle w:val="FootnoteReference"/>
          <w:lang w:val="en-GB"/>
        </w:rPr>
        <w:footnoteReference w:id="3"/>
      </w:r>
      <w:r>
        <w:rPr>
          <w:lang w:val="en-GB"/>
        </w:rPr>
        <w:t xml:space="preserve"> standard, overview of healthcare professionals that have visited the patient’s data in the EHR  and an overview of the patient’s medication. The modules B1 and B2 respectively accounted for hospitals providing an actual overview as part of the medication process in clinical and outpatient settings, and hospitals offering prescription medications digitally as a pre-announcement and/or electronic receipt (NVZ, 2020). The hospitals from the in-width study have measured the following VIPP-completion percentages, see table 3 </w:t>
      </w:r>
      <w:r w:rsidRPr="002D3992">
        <w:rPr>
          <w:lang w:val="en-GB"/>
        </w:rPr>
        <w:t>(</w:t>
      </w:r>
      <w:r>
        <w:rPr>
          <w:lang w:val="en-GB"/>
        </w:rPr>
        <w:t>VIPP, 2019). It should be noted that VIPP-hospitals 4, 8, 10 and 11, along with two other teaching hospitals, have united themselves in a trajectory, to learn from each other’s best practices.</w:t>
      </w:r>
    </w:p>
    <w:p w14:paraId="3F97CEB0" w14:textId="4069A241" w:rsidR="00E77FB9" w:rsidRDefault="00E77FB9" w:rsidP="00E77FB9">
      <w:pPr>
        <w:spacing w:after="0" w:line="240" w:lineRule="auto"/>
        <w:rPr>
          <w:lang w:val="en-GB"/>
        </w:rPr>
      </w:pPr>
      <w:r>
        <w:rPr>
          <w:lang w:val="en-GB"/>
        </w:rPr>
        <w:t>Table 3. VIPP measurement Q1 (March) 2019</w:t>
      </w:r>
    </w:p>
    <w:p w14:paraId="60EA44E5" w14:textId="375EF3E1" w:rsidR="00E77FB9" w:rsidRDefault="00E77FB9" w:rsidP="00A77631">
      <w:pPr>
        <w:spacing w:after="0" w:line="360" w:lineRule="auto"/>
        <w:rPr>
          <w:lang w:val="en-GB"/>
        </w:rPr>
      </w:pPr>
      <w:r w:rsidRPr="00E77FB9">
        <w:rPr>
          <w:noProof/>
        </w:rPr>
        <w:drawing>
          <wp:inline distT="0" distB="0" distL="0" distR="0" wp14:anchorId="2F91865F" wp14:editId="08F8F471">
            <wp:extent cx="5760720" cy="7880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788035"/>
                    </a:xfrm>
                    <a:prstGeom prst="rect">
                      <a:avLst/>
                    </a:prstGeom>
                    <a:noFill/>
                    <a:ln>
                      <a:noFill/>
                    </a:ln>
                  </pic:spPr>
                </pic:pic>
              </a:graphicData>
            </a:graphic>
          </wp:inline>
        </w:drawing>
      </w:r>
    </w:p>
    <w:p w14:paraId="1C851046" w14:textId="71F0924E" w:rsidR="00A77631" w:rsidRDefault="00A77631" w:rsidP="00A77631">
      <w:pPr>
        <w:spacing w:after="0" w:line="360" w:lineRule="auto"/>
        <w:rPr>
          <w:lang w:val="en-GB"/>
        </w:rPr>
      </w:pPr>
      <w:r>
        <w:rPr>
          <w:lang w:val="en-GB"/>
        </w:rPr>
        <w:t>On February 11</w:t>
      </w:r>
      <w:r>
        <w:rPr>
          <w:vertAlign w:val="superscript"/>
          <w:lang w:val="en-GB"/>
        </w:rPr>
        <w:t>th</w:t>
      </w:r>
      <w:r>
        <w:rPr>
          <w:lang w:val="en-GB"/>
        </w:rPr>
        <w:t xml:space="preserve">, 2020 VIPP 5 has launched for general and teaching hospitals as well as the </w:t>
      </w:r>
      <w:r w:rsidR="00136FB9">
        <w:rPr>
          <w:lang w:val="en-GB"/>
        </w:rPr>
        <w:t xml:space="preserve">academic hospital </w:t>
      </w:r>
      <w:r>
        <w:rPr>
          <w:lang w:val="en-GB"/>
        </w:rPr>
        <w:t xml:space="preserve">s. VIPP 5 consists of three modules (VIPP, n.d.) and is relevant for the </w:t>
      </w:r>
      <w:r w:rsidR="00005E63">
        <w:rPr>
          <w:lang w:val="en-GB"/>
        </w:rPr>
        <w:t>academic hospital</w:t>
      </w:r>
      <w:r>
        <w:rPr>
          <w:lang w:val="en-GB"/>
        </w:rPr>
        <w:t>:</w:t>
      </w:r>
    </w:p>
    <w:p w14:paraId="37CE0999" w14:textId="77777777" w:rsidR="00A77631" w:rsidRDefault="00A77631" w:rsidP="00A77631">
      <w:pPr>
        <w:spacing w:after="0" w:line="360" w:lineRule="auto"/>
        <w:ind w:left="708"/>
        <w:rPr>
          <w:lang w:val="en-GB"/>
        </w:rPr>
      </w:pPr>
      <w:r>
        <w:rPr>
          <w:lang w:val="en-GB"/>
        </w:rPr>
        <w:t xml:space="preserve">Module 1: The healthcare institution can make digital data available to the patient's PGO in accordance with the </w:t>
      </w:r>
      <w:proofErr w:type="spellStart"/>
      <w:r>
        <w:rPr>
          <w:lang w:val="en-GB"/>
        </w:rPr>
        <w:t>MedMij</w:t>
      </w:r>
      <w:proofErr w:type="spellEnd"/>
      <w:r>
        <w:rPr>
          <w:lang w:val="en-GB"/>
        </w:rPr>
        <w:t xml:space="preserve"> appointment system.</w:t>
      </w:r>
    </w:p>
    <w:p w14:paraId="765306F3" w14:textId="77777777" w:rsidR="00A77631" w:rsidRDefault="00A77631" w:rsidP="00A77631">
      <w:pPr>
        <w:spacing w:after="0" w:line="360" w:lineRule="auto"/>
        <w:ind w:left="708"/>
        <w:rPr>
          <w:lang w:val="en-GB"/>
        </w:rPr>
      </w:pPr>
      <w:r>
        <w:rPr>
          <w:lang w:val="en-GB"/>
        </w:rPr>
        <w:t xml:space="preserve">Module 2: The healthcare institution can exchange information digitally to the patient's PGO in accordance with the </w:t>
      </w:r>
      <w:proofErr w:type="spellStart"/>
      <w:r>
        <w:rPr>
          <w:lang w:val="en-GB"/>
        </w:rPr>
        <w:t>MedMij</w:t>
      </w:r>
      <w:proofErr w:type="spellEnd"/>
      <w:r>
        <w:rPr>
          <w:lang w:val="en-GB"/>
        </w:rPr>
        <w:t xml:space="preserve"> appointment system and the patient can return information from the PGO to the institution.</w:t>
      </w:r>
    </w:p>
    <w:p w14:paraId="6A3E8658" w14:textId="77777777" w:rsidR="00A77631" w:rsidRDefault="00A77631" w:rsidP="00A77631">
      <w:pPr>
        <w:spacing w:line="360" w:lineRule="auto"/>
        <w:ind w:left="708"/>
        <w:rPr>
          <w:lang w:val="en-GB"/>
        </w:rPr>
      </w:pPr>
      <w:r>
        <w:rPr>
          <w:lang w:val="en-GB"/>
        </w:rPr>
        <w:t>Module 3: The healthcare institution can digitally exchange the Basic Medical Data Set (</w:t>
      </w:r>
      <w:proofErr w:type="spellStart"/>
      <w:r>
        <w:rPr>
          <w:lang w:val="en-GB"/>
        </w:rPr>
        <w:t>BgZ</w:t>
      </w:r>
      <w:proofErr w:type="spellEnd"/>
      <w:r>
        <w:rPr>
          <w:lang w:val="en-GB"/>
        </w:rPr>
        <w:t>) and relevant correspondence with another institution.</w:t>
      </w:r>
    </w:p>
    <w:p w14:paraId="7BB4D7B9" w14:textId="1C1FBAE1" w:rsidR="00A77631" w:rsidRDefault="00A77631" w:rsidP="00A77631">
      <w:pPr>
        <w:spacing w:line="360" w:lineRule="auto"/>
        <w:rPr>
          <w:lang w:val="en-GB"/>
        </w:rPr>
      </w:pPr>
      <w:r>
        <w:rPr>
          <w:lang w:val="en-GB"/>
        </w:rPr>
        <w:t xml:space="preserve">Further, the GDPR has also impacted the context of the patient portal and therefore perhaps its progress. In the period of 2015-2018, the former </w:t>
      </w:r>
      <w:r w:rsidRPr="007458BF">
        <w:rPr>
          <w:lang w:val="en-GB"/>
        </w:rPr>
        <w:t xml:space="preserve">Law for the </w:t>
      </w:r>
      <w:r>
        <w:rPr>
          <w:lang w:val="en-GB"/>
        </w:rPr>
        <w:t>P</w:t>
      </w:r>
      <w:r w:rsidRPr="007458BF">
        <w:rPr>
          <w:lang w:val="en-GB"/>
        </w:rPr>
        <w:t xml:space="preserve">rotection of </w:t>
      </w:r>
      <w:r>
        <w:rPr>
          <w:lang w:val="en-GB"/>
        </w:rPr>
        <w:t>P</w:t>
      </w:r>
      <w:r w:rsidRPr="007458BF">
        <w:rPr>
          <w:lang w:val="en-GB"/>
        </w:rPr>
        <w:t xml:space="preserve">ersonal </w:t>
      </w:r>
      <w:r>
        <w:rPr>
          <w:lang w:val="en-GB"/>
        </w:rPr>
        <w:t>I</w:t>
      </w:r>
      <w:r w:rsidRPr="007458BF">
        <w:rPr>
          <w:lang w:val="en-GB"/>
        </w:rPr>
        <w:t>nformation</w:t>
      </w:r>
      <w:r>
        <w:rPr>
          <w:lang w:val="en-GB"/>
        </w:rPr>
        <w:t xml:space="preserve"> has laid down the regulations. However, this law no longer applies since the introduction of the GDPR on May 25</w:t>
      </w:r>
      <w:r w:rsidRPr="00705DC7">
        <w:rPr>
          <w:vertAlign w:val="superscript"/>
          <w:lang w:val="en-GB"/>
        </w:rPr>
        <w:t>th</w:t>
      </w:r>
      <w:r>
        <w:rPr>
          <w:lang w:val="en-GB"/>
        </w:rPr>
        <w:t xml:space="preserve">, 2018. The GDPR applies the same privacy legislation throughout the European Union (GDPR, n.d.) and has to be taken into consideration for technology such as the patient portal. As a consequence, the Dutch Data Protection authority has started to enforce more strict. In the </w:t>
      </w:r>
      <w:r w:rsidR="00005E63">
        <w:rPr>
          <w:lang w:val="en-GB"/>
        </w:rPr>
        <w:t>academic hospital</w:t>
      </w:r>
      <w:r>
        <w:rPr>
          <w:lang w:val="en-GB"/>
        </w:rPr>
        <w:t>, the following has been said about the GDPR:</w:t>
      </w:r>
    </w:p>
    <w:p w14:paraId="63C4DAC7" w14:textId="1778A4F5" w:rsidR="00A77631" w:rsidRPr="00A3788A" w:rsidRDefault="00005E63" w:rsidP="00A77631">
      <w:pPr>
        <w:ind w:left="708"/>
        <w:jc w:val="left"/>
        <w:rPr>
          <w:i/>
          <w:iCs/>
          <w:lang w:val="en-GB"/>
        </w:rPr>
      </w:pPr>
      <w:r w:rsidRPr="00D70BA2">
        <w:rPr>
          <w:i/>
          <w:iCs/>
          <w:lang w:val="en-GB"/>
        </w:rPr>
        <w:t>Academic hospital</w:t>
      </w:r>
      <w:r>
        <w:rPr>
          <w:lang w:val="en-GB"/>
        </w:rPr>
        <w:t xml:space="preserve"> </w:t>
      </w:r>
      <w:r w:rsidR="00A77631" w:rsidRPr="00A3788A">
        <w:rPr>
          <w:i/>
          <w:iCs/>
          <w:lang w:val="en-GB"/>
        </w:rPr>
        <w:t>1: We adhere very strictly to that; it ensures that you put down a product that meets the rules. The supplier also helps with that, we get deliveries and adjust them.</w:t>
      </w:r>
    </w:p>
    <w:p w14:paraId="1209E6D4" w14:textId="162A08DB" w:rsidR="00A77631" w:rsidRPr="00A3788A" w:rsidRDefault="00005E63" w:rsidP="00A77631">
      <w:pPr>
        <w:ind w:left="708"/>
        <w:jc w:val="left"/>
        <w:rPr>
          <w:i/>
          <w:iCs/>
          <w:lang w:val="en-GB"/>
        </w:rPr>
      </w:pPr>
      <w:r w:rsidRPr="00D70BA2">
        <w:rPr>
          <w:i/>
          <w:iCs/>
          <w:lang w:val="en-GB"/>
        </w:rPr>
        <w:t>Academic hospital</w:t>
      </w:r>
      <w:r>
        <w:rPr>
          <w:lang w:val="en-GB"/>
        </w:rPr>
        <w:t xml:space="preserve"> </w:t>
      </w:r>
      <w:r w:rsidR="00A77631" w:rsidRPr="00A3788A">
        <w:rPr>
          <w:i/>
          <w:iCs/>
          <w:lang w:val="en-GB"/>
        </w:rPr>
        <w:t>3: I think the GDPR may have been a constraint at some points.</w:t>
      </w:r>
    </w:p>
    <w:p w14:paraId="20E90106" w14:textId="77777777" w:rsidR="00A77631" w:rsidRDefault="00A77631" w:rsidP="00A77631">
      <w:pPr>
        <w:spacing w:line="360" w:lineRule="auto"/>
        <w:rPr>
          <w:lang w:val="en-GB"/>
        </w:rPr>
      </w:pPr>
      <w:r>
        <w:rPr>
          <w:lang w:val="en-GB"/>
        </w:rPr>
        <w:lastRenderedPageBreak/>
        <w:t xml:space="preserve">While at first glance the wider context appears simple, it does indicate to be complicated too </w:t>
      </w:r>
      <w:r w:rsidRPr="00F86A39">
        <w:rPr>
          <w:b/>
          <w:bCs/>
          <w:lang w:val="en-GB"/>
        </w:rPr>
        <w:t>(6A)</w:t>
      </w:r>
      <w:r>
        <w:rPr>
          <w:lang w:val="en-GB"/>
        </w:rPr>
        <w:t>. Whereas the former law</w:t>
      </w:r>
      <w:r w:rsidRPr="00A75401">
        <w:rPr>
          <w:lang w:val="en-GB"/>
        </w:rPr>
        <w:t xml:space="preserve"> </w:t>
      </w:r>
      <w:r w:rsidRPr="007458BF">
        <w:rPr>
          <w:lang w:val="en-GB"/>
        </w:rPr>
        <w:t xml:space="preserve">for the </w:t>
      </w:r>
      <w:r>
        <w:rPr>
          <w:lang w:val="en-GB"/>
        </w:rPr>
        <w:t>P</w:t>
      </w:r>
      <w:r w:rsidRPr="007458BF">
        <w:rPr>
          <w:lang w:val="en-GB"/>
        </w:rPr>
        <w:t xml:space="preserve">rotection of </w:t>
      </w:r>
      <w:r>
        <w:rPr>
          <w:lang w:val="en-GB"/>
        </w:rPr>
        <w:t>P</w:t>
      </w:r>
      <w:r w:rsidRPr="007458BF">
        <w:rPr>
          <w:lang w:val="en-GB"/>
        </w:rPr>
        <w:t xml:space="preserve">ersonal </w:t>
      </w:r>
      <w:r>
        <w:rPr>
          <w:lang w:val="en-GB"/>
        </w:rPr>
        <w:t>I</w:t>
      </w:r>
      <w:r w:rsidRPr="007458BF">
        <w:rPr>
          <w:lang w:val="en-GB"/>
        </w:rPr>
        <w:t>nformation</w:t>
      </w:r>
      <w:r>
        <w:rPr>
          <w:lang w:val="en-GB"/>
        </w:rPr>
        <w:t xml:space="preserve"> and the Dutch Data Protection authority have laid down the requirements for the patient portal in the beginning of the period 2015-2018. The GDPR has disrupted the patient portal’s progress, as it required certain preparations and adjustments to be made. Also, the former Governance Code Care 2010 and 2017 have laid down the rules for the governance of hospitals. Further, the differences between individual healthcare professionals and patients in their adoption of the patient portal indicate that users are divided between supporters and those not involved or committed. In terms of governance, the healthcare professionals have entered in advisory bodies for the board of directors and all hospitals have a client council representing the patients. As mentioned before, healthcare professionals are divided in their views towards the patient portal, as they mostly feel the negative impact it has on their work processes, rather than the positive impact it has on the overall processes of care. Whereas the patients have indicated that they want to have more responsibilities, thus embracing the patient portal. However, as mentioned before, it should be noted that a patients’ education, digital accessibility, and literacy level influences their adoption and use of the patient portal. In the overall study, these aspects seem to have been occasionally included, resulting in great differences between the hospitals’ patient portal’s user-friendliness.</w:t>
      </w:r>
    </w:p>
    <w:p w14:paraId="25D90AE3" w14:textId="45DADF55" w:rsidR="00A77631" w:rsidRDefault="00FA7135" w:rsidP="00A77631">
      <w:pPr>
        <w:pStyle w:val="Heading3"/>
        <w:rPr>
          <w:lang w:val="en-GB"/>
        </w:rPr>
      </w:pPr>
      <w:bookmarkStart w:id="87" w:name="_Toc47522450"/>
      <w:bookmarkStart w:id="88" w:name="_Toc51862105"/>
      <w:r>
        <w:rPr>
          <w:lang w:val="en-GB"/>
        </w:rPr>
        <w:t>4.1.7</w:t>
      </w:r>
      <w:r w:rsidR="00A77631">
        <w:rPr>
          <w:lang w:val="en-GB"/>
        </w:rPr>
        <w:t xml:space="preserve"> Embedding and Adaptation over Time</w:t>
      </w:r>
      <w:bookmarkEnd w:id="87"/>
      <w:r>
        <w:rPr>
          <w:lang w:val="en-GB"/>
        </w:rPr>
        <w:t xml:space="preserve"> (NASSS Domain 7)</w:t>
      </w:r>
      <w:bookmarkEnd w:id="88"/>
    </w:p>
    <w:p w14:paraId="128379CA" w14:textId="39905711" w:rsidR="00A77631" w:rsidRDefault="00A77631" w:rsidP="00A77631">
      <w:pPr>
        <w:spacing w:line="360" w:lineRule="auto"/>
        <w:rPr>
          <w:lang w:val="en-GB"/>
        </w:rPr>
      </w:pPr>
      <w:r w:rsidRPr="00DE4F43">
        <w:rPr>
          <w:lang w:val="en-GB"/>
        </w:rPr>
        <w:t>The scope for a</w:t>
      </w:r>
      <w:r>
        <w:rPr>
          <w:lang w:val="en-GB"/>
        </w:rPr>
        <w:t xml:space="preserve">dapting and coevolving the technology and service over the research period has been specified to be complicated or even complex </w:t>
      </w:r>
      <w:r w:rsidRPr="00490012">
        <w:rPr>
          <w:b/>
          <w:bCs/>
          <w:lang w:val="en-GB"/>
        </w:rPr>
        <w:t>(7A)</w:t>
      </w:r>
      <w:r>
        <w:rPr>
          <w:lang w:val="en-GB"/>
        </w:rPr>
        <w:t xml:space="preserve">. In practice, </w:t>
      </w:r>
      <w:r w:rsidR="00005E63">
        <w:rPr>
          <w:lang w:val="en-GB"/>
        </w:rPr>
        <w:t xml:space="preserve">the academic hospital </w:t>
      </w:r>
      <w:r>
        <w:rPr>
          <w:lang w:val="en-GB"/>
        </w:rPr>
        <w:t xml:space="preserve">is struggling with resource shortages, showing significant barriers to adapt or coevolve the patient portal. </w:t>
      </w:r>
      <w:r w:rsidRPr="00DE4F43">
        <w:rPr>
          <w:lang w:val="en-GB"/>
        </w:rPr>
        <w:t xml:space="preserve">The respondents have indicated that </w:t>
      </w:r>
      <w:r>
        <w:rPr>
          <w:lang w:val="en-GB"/>
        </w:rPr>
        <w:t xml:space="preserve">a lack of </w:t>
      </w:r>
      <w:r w:rsidRPr="00DE4F43">
        <w:rPr>
          <w:lang w:val="en-GB"/>
        </w:rPr>
        <w:t>capacity has been the b</w:t>
      </w:r>
      <w:r>
        <w:rPr>
          <w:lang w:val="en-GB"/>
        </w:rPr>
        <w:t xml:space="preserve">iggest issue in setting up certain procedures, accompanied with low prioritization. </w:t>
      </w:r>
      <w:r w:rsidRPr="00DE4F43">
        <w:rPr>
          <w:lang w:val="en-GB"/>
        </w:rPr>
        <w:t>As mentioned before, by incorporating the patient portal within o</w:t>
      </w:r>
      <w:r>
        <w:rPr>
          <w:lang w:val="en-GB"/>
        </w:rPr>
        <w:t xml:space="preserve">ther projects like value-based healthcare it is hoped that resources become available to work on adaptation and evolvement, in progressing the patient portal. </w:t>
      </w:r>
      <w:r w:rsidRPr="00163B89">
        <w:rPr>
          <w:lang w:val="en-GB"/>
        </w:rPr>
        <w:t>It is recognized that more could be done towards t</w:t>
      </w:r>
      <w:r>
        <w:rPr>
          <w:lang w:val="en-GB"/>
        </w:rPr>
        <w:t xml:space="preserve">he patient portal, but certain efforts would put more pressure on functional management. </w:t>
      </w:r>
      <w:r w:rsidRPr="00163B89">
        <w:rPr>
          <w:lang w:val="en-GB"/>
        </w:rPr>
        <w:t>Searching for ambassadors or even communicate with healthcare profess</w:t>
      </w:r>
      <w:r>
        <w:rPr>
          <w:lang w:val="en-GB"/>
        </w:rPr>
        <w:t xml:space="preserve">ionals and patients requires resources, that have not been available yet. It has seemed as if the </w:t>
      </w:r>
      <w:r w:rsidR="00675688">
        <w:rPr>
          <w:lang w:val="en-GB"/>
        </w:rPr>
        <w:t>DC</w:t>
      </w:r>
      <w:r>
        <w:rPr>
          <w:lang w:val="en-GB"/>
        </w:rPr>
        <w:t xml:space="preserve"> has mainly focused on how the patient portal’s technology has been designed, rather than how it is implemented. </w:t>
      </w:r>
      <w:r w:rsidRPr="00163B89">
        <w:rPr>
          <w:lang w:val="en-GB"/>
        </w:rPr>
        <w:t xml:space="preserve">Also, </w:t>
      </w:r>
      <w:r>
        <w:rPr>
          <w:lang w:val="en-GB"/>
        </w:rPr>
        <w:t xml:space="preserve">the </w:t>
      </w:r>
      <w:r w:rsidRPr="00163B89">
        <w:rPr>
          <w:lang w:val="en-GB"/>
        </w:rPr>
        <w:t>in-width study has pointed out</w:t>
      </w:r>
      <w:r>
        <w:rPr>
          <w:lang w:val="en-GB"/>
        </w:rPr>
        <w:t xml:space="preserve"> that in order to change the work processes, they have to be mapped first, which requires a lot of work and thorough communication. </w:t>
      </w:r>
      <w:r w:rsidRPr="005B310E">
        <w:rPr>
          <w:lang w:val="en-GB"/>
        </w:rPr>
        <w:t xml:space="preserve">At the moment, adaptation and coevolving </w:t>
      </w:r>
      <w:r>
        <w:rPr>
          <w:lang w:val="en-GB"/>
        </w:rPr>
        <w:t xml:space="preserve">only </w:t>
      </w:r>
      <w:r w:rsidRPr="005B310E">
        <w:rPr>
          <w:lang w:val="en-GB"/>
        </w:rPr>
        <w:t>happens in concordance a</w:t>
      </w:r>
      <w:r>
        <w:rPr>
          <w:lang w:val="en-GB"/>
        </w:rPr>
        <w:t>nd between technical management and the technology suppliers. It is perceived as difficult to involve stakeholders and certain VIPP-hospitals indicate that especially this is of the upmost importance.</w:t>
      </w:r>
    </w:p>
    <w:p w14:paraId="58E3ED42" w14:textId="32C4DF77" w:rsidR="00A77631" w:rsidRDefault="00A77631" w:rsidP="00A77631">
      <w:pPr>
        <w:spacing w:before="240"/>
        <w:ind w:left="708"/>
        <w:jc w:val="left"/>
        <w:rPr>
          <w:i/>
          <w:iCs/>
          <w:lang w:val="en-GB"/>
        </w:rPr>
      </w:pPr>
      <w:r w:rsidRPr="00BF3DE1">
        <w:rPr>
          <w:i/>
          <w:iCs/>
          <w:lang w:val="en-GB"/>
        </w:rPr>
        <w:lastRenderedPageBreak/>
        <w:t>VIPP 8.6: Evaluation on the patient portal should be broader anyway, including people that are supporting it. It should be a bigger session in the hospital, also with a delegation from the client council</w:t>
      </w:r>
      <w:r>
        <w:rPr>
          <w:i/>
          <w:iCs/>
          <w:lang w:val="en-GB"/>
        </w:rPr>
        <w:t>.</w:t>
      </w:r>
    </w:p>
    <w:p w14:paraId="3B11E3A1" w14:textId="14D8868B" w:rsidR="00A77631" w:rsidRDefault="00A77631" w:rsidP="00A77631">
      <w:pPr>
        <w:spacing w:before="240" w:line="360" w:lineRule="auto"/>
        <w:rPr>
          <w:lang w:val="en-GB"/>
        </w:rPr>
      </w:pPr>
      <w:r w:rsidRPr="007F4D6B">
        <w:rPr>
          <w:lang w:val="en-GB"/>
        </w:rPr>
        <w:t xml:space="preserve">In this, the patients are viewed </w:t>
      </w:r>
      <w:r>
        <w:rPr>
          <w:lang w:val="en-GB"/>
        </w:rPr>
        <w:t xml:space="preserve">by the </w:t>
      </w:r>
      <w:r w:rsidR="00005E63">
        <w:rPr>
          <w:lang w:val="en-GB"/>
        </w:rPr>
        <w:t>academic hospital</w:t>
      </w:r>
      <w:r>
        <w:rPr>
          <w:lang w:val="en-GB"/>
        </w:rPr>
        <w:t>, as well as the</w:t>
      </w:r>
      <w:r w:rsidRPr="007F4D6B">
        <w:rPr>
          <w:lang w:val="en-GB"/>
        </w:rPr>
        <w:t xml:space="preserve"> VIPP-hospitals</w:t>
      </w:r>
      <w:r>
        <w:rPr>
          <w:lang w:val="en-GB"/>
        </w:rPr>
        <w:t>,</w:t>
      </w:r>
      <w:r w:rsidRPr="007F4D6B">
        <w:rPr>
          <w:lang w:val="en-GB"/>
        </w:rPr>
        <w:t xml:space="preserve"> </w:t>
      </w:r>
      <w:r>
        <w:rPr>
          <w:lang w:val="en-GB"/>
        </w:rPr>
        <w:t xml:space="preserve">as essential in designing a patient portal that suits their wishes. </w:t>
      </w:r>
      <w:r w:rsidRPr="007F4D6B">
        <w:rPr>
          <w:lang w:val="en-GB"/>
        </w:rPr>
        <w:t xml:space="preserve">However, </w:t>
      </w:r>
      <w:r>
        <w:rPr>
          <w:lang w:val="en-GB"/>
        </w:rPr>
        <w:t xml:space="preserve">the </w:t>
      </w:r>
      <w:r w:rsidR="00005E63">
        <w:rPr>
          <w:lang w:val="en-GB"/>
        </w:rPr>
        <w:t xml:space="preserve">academic hospital </w:t>
      </w:r>
      <w:r w:rsidRPr="007F4D6B">
        <w:rPr>
          <w:lang w:val="en-GB"/>
        </w:rPr>
        <w:t xml:space="preserve">has not succeeded in involving patients </w:t>
      </w:r>
      <w:r>
        <w:rPr>
          <w:lang w:val="en-GB"/>
        </w:rPr>
        <w:t>in a process of the patient portal. Often the client council were the only one involved throughout the whole process, which does not always consist of patients but rather advocates. Despite the fact that some client councillors are present at patient portal consultations, the overall findings of this study indicate the minimal role they played. Still, all client councils have reported satisfactory towards the financial and material support they receive. Apart from giving requested advice to those involved, 8/13 client councils in this study has given unrequested advice. Most of these unrequested advices ensured measures in the organization. In some cases, the client council has assessed that</w:t>
      </w:r>
      <w:r w:rsidRPr="007F4D6B">
        <w:rPr>
          <w:lang w:val="en-GB"/>
        </w:rPr>
        <w:t xml:space="preserve"> </w:t>
      </w:r>
      <w:r>
        <w:rPr>
          <w:lang w:val="en-GB"/>
        </w:rPr>
        <w:t>they needed patients to converse with healthcare professionals in order to have the healthcare professional see the added value of the patient portal. I</w:t>
      </w:r>
      <w:r w:rsidRPr="007F4D6B">
        <w:rPr>
          <w:lang w:val="en-GB"/>
        </w:rPr>
        <w:t xml:space="preserve">n some of the VIPP-hospitals, patient panels have taken </w:t>
      </w:r>
      <w:r>
        <w:rPr>
          <w:lang w:val="en-GB"/>
        </w:rPr>
        <w:t>place to make up what the general opinion is. T</w:t>
      </w:r>
      <w:r w:rsidRPr="007F4D6B">
        <w:rPr>
          <w:lang w:val="en-GB"/>
        </w:rPr>
        <w:t>hese have only taken place in earlier stages a</w:t>
      </w:r>
      <w:r>
        <w:rPr>
          <w:lang w:val="en-GB"/>
        </w:rPr>
        <w:t xml:space="preserve">nd keeping those people involved has deemed to be difficult. While, in other cases, there has been a small group of patients that were asked for their opinion over longer periods. </w:t>
      </w:r>
      <w:r w:rsidRPr="00A37D80">
        <w:rPr>
          <w:lang w:val="en-GB"/>
        </w:rPr>
        <w:t xml:space="preserve">Further, </w:t>
      </w:r>
      <w:r>
        <w:rPr>
          <w:lang w:val="en-GB"/>
        </w:rPr>
        <w:t xml:space="preserve">some </w:t>
      </w:r>
      <w:r w:rsidRPr="00A37D80">
        <w:rPr>
          <w:lang w:val="en-GB"/>
        </w:rPr>
        <w:t xml:space="preserve">VIPP-hospitals have </w:t>
      </w:r>
      <w:r>
        <w:rPr>
          <w:lang w:val="en-GB"/>
        </w:rPr>
        <w:t>enabled healthcare professionals via intranet or a helpdesk and</w:t>
      </w:r>
      <w:r w:rsidRPr="00A37D80">
        <w:rPr>
          <w:lang w:val="en-GB"/>
        </w:rPr>
        <w:t xml:space="preserve"> </w:t>
      </w:r>
      <w:r>
        <w:rPr>
          <w:lang w:val="en-GB"/>
        </w:rPr>
        <w:t xml:space="preserve">patients through complaints to give their feedback on the patient portal. </w:t>
      </w:r>
      <w:r w:rsidRPr="00E32AD0">
        <w:rPr>
          <w:lang w:val="en-GB"/>
        </w:rPr>
        <w:t xml:space="preserve">The </w:t>
      </w:r>
      <w:r w:rsidR="00005E63">
        <w:rPr>
          <w:lang w:val="en-GB"/>
        </w:rPr>
        <w:t xml:space="preserve">academic hospital </w:t>
      </w:r>
      <w:r w:rsidRPr="00E32AD0">
        <w:rPr>
          <w:lang w:val="en-GB"/>
        </w:rPr>
        <w:t>respondents acknowledged that signals o</w:t>
      </w:r>
      <w:r>
        <w:rPr>
          <w:lang w:val="en-GB"/>
        </w:rPr>
        <w:t>n</w:t>
      </w:r>
      <w:r w:rsidRPr="00E32AD0">
        <w:rPr>
          <w:lang w:val="en-GB"/>
        </w:rPr>
        <w:t xml:space="preserve"> the patient </w:t>
      </w:r>
      <w:r>
        <w:rPr>
          <w:lang w:val="en-GB"/>
        </w:rPr>
        <w:t xml:space="preserve">portal did end up with technical management through the service </w:t>
      </w:r>
      <w:r w:rsidR="006F1420">
        <w:rPr>
          <w:lang w:val="en-GB"/>
        </w:rPr>
        <w:t>portal when</w:t>
      </w:r>
      <w:r>
        <w:rPr>
          <w:lang w:val="en-GB"/>
        </w:rPr>
        <w:t xml:space="preserve"> incidents or changes were reported. Yet, it has sometimes been unclear how these reviews are coped with.</w:t>
      </w:r>
    </w:p>
    <w:p w14:paraId="38566B7C" w14:textId="27B518C4" w:rsidR="00A77631" w:rsidRDefault="00005E63" w:rsidP="00A77631">
      <w:pPr>
        <w:ind w:left="708"/>
        <w:jc w:val="left"/>
        <w:rPr>
          <w:i/>
          <w:iCs/>
          <w:lang w:val="en-GB"/>
        </w:rPr>
      </w:pPr>
      <w:r w:rsidRPr="00D70BA2">
        <w:rPr>
          <w:i/>
          <w:iCs/>
          <w:lang w:val="en-GB"/>
        </w:rPr>
        <w:t>Academic hospital</w:t>
      </w:r>
      <w:r>
        <w:rPr>
          <w:lang w:val="en-GB"/>
        </w:rPr>
        <w:t xml:space="preserve"> </w:t>
      </w:r>
      <w:r w:rsidR="00A77631">
        <w:rPr>
          <w:i/>
          <w:iCs/>
          <w:lang w:val="en-GB"/>
        </w:rPr>
        <w:t>2: Look, we have a patient portal, but what do we do with it? Is it being used? And how satisfied or dissatisfied are those users? We will have to collect certain information. (..) I am not saying that nothing is done with these signals, I just do not think that we are very proactive about that.</w:t>
      </w:r>
    </w:p>
    <w:p w14:paraId="66663F46" w14:textId="44149125" w:rsidR="00A77631" w:rsidRDefault="00A77631" w:rsidP="00A77631">
      <w:pPr>
        <w:spacing w:before="240" w:line="360" w:lineRule="auto"/>
        <w:rPr>
          <w:lang w:val="en-GB"/>
        </w:rPr>
      </w:pPr>
      <w:r w:rsidRPr="00075EB3">
        <w:rPr>
          <w:lang w:val="en-GB"/>
        </w:rPr>
        <w:t xml:space="preserve">The in-width study acknowledges that </w:t>
      </w:r>
      <w:r>
        <w:rPr>
          <w:lang w:val="en-GB"/>
        </w:rPr>
        <w:t xml:space="preserve">handling patients’ </w:t>
      </w:r>
      <w:r w:rsidRPr="00075EB3">
        <w:rPr>
          <w:lang w:val="en-GB"/>
        </w:rPr>
        <w:t>feedback i</w:t>
      </w:r>
      <w:r>
        <w:rPr>
          <w:lang w:val="en-GB"/>
        </w:rPr>
        <w:t xml:space="preserve">s often difficult, as they do not understand the required processes behind certain changes and the resources it takes to process them. </w:t>
      </w:r>
      <w:r w:rsidRPr="00052A5D">
        <w:rPr>
          <w:lang w:val="en-GB"/>
        </w:rPr>
        <w:t xml:space="preserve">The resilience of the </w:t>
      </w:r>
      <w:r w:rsidR="00005E63">
        <w:rPr>
          <w:lang w:val="en-GB"/>
        </w:rPr>
        <w:t>academic hospital</w:t>
      </w:r>
      <w:r w:rsidR="00136FB9">
        <w:rPr>
          <w:lang w:val="en-GB"/>
        </w:rPr>
        <w:t xml:space="preserve"> </w:t>
      </w:r>
      <w:r>
        <w:rPr>
          <w:lang w:val="en-GB"/>
        </w:rPr>
        <w:t xml:space="preserve"> to handle critical events and adapt to unforeseen eventualities can both be specified as simple as complicated </w:t>
      </w:r>
      <w:r w:rsidRPr="00490012">
        <w:rPr>
          <w:b/>
          <w:bCs/>
          <w:lang w:val="en-GB"/>
        </w:rPr>
        <w:t>(7B)</w:t>
      </w:r>
      <w:r>
        <w:rPr>
          <w:lang w:val="en-GB"/>
        </w:rPr>
        <w:t xml:space="preserve">. </w:t>
      </w:r>
      <w:r w:rsidRPr="00F332AD">
        <w:rPr>
          <w:lang w:val="en-GB"/>
        </w:rPr>
        <w:t xml:space="preserve">Overall, the </w:t>
      </w:r>
      <w:r w:rsidR="00005E63">
        <w:rPr>
          <w:lang w:val="en-GB"/>
        </w:rPr>
        <w:t xml:space="preserve">academic hospital </w:t>
      </w:r>
      <w:r w:rsidRPr="00F332AD">
        <w:rPr>
          <w:lang w:val="en-GB"/>
        </w:rPr>
        <w:t>has shown that sense making, collective r</w:t>
      </w:r>
      <w:r>
        <w:rPr>
          <w:lang w:val="en-GB"/>
        </w:rPr>
        <w:t>eflection and adaptive action are part of its driving principles and thus, through their governance, this is ongoing and encouraged. However, in the case of the patient portal, low priority has been given towards collective reflection, and limited resources have withheld sense making and adaptive action. Being</w:t>
      </w:r>
      <w:r w:rsidRPr="003707BF">
        <w:rPr>
          <w:lang w:val="en-GB"/>
        </w:rPr>
        <w:t xml:space="preserve"> an </w:t>
      </w:r>
      <w:r w:rsidR="00136FB9">
        <w:rPr>
          <w:lang w:val="en-GB"/>
        </w:rPr>
        <w:t>academic hospital</w:t>
      </w:r>
      <w:r>
        <w:rPr>
          <w:lang w:val="en-GB"/>
        </w:rPr>
        <w:t>,</w:t>
      </w:r>
      <w:r w:rsidRPr="003707BF">
        <w:rPr>
          <w:lang w:val="en-GB"/>
        </w:rPr>
        <w:t xml:space="preserve"> </w:t>
      </w:r>
      <w:r w:rsidR="00B47B26">
        <w:rPr>
          <w:lang w:val="en-GB"/>
        </w:rPr>
        <w:t>it</w:t>
      </w:r>
      <w:r w:rsidR="00005E63">
        <w:rPr>
          <w:lang w:val="en-GB"/>
        </w:rPr>
        <w:t xml:space="preserve"> </w:t>
      </w:r>
      <w:r w:rsidRPr="003707BF">
        <w:rPr>
          <w:lang w:val="en-GB"/>
        </w:rPr>
        <w:t>has shown awareness t</w:t>
      </w:r>
      <w:r>
        <w:rPr>
          <w:lang w:val="en-GB"/>
        </w:rPr>
        <w:t xml:space="preserve">owards its societal responsibilities and has responded adequately throughout. For the patient portal </w:t>
      </w:r>
      <w:r>
        <w:rPr>
          <w:lang w:val="en-GB"/>
        </w:rPr>
        <w:lastRenderedPageBreak/>
        <w:t xml:space="preserve">however, the lack of prioritization seems to have played the biggest part in its restricted success. Also, it has become clear that </w:t>
      </w:r>
      <w:r w:rsidR="006F1420">
        <w:rPr>
          <w:lang w:val="en-GB"/>
        </w:rPr>
        <w:t>“(</w:t>
      </w:r>
      <w:r w:rsidR="00B47B26">
        <w:rPr>
          <w:lang w:val="en-GB"/>
        </w:rPr>
        <w:t>Academic hospital</w:t>
      </w:r>
      <w:r w:rsidR="00136FB9">
        <w:rPr>
          <w:lang w:val="en-GB"/>
        </w:rPr>
        <w:t xml:space="preserve"> </w:t>
      </w:r>
      <w:r w:rsidR="006F1420">
        <w:rPr>
          <w:lang w:val="en-GB"/>
        </w:rPr>
        <w:t xml:space="preserve"> 2): </w:t>
      </w:r>
      <w:r>
        <w:rPr>
          <w:lang w:val="en-GB"/>
        </w:rPr>
        <w:t>there has not been a clear definition of success</w:t>
      </w:r>
      <w:r w:rsidR="006F1420">
        <w:rPr>
          <w:lang w:val="en-GB"/>
        </w:rPr>
        <w:t xml:space="preserve">” </w:t>
      </w:r>
      <w:r>
        <w:rPr>
          <w:lang w:val="en-GB"/>
        </w:rPr>
        <w:t xml:space="preserve">in the </w:t>
      </w:r>
      <w:r w:rsidR="00056FDB">
        <w:rPr>
          <w:lang w:val="en-GB"/>
        </w:rPr>
        <w:t>DC</w:t>
      </w:r>
      <w:r>
        <w:rPr>
          <w:lang w:val="en-GB"/>
        </w:rPr>
        <w:t xml:space="preserve">, leading to ambiguity on what should be achieved. In the (digital) strategy of hospitals e-health has often been seen as an opportunity to optimize patient care not focused on the patient portal. The strategic courses of hospitals have been developed and adopted in concordance with its governance. </w:t>
      </w:r>
      <w:r w:rsidR="00A62518">
        <w:rPr>
          <w:lang w:val="en-GB"/>
        </w:rPr>
        <w:t>T</w:t>
      </w:r>
      <w:r>
        <w:rPr>
          <w:lang w:val="en-GB"/>
        </w:rPr>
        <w:t xml:space="preserve">he </w:t>
      </w:r>
      <w:r w:rsidR="00B47B26">
        <w:rPr>
          <w:lang w:val="en-GB"/>
        </w:rPr>
        <w:t xml:space="preserve">academic hospital </w:t>
      </w:r>
      <w:r>
        <w:rPr>
          <w:lang w:val="en-GB"/>
        </w:rPr>
        <w:t xml:space="preserve">has different advisory bodies to the board of directors and supervisory board. The enterprise council, staff convent, client council, nurse advisory board and common meeting are involved in dialogues via structural consultations. </w:t>
      </w:r>
      <w:r w:rsidR="00B47B26">
        <w:rPr>
          <w:lang w:val="en-GB"/>
        </w:rPr>
        <w:t>The</w:t>
      </w:r>
      <w:r w:rsidR="00B47B26" w:rsidRPr="00B47B26">
        <w:rPr>
          <w:lang w:val="en-GB"/>
        </w:rPr>
        <w:t xml:space="preserve"> </w:t>
      </w:r>
      <w:r w:rsidR="00B47B26">
        <w:rPr>
          <w:lang w:val="en-GB"/>
        </w:rPr>
        <w:t>academic hospital’s Annual Report</w:t>
      </w:r>
      <w:r w:rsidRPr="00E25087">
        <w:rPr>
          <w:lang w:val="en-GB"/>
        </w:rPr>
        <w:t xml:space="preserve"> (2019) states that patients are involved through theme and depa</w:t>
      </w:r>
      <w:r>
        <w:rPr>
          <w:lang w:val="en-GB"/>
        </w:rPr>
        <w:t xml:space="preserve">rtment level patient participation. However, for the patient portal, apart from two patients that regularly have a seat in the </w:t>
      </w:r>
      <w:r w:rsidR="00056FDB">
        <w:rPr>
          <w:lang w:val="en-GB"/>
        </w:rPr>
        <w:t>DC</w:t>
      </w:r>
      <w:r>
        <w:rPr>
          <w:lang w:val="en-GB"/>
        </w:rPr>
        <w:t>, patients’ feedback and review still has to be shaped.</w:t>
      </w:r>
    </w:p>
    <w:p w14:paraId="542D7CA8" w14:textId="287402EF" w:rsidR="00FA7135" w:rsidRDefault="00FA7135" w:rsidP="00E77FB9">
      <w:pPr>
        <w:pStyle w:val="Heading2"/>
        <w:rPr>
          <w:lang w:val="en-GB"/>
        </w:rPr>
      </w:pPr>
      <w:bookmarkStart w:id="89" w:name="_Toc51862106"/>
      <w:r>
        <w:rPr>
          <w:lang w:val="en-GB"/>
        </w:rPr>
        <w:t xml:space="preserve">4.2 </w:t>
      </w:r>
      <w:r w:rsidR="00FB1C9A">
        <w:rPr>
          <w:lang w:val="en-GB"/>
        </w:rPr>
        <w:t xml:space="preserve">Analysis of the </w:t>
      </w:r>
      <w:r>
        <w:rPr>
          <w:lang w:val="en-GB"/>
        </w:rPr>
        <w:t>Normalisation Process Theory</w:t>
      </w:r>
      <w:bookmarkEnd w:id="89"/>
    </w:p>
    <w:p w14:paraId="05A14D84" w14:textId="7AD27808" w:rsidR="00E77FB9" w:rsidRDefault="00E77FB9" w:rsidP="00E77FB9">
      <w:pPr>
        <w:spacing w:line="360" w:lineRule="auto"/>
        <w:rPr>
          <w:lang w:val="en-GB"/>
        </w:rPr>
      </w:pPr>
      <w:r>
        <w:rPr>
          <w:lang w:val="en-GB"/>
        </w:rPr>
        <w:t>This section will assess the case studies in light of the NPT</w:t>
      </w:r>
      <w:r w:rsidR="00C42229">
        <w:rPr>
          <w:lang w:val="en-GB"/>
        </w:rPr>
        <w:t xml:space="preserve">. The </w:t>
      </w:r>
      <w:r w:rsidR="009A04F3">
        <w:rPr>
          <w:lang w:val="en-GB"/>
        </w:rPr>
        <w:t xml:space="preserve">NPT’s </w:t>
      </w:r>
      <w:r w:rsidR="00C42229">
        <w:rPr>
          <w:lang w:val="en-GB"/>
        </w:rPr>
        <w:t xml:space="preserve">reflexive monitoring will </w:t>
      </w:r>
      <w:r w:rsidR="009A04F3">
        <w:rPr>
          <w:lang w:val="en-GB"/>
        </w:rPr>
        <w:t>give</w:t>
      </w:r>
      <w:r w:rsidR="00C42229">
        <w:rPr>
          <w:lang w:val="en-GB"/>
        </w:rPr>
        <w:t xml:space="preserve"> some enlightenment towards the previous outcomes of the NASSS framework</w:t>
      </w:r>
      <w:r w:rsidR="009A04F3">
        <w:rPr>
          <w:lang w:val="en-GB"/>
        </w:rPr>
        <w:t xml:space="preserve">. It </w:t>
      </w:r>
      <w:r w:rsidR="00C42229">
        <w:rPr>
          <w:lang w:val="en-GB"/>
        </w:rPr>
        <w:t xml:space="preserve">clearly indicates which progress has been made towards the </w:t>
      </w:r>
      <w:r w:rsidR="009A04F3">
        <w:rPr>
          <w:lang w:val="en-GB"/>
        </w:rPr>
        <w:t>normalisation</w:t>
      </w:r>
      <w:r w:rsidR="00C42229">
        <w:rPr>
          <w:lang w:val="en-GB"/>
        </w:rPr>
        <w:t xml:space="preserve"> of the patient portal</w:t>
      </w:r>
      <w:r w:rsidR="009A04F3">
        <w:rPr>
          <w:lang w:val="en-GB"/>
        </w:rPr>
        <w:t xml:space="preserve"> in hospital work and provides an addition to the NASSS framework, as it produces an understanding of the implementation process through evaluation and reflection.</w:t>
      </w:r>
    </w:p>
    <w:p w14:paraId="7B96485A" w14:textId="3EA8A6CC" w:rsidR="00A77631" w:rsidRDefault="00FB19FF" w:rsidP="00A77631">
      <w:pPr>
        <w:pStyle w:val="Heading3"/>
        <w:rPr>
          <w:lang w:val="en-GB"/>
        </w:rPr>
      </w:pPr>
      <w:bookmarkStart w:id="90" w:name="_Toc47522451"/>
      <w:bookmarkStart w:id="91" w:name="_Toc51862107"/>
      <w:r>
        <w:rPr>
          <w:lang w:val="en-GB"/>
        </w:rPr>
        <w:t>4.2.1 R</w:t>
      </w:r>
      <w:r w:rsidR="00A77631">
        <w:rPr>
          <w:lang w:val="en-GB"/>
        </w:rPr>
        <w:t>eflexive Monitoring</w:t>
      </w:r>
      <w:bookmarkEnd w:id="90"/>
      <w:bookmarkEnd w:id="91"/>
    </w:p>
    <w:p w14:paraId="1536A12F" w14:textId="67BC229A" w:rsidR="00A77631" w:rsidRDefault="00A77631" w:rsidP="00492ADA">
      <w:pPr>
        <w:spacing w:line="360" w:lineRule="auto"/>
        <w:rPr>
          <w:lang w:val="en-GB"/>
        </w:rPr>
      </w:pPr>
      <w:r>
        <w:rPr>
          <w:i/>
          <w:iCs/>
          <w:lang w:val="en-GB"/>
        </w:rPr>
        <w:t>Systematization</w:t>
      </w:r>
      <w:r w:rsidR="00173621">
        <w:rPr>
          <w:i/>
          <w:iCs/>
          <w:lang w:val="en-GB"/>
        </w:rPr>
        <w:t xml:space="preserve">: </w:t>
      </w:r>
      <w:r>
        <w:rPr>
          <w:lang w:val="en-GB"/>
        </w:rPr>
        <w:t xml:space="preserve">The </w:t>
      </w:r>
      <w:r w:rsidRPr="004037EB">
        <w:rPr>
          <w:lang w:val="en-GB"/>
        </w:rPr>
        <w:t>healthcare professionals</w:t>
      </w:r>
      <w:r>
        <w:rPr>
          <w:lang w:val="en-GB"/>
        </w:rPr>
        <w:t>’</w:t>
      </w:r>
      <w:r w:rsidRPr="004037EB">
        <w:rPr>
          <w:lang w:val="en-GB"/>
        </w:rPr>
        <w:t xml:space="preserve"> judgement of the patient portal</w:t>
      </w:r>
      <w:r>
        <w:rPr>
          <w:lang w:val="en-GB"/>
        </w:rPr>
        <w:t xml:space="preserve"> has been recognized as reluctant and is often viewed </w:t>
      </w:r>
      <w:r w:rsidR="00B31F66">
        <w:rPr>
          <w:lang w:val="en-GB"/>
        </w:rPr>
        <w:t xml:space="preserve">by respondents </w:t>
      </w:r>
      <w:r>
        <w:rPr>
          <w:lang w:val="en-GB"/>
        </w:rPr>
        <w:t xml:space="preserve">as the core of the problem, in that the patient portal has not met its potential. This has been rationalized </w:t>
      </w:r>
      <w:r w:rsidR="00B31F66">
        <w:rPr>
          <w:lang w:val="en-GB"/>
        </w:rPr>
        <w:t xml:space="preserve">in some cases </w:t>
      </w:r>
      <w:r>
        <w:rPr>
          <w:lang w:val="en-GB"/>
        </w:rPr>
        <w:t>by trying to get the healthcare professionals informed on the patient portal and its (potential) added benefits for the processes of care. The healthcare professionals have such a big role in recommending the patient and are thus essential for the patient portal’s successful embedding, illustrating that support</w:t>
      </w:r>
      <w:r w:rsidR="00B31F66">
        <w:rPr>
          <w:lang w:val="en-GB"/>
        </w:rPr>
        <w:t>ing them</w:t>
      </w:r>
      <w:r>
        <w:rPr>
          <w:lang w:val="en-GB"/>
        </w:rPr>
        <w:t xml:space="preserve"> throughout the process is desired. The patients’ judgement of the patient portal is also essential as they are seen as the ultimate end-users. </w:t>
      </w:r>
      <w:r w:rsidR="00173621">
        <w:rPr>
          <w:lang w:val="en-GB"/>
        </w:rPr>
        <w:t xml:space="preserve">Respondents </w:t>
      </w:r>
      <w:r w:rsidR="00455A00">
        <w:rPr>
          <w:lang w:val="en-GB"/>
        </w:rPr>
        <w:t>have</w:t>
      </w:r>
      <w:r w:rsidR="00173621">
        <w:rPr>
          <w:lang w:val="en-GB"/>
        </w:rPr>
        <w:t xml:space="preserve"> indicate</w:t>
      </w:r>
      <w:r w:rsidR="00455A00">
        <w:rPr>
          <w:lang w:val="en-GB"/>
        </w:rPr>
        <w:t>d</w:t>
      </w:r>
      <w:r w:rsidR="00173621">
        <w:rPr>
          <w:lang w:val="en-GB"/>
        </w:rPr>
        <w:t xml:space="preserve"> that e</w:t>
      </w:r>
      <w:r>
        <w:rPr>
          <w:lang w:val="en-GB"/>
        </w:rPr>
        <w:t xml:space="preserve">fforts </w:t>
      </w:r>
      <w:r w:rsidR="00173621">
        <w:rPr>
          <w:lang w:val="en-GB"/>
        </w:rPr>
        <w:t>have to</w:t>
      </w:r>
      <w:r>
        <w:rPr>
          <w:lang w:val="en-GB"/>
        </w:rPr>
        <w:t xml:space="preserve"> be made to incorporate </w:t>
      </w:r>
      <w:r w:rsidR="00173621">
        <w:rPr>
          <w:lang w:val="en-GB"/>
        </w:rPr>
        <w:t>patients’</w:t>
      </w:r>
      <w:r>
        <w:rPr>
          <w:lang w:val="en-GB"/>
        </w:rPr>
        <w:t xml:space="preserve"> feedback into improving the patient portal’s user-friendliness and intuitiveness. </w:t>
      </w:r>
      <w:r>
        <w:rPr>
          <w:i/>
          <w:iCs/>
          <w:lang w:val="en-GB"/>
        </w:rPr>
        <w:t>Individual appraisal</w:t>
      </w:r>
      <w:r w:rsidR="00173621">
        <w:rPr>
          <w:i/>
          <w:iCs/>
          <w:lang w:val="en-GB"/>
        </w:rPr>
        <w:t xml:space="preserve">: </w:t>
      </w:r>
      <w:r>
        <w:rPr>
          <w:lang w:val="en-GB"/>
        </w:rPr>
        <w:t>It should be considered that differences in patients’ underlying illnesses or conditions impact the value that is perceived by them for the patient portal. This continues in how individual healthcare professionals, depending on their medical department and departmental uptake and support, appraise the patient portal.</w:t>
      </w:r>
    </w:p>
    <w:p w14:paraId="6BD255B3" w14:textId="057EB373" w:rsidR="00A77631" w:rsidRDefault="00A77631" w:rsidP="005949F6">
      <w:pPr>
        <w:ind w:left="708"/>
        <w:jc w:val="left"/>
        <w:rPr>
          <w:i/>
          <w:iCs/>
          <w:lang w:val="en-GB"/>
        </w:rPr>
      </w:pPr>
      <w:r w:rsidRPr="005B2211">
        <w:rPr>
          <w:i/>
          <w:iCs/>
          <w:lang w:val="en-GB"/>
        </w:rPr>
        <w:t xml:space="preserve">VIPP 12.1: Every patient has a different illness or condition and every patient sees different data in the system. Therefore, it is very difficult to do this </w:t>
      </w:r>
      <w:r>
        <w:rPr>
          <w:i/>
          <w:iCs/>
          <w:lang w:val="en-GB"/>
        </w:rPr>
        <w:t>on</w:t>
      </w:r>
      <w:r w:rsidRPr="005B2211">
        <w:rPr>
          <w:i/>
          <w:iCs/>
          <w:lang w:val="en-GB"/>
        </w:rPr>
        <w:t xml:space="preserve"> full </w:t>
      </w:r>
      <w:r>
        <w:rPr>
          <w:i/>
          <w:iCs/>
          <w:lang w:val="en-GB"/>
        </w:rPr>
        <w:t>hospital scale</w:t>
      </w:r>
      <w:r w:rsidRPr="005B2211">
        <w:rPr>
          <w:i/>
          <w:iCs/>
          <w:lang w:val="en-GB"/>
        </w:rPr>
        <w:t>.</w:t>
      </w:r>
    </w:p>
    <w:p w14:paraId="3E28B04F" w14:textId="29560ACC" w:rsidR="00FB1C9A" w:rsidRDefault="00A77631" w:rsidP="00173621">
      <w:pPr>
        <w:spacing w:after="0" w:line="360" w:lineRule="auto"/>
        <w:rPr>
          <w:lang w:val="en-GB"/>
        </w:rPr>
      </w:pPr>
      <w:r>
        <w:rPr>
          <w:i/>
          <w:iCs/>
          <w:lang w:val="en-GB"/>
        </w:rPr>
        <w:lastRenderedPageBreak/>
        <w:t>Communal appraisal</w:t>
      </w:r>
      <w:r w:rsidR="00173621">
        <w:rPr>
          <w:i/>
          <w:iCs/>
          <w:lang w:val="en-GB"/>
        </w:rPr>
        <w:t xml:space="preserve">: </w:t>
      </w:r>
      <w:r>
        <w:rPr>
          <w:lang w:val="en-GB"/>
        </w:rPr>
        <w:t>As of yet, the patient portal</w:t>
      </w:r>
      <w:r w:rsidR="0079050F">
        <w:rPr>
          <w:lang w:val="en-GB"/>
        </w:rPr>
        <w:t>s</w:t>
      </w:r>
      <w:r>
        <w:rPr>
          <w:lang w:val="en-GB"/>
        </w:rPr>
        <w:t xml:space="preserve"> ha</w:t>
      </w:r>
      <w:r w:rsidR="0079050F">
        <w:rPr>
          <w:lang w:val="en-GB"/>
        </w:rPr>
        <w:t>ve</w:t>
      </w:r>
      <w:r>
        <w:rPr>
          <w:lang w:val="en-GB"/>
        </w:rPr>
        <w:t xml:space="preserve"> not been implemented thorough</w:t>
      </w:r>
      <w:r w:rsidR="005235DA">
        <w:rPr>
          <w:lang w:val="en-GB"/>
        </w:rPr>
        <w:t>ly</w:t>
      </w:r>
      <w:r>
        <w:rPr>
          <w:lang w:val="en-GB"/>
        </w:rPr>
        <w:t xml:space="preserve"> in </w:t>
      </w:r>
      <w:r w:rsidR="0079050F">
        <w:rPr>
          <w:lang w:val="en-GB"/>
        </w:rPr>
        <w:t xml:space="preserve">cases’ </w:t>
      </w:r>
      <w:r>
        <w:rPr>
          <w:lang w:val="en-GB"/>
        </w:rPr>
        <w:t xml:space="preserve">local care processes. </w:t>
      </w:r>
      <w:r w:rsidR="00B31F66">
        <w:rPr>
          <w:lang w:val="en-GB"/>
        </w:rPr>
        <w:t>Multiple cases have had</w:t>
      </w:r>
      <w:r>
        <w:rPr>
          <w:lang w:val="en-GB"/>
        </w:rPr>
        <w:t xml:space="preserve"> pilots with specific departments and </w:t>
      </w:r>
      <w:r w:rsidR="00B31F66">
        <w:rPr>
          <w:lang w:val="en-GB"/>
        </w:rPr>
        <w:t xml:space="preserve">a </w:t>
      </w:r>
      <w:r>
        <w:rPr>
          <w:lang w:val="en-GB"/>
        </w:rPr>
        <w:t>quiet go-live</w:t>
      </w:r>
      <w:r w:rsidR="00B31F66">
        <w:rPr>
          <w:lang w:val="en-GB"/>
        </w:rPr>
        <w:t xml:space="preserve">, causing </w:t>
      </w:r>
      <w:r>
        <w:rPr>
          <w:lang w:val="en-GB"/>
        </w:rPr>
        <w:t xml:space="preserve">the patient portal to be viewed as adherent in the organization overall. Also, the fact that healthcare professionals are unfamiliar with the looks and feels is an indication. </w:t>
      </w:r>
      <w:r w:rsidR="00B31F66">
        <w:rPr>
          <w:lang w:val="en-GB"/>
        </w:rPr>
        <w:t>Organizations</w:t>
      </w:r>
      <w:r>
        <w:rPr>
          <w:lang w:val="en-GB"/>
        </w:rPr>
        <w:t xml:space="preserve"> </w:t>
      </w:r>
      <w:r w:rsidR="00B31F66">
        <w:rPr>
          <w:lang w:val="en-GB"/>
        </w:rPr>
        <w:t>have</w:t>
      </w:r>
      <w:r>
        <w:rPr>
          <w:lang w:val="en-GB"/>
        </w:rPr>
        <w:t xml:space="preserve"> not really been occupied with the patient portal, which might be the result of a low prioritization</w:t>
      </w:r>
      <w:r w:rsidR="00B31F66">
        <w:rPr>
          <w:lang w:val="en-GB"/>
        </w:rPr>
        <w:t xml:space="preserve">, especially in the </w:t>
      </w:r>
      <w:r w:rsidR="00B47B26">
        <w:rPr>
          <w:lang w:val="en-GB"/>
        </w:rPr>
        <w:t xml:space="preserve">academic hospital </w:t>
      </w:r>
      <w:r w:rsidR="00B31F66">
        <w:rPr>
          <w:lang w:val="en-GB"/>
        </w:rPr>
        <w:t>case</w:t>
      </w:r>
      <w:r>
        <w:rPr>
          <w:lang w:val="en-GB"/>
        </w:rPr>
        <w:t>. Overall, in this study, the patient portal has been valued as the strategic tool that could enable the self-management of patients.</w:t>
      </w:r>
      <w:r w:rsidR="00173621">
        <w:rPr>
          <w:lang w:val="en-GB"/>
        </w:rPr>
        <w:t xml:space="preserve"> </w:t>
      </w:r>
      <w:r>
        <w:rPr>
          <w:i/>
          <w:iCs/>
          <w:lang w:val="en-GB"/>
        </w:rPr>
        <w:t>Reconfiguration</w:t>
      </w:r>
      <w:r w:rsidR="00173621">
        <w:rPr>
          <w:i/>
          <w:iCs/>
          <w:lang w:val="en-GB"/>
        </w:rPr>
        <w:t xml:space="preserve">: </w:t>
      </w:r>
      <w:r>
        <w:rPr>
          <w:lang w:val="en-GB"/>
        </w:rPr>
        <w:t xml:space="preserve">Only the signals and insights that have been </w:t>
      </w:r>
      <w:r w:rsidR="00056FDB">
        <w:rPr>
          <w:lang w:val="en-GB"/>
        </w:rPr>
        <w:t xml:space="preserve">thoroughly </w:t>
      </w:r>
      <w:r>
        <w:rPr>
          <w:lang w:val="en-GB"/>
        </w:rPr>
        <w:t xml:space="preserve">discussed within the </w:t>
      </w:r>
      <w:r w:rsidR="00512255">
        <w:rPr>
          <w:lang w:val="en-GB"/>
        </w:rPr>
        <w:t>DC</w:t>
      </w:r>
      <w:r>
        <w:rPr>
          <w:lang w:val="en-GB"/>
        </w:rPr>
        <w:t xml:space="preserve"> have seen reconfiguration. Further, the </w:t>
      </w:r>
      <w:r w:rsidR="00B47B26">
        <w:rPr>
          <w:lang w:val="en-GB"/>
        </w:rPr>
        <w:t>academic hospital</w:t>
      </w:r>
      <w:r>
        <w:rPr>
          <w:lang w:val="en-GB"/>
        </w:rPr>
        <w:t xml:space="preserve">’s patient portal has not, apart from additional functionalities, seen a lot of reconfiguration. In the </w:t>
      </w:r>
      <w:r w:rsidR="00B47B26">
        <w:rPr>
          <w:lang w:val="en-GB"/>
        </w:rPr>
        <w:t>academic hospital</w:t>
      </w:r>
      <w:r>
        <w:rPr>
          <w:lang w:val="en-GB"/>
        </w:rPr>
        <w:t>, monitoring has been limited and it is unclear how they have acted upon feedback. Whereas, the in-width study shows serious improvements whenever monitoring has been made visible on the level of the healthcare professional or department.  Further, in some VIPP-hospitals, on the patient portal specific care packages have been assembled in consultation with medical departments to support the healthcare professional in the care process and ensure tha</w:t>
      </w:r>
      <w:r w:rsidR="00FB1C9A">
        <w:rPr>
          <w:lang w:val="en-GB"/>
        </w:rPr>
        <w:t>t</w:t>
      </w:r>
      <w:r>
        <w:rPr>
          <w:lang w:val="en-GB"/>
        </w:rPr>
        <w:t xml:space="preserve"> the patient receives every bit of </w:t>
      </w:r>
      <w:r w:rsidR="00FB1C9A">
        <w:rPr>
          <w:lang w:val="en-GB"/>
        </w:rPr>
        <w:t>information possible.</w:t>
      </w:r>
    </w:p>
    <w:p w14:paraId="2535867F" w14:textId="63B0E99B" w:rsidR="00A77631" w:rsidRPr="009F0B2A" w:rsidRDefault="00A77631" w:rsidP="00A77631">
      <w:pPr>
        <w:spacing w:line="360" w:lineRule="auto"/>
        <w:rPr>
          <w:lang w:val="en-GB"/>
        </w:rPr>
      </w:pPr>
    </w:p>
    <w:p w14:paraId="11756B6A" w14:textId="77777777" w:rsidR="00A77631" w:rsidRPr="00313313" w:rsidRDefault="00A77631" w:rsidP="00A77631">
      <w:pPr>
        <w:jc w:val="left"/>
        <w:rPr>
          <w:lang w:val="en-GB"/>
        </w:rPr>
      </w:pPr>
      <w:r w:rsidRPr="00313313">
        <w:rPr>
          <w:lang w:val="en-GB"/>
        </w:rPr>
        <w:br w:type="page"/>
      </w:r>
    </w:p>
    <w:p w14:paraId="60A67A9A" w14:textId="05856EA8" w:rsidR="00A77631" w:rsidRDefault="00A77631" w:rsidP="00A77631">
      <w:pPr>
        <w:pStyle w:val="Heading1"/>
        <w:rPr>
          <w:lang w:val="en-GB"/>
        </w:rPr>
      </w:pPr>
      <w:bookmarkStart w:id="92" w:name="_Toc47522452"/>
      <w:bookmarkStart w:id="93" w:name="_Toc51862108"/>
      <w:r>
        <w:rPr>
          <w:lang w:val="en-GB"/>
        </w:rPr>
        <w:lastRenderedPageBreak/>
        <w:t>5.</w:t>
      </w:r>
      <w:r w:rsidR="00EE7AE8">
        <w:rPr>
          <w:lang w:val="en-GB"/>
        </w:rPr>
        <w:t xml:space="preserve"> Conclusion and Discussion</w:t>
      </w:r>
      <w:bookmarkEnd w:id="92"/>
      <w:bookmarkEnd w:id="93"/>
    </w:p>
    <w:p w14:paraId="6DBA4F84" w14:textId="713D9AB7" w:rsidR="00A77631" w:rsidRPr="00AA5727" w:rsidRDefault="00A77631" w:rsidP="00A77631">
      <w:pPr>
        <w:spacing w:line="360" w:lineRule="auto"/>
        <w:rPr>
          <w:lang w:val="en-GB"/>
        </w:rPr>
      </w:pPr>
      <w:r w:rsidRPr="00AA5727">
        <w:rPr>
          <w:lang w:val="en-GB"/>
        </w:rPr>
        <w:t xml:space="preserve">This chapter will assess the results of this study in terms of the NPT and NASSS framework and </w:t>
      </w:r>
      <w:r w:rsidR="00BB5FE8">
        <w:rPr>
          <w:lang w:val="en-GB"/>
        </w:rPr>
        <w:t xml:space="preserve">will </w:t>
      </w:r>
      <w:r w:rsidRPr="00AA5727">
        <w:rPr>
          <w:lang w:val="en-GB"/>
        </w:rPr>
        <w:t xml:space="preserve">answer the research’s sub questions. Subsequently, the main research question will be answered, and a reflection will be given on this research, </w:t>
      </w:r>
      <w:r w:rsidR="00845ECB">
        <w:rPr>
          <w:lang w:val="en-GB"/>
        </w:rPr>
        <w:t>assessing</w:t>
      </w:r>
      <w:r w:rsidRPr="00AA5727">
        <w:rPr>
          <w:lang w:val="en-GB"/>
        </w:rPr>
        <w:t xml:space="preserve"> the limitations and recommendations for further research and practice.</w:t>
      </w:r>
    </w:p>
    <w:p w14:paraId="1F897889" w14:textId="77777777" w:rsidR="00A77631" w:rsidRPr="00AA5727" w:rsidRDefault="00A77631" w:rsidP="00A77631">
      <w:pPr>
        <w:pStyle w:val="Heading2"/>
        <w:rPr>
          <w:lang w:val="en-GB"/>
        </w:rPr>
      </w:pPr>
      <w:bookmarkStart w:id="94" w:name="_Toc51862109"/>
      <w:r w:rsidRPr="00AA5727">
        <w:rPr>
          <w:lang w:val="en-GB"/>
        </w:rPr>
        <w:t>5.1 Answering sub-questions</w:t>
      </w:r>
      <w:bookmarkEnd w:id="94"/>
    </w:p>
    <w:p w14:paraId="77E1E3BA" w14:textId="169E9F69" w:rsidR="00A77631" w:rsidRPr="00AA5727" w:rsidRDefault="00A77631" w:rsidP="00A77631">
      <w:pPr>
        <w:ind w:left="708"/>
        <w:jc w:val="left"/>
        <w:rPr>
          <w:i/>
          <w:iCs/>
          <w:lang w:val="en-GB"/>
        </w:rPr>
      </w:pPr>
      <w:r w:rsidRPr="00AA5727">
        <w:rPr>
          <w:i/>
          <w:iCs/>
          <w:lang w:val="en-GB"/>
        </w:rPr>
        <w:t xml:space="preserve">1. What </w:t>
      </w:r>
      <w:r w:rsidR="00C272EC">
        <w:rPr>
          <w:i/>
          <w:iCs/>
          <w:lang w:val="en-GB"/>
        </w:rPr>
        <w:t>are</w:t>
      </w:r>
      <w:r w:rsidRPr="00AA5727">
        <w:rPr>
          <w:i/>
          <w:iCs/>
          <w:lang w:val="en-GB"/>
        </w:rPr>
        <w:t xml:space="preserve"> hospital</w:t>
      </w:r>
      <w:r w:rsidR="00C272EC">
        <w:rPr>
          <w:i/>
          <w:iCs/>
          <w:lang w:val="en-GB"/>
        </w:rPr>
        <w:t>s</w:t>
      </w:r>
      <w:r w:rsidRPr="00AA5727">
        <w:rPr>
          <w:i/>
          <w:iCs/>
          <w:lang w:val="en-GB"/>
        </w:rPr>
        <w:t>’ current governance and strategy towards patient portals and how was this created through the years?</w:t>
      </w:r>
    </w:p>
    <w:p w14:paraId="2E1CD5B3" w14:textId="6F76C41D" w:rsidR="00C272EC" w:rsidRDefault="00A77631" w:rsidP="00A77631">
      <w:pPr>
        <w:spacing w:line="360" w:lineRule="auto"/>
        <w:rPr>
          <w:lang w:val="en-GB"/>
        </w:rPr>
      </w:pPr>
      <w:r w:rsidRPr="00AA5727">
        <w:rPr>
          <w:lang w:val="en-GB"/>
        </w:rPr>
        <w:t xml:space="preserve">The governance </w:t>
      </w:r>
      <w:r w:rsidR="00C272EC">
        <w:rPr>
          <w:lang w:val="en-GB"/>
        </w:rPr>
        <w:t>of hospitals has been established by hospital regulations and</w:t>
      </w:r>
      <w:r w:rsidR="006B3619">
        <w:rPr>
          <w:lang w:val="en-GB"/>
        </w:rPr>
        <w:t xml:space="preserve"> is </w:t>
      </w:r>
      <w:r w:rsidR="00963F9B">
        <w:rPr>
          <w:lang w:val="en-GB"/>
        </w:rPr>
        <w:t>focused on structuring</w:t>
      </w:r>
      <w:r w:rsidR="006B3619">
        <w:rPr>
          <w:lang w:val="en-GB"/>
        </w:rPr>
        <w:t xml:space="preserve"> in vertical layers </w:t>
      </w:r>
      <w:r w:rsidR="00963F9B">
        <w:rPr>
          <w:lang w:val="en-GB"/>
        </w:rPr>
        <w:t xml:space="preserve">(Scholten et al., 2018) </w:t>
      </w:r>
      <w:r w:rsidR="006B3619">
        <w:rPr>
          <w:lang w:val="en-GB"/>
        </w:rPr>
        <w:t xml:space="preserve">on a strategic, </w:t>
      </w:r>
      <w:proofErr w:type="gramStart"/>
      <w:r w:rsidR="006B3619">
        <w:rPr>
          <w:lang w:val="en-GB"/>
        </w:rPr>
        <w:t>tactical</w:t>
      </w:r>
      <w:proofErr w:type="gramEnd"/>
      <w:r w:rsidR="006B3619">
        <w:rPr>
          <w:lang w:val="en-GB"/>
        </w:rPr>
        <w:t xml:space="preserve"> and operational level. </w:t>
      </w:r>
      <w:r w:rsidR="005D19F0">
        <w:rPr>
          <w:lang w:val="en-GB"/>
        </w:rPr>
        <w:t>In most cases</w:t>
      </w:r>
      <w:r w:rsidR="006B3619">
        <w:rPr>
          <w:lang w:val="en-GB"/>
        </w:rPr>
        <w:t xml:space="preserve"> (dedicated) teams were founded before the go-live of the EHR, which were </w:t>
      </w:r>
      <w:r w:rsidR="005D19F0">
        <w:rPr>
          <w:lang w:val="en-GB"/>
        </w:rPr>
        <w:t xml:space="preserve">held </w:t>
      </w:r>
      <w:r w:rsidR="006B3619">
        <w:rPr>
          <w:lang w:val="en-GB"/>
        </w:rPr>
        <w:t>operational responsible for the patient portal. These teams, consisting of a diversity of stakeholders,</w:t>
      </w:r>
      <w:r w:rsidR="006507A1">
        <w:rPr>
          <w:lang w:val="en-GB"/>
        </w:rPr>
        <w:t xml:space="preserve"> have focused on the development of the technology, and looked mostly into improving its technical features. Implementation of the patient portal is seen as a different task and, depending on the case, is (not) integrated within the task set of these teams. Overall, it is highly dependent on resources, such as capacity and finances, for technology development and implementation. Implementation has run into difficulties, as healthcare professionals and patients have not been addressed or involved adequately. Still, the strategy of hospitals</w:t>
      </w:r>
      <w:r w:rsidR="0079050F">
        <w:rPr>
          <w:lang w:val="en-GB"/>
        </w:rPr>
        <w:t xml:space="preserve"> over the years</w:t>
      </w:r>
      <w:r w:rsidR="006507A1">
        <w:rPr>
          <w:lang w:val="en-GB"/>
        </w:rPr>
        <w:t xml:space="preserve"> has been to stimulate patients’ self-management. However,</w:t>
      </w:r>
      <w:r w:rsidR="006507A1" w:rsidRPr="006507A1">
        <w:rPr>
          <w:lang w:val="en-GB"/>
        </w:rPr>
        <w:t xml:space="preserve"> </w:t>
      </w:r>
      <w:r w:rsidR="006507A1">
        <w:rPr>
          <w:lang w:val="en-GB"/>
        </w:rPr>
        <w:t>in most cases, apart from strategic improvements in patient portals’ functionalities, a specific strategy has not been clearly identified</w:t>
      </w:r>
      <w:r w:rsidR="004E3A19">
        <w:rPr>
          <w:lang w:val="en-GB"/>
        </w:rPr>
        <w:t xml:space="preserve"> towards the patient portal</w:t>
      </w:r>
      <w:r w:rsidR="006507A1">
        <w:rPr>
          <w:lang w:val="en-GB"/>
        </w:rPr>
        <w:t>. From a strategy-as-practice perspective, one can argue that the patient portal is designed as a patient engagement tool but often lacks the necessary practices to support it</w:t>
      </w:r>
      <w:r w:rsidR="004E3A19">
        <w:rPr>
          <w:lang w:val="en-GB"/>
        </w:rPr>
        <w:t>. The patient portal has mostly seen aversion rather than adoption, and repeatedly lacked resources</w:t>
      </w:r>
      <w:r w:rsidR="0079050F">
        <w:rPr>
          <w:lang w:val="en-GB"/>
        </w:rPr>
        <w:t>,</w:t>
      </w:r>
      <w:r w:rsidR="004E3A19">
        <w:rPr>
          <w:lang w:val="en-GB"/>
        </w:rPr>
        <w:t xml:space="preserve"> resulting in limited advantages. The role, position and support the patient portal can play in respect to improving person-oriented and value-based healthcare should therefore be formulated more specifically</w:t>
      </w:r>
      <w:r w:rsidR="00805EB1">
        <w:rPr>
          <w:lang w:val="en-GB"/>
        </w:rPr>
        <w:t xml:space="preserve"> (</w:t>
      </w:r>
      <w:proofErr w:type="spellStart"/>
      <w:r w:rsidR="00805EB1">
        <w:rPr>
          <w:lang w:val="en-GB"/>
        </w:rPr>
        <w:t>Hulter</w:t>
      </w:r>
      <w:proofErr w:type="spellEnd"/>
      <w:r w:rsidR="00805EB1">
        <w:rPr>
          <w:lang w:val="en-GB"/>
        </w:rPr>
        <w:t xml:space="preserve"> et al., 2019)</w:t>
      </w:r>
      <w:r w:rsidR="004E3A19">
        <w:rPr>
          <w:lang w:val="en-GB"/>
        </w:rPr>
        <w:t>.</w:t>
      </w:r>
    </w:p>
    <w:p w14:paraId="4A9CEC6F" w14:textId="77777777" w:rsidR="00A77631" w:rsidRPr="00AA5727" w:rsidRDefault="00A77631" w:rsidP="00A77631">
      <w:pPr>
        <w:ind w:left="708"/>
        <w:jc w:val="left"/>
        <w:rPr>
          <w:i/>
          <w:iCs/>
          <w:lang w:val="en-GB"/>
        </w:rPr>
      </w:pPr>
      <w:r w:rsidRPr="00AA5727">
        <w:rPr>
          <w:i/>
          <w:iCs/>
          <w:lang w:val="en-GB"/>
        </w:rPr>
        <w:t>2. How has the embedding of patient portals in local care processes been organized and how did it work out in practice?</w:t>
      </w:r>
    </w:p>
    <w:p w14:paraId="7228B169" w14:textId="03C64AD0" w:rsidR="004939BE" w:rsidRDefault="00140A3C" w:rsidP="00A77631">
      <w:pPr>
        <w:spacing w:line="360" w:lineRule="auto"/>
        <w:rPr>
          <w:lang w:val="en-GB"/>
        </w:rPr>
      </w:pPr>
      <w:r>
        <w:rPr>
          <w:lang w:val="en-GB"/>
        </w:rPr>
        <w:t xml:space="preserve">Often, the embedding of the patient portal in local care processes has fallen short. This is often due to </w:t>
      </w:r>
      <w:r w:rsidR="00A77631" w:rsidRPr="00AA5727">
        <w:rPr>
          <w:lang w:val="en-GB"/>
        </w:rPr>
        <w:t xml:space="preserve">the division of responsibility between </w:t>
      </w:r>
      <w:r>
        <w:rPr>
          <w:lang w:val="en-GB"/>
        </w:rPr>
        <w:t xml:space="preserve">the technical and functional management of the patient portal, </w:t>
      </w:r>
      <w:r w:rsidR="004939BE">
        <w:rPr>
          <w:lang w:val="en-GB"/>
        </w:rPr>
        <w:t xml:space="preserve">the low prioritization it has gotten within the organization, and </w:t>
      </w:r>
      <w:r>
        <w:rPr>
          <w:lang w:val="en-GB"/>
        </w:rPr>
        <w:t xml:space="preserve">the fact that teams are not always dedicated and individuals have their own task and responsibilities next to this </w:t>
      </w:r>
      <w:r w:rsidR="00BF76C3">
        <w:rPr>
          <w:lang w:val="en-GB"/>
        </w:rPr>
        <w:t xml:space="preserve">team’s </w:t>
      </w:r>
      <w:r>
        <w:rPr>
          <w:lang w:val="en-GB"/>
        </w:rPr>
        <w:t>work</w:t>
      </w:r>
      <w:r w:rsidR="004939BE">
        <w:rPr>
          <w:lang w:val="en-GB"/>
        </w:rPr>
        <w:t>.</w:t>
      </w:r>
      <w:r w:rsidR="00A77631" w:rsidRPr="00AA5727">
        <w:rPr>
          <w:lang w:val="en-GB"/>
        </w:rPr>
        <w:t xml:space="preserve"> This is </w:t>
      </w:r>
      <w:r w:rsidR="00845ECB">
        <w:rPr>
          <w:lang w:val="en-GB"/>
        </w:rPr>
        <w:t>visible</w:t>
      </w:r>
      <w:r w:rsidR="00A77631" w:rsidRPr="00AA5727">
        <w:rPr>
          <w:lang w:val="en-GB"/>
        </w:rPr>
        <w:t xml:space="preserve"> by the </w:t>
      </w:r>
      <w:r w:rsidR="00845ECB">
        <w:rPr>
          <w:lang w:val="en-GB"/>
        </w:rPr>
        <w:t>insufficient allocation of</w:t>
      </w:r>
      <w:r w:rsidR="00A77631" w:rsidRPr="00AA5727">
        <w:rPr>
          <w:lang w:val="en-GB"/>
        </w:rPr>
        <w:t xml:space="preserve"> resources throughout the process of implementation. Consequently, the patient portal has been approached by healthcare professionals as an attachment </w:t>
      </w:r>
      <w:r w:rsidR="00A77631" w:rsidRPr="00AA5727">
        <w:rPr>
          <w:lang w:val="en-GB"/>
        </w:rPr>
        <w:lastRenderedPageBreak/>
        <w:t xml:space="preserve">to the EHR, </w:t>
      </w:r>
      <w:r w:rsidR="00845ECB">
        <w:rPr>
          <w:lang w:val="en-GB"/>
        </w:rPr>
        <w:t xml:space="preserve">and </w:t>
      </w:r>
      <w:r w:rsidR="00A73A02">
        <w:rPr>
          <w:lang w:val="en-GB"/>
        </w:rPr>
        <w:t>consequently</w:t>
      </w:r>
      <w:r w:rsidR="00845ECB">
        <w:rPr>
          <w:lang w:val="en-GB"/>
        </w:rPr>
        <w:t xml:space="preserve"> </w:t>
      </w:r>
      <w:r w:rsidR="004939BE">
        <w:rPr>
          <w:lang w:val="en-GB"/>
        </w:rPr>
        <w:t xml:space="preserve">they </w:t>
      </w:r>
      <w:r w:rsidR="00845ECB">
        <w:rPr>
          <w:lang w:val="en-GB"/>
        </w:rPr>
        <w:t>have limited knowledge of the patient portal</w:t>
      </w:r>
      <w:r w:rsidR="004939BE">
        <w:rPr>
          <w:lang w:val="en-GB"/>
        </w:rPr>
        <w:t xml:space="preserve">, </w:t>
      </w:r>
      <w:r w:rsidR="00845ECB">
        <w:rPr>
          <w:lang w:val="en-GB"/>
        </w:rPr>
        <w:t>its potential value</w:t>
      </w:r>
      <w:r w:rsidR="004939BE">
        <w:rPr>
          <w:lang w:val="en-GB"/>
        </w:rPr>
        <w:t xml:space="preserve"> and </w:t>
      </w:r>
      <w:r w:rsidR="005D19F0">
        <w:rPr>
          <w:lang w:val="en-GB"/>
        </w:rPr>
        <w:t xml:space="preserve">often </w:t>
      </w:r>
      <w:r w:rsidR="004939BE">
        <w:rPr>
          <w:lang w:val="en-GB"/>
        </w:rPr>
        <w:t>do not promote it to patients</w:t>
      </w:r>
      <w:r w:rsidR="00A77631" w:rsidRPr="00AA5727">
        <w:rPr>
          <w:lang w:val="en-GB"/>
        </w:rPr>
        <w:t xml:space="preserve">. </w:t>
      </w:r>
      <w:r w:rsidR="00A02FB7">
        <w:rPr>
          <w:lang w:val="en-GB"/>
        </w:rPr>
        <w:t xml:space="preserve">The efforts that were made to promote the patient portal internally differ in most cases, ranging from </w:t>
      </w:r>
      <w:r w:rsidR="005D19F0">
        <w:rPr>
          <w:lang w:val="en-GB"/>
        </w:rPr>
        <w:t>in-person</w:t>
      </w:r>
      <w:r w:rsidR="00A02FB7">
        <w:rPr>
          <w:lang w:val="en-GB"/>
        </w:rPr>
        <w:t xml:space="preserve"> conversations and departmental discussion</w:t>
      </w:r>
      <w:r w:rsidR="005D19F0">
        <w:rPr>
          <w:lang w:val="en-GB"/>
        </w:rPr>
        <w:t>s</w:t>
      </w:r>
      <w:r w:rsidR="00A02FB7">
        <w:rPr>
          <w:lang w:val="en-GB"/>
        </w:rPr>
        <w:t xml:space="preserve"> to digital hospital-wide messages. Also, the frequency has differed from very active and involved</w:t>
      </w:r>
      <w:r w:rsidR="005C585E">
        <w:rPr>
          <w:lang w:val="en-GB"/>
        </w:rPr>
        <w:t>, such as roadmaps and workshops,</w:t>
      </w:r>
      <w:r w:rsidR="00A02FB7">
        <w:rPr>
          <w:lang w:val="en-GB"/>
        </w:rPr>
        <w:t xml:space="preserve"> to </w:t>
      </w:r>
      <w:r w:rsidR="005C585E">
        <w:rPr>
          <w:lang w:val="en-GB"/>
        </w:rPr>
        <w:t>efforts of passive nature, like incidental presentations. Serious</w:t>
      </w:r>
      <w:r w:rsidR="005D19F0">
        <w:rPr>
          <w:lang w:val="en-GB"/>
        </w:rPr>
        <w:t>, continued</w:t>
      </w:r>
      <w:r w:rsidR="005C585E">
        <w:rPr>
          <w:lang w:val="en-GB"/>
        </w:rPr>
        <w:t xml:space="preserve"> efforts have shown to be beneficial in the uptake of the patient portal by healthcare professionals and therefore patients, for which external </w:t>
      </w:r>
      <w:r w:rsidR="00263CBF">
        <w:rPr>
          <w:lang w:val="en-GB"/>
        </w:rPr>
        <w:t xml:space="preserve">promotion through various communication campaigns </w:t>
      </w:r>
      <w:r w:rsidR="00325FC3">
        <w:rPr>
          <w:lang w:val="en-GB"/>
        </w:rPr>
        <w:t>also has seemed to play a rol</w:t>
      </w:r>
      <w:r w:rsidR="00805EB1">
        <w:rPr>
          <w:lang w:val="en-GB"/>
        </w:rPr>
        <w:t>e</w:t>
      </w:r>
      <w:r w:rsidR="00A73A02">
        <w:rPr>
          <w:lang w:val="en-GB"/>
        </w:rPr>
        <w:t xml:space="preserve"> (</w:t>
      </w:r>
      <w:proofErr w:type="spellStart"/>
      <w:r w:rsidR="00A73A02">
        <w:rPr>
          <w:lang w:val="en-GB"/>
        </w:rPr>
        <w:t>Hulter</w:t>
      </w:r>
      <w:proofErr w:type="spellEnd"/>
      <w:r w:rsidR="00A73A02">
        <w:rPr>
          <w:lang w:val="en-GB"/>
        </w:rPr>
        <w:t xml:space="preserve"> et al., 2019)</w:t>
      </w:r>
      <w:r w:rsidR="005C585E">
        <w:rPr>
          <w:lang w:val="en-GB"/>
        </w:rPr>
        <w:t xml:space="preserve">.  </w:t>
      </w:r>
    </w:p>
    <w:p w14:paraId="59D60717" w14:textId="77777777" w:rsidR="00A77631" w:rsidRPr="00AA5727" w:rsidRDefault="00A77631" w:rsidP="00A77631">
      <w:pPr>
        <w:ind w:left="708"/>
        <w:jc w:val="left"/>
        <w:rPr>
          <w:i/>
          <w:iCs/>
          <w:lang w:val="en-GB"/>
        </w:rPr>
      </w:pPr>
      <w:r w:rsidRPr="00AA5727">
        <w:rPr>
          <w:i/>
          <w:iCs/>
          <w:lang w:val="en-GB"/>
        </w:rPr>
        <w:t>3. How can hospital governance and strategy strengthen the embedding of the patient portal and ensure an increased and sustained use of patient portals?</w:t>
      </w:r>
    </w:p>
    <w:p w14:paraId="02DAEA28" w14:textId="6A36E673" w:rsidR="00A77631" w:rsidRDefault="00A77631" w:rsidP="00A77631">
      <w:pPr>
        <w:spacing w:line="360" w:lineRule="auto"/>
        <w:rPr>
          <w:lang w:val="en-GB"/>
        </w:rPr>
      </w:pPr>
      <w:r w:rsidRPr="00AA5727">
        <w:rPr>
          <w:lang w:val="en-GB"/>
        </w:rPr>
        <w:t>Initially, the embedding of the patient portal can be strengthened by giving it</w:t>
      </w:r>
      <w:r w:rsidR="009F1693">
        <w:rPr>
          <w:lang w:val="en-GB"/>
        </w:rPr>
        <w:t xml:space="preserve"> </w:t>
      </w:r>
      <w:r w:rsidR="00B21FB6">
        <w:rPr>
          <w:lang w:val="en-GB"/>
        </w:rPr>
        <w:t>strategic</w:t>
      </w:r>
      <w:r w:rsidR="009F1693">
        <w:rPr>
          <w:lang w:val="en-GB"/>
        </w:rPr>
        <w:t xml:space="preserve"> priority</w:t>
      </w:r>
      <w:r w:rsidR="00325FC3">
        <w:rPr>
          <w:lang w:val="en-GB"/>
        </w:rPr>
        <w:t xml:space="preserve"> and actively managing it</w:t>
      </w:r>
      <w:r w:rsidR="00B21FB6">
        <w:rPr>
          <w:lang w:val="en-GB"/>
        </w:rPr>
        <w:t xml:space="preserve"> (Wakefield et al., 2010)</w:t>
      </w:r>
      <w:r w:rsidRPr="00AA5727">
        <w:rPr>
          <w:lang w:val="en-GB"/>
        </w:rPr>
        <w:t xml:space="preserve">. This prioritization should be supported with resources, top-down support, and bottom-up communication. </w:t>
      </w:r>
      <w:r w:rsidR="00325FC3">
        <w:rPr>
          <w:lang w:val="en-GB"/>
        </w:rPr>
        <w:t>Informing</w:t>
      </w:r>
      <w:r w:rsidRPr="00AA5727">
        <w:rPr>
          <w:lang w:val="en-GB"/>
        </w:rPr>
        <w:t xml:space="preserve"> healthcare professionals and patients on the potential benefits the patient portal could have on the healthcare process</w:t>
      </w:r>
      <w:r w:rsidR="00325FC3">
        <w:rPr>
          <w:lang w:val="en-GB"/>
        </w:rPr>
        <w:t xml:space="preserve"> is essential</w:t>
      </w:r>
      <w:r w:rsidRPr="00AA5727">
        <w:rPr>
          <w:lang w:val="en-GB"/>
        </w:rPr>
        <w:t>. The organization should focus on the patient portal as a strategic tool in promoting self-management of patients and incorporate it into regular practice and local care processes</w:t>
      </w:r>
      <w:r w:rsidR="00805EB1">
        <w:rPr>
          <w:lang w:val="en-GB"/>
        </w:rPr>
        <w:t xml:space="preserve">, </w:t>
      </w:r>
      <w:r w:rsidR="00A73A02">
        <w:rPr>
          <w:lang w:val="en-GB"/>
        </w:rPr>
        <w:t xml:space="preserve">thus </w:t>
      </w:r>
      <w:r w:rsidR="00805EB1">
        <w:rPr>
          <w:lang w:val="en-GB"/>
        </w:rPr>
        <w:t xml:space="preserve">combining the </w:t>
      </w:r>
      <w:r w:rsidR="00263CBF">
        <w:rPr>
          <w:lang w:val="en-GB"/>
        </w:rPr>
        <w:t>strategy</w:t>
      </w:r>
      <w:r w:rsidR="00805EB1">
        <w:rPr>
          <w:lang w:val="en-GB"/>
        </w:rPr>
        <w:t xml:space="preserve"> practices of Rouleau (2013)</w:t>
      </w:r>
      <w:r w:rsidRPr="00AA5727">
        <w:rPr>
          <w:lang w:val="en-GB"/>
        </w:rPr>
        <w:t>. The increased and sustained use of the patient portal can be ensured by setting up clear expectations and monitor performance</w:t>
      </w:r>
      <w:r w:rsidR="009F1693">
        <w:rPr>
          <w:lang w:val="en-GB"/>
        </w:rPr>
        <w:t xml:space="preserve"> on regular basis</w:t>
      </w:r>
      <w:r w:rsidR="00DA607F">
        <w:rPr>
          <w:lang w:val="en-GB"/>
        </w:rPr>
        <w:t xml:space="preserve"> (Greenhalgh et al., 2018)</w:t>
      </w:r>
      <w:r w:rsidRPr="00AA5727">
        <w:rPr>
          <w:lang w:val="en-GB"/>
        </w:rPr>
        <w:t>. Specifically</w:t>
      </w:r>
      <w:r>
        <w:rPr>
          <w:lang w:val="en-GB"/>
        </w:rPr>
        <w:t>,</w:t>
      </w:r>
      <w:r w:rsidRPr="00AA5727">
        <w:rPr>
          <w:lang w:val="en-GB"/>
        </w:rPr>
        <w:t xml:space="preserve"> </w:t>
      </w:r>
      <w:r>
        <w:rPr>
          <w:lang w:val="en-GB"/>
        </w:rPr>
        <w:t>engaging</w:t>
      </w:r>
      <w:r w:rsidRPr="00AA5727">
        <w:rPr>
          <w:lang w:val="en-GB"/>
        </w:rPr>
        <w:t xml:space="preserve"> healthcare professionals with the patient portal enables them to influence patients as well. By assessing their opinions in the implementation process it </w:t>
      </w:r>
      <w:r w:rsidR="009F1693">
        <w:rPr>
          <w:lang w:val="en-GB"/>
        </w:rPr>
        <w:t>may</w:t>
      </w:r>
      <w:r w:rsidRPr="00AA5727">
        <w:rPr>
          <w:lang w:val="en-GB"/>
        </w:rPr>
        <w:t xml:space="preserve"> be understood how </w:t>
      </w:r>
      <w:r w:rsidR="009F1693">
        <w:rPr>
          <w:lang w:val="en-GB"/>
        </w:rPr>
        <w:t>adoption and usage can be improved.</w:t>
      </w:r>
    </w:p>
    <w:p w14:paraId="2355B595" w14:textId="77777777" w:rsidR="00A77631" w:rsidRPr="00AA5727" w:rsidRDefault="00A77631" w:rsidP="00A77631">
      <w:pPr>
        <w:pStyle w:val="Heading2"/>
        <w:rPr>
          <w:lang w:val="en-GB"/>
        </w:rPr>
      </w:pPr>
      <w:bookmarkStart w:id="95" w:name="_Toc51862110"/>
      <w:r w:rsidRPr="00AA5727">
        <w:rPr>
          <w:lang w:val="en-GB"/>
        </w:rPr>
        <w:t>5.2 Conclusion</w:t>
      </w:r>
      <w:bookmarkEnd w:id="95"/>
    </w:p>
    <w:p w14:paraId="2A23DFB0" w14:textId="77777777" w:rsidR="00A77631" w:rsidRPr="00AA5727" w:rsidRDefault="00A77631" w:rsidP="00A77631">
      <w:pPr>
        <w:spacing w:line="360" w:lineRule="auto"/>
        <w:rPr>
          <w:i/>
          <w:iCs/>
          <w:lang w:val="en-GB"/>
        </w:rPr>
      </w:pPr>
      <w:r w:rsidRPr="00AA5727">
        <w:rPr>
          <w:lang w:val="en-GB"/>
        </w:rPr>
        <w:t xml:space="preserve">In the </w:t>
      </w:r>
      <w:r>
        <w:rPr>
          <w:lang w:val="en-GB"/>
        </w:rPr>
        <w:t>paragraph</w:t>
      </w:r>
      <w:r w:rsidRPr="00AA5727">
        <w:rPr>
          <w:lang w:val="en-GB"/>
        </w:rPr>
        <w:t xml:space="preserve"> above the sub-questions were answered, which means that the research’s main question can be answered in this </w:t>
      </w:r>
      <w:r>
        <w:rPr>
          <w:lang w:val="en-GB"/>
        </w:rPr>
        <w:t>paragraph</w:t>
      </w:r>
      <w:r w:rsidRPr="00AA5727">
        <w:rPr>
          <w:lang w:val="en-GB"/>
        </w:rPr>
        <w:t xml:space="preserve">. The research question is as follows: </w:t>
      </w:r>
      <w:r w:rsidRPr="00AA5727">
        <w:rPr>
          <w:i/>
          <w:iCs/>
          <w:lang w:val="en-GB"/>
        </w:rPr>
        <w:t>How does hospital governance and strategy contribute to the embedding of patient portals in care processes and the stimulation of use by staff and patients?</w:t>
      </w:r>
    </w:p>
    <w:p w14:paraId="6083ECE1" w14:textId="3F440EB7" w:rsidR="004C71A0" w:rsidRDefault="00A77631" w:rsidP="00A77631">
      <w:pPr>
        <w:spacing w:line="360" w:lineRule="auto"/>
        <w:rPr>
          <w:lang w:val="en-GB"/>
        </w:rPr>
      </w:pPr>
      <w:r w:rsidRPr="00AA5727">
        <w:rPr>
          <w:lang w:val="en-GB"/>
        </w:rPr>
        <w:t xml:space="preserve">Hospital governance and strategy contribute to the embedding of patient portals </w:t>
      </w:r>
      <w:r>
        <w:rPr>
          <w:lang w:val="en-GB"/>
        </w:rPr>
        <w:t>as</w:t>
      </w:r>
      <w:r w:rsidRPr="00AA5727">
        <w:rPr>
          <w:lang w:val="en-GB"/>
        </w:rPr>
        <w:t xml:space="preserve"> they are essential for hospital business operations</w:t>
      </w:r>
      <w:r w:rsidR="009F1693">
        <w:rPr>
          <w:lang w:val="en-GB"/>
        </w:rPr>
        <w:t>, information provision</w:t>
      </w:r>
      <w:r w:rsidRPr="00AA5727">
        <w:rPr>
          <w:lang w:val="en-GB"/>
        </w:rPr>
        <w:t xml:space="preserve"> and coordination. A hospital’s governance ensures clarity on what responsibilities must be taken by whom and establishes a framework for </w:t>
      </w:r>
      <w:r w:rsidR="009F1693">
        <w:rPr>
          <w:lang w:val="en-GB"/>
        </w:rPr>
        <w:t>required</w:t>
      </w:r>
      <w:r w:rsidRPr="00AA5727">
        <w:rPr>
          <w:lang w:val="en-GB"/>
        </w:rPr>
        <w:t xml:space="preserve"> interactions</w:t>
      </w:r>
      <w:r w:rsidR="00A73A02">
        <w:rPr>
          <w:lang w:val="en-GB"/>
        </w:rPr>
        <w:t xml:space="preserve"> (Scholten et al. 2018)</w:t>
      </w:r>
      <w:r w:rsidRPr="00AA5727">
        <w:rPr>
          <w:lang w:val="en-GB"/>
        </w:rPr>
        <w:t>.</w:t>
      </w:r>
      <w:r w:rsidR="00152A60">
        <w:rPr>
          <w:lang w:val="en-GB"/>
        </w:rPr>
        <w:t xml:space="preserve"> Hospital’s strategy and vision then</w:t>
      </w:r>
      <w:r w:rsidRPr="00AA5727">
        <w:rPr>
          <w:lang w:val="en-GB"/>
        </w:rPr>
        <w:t xml:space="preserve"> illustrates </w:t>
      </w:r>
      <w:r w:rsidR="00152A60">
        <w:rPr>
          <w:lang w:val="en-GB"/>
        </w:rPr>
        <w:t xml:space="preserve">what and </w:t>
      </w:r>
      <w:r w:rsidRPr="00AA5727">
        <w:rPr>
          <w:lang w:val="en-GB"/>
        </w:rPr>
        <w:t xml:space="preserve">how this must </w:t>
      </w:r>
      <w:r w:rsidR="009F1693">
        <w:rPr>
          <w:lang w:val="en-GB"/>
        </w:rPr>
        <w:t>be done</w:t>
      </w:r>
      <w:r w:rsidR="00A73A02">
        <w:rPr>
          <w:lang w:val="en-GB"/>
        </w:rPr>
        <w:t xml:space="preserve"> (</w:t>
      </w:r>
      <w:proofErr w:type="spellStart"/>
      <w:r w:rsidR="00A73A02">
        <w:rPr>
          <w:lang w:val="en-GB"/>
        </w:rPr>
        <w:t>Spee</w:t>
      </w:r>
      <w:proofErr w:type="spellEnd"/>
      <w:r w:rsidR="00A73A02">
        <w:rPr>
          <w:lang w:val="en-GB"/>
        </w:rPr>
        <w:t xml:space="preserve"> &amp; </w:t>
      </w:r>
      <w:proofErr w:type="spellStart"/>
      <w:r w:rsidR="00A73A02">
        <w:rPr>
          <w:lang w:val="en-GB"/>
        </w:rPr>
        <w:t>Jarzabkowski</w:t>
      </w:r>
      <w:proofErr w:type="spellEnd"/>
      <w:r w:rsidR="00A73A02">
        <w:rPr>
          <w:lang w:val="en-GB"/>
        </w:rPr>
        <w:t>, 2009)</w:t>
      </w:r>
      <w:r w:rsidRPr="00AA5727">
        <w:rPr>
          <w:lang w:val="en-GB"/>
        </w:rPr>
        <w:t xml:space="preserve">. In this study, </w:t>
      </w:r>
      <w:r>
        <w:rPr>
          <w:lang w:val="en-GB"/>
        </w:rPr>
        <w:t xml:space="preserve">actual </w:t>
      </w:r>
      <w:r w:rsidRPr="00AA5727">
        <w:rPr>
          <w:lang w:val="en-GB"/>
        </w:rPr>
        <w:t>involvement with the patient portal has been limited</w:t>
      </w:r>
      <w:r>
        <w:rPr>
          <w:lang w:val="en-GB"/>
        </w:rPr>
        <w:t xml:space="preserve"> from a governance and strategy perspective</w:t>
      </w:r>
      <w:r w:rsidRPr="00AA5727">
        <w:rPr>
          <w:lang w:val="en-GB"/>
        </w:rPr>
        <w:t xml:space="preserve">. </w:t>
      </w:r>
      <w:r>
        <w:rPr>
          <w:lang w:val="en-GB"/>
        </w:rPr>
        <w:t>In practice it</w:t>
      </w:r>
      <w:r w:rsidRPr="00AA5727">
        <w:rPr>
          <w:lang w:val="en-GB"/>
        </w:rPr>
        <w:t xml:space="preserve"> has counted on </w:t>
      </w:r>
      <w:r>
        <w:rPr>
          <w:lang w:val="en-GB"/>
        </w:rPr>
        <w:t>low</w:t>
      </w:r>
      <w:r w:rsidRPr="00AA5727">
        <w:rPr>
          <w:lang w:val="en-GB"/>
        </w:rPr>
        <w:t xml:space="preserve"> prioritization, despite showing multiple similarities with strategic </w:t>
      </w:r>
      <w:r w:rsidRPr="00AA5727">
        <w:rPr>
          <w:lang w:val="en-GB"/>
        </w:rPr>
        <w:lastRenderedPageBreak/>
        <w:t>goals</w:t>
      </w:r>
      <w:r w:rsidR="008473CB">
        <w:rPr>
          <w:lang w:val="en-GB"/>
        </w:rPr>
        <w:t>, like person-oriented and value-based healthcare</w:t>
      </w:r>
      <w:r w:rsidRPr="00AA5727">
        <w:rPr>
          <w:lang w:val="en-GB"/>
        </w:rPr>
        <w:t xml:space="preserve">. </w:t>
      </w:r>
      <w:r w:rsidR="00152A60" w:rsidRPr="008473CB">
        <w:rPr>
          <w:lang w:val="en-GB"/>
        </w:rPr>
        <w:t>In the case of</w:t>
      </w:r>
      <w:r w:rsidR="00152A60">
        <w:rPr>
          <w:lang w:val="en-GB"/>
        </w:rPr>
        <w:t xml:space="preserve"> </w:t>
      </w:r>
      <w:r w:rsidR="00B47B26">
        <w:rPr>
          <w:lang w:val="en-GB"/>
        </w:rPr>
        <w:t xml:space="preserve">the academic hospital </w:t>
      </w:r>
      <w:r w:rsidR="00152A60">
        <w:rPr>
          <w:lang w:val="en-GB"/>
        </w:rPr>
        <w:t>t</w:t>
      </w:r>
      <w:r w:rsidRPr="00AA5727">
        <w:rPr>
          <w:lang w:val="en-GB"/>
        </w:rPr>
        <w:t xml:space="preserve">his has ensured that embedding in local care processes and stimulation of use by </w:t>
      </w:r>
      <w:r w:rsidR="008473CB">
        <w:rPr>
          <w:lang w:val="en-GB"/>
        </w:rPr>
        <w:t xml:space="preserve">patients and </w:t>
      </w:r>
      <w:r w:rsidRPr="00AA5727">
        <w:rPr>
          <w:lang w:val="en-GB"/>
        </w:rPr>
        <w:t>staff falls behind with VIPP-hospitals</w:t>
      </w:r>
      <w:r>
        <w:rPr>
          <w:lang w:val="en-GB"/>
        </w:rPr>
        <w:t xml:space="preserve"> from the in-width study</w:t>
      </w:r>
      <w:r w:rsidRPr="00AA5727">
        <w:rPr>
          <w:lang w:val="en-GB"/>
        </w:rPr>
        <w:t xml:space="preserve">. </w:t>
      </w:r>
      <w:r>
        <w:rPr>
          <w:lang w:val="en-GB"/>
        </w:rPr>
        <w:t xml:space="preserve">The VIPP-programme partly explains this difference, but especially highlights </w:t>
      </w:r>
      <w:r w:rsidR="00B47B26">
        <w:rPr>
          <w:lang w:val="en-GB"/>
        </w:rPr>
        <w:t>academic hospital</w:t>
      </w:r>
      <w:r>
        <w:rPr>
          <w:lang w:val="en-GB"/>
        </w:rPr>
        <w:t xml:space="preserve">’s importance to tackle </w:t>
      </w:r>
      <w:r w:rsidR="009F1693">
        <w:rPr>
          <w:lang w:val="en-GB"/>
        </w:rPr>
        <w:t>the</w:t>
      </w:r>
      <w:r>
        <w:rPr>
          <w:lang w:val="en-GB"/>
        </w:rPr>
        <w:t xml:space="preserve"> issue</w:t>
      </w:r>
      <w:r w:rsidR="009F1693">
        <w:rPr>
          <w:lang w:val="en-GB"/>
        </w:rPr>
        <w:t>s</w:t>
      </w:r>
      <w:r>
        <w:rPr>
          <w:lang w:val="en-GB"/>
        </w:rPr>
        <w:t xml:space="preserve"> internally. The lack of resources has heavily impacted the awareness and commitment of healthcare professionals towards the patient portal, and consequently that of patients. The priorit</w:t>
      </w:r>
      <w:r w:rsidR="009F1693">
        <w:rPr>
          <w:lang w:val="en-GB"/>
        </w:rPr>
        <w:t>y</w:t>
      </w:r>
      <w:r>
        <w:rPr>
          <w:lang w:val="en-GB"/>
        </w:rPr>
        <w:t xml:space="preserve"> given to the patient portal is essential in the further </w:t>
      </w:r>
      <w:r w:rsidR="009F1693">
        <w:rPr>
          <w:lang w:val="en-GB"/>
        </w:rPr>
        <w:t>development</w:t>
      </w:r>
      <w:r>
        <w:rPr>
          <w:lang w:val="en-GB"/>
        </w:rPr>
        <w:t xml:space="preserve"> of the patient portal. For the patient portal’s embedding it should be assessed and accounted for on multiple levels of the organization</w:t>
      </w:r>
      <w:r w:rsidR="0079050F">
        <w:rPr>
          <w:lang w:val="en-GB"/>
        </w:rPr>
        <w:t xml:space="preserve"> (Pronovost et al., 2018)</w:t>
      </w:r>
      <w:r>
        <w:rPr>
          <w:lang w:val="en-GB"/>
        </w:rPr>
        <w:t xml:space="preserve">. It is only then that governance and strategy can contribute to its embedding and stimulate its use. This study has shown that actual, perhaps tangible, strategy practices are vital in the implementation phase. Communication plays a major role in the overall process </w:t>
      </w:r>
      <w:r w:rsidR="008473CB">
        <w:rPr>
          <w:lang w:val="en-GB"/>
        </w:rPr>
        <w:t>(</w:t>
      </w:r>
      <w:proofErr w:type="spellStart"/>
      <w:r w:rsidR="008473CB">
        <w:rPr>
          <w:lang w:val="en-GB"/>
        </w:rPr>
        <w:t>Hulter</w:t>
      </w:r>
      <w:proofErr w:type="spellEnd"/>
      <w:r w:rsidR="008473CB">
        <w:rPr>
          <w:lang w:val="en-GB"/>
        </w:rPr>
        <w:t xml:space="preserve"> et al., 2019) </w:t>
      </w:r>
      <w:r>
        <w:rPr>
          <w:lang w:val="en-GB"/>
        </w:rPr>
        <w:t>and should support the internal configuration and external application.</w:t>
      </w:r>
      <w:r w:rsidR="00152A60">
        <w:rPr>
          <w:lang w:val="en-GB"/>
        </w:rPr>
        <w:t xml:space="preserve"> </w:t>
      </w:r>
      <w:r w:rsidR="004C71A0">
        <w:rPr>
          <w:lang w:val="en-GB"/>
        </w:rPr>
        <w:t>The complexity of the patient portal should be reduced as much as possible</w:t>
      </w:r>
      <w:r w:rsidR="008473CB">
        <w:rPr>
          <w:lang w:val="en-GB"/>
        </w:rPr>
        <w:t>.</w:t>
      </w:r>
      <w:r w:rsidR="004C71A0">
        <w:rPr>
          <w:lang w:val="en-GB"/>
        </w:rPr>
        <w:t xml:space="preserve"> Greenhalgh et al. (2018, p. 13) propose to “assess the nature and extent of complexity, establish overall leadership, craft and sustain a vision, create incentives, respond adaptively as it evolves, control growth, create slack, and manage the tension between innovation and implementation”. Overall, the results have indicated that patient portal</w:t>
      </w:r>
      <w:r w:rsidR="00B21FB6">
        <w:rPr>
          <w:lang w:val="en-GB"/>
        </w:rPr>
        <w:t>s</w:t>
      </w:r>
      <w:r w:rsidR="004C71A0">
        <w:rPr>
          <w:lang w:val="en-GB"/>
        </w:rPr>
        <w:t xml:space="preserve"> ha</w:t>
      </w:r>
      <w:r w:rsidR="00B21FB6">
        <w:rPr>
          <w:lang w:val="en-GB"/>
        </w:rPr>
        <w:t>ve</w:t>
      </w:r>
      <w:r w:rsidR="004C71A0">
        <w:rPr>
          <w:lang w:val="en-GB"/>
        </w:rPr>
        <w:t xml:space="preserve"> not met </w:t>
      </w:r>
      <w:r w:rsidR="00B21FB6">
        <w:rPr>
          <w:lang w:val="en-GB"/>
        </w:rPr>
        <w:t>their</w:t>
      </w:r>
      <w:r w:rsidR="004C71A0">
        <w:rPr>
          <w:lang w:val="en-GB"/>
        </w:rPr>
        <w:t xml:space="preserve"> potential yet and ha</w:t>
      </w:r>
      <w:r w:rsidR="00B21FB6">
        <w:rPr>
          <w:lang w:val="en-GB"/>
        </w:rPr>
        <w:t>ve</w:t>
      </w:r>
      <w:r w:rsidR="004C71A0">
        <w:rPr>
          <w:lang w:val="en-GB"/>
        </w:rPr>
        <w:t xml:space="preserve"> to encounter</w:t>
      </w:r>
      <w:r w:rsidR="00DA607F">
        <w:rPr>
          <w:lang w:val="en-GB"/>
        </w:rPr>
        <w:t xml:space="preserve"> </w:t>
      </w:r>
      <w:r w:rsidR="00B21FB6">
        <w:rPr>
          <w:lang w:val="en-GB"/>
        </w:rPr>
        <w:t>their</w:t>
      </w:r>
      <w:r w:rsidR="00DA607F">
        <w:rPr>
          <w:lang w:val="en-GB"/>
        </w:rPr>
        <w:t xml:space="preserve"> complexities,</w:t>
      </w:r>
      <w:r w:rsidR="00B21FB6">
        <w:rPr>
          <w:lang w:val="en-GB"/>
        </w:rPr>
        <w:t xml:space="preserve"> </w:t>
      </w:r>
      <w:r w:rsidR="00DA607F">
        <w:rPr>
          <w:lang w:val="en-GB"/>
        </w:rPr>
        <w:t>at different levels of difficulty, for a successful embedding</w:t>
      </w:r>
      <w:r w:rsidR="00B21FB6">
        <w:rPr>
          <w:lang w:val="en-GB"/>
        </w:rPr>
        <w:t xml:space="preserve"> in practice</w:t>
      </w:r>
      <w:r w:rsidR="00DA607F">
        <w:rPr>
          <w:lang w:val="en-GB"/>
        </w:rPr>
        <w:t>.</w:t>
      </w:r>
    </w:p>
    <w:p w14:paraId="39D65C32" w14:textId="77777777" w:rsidR="00A77631" w:rsidRPr="00AA5727" w:rsidRDefault="00A77631" w:rsidP="00A77631">
      <w:pPr>
        <w:pStyle w:val="Heading2"/>
        <w:rPr>
          <w:lang w:val="en-GB"/>
        </w:rPr>
      </w:pPr>
      <w:bookmarkStart w:id="96" w:name="_Toc51862111"/>
      <w:r w:rsidRPr="00AA5727">
        <w:rPr>
          <w:lang w:val="en-GB"/>
        </w:rPr>
        <w:t>5.3 Reflection</w:t>
      </w:r>
      <w:bookmarkEnd w:id="96"/>
    </w:p>
    <w:p w14:paraId="6F9BB983" w14:textId="4CE470B2" w:rsidR="00A77631" w:rsidRDefault="00A77631" w:rsidP="009441A3">
      <w:pPr>
        <w:spacing w:line="360" w:lineRule="auto"/>
        <w:rPr>
          <w:lang w:val="en-GB"/>
        </w:rPr>
      </w:pPr>
      <w:r w:rsidRPr="00AA5727">
        <w:rPr>
          <w:lang w:val="en-GB"/>
        </w:rPr>
        <w:t xml:space="preserve">This study has been unique in that it has combined the NASSS framework and the NPT to assess an in-depth and in-width study of hospitals </w:t>
      </w:r>
      <w:r>
        <w:rPr>
          <w:lang w:val="en-GB"/>
        </w:rPr>
        <w:t xml:space="preserve">with patient portals </w:t>
      </w:r>
      <w:r w:rsidRPr="00AA5727">
        <w:rPr>
          <w:lang w:val="en-GB"/>
        </w:rPr>
        <w:t xml:space="preserve">in the Netherlands. The decision to use the NPT alongside the NASSS framework was prompted by the fact that the NASSS framework’s focus limits itself to its domains and is </w:t>
      </w:r>
      <w:r w:rsidR="009F1693">
        <w:rPr>
          <w:lang w:val="en-GB"/>
        </w:rPr>
        <w:t>in principle</w:t>
      </w:r>
      <w:r w:rsidRPr="00AA5727">
        <w:rPr>
          <w:lang w:val="en-GB"/>
        </w:rPr>
        <w:t xml:space="preserve"> macro-oriented, whereas the NPT allows a micro perspective. However, it should be noted that this study’s data has not allowed the </w:t>
      </w:r>
      <w:r w:rsidR="00B47B26">
        <w:rPr>
          <w:lang w:val="en-GB"/>
        </w:rPr>
        <w:t>academic hospital</w:t>
      </w:r>
      <w:r w:rsidR="00136FB9">
        <w:rPr>
          <w:lang w:val="en-GB"/>
        </w:rPr>
        <w:t xml:space="preserve"> </w:t>
      </w:r>
      <w:r w:rsidRPr="00AA5727">
        <w:rPr>
          <w:lang w:val="en-GB"/>
        </w:rPr>
        <w:t xml:space="preserve"> </w:t>
      </w:r>
      <w:r>
        <w:rPr>
          <w:lang w:val="en-GB"/>
        </w:rPr>
        <w:t>to be studied</w:t>
      </w:r>
      <w:r w:rsidRPr="00AA5727">
        <w:rPr>
          <w:lang w:val="en-GB"/>
        </w:rPr>
        <w:t xml:space="preserve"> as in-depth as desired beforehand</w:t>
      </w:r>
      <w:r w:rsidR="00CF1CBE">
        <w:rPr>
          <w:lang w:val="en-GB"/>
        </w:rPr>
        <w:t xml:space="preserve">. This has impacted the NPT’s ability to reflect </w:t>
      </w:r>
      <w:r w:rsidR="003D0D9D">
        <w:rPr>
          <w:lang w:val="en-GB"/>
        </w:rPr>
        <w:t xml:space="preserve">on </w:t>
      </w:r>
      <w:r w:rsidR="00CF1CBE">
        <w:rPr>
          <w:lang w:val="en-GB"/>
        </w:rPr>
        <w:t xml:space="preserve">and monitor the </w:t>
      </w:r>
      <w:r w:rsidR="003D0D9D">
        <w:rPr>
          <w:lang w:val="en-GB"/>
        </w:rPr>
        <w:t>patient portal</w:t>
      </w:r>
      <w:r w:rsidR="00CF1CBE">
        <w:rPr>
          <w:lang w:val="en-GB"/>
        </w:rPr>
        <w:t xml:space="preserve"> and could </w:t>
      </w:r>
      <w:r w:rsidR="008F6799">
        <w:rPr>
          <w:lang w:val="en-GB"/>
        </w:rPr>
        <w:t xml:space="preserve">therefore </w:t>
      </w:r>
      <w:r w:rsidR="00CF1CBE">
        <w:rPr>
          <w:lang w:val="en-GB"/>
        </w:rPr>
        <w:t>perhaps have been integrated within the 7</w:t>
      </w:r>
      <w:r w:rsidR="00CF1CBE" w:rsidRPr="00CF1CBE">
        <w:rPr>
          <w:vertAlign w:val="superscript"/>
          <w:lang w:val="en-GB"/>
        </w:rPr>
        <w:t>th</w:t>
      </w:r>
      <w:r w:rsidR="00CF1CBE">
        <w:rPr>
          <w:lang w:val="en-GB"/>
        </w:rPr>
        <w:t xml:space="preserve"> domain of the NASSS framework</w:t>
      </w:r>
      <w:r>
        <w:rPr>
          <w:lang w:val="en-GB"/>
        </w:rPr>
        <w:t xml:space="preserve">. This study has shown in a clear manner that the complexity of patient portals consists of multiple difficulties, and, is currently underestimated by hospital’s governance and insufficiently incorporated into strategy practices. It has been shown that the low </w:t>
      </w:r>
      <w:r w:rsidR="009F1693">
        <w:rPr>
          <w:lang w:val="en-GB"/>
        </w:rPr>
        <w:t>adoption</w:t>
      </w:r>
      <w:r>
        <w:rPr>
          <w:lang w:val="en-GB"/>
        </w:rPr>
        <w:t xml:space="preserve"> of the patient portal by patients and healthcare professionals is a</w:t>
      </w:r>
      <w:r w:rsidR="00500472">
        <w:rPr>
          <w:lang w:val="en-GB"/>
        </w:rPr>
        <w:t>n effect of limited strategic operations towards the patient portal</w:t>
      </w:r>
      <w:r>
        <w:rPr>
          <w:lang w:val="en-GB"/>
        </w:rPr>
        <w:t xml:space="preserve">. In case of the </w:t>
      </w:r>
      <w:r w:rsidR="00B47B26">
        <w:rPr>
          <w:lang w:val="en-GB"/>
        </w:rPr>
        <w:t xml:space="preserve">academic hospital </w:t>
      </w:r>
      <w:r>
        <w:rPr>
          <w:lang w:val="en-GB"/>
        </w:rPr>
        <w:t xml:space="preserve">it has become clear that the patient portal, in order to get embedded in local care processes, has to receive renewed efforts, and therefore, it needs to get higher on the agenda. The findings from this study provide an empirical application to the data of </w:t>
      </w:r>
      <w:proofErr w:type="spellStart"/>
      <w:r>
        <w:rPr>
          <w:lang w:val="en-GB"/>
        </w:rPr>
        <w:t>Hulter</w:t>
      </w:r>
      <w:proofErr w:type="spellEnd"/>
      <w:r>
        <w:rPr>
          <w:lang w:val="en-GB"/>
        </w:rPr>
        <w:t xml:space="preserve"> et al. (2019) and can therefore be connected to the </w:t>
      </w:r>
      <w:r>
        <w:rPr>
          <w:lang w:val="en-GB"/>
        </w:rPr>
        <w:lastRenderedPageBreak/>
        <w:t xml:space="preserve">success factors they have provided. The combination of data from the </w:t>
      </w:r>
      <w:r w:rsidR="00B47B26">
        <w:rPr>
          <w:lang w:val="en-GB"/>
        </w:rPr>
        <w:t xml:space="preserve">academic hospital </w:t>
      </w:r>
      <w:r>
        <w:rPr>
          <w:lang w:val="en-GB"/>
        </w:rPr>
        <w:t xml:space="preserve">and VIPP-hospitals has ensured an interesting comparison. However, applying the NASSS framework </w:t>
      </w:r>
      <w:r w:rsidR="003D0D9D">
        <w:rPr>
          <w:lang w:val="en-GB"/>
        </w:rPr>
        <w:t>in this way</w:t>
      </w:r>
      <w:r w:rsidR="00500472">
        <w:rPr>
          <w:lang w:val="en-GB"/>
        </w:rPr>
        <w:t xml:space="preserve"> is difficult</w:t>
      </w:r>
      <w:r w:rsidR="009441A3">
        <w:rPr>
          <w:lang w:val="en-GB"/>
        </w:rPr>
        <w:t xml:space="preserve"> due to organizational divisions</w:t>
      </w:r>
      <w:r w:rsidR="00500472">
        <w:rPr>
          <w:lang w:val="en-GB"/>
        </w:rPr>
        <w:t xml:space="preserve">, </w:t>
      </w:r>
      <w:r w:rsidR="009441A3">
        <w:rPr>
          <w:lang w:val="en-GB"/>
        </w:rPr>
        <w:t>and thus</w:t>
      </w:r>
      <w:r w:rsidR="00500472">
        <w:rPr>
          <w:lang w:val="en-GB"/>
        </w:rPr>
        <w:t xml:space="preserve"> </w:t>
      </w:r>
      <w:r w:rsidR="003D0D9D">
        <w:rPr>
          <w:lang w:val="en-GB"/>
        </w:rPr>
        <w:t>NASSS’</w:t>
      </w:r>
      <w:r w:rsidR="00500472">
        <w:rPr>
          <w:lang w:val="en-GB"/>
        </w:rPr>
        <w:t xml:space="preserve"> demarcated domains cannot always be allocated specifically</w:t>
      </w:r>
      <w:r w:rsidR="009441A3">
        <w:rPr>
          <w:lang w:val="en-GB"/>
        </w:rPr>
        <w:t xml:space="preserve">. As a consequence, in Table 3 certain domains could not have been specified to a specific complexity. </w:t>
      </w:r>
      <w:r>
        <w:rPr>
          <w:lang w:val="en-GB"/>
        </w:rPr>
        <w:t xml:space="preserve">Consequently,  the low use of patient portals can be explained, and further </w:t>
      </w:r>
      <w:r w:rsidR="009F1693">
        <w:rPr>
          <w:lang w:val="en-GB"/>
        </w:rPr>
        <w:t>encouragement</w:t>
      </w:r>
      <w:r>
        <w:rPr>
          <w:lang w:val="en-GB"/>
        </w:rPr>
        <w:t xml:space="preserve"> by the stakeholders </w:t>
      </w:r>
      <w:r w:rsidR="009F1693">
        <w:rPr>
          <w:lang w:val="en-GB"/>
        </w:rPr>
        <w:t xml:space="preserve">is needed </w:t>
      </w:r>
      <w:r>
        <w:rPr>
          <w:lang w:val="en-GB"/>
        </w:rPr>
        <w:t xml:space="preserve">and this study has shown the difficulties hospital’s ICT domain constantly have run into. The NASSS framework has succeeded in illustrating the reasoning behind the </w:t>
      </w:r>
      <w:proofErr w:type="spellStart"/>
      <w:r>
        <w:rPr>
          <w:lang w:val="en-GB"/>
        </w:rPr>
        <w:t>nonadoption</w:t>
      </w:r>
      <w:proofErr w:type="spellEnd"/>
      <w:r>
        <w:rPr>
          <w:lang w:val="en-GB"/>
        </w:rPr>
        <w:t xml:space="preserve">, </w:t>
      </w:r>
      <w:proofErr w:type="spellStart"/>
      <w:r>
        <w:rPr>
          <w:lang w:val="en-GB"/>
        </w:rPr>
        <w:t>abandonement</w:t>
      </w:r>
      <w:proofErr w:type="spellEnd"/>
      <w:r>
        <w:rPr>
          <w:lang w:val="en-GB"/>
        </w:rPr>
        <w:t>, scale-up, spread and sustainability of the patient portal, and the level of difficulty that has been perceived to tackle the domains’ issues.</w:t>
      </w:r>
    </w:p>
    <w:p w14:paraId="4428BE24" w14:textId="77777777" w:rsidR="00A77631" w:rsidRPr="00AA5727" w:rsidRDefault="00A77631" w:rsidP="00A77631">
      <w:pPr>
        <w:spacing w:after="0"/>
        <w:rPr>
          <w:i/>
          <w:iCs/>
          <w:lang w:val="en-GB"/>
        </w:rPr>
      </w:pPr>
      <w:r w:rsidRPr="00AA5727">
        <w:rPr>
          <w:i/>
          <w:iCs/>
          <w:lang w:val="en-GB"/>
        </w:rPr>
        <w:t>Limitations</w:t>
      </w:r>
    </w:p>
    <w:p w14:paraId="6A13461D" w14:textId="7A23AAF7" w:rsidR="00A77631" w:rsidRDefault="00A77631" w:rsidP="00A77631">
      <w:pPr>
        <w:spacing w:line="360" w:lineRule="auto"/>
        <w:rPr>
          <w:lang w:val="en-GB"/>
        </w:rPr>
      </w:pPr>
      <w:r w:rsidRPr="00AA5727">
        <w:rPr>
          <w:lang w:val="en-GB"/>
        </w:rPr>
        <w:t xml:space="preserve">The data from the in-width study of VIPP-hospitals has been assessed among the domains of the NASSS framework and NPT. The results in this study had to be extracted from interviews that had not originally been designed to follow the </w:t>
      </w:r>
      <w:r>
        <w:rPr>
          <w:lang w:val="en-GB"/>
        </w:rPr>
        <w:t xml:space="preserve">NASSS </w:t>
      </w:r>
      <w:r w:rsidRPr="00AA5727">
        <w:rPr>
          <w:lang w:val="en-GB"/>
        </w:rPr>
        <w:t>domains</w:t>
      </w:r>
      <w:r>
        <w:rPr>
          <w:lang w:val="en-GB"/>
        </w:rPr>
        <w:t>, limiting the possibility to immerse and ask further questions</w:t>
      </w:r>
      <w:r w:rsidRPr="00AA5727">
        <w:rPr>
          <w:lang w:val="en-GB"/>
        </w:rPr>
        <w:t>. Moreover, the documents that were assessed for the VIPP-hospitals were of such generic appearance that</w:t>
      </w:r>
      <w:r w:rsidR="00A45574">
        <w:rPr>
          <w:lang w:val="en-GB"/>
        </w:rPr>
        <w:t xml:space="preserve"> only</w:t>
      </w:r>
      <w:r w:rsidRPr="00AA5727">
        <w:rPr>
          <w:lang w:val="en-GB"/>
        </w:rPr>
        <w:t xml:space="preserve"> limited </w:t>
      </w:r>
      <w:r>
        <w:rPr>
          <w:lang w:val="en-GB"/>
        </w:rPr>
        <w:t xml:space="preserve">in-depth </w:t>
      </w:r>
      <w:r w:rsidRPr="00AA5727">
        <w:rPr>
          <w:lang w:val="en-GB"/>
        </w:rPr>
        <w:t xml:space="preserve">document analysis </w:t>
      </w:r>
      <w:r w:rsidR="00A45574">
        <w:rPr>
          <w:lang w:val="en-GB"/>
        </w:rPr>
        <w:t>was</w:t>
      </w:r>
      <w:r w:rsidRPr="00AA5727">
        <w:rPr>
          <w:lang w:val="en-GB"/>
        </w:rPr>
        <w:t xml:space="preserve"> possible. </w:t>
      </w:r>
      <w:r>
        <w:rPr>
          <w:lang w:val="en-GB"/>
        </w:rPr>
        <w:t>However, the combination of these documents and interviews allowed for equal understanding of the cases.</w:t>
      </w:r>
      <w:r w:rsidR="00CF1CBE">
        <w:rPr>
          <w:lang w:val="en-GB"/>
        </w:rPr>
        <w:t xml:space="preserve"> </w:t>
      </w:r>
      <w:r w:rsidR="009B701C">
        <w:rPr>
          <w:lang w:val="en-GB"/>
        </w:rPr>
        <w:t xml:space="preserve">Also, the assessment of the complexities and difficulties of the NASSS domains have been subjected to the researcher’s perspective and should therefore, in terms of reliability, be considered in that respect. </w:t>
      </w:r>
      <w:r>
        <w:rPr>
          <w:lang w:val="en-GB"/>
        </w:rPr>
        <w:t xml:space="preserve"> </w:t>
      </w:r>
      <w:r w:rsidRPr="00AA5727">
        <w:rPr>
          <w:lang w:val="en-GB"/>
        </w:rPr>
        <w:t xml:space="preserve">Further, the in-depth case study of </w:t>
      </w:r>
      <w:r w:rsidR="00B47B26">
        <w:rPr>
          <w:lang w:val="en-GB"/>
        </w:rPr>
        <w:t xml:space="preserve">the academic hospital </w:t>
      </w:r>
      <w:r w:rsidRPr="00AA5727">
        <w:rPr>
          <w:lang w:val="en-GB"/>
        </w:rPr>
        <w:t>has been framed and formed by documents</w:t>
      </w:r>
      <w:r w:rsidR="00D40F4F">
        <w:rPr>
          <w:lang w:val="en-GB"/>
        </w:rPr>
        <w:t>,</w:t>
      </w:r>
      <w:r w:rsidRPr="00AA5727">
        <w:rPr>
          <w:lang w:val="en-GB"/>
        </w:rPr>
        <w:t xml:space="preserve"> that have been willingly provided</w:t>
      </w:r>
      <w:r w:rsidR="00D40F4F">
        <w:rPr>
          <w:lang w:val="en-GB"/>
        </w:rPr>
        <w:t>,</w:t>
      </w:r>
      <w:r w:rsidRPr="00AA5727">
        <w:rPr>
          <w:lang w:val="en-GB"/>
        </w:rPr>
        <w:t xml:space="preserve"> and three interviews with members of the </w:t>
      </w:r>
      <w:r w:rsidR="009B701C">
        <w:rPr>
          <w:lang w:val="en-GB"/>
        </w:rPr>
        <w:t>DC</w:t>
      </w:r>
      <w:r w:rsidRPr="00AA5727">
        <w:rPr>
          <w:lang w:val="en-GB"/>
        </w:rPr>
        <w:t xml:space="preserve">. Whereas this does provide an answer towards the embedding efforts of the </w:t>
      </w:r>
      <w:r w:rsidR="00B47B26">
        <w:rPr>
          <w:lang w:val="en-GB"/>
        </w:rPr>
        <w:t>academic hospital</w:t>
      </w:r>
      <w:r w:rsidRPr="00AA5727">
        <w:rPr>
          <w:lang w:val="en-GB"/>
        </w:rPr>
        <w:t xml:space="preserve">, more </w:t>
      </w:r>
      <w:r>
        <w:rPr>
          <w:lang w:val="en-GB"/>
        </w:rPr>
        <w:t xml:space="preserve">interviews </w:t>
      </w:r>
      <w:r w:rsidR="009B701C" w:rsidRPr="009B701C">
        <w:rPr>
          <w:lang w:val="en-GB"/>
        </w:rPr>
        <w:t>wi</w:t>
      </w:r>
      <w:r w:rsidR="009B701C">
        <w:rPr>
          <w:lang w:val="en-GB"/>
        </w:rPr>
        <w:t xml:space="preserve">th people from within the DC </w:t>
      </w:r>
      <w:r w:rsidR="00171BE9">
        <w:rPr>
          <w:lang w:val="en-GB"/>
        </w:rPr>
        <w:t>but also</w:t>
      </w:r>
      <w:r w:rsidR="009B701C">
        <w:rPr>
          <w:lang w:val="en-GB"/>
        </w:rPr>
        <w:t xml:space="preserve"> other stakeholders, and</w:t>
      </w:r>
      <w:r>
        <w:rPr>
          <w:lang w:val="en-GB"/>
        </w:rPr>
        <w:t xml:space="preserve"> </w:t>
      </w:r>
      <w:r w:rsidR="00D40F4F">
        <w:rPr>
          <w:lang w:val="en-GB"/>
        </w:rPr>
        <w:t>additional</w:t>
      </w:r>
      <w:r w:rsidR="009B701C">
        <w:rPr>
          <w:lang w:val="en-GB"/>
        </w:rPr>
        <w:t xml:space="preserve"> hospital strategic </w:t>
      </w:r>
      <w:r>
        <w:rPr>
          <w:lang w:val="en-GB"/>
        </w:rPr>
        <w:t>documents</w:t>
      </w:r>
      <w:r w:rsidR="009B701C">
        <w:rPr>
          <w:lang w:val="en-GB"/>
        </w:rPr>
        <w:t xml:space="preserve"> from different levels of the organization</w:t>
      </w:r>
      <w:r w:rsidRPr="00AA5727">
        <w:rPr>
          <w:lang w:val="en-GB"/>
        </w:rPr>
        <w:t xml:space="preserve"> would have enriched the data.</w:t>
      </w:r>
      <w:r>
        <w:rPr>
          <w:lang w:val="en-GB"/>
        </w:rPr>
        <w:t xml:space="preserve"> It is acknowledged that this study’s findings are the product of case-based research and its generalizability could therefore be limited</w:t>
      </w:r>
      <w:r w:rsidR="00923E7C">
        <w:rPr>
          <w:lang w:val="en-GB"/>
        </w:rPr>
        <w:t xml:space="preserve"> (Tsang, 2014)</w:t>
      </w:r>
      <w:r>
        <w:rPr>
          <w:lang w:val="en-GB"/>
        </w:rPr>
        <w:t xml:space="preserve">. Further, it can be argued that this study limits itself to the Dutch context and literature review has only included the English and Dutch language. Additionally, the constant development of the hospitals’ patient portals </w:t>
      </w:r>
      <w:r w:rsidR="009F1693">
        <w:rPr>
          <w:lang w:val="en-GB"/>
        </w:rPr>
        <w:t>will assure</w:t>
      </w:r>
      <w:r>
        <w:rPr>
          <w:lang w:val="en-GB"/>
        </w:rPr>
        <w:t xml:space="preserve"> that the findings </w:t>
      </w:r>
      <w:r w:rsidR="009F1693">
        <w:rPr>
          <w:lang w:val="en-GB"/>
        </w:rPr>
        <w:t xml:space="preserve">in this study </w:t>
      </w:r>
      <w:r>
        <w:rPr>
          <w:lang w:val="en-GB"/>
        </w:rPr>
        <w:t xml:space="preserve">will be overtaken in time. The theoretical perspectives, however, will stay to be considered useful as they explain the context in which </w:t>
      </w:r>
      <w:r w:rsidR="00F30827">
        <w:rPr>
          <w:lang w:val="en-GB"/>
        </w:rPr>
        <w:t xml:space="preserve">technology </w:t>
      </w:r>
      <w:r>
        <w:rPr>
          <w:lang w:val="en-GB"/>
        </w:rPr>
        <w:t xml:space="preserve">embedding efforts take place. </w:t>
      </w:r>
    </w:p>
    <w:p w14:paraId="0075BAFA" w14:textId="77777777" w:rsidR="00A77631" w:rsidRPr="00AA5727" w:rsidRDefault="00A77631" w:rsidP="00A77631">
      <w:pPr>
        <w:spacing w:after="0"/>
        <w:rPr>
          <w:i/>
          <w:iCs/>
          <w:lang w:val="en-GB"/>
        </w:rPr>
      </w:pPr>
      <w:r w:rsidRPr="00AA5727">
        <w:rPr>
          <w:i/>
          <w:iCs/>
          <w:lang w:val="en-GB"/>
        </w:rPr>
        <w:t>Recommendations further research and practice</w:t>
      </w:r>
    </w:p>
    <w:p w14:paraId="3F92C6A3" w14:textId="76D7D005" w:rsidR="00A77631" w:rsidRDefault="00A77631" w:rsidP="00A77631">
      <w:pPr>
        <w:spacing w:line="360" w:lineRule="auto"/>
        <w:rPr>
          <w:lang w:val="en-GB"/>
        </w:rPr>
      </w:pPr>
      <w:r w:rsidRPr="00AA5727">
        <w:rPr>
          <w:lang w:val="en-GB"/>
        </w:rPr>
        <w:t xml:space="preserve">This study has highlighted the importance of stakeholders in the process of embedding and further research should thus investigate the possibilities to involve </w:t>
      </w:r>
      <w:r w:rsidR="00513390">
        <w:rPr>
          <w:lang w:val="en-GB"/>
        </w:rPr>
        <w:t xml:space="preserve">patients and </w:t>
      </w:r>
      <w:r w:rsidRPr="00AA5727">
        <w:rPr>
          <w:lang w:val="en-GB"/>
        </w:rPr>
        <w:t>healthcare professionals. In practice, given the fact that most hospitals in the Netherlands have a patient portal, it might be very interesting to benchmark</w:t>
      </w:r>
      <w:r w:rsidR="001F3048">
        <w:rPr>
          <w:lang w:val="en-GB"/>
        </w:rPr>
        <w:t xml:space="preserve"> how hospitals have executed their change management and look at the </w:t>
      </w:r>
      <w:r w:rsidR="001F3048">
        <w:rPr>
          <w:lang w:val="en-GB"/>
        </w:rPr>
        <w:lastRenderedPageBreak/>
        <w:t>sustainability of creative solutions (Skipr</w:t>
      </w:r>
      <w:r w:rsidR="001F3048">
        <w:rPr>
          <w:sz w:val="18"/>
          <w:szCs w:val="18"/>
          <w:lang w:val="en-GB"/>
        </w:rPr>
        <w:t>2</w:t>
      </w:r>
      <w:r w:rsidR="001F3048">
        <w:rPr>
          <w:lang w:val="en-GB"/>
        </w:rPr>
        <w:t>, 2020)</w:t>
      </w:r>
      <w:r w:rsidRPr="00AA5727">
        <w:rPr>
          <w:lang w:val="en-GB"/>
        </w:rPr>
        <w:t>.</w:t>
      </w:r>
      <w:r w:rsidRPr="00BC54B5">
        <w:rPr>
          <w:lang w:val="en-GB"/>
        </w:rPr>
        <w:t xml:space="preserve"> </w:t>
      </w:r>
      <w:r w:rsidRPr="00AA5727">
        <w:rPr>
          <w:lang w:val="en-GB"/>
        </w:rPr>
        <w:t xml:space="preserve">Further, </w:t>
      </w:r>
      <w:r>
        <w:rPr>
          <w:lang w:val="en-GB"/>
        </w:rPr>
        <w:t xml:space="preserve">for the embedding of the patient portal it is important that the patient portal is anticipated by governance and </w:t>
      </w:r>
      <w:r w:rsidR="001F3048">
        <w:rPr>
          <w:lang w:val="en-GB"/>
        </w:rPr>
        <w:t>strategy and</w:t>
      </w:r>
      <w:r>
        <w:rPr>
          <w:lang w:val="en-GB"/>
        </w:rPr>
        <w:t xml:space="preserve"> receives the attention and resources necessary to support the embedding. Future research should address the effects of patient portals on care processes and combine empirical cases to establish best practices. By expanding on this type of research, it can be traced and explained what the crucial steps are for implementation processes. Action research for instance could work with healthcare professionals and patients, </w:t>
      </w:r>
      <w:r w:rsidR="000C00AE">
        <w:rPr>
          <w:lang w:val="en-GB"/>
        </w:rPr>
        <w:t>as it combines theory and practice through change and reflection (</w:t>
      </w:r>
      <w:r w:rsidR="000C00AE" w:rsidRPr="001F3048">
        <w:rPr>
          <w:lang w:val="en-GB"/>
        </w:rPr>
        <w:t>Avison, Lau, Myers, &amp; Nielsen</w:t>
      </w:r>
      <w:r w:rsidR="000C00AE">
        <w:rPr>
          <w:lang w:val="en-GB"/>
        </w:rPr>
        <w:t xml:space="preserve">, </w:t>
      </w:r>
      <w:r w:rsidR="000C00AE" w:rsidRPr="001F3048">
        <w:rPr>
          <w:lang w:val="en-GB"/>
        </w:rPr>
        <w:t>1999)</w:t>
      </w:r>
      <w:r w:rsidR="000C00AE">
        <w:rPr>
          <w:lang w:val="en-GB"/>
        </w:rPr>
        <w:t xml:space="preserve">, </w:t>
      </w:r>
      <w:r>
        <w:rPr>
          <w:lang w:val="en-GB"/>
        </w:rPr>
        <w:t xml:space="preserve">in trying to understand how the total population has to be addressed, which could benefit other healthcare institutions too. It is recommended that the </w:t>
      </w:r>
      <w:r w:rsidR="00B47B26">
        <w:rPr>
          <w:lang w:val="en-GB"/>
        </w:rPr>
        <w:t>academic hospital</w:t>
      </w:r>
      <w:r>
        <w:rPr>
          <w:lang w:val="en-GB"/>
        </w:rPr>
        <w:t xml:space="preserve">’s </w:t>
      </w:r>
      <w:r w:rsidR="007D19F9">
        <w:rPr>
          <w:lang w:val="en-GB"/>
        </w:rPr>
        <w:t>DC</w:t>
      </w:r>
      <w:r>
        <w:rPr>
          <w:lang w:val="en-GB"/>
        </w:rPr>
        <w:t xml:space="preserve"> uses this study’s knowledge to assess the underlying problem of the patient portal’s embedding and embraces its views in the future implementation thereof. </w:t>
      </w:r>
      <w:r w:rsidR="007D19F9">
        <w:rPr>
          <w:lang w:val="en-GB"/>
        </w:rPr>
        <w:t>T</w:t>
      </w:r>
      <w:r w:rsidR="007D19F9" w:rsidRPr="00AA5727">
        <w:rPr>
          <w:lang w:val="en-GB"/>
        </w:rPr>
        <w:t xml:space="preserve">he </w:t>
      </w:r>
      <w:r w:rsidR="007D19F9">
        <w:rPr>
          <w:lang w:val="en-GB"/>
        </w:rPr>
        <w:t>DC</w:t>
      </w:r>
      <w:r w:rsidR="007D19F9" w:rsidRPr="00AA5727">
        <w:rPr>
          <w:lang w:val="en-GB"/>
        </w:rPr>
        <w:t xml:space="preserve"> could be expanded to incorporate more hospitals stakeholders in ensuring diversity in professions and perspectives.</w:t>
      </w:r>
      <w:r w:rsidR="007D19F9">
        <w:rPr>
          <w:lang w:val="en-GB"/>
        </w:rPr>
        <w:t xml:space="preserve"> </w:t>
      </w:r>
      <w:r>
        <w:rPr>
          <w:lang w:val="en-GB"/>
        </w:rPr>
        <w:t>Despite this study’s highlighting of (negative) aspects towards the embedding of patient portals in the past, it is recommended to focus on positivity in future embedding efforts, as these have appeared to be most effective and long lasting in practice.</w:t>
      </w:r>
    </w:p>
    <w:p w14:paraId="7A14058A" w14:textId="77777777" w:rsidR="007E4E8C" w:rsidRDefault="007E4E8C">
      <w:pPr>
        <w:jc w:val="left"/>
        <w:rPr>
          <w:rFonts w:eastAsiaTheme="majorEastAsia" w:cstheme="minorHAnsi"/>
          <w:color w:val="365F91" w:themeColor="accent1" w:themeShade="BF"/>
          <w:sz w:val="32"/>
          <w:szCs w:val="32"/>
          <w:lang w:val="en-GB"/>
        </w:rPr>
      </w:pPr>
      <w:bookmarkStart w:id="97" w:name="_Toc47522453"/>
      <w:bookmarkStart w:id="98" w:name="_Hlk47813786"/>
      <w:r>
        <w:rPr>
          <w:rFonts w:cstheme="minorHAnsi"/>
          <w:lang w:val="en-GB"/>
        </w:rPr>
        <w:br w:type="page"/>
      </w:r>
    </w:p>
    <w:p w14:paraId="7CDB2F6F" w14:textId="668792B5" w:rsidR="00A77631" w:rsidRPr="00D86DB4" w:rsidRDefault="00A77631" w:rsidP="00A77631">
      <w:pPr>
        <w:pStyle w:val="Heading1"/>
        <w:rPr>
          <w:rFonts w:cstheme="minorHAnsi"/>
          <w:lang w:val="en-GB"/>
        </w:rPr>
      </w:pPr>
      <w:bookmarkStart w:id="99" w:name="_Toc51862112"/>
      <w:r w:rsidRPr="00D86DB4">
        <w:rPr>
          <w:rFonts w:cstheme="minorHAnsi"/>
          <w:lang w:val="en-GB"/>
        </w:rPr>
        <w:lastRenderedPageBreak/>
        <w:t>References</w:t>
      </w:r>
      <w:bookmarkEnd w:id="97"/>
      <w:bookmarkEnd w:id="99"/>
    </w:p>
    <w:bookmarkEnd w:id="98"/>
    <w:p w14:paraId="24F92247" w14:textId="6B03DB6E" w:rsidR="00796E91" w:rsidRDefault="00796E91" w:rsidP="007E4E8C">
      <w:pPr>
        <w:jc w:val="left"/>
        <w:rPr>
          <w:rFonts w:cstheme="minorHAnsi"/>
          <w:lang w:val="en-GB"/>
        </w:rPr>
      </w:pPr>
      <w:r w:rsidRPr="00C40E51">
        <w:rPr>
          <w:rFonts w:cstheme="minorHAnsi"/>
          <w:lang w:val="en-GB"/>
        </w:rPr>
        <w:t xml:space="preserve">Abraham, S. (2010). Technological trends in healthcare: Electronic health record. </w:t>
      </w:r>
      <w:r w:rsidRPr="00C40E51">
        <w:rPr>
          <w:rFonts w:cstheme="minorHAnsi"/>
          <w:i/>
          <w:iCs/>
          <w:lang w:val="en-GB"/>
        </w:rPr>
        <w:t>The Healthcare Manager,</w:t>
      </w:r>
      <w:r w:rsidRPr="00C40E51">
        <w:rPr>
          <w:rFonts w:cstheme="minorHAnsi"/>
          <w:lang w:val="en-GB"/>
        </w:rPr>
        <w:t xml:space="preserve"> </w:t>
      </w:r>
      <w:r w:rsidRPr="00C40E51">
        <w:rPr>
          <w:rFonts w:cstheme="minorHAnsi"/>
          <w:i/>
          <w:iCs/>
          <w:lang w:val="en-GB"/>
        </w:rPr>
        <w:t>29</w:t>
      </w:r>
      <w:r w:rsidRPr="00C40E51">
        <w:rPr>
          <w:rFonts w:cstheme="minorHAnsi"/>
          <w:lang w:val="en-GB"/>
        </w:rPr>
        <w:t>(4), 318-318.</w:t>
      </w:r>
    </w:p>
    <w:p w14:paraId="04A4D670" w14:textId="77777777" w:rsidR="00796E91" w:rsidRPr="00C40E51" w:rsidRDefault="00796E91" w:rsidP="007E4E8C">
      <w:pPr>
        <w:jc w:val="left"/>
        <w:rPr>
          <w:rFonts w:cstheme="minorHAnsi"/>
          <w:lang w:val="en-GB"/>
        </w:rPr>
      </w:pPr>
      <w:proofErr w:type="spellStart"/>
      <w:r w:rsidRPr="00C40E51">
        <w:rPr>
          <w:rFonts w:cstheme="minorHAnsi"/>
          <w:lang w:val="en-GB"/>
        </w:rPr>
        <w:t>Ammenwerth</w:t>
      </w:r>
      <w:proofErr w:type="spellEnd"/>
      <w:r w:rsidRPr="00C40E51">
        <w:rPr>
          <w:rFonts w:cstheme="minorHAnsi"/>
          <w:lang w:val="en-GB"/>
        </w:rPr>
        <w:t xml:space="preserve">, E., </w:t>
      </w:r>
      <w:proofErr w:type="spellStart"/>
      <w:r w:rsidRPr="00C40E51">
        <w:rPr>
          <w:rFonts w:cstheme="minorHAnsi"/>
          <w:lang w:val="en-GB"/>
        </w:rPr>
        <w:t>Gräber</w:t>
      </w:r>
      <w:proofErr w:type="spellEnd"/>
      <w:r w:rsidRPr="00C40E51">
        <w:rPr>
          <w:rFonts w:cstheme="minorHAnsi"/>
          <w:lang w:val="en-GB"/>
        </w:rPr>
        <w:t xml:space="preserve">, S., Herrmann, G., </w:t>
      </w:r>
      <w:proofErr w:type="spellStart"/>
      <w:r w:rsidRPr="00C40E51">
        <w:rPr>
          <w:rFonts w:cstheme="minorHAnsi"/>
          <w:lang w:val="en-GB"/>
        </w:rPr>
        <w:t>Bürkle</w:t>
      </w:r>
      <w:proofErr w:type="spellEnd"/>
      <w:r w:rsidRPr="00C40E51">
        <w:rPr>
          <w:rFonts w:cstheme="minorHAnsi"/>
          <w:lang w:val="en-GB"/>
        </w:rPr>
        <w:t xml:space="preserve">, T., &amp; König, J. (2003). Evaluation of health information systems—problems and challenges. </w:t>
      </w:r>
      <w:r w:rsidRPr="00C40E51">
        <w:rPr>
          <w:rFonts w:cstheme="minorHAnsi"/>
          <w:i/>
          <w:iCs/>
          <w:lang w:val="en-GB"/>
        </w:rPr>
        <w:t>International journal of medical informatics</w:t>
      </w:r>
      <w:r w:rsidRPr="00C40E51">
        <w:rPr>
          <w:rFonts w:cstheme="minorHAnsi"/>
          <w:lang w:val="en-GB"/>
        </w:rPr>
        <w:t xml:space="preserve">, </w:t>
      </w:r>
      <w:r w:rsidRPr="00C40E51">
        <w:rPr>
          <w:rFonts w:cstheme="minorHAnsi"/>
          <w:i/>
          <w:iCs/>
          <w:lang w:val="en-GB"/>
        </w:rPr>
        <w:t>71</w:t>
      </w:r>
      <w:r w:rsidRPr="00C40E51">
        <w:rPr>
          <w:rFonts w:cstheme="minorHAnsi"/>
          <w:lang w:val="en-GB"/>
        </w:rPr>
        <w:t>(2-3), 125-135.</w:t>
      </w:r>
    </w:p>
    <w:p w14:paraId="42C33598" w14:textId="200AA5B8" w:rsidR="00796E91" w:rsidRDefault="00796E91" w:rsidP="007E4E8C">
      <w:pPr>
        <w:jc w:val="left"/>
        <w:rPr>
          <w:rFonts w:cstheme="minorHAnsi"/>
          <w:lang w:val="en-GB"/>
        </w:rPr>
      </w:pPr>
      <w:proofErr w:type="spellStart"/>
      <w:r w:rsidRPr="00C40E51">
        <w:rPr>
          <w:rFonts w:cstheme="minorHAnsi"/>
          <w:lang w:val="en-GB"/>
        </w:rPr>
        <w:t>Ancker</w:t>
      </w:r>
      <w:proofErr w:type="spellEnd"/>
      <w:r w:rsidRPr="00C40E51">
        <w:rPr>
          <w:rFonts w:cstheme="minorHAnsi"/>
          <w:lang w:val="en-GB"/>
        </w:rPr>
        <w:t xml:space="preserve">, J.S., Osorio, S.N., </w:t>
      </w:r>
      <w:proofErr w:type="spellStart"/>
      <w:r w:rsidRPr="00C40E51">
        <w:rPr>
          <w:rFonts w:cstheme="minorHAnsi"/>
          <w:lang w:val="en-GB"/>
        </w:rPr>
        <w:t>Cheriff</w:t>
      </w:r>
      <w:proofErr w:type="spellEnd"/>
      <w:r w:rsidRPr="00C40E51">
        <w:rPr>
          <w:rFonts w:cstheme="minorHAnsi"/>
          <w:lang w:val="en-GB"/>
        </w:rPr>
        <w:t xml:space="preserve">, A., </w:t>
      </w:r>
      <w:proofErr w:type="spellStart"/>
      <w:r w:rsidRPr="00C40E51">
        <w:rPr>
          <w:rFonts w:cstheme="minorHAnsi"/>
          <w:lang w:val="en-GB"/>
        </w:rPr>
        <w:t>Cole,C.L</w:t>
      </w:r>
      <w:proofErr w:type="spellEnd"/>
      <w:r w:rsidRPr="00C40E51">
        <w:rPr>
          <w:rFonts w:cstheme="minorHAnsi"/>
          <w:lang w:val="en-GB"/>
        </w:rPr>
        <w:t>., Silver, M. &amp; Kaushal, R. (2015) Patient activation and use of an electronic patient portal.</w:t>
      </w:r>
      <w:r w:rsidRPr="00C40E51">
        <w:rPr>
          <w:rFonts w:cstheme="minorHAnsi"/>
          <w:i/>
          <w:iCs/>
          <w:lang w:val="en-GB"/>
        </w:rPr>
        <w:t xml:space="preserve"> Informatics for Health and Social Care</w:t>
      </w:r>
      <w:r w:rsidRPr="00C40E51">
        <w:rPr>
          <w:rFonts w:cstheme="minorHAnsi"/>
          <w:lang w:val="en-GB"/>
        </w:rPr>
        <w:t>, 40:3, 254-266, DOI: 10.3109/17538157.2014.908200</w:t>
      </w:r>
    </w:p>
    <w:p w14:paraId="16028BA8" w14:textId="4F5AC5E5" w:rsidR="00B47B26" w:rsidRPr="00B47B26" w:rsidRDefault="00B47B26" w:rsidP="00B47B26">
      <w:pPr>
        <w:jc w:val="left"/>
        <w:rPr>
          <w:rFonts w:eastAsia="TimesNewRomanPSMT" w:cstheme="minorHAnsi"/>
          <w:lang w:val="en-GB"/>
        </w:rPr>
      </w:pPr>
      <w:r w:rsidRPr="00B47B26">
        <w:rPr>
          <w:rFonts w:eastAsia="TimesNewRomanPSMT" w:cstheme="minorHAnsi"/>
          <w:lang w:val="en-GB"/>
        </w:rPr>
        <w:t>Annual report. (2016). Academic Hospital</w:t>
      </w:r>
      <w:r>
        <w:rPr>
          <w:rFonts w:eastAsia="TimesNewRomanPSMT" w:cstheme="minorHAnsi"/>
          <w:lang w:val="en-GB"/>
        </w:rPr>
        <w:t>.</w:t>
      </w:r>
    </w:p>
    <w:p w14:paraId="7AB47010" w14:textId="6866CC23" w:rsidR="00B47B26" w:rsidRPr="00B47B26" w:rsidRDefault="00B47B26" w:rsidP="00B47B26">
      <w:pPr>
        <w:jc w:val="left"/>
        <w:rPr>
          <w:rFonts w:eastAsia="TimesNewRomanPSMT" w:cstheme="minorHAnsi"/>
          <w:lang w:val="en-GB"/>
        </w:rPr>
      </w:pPr>
      <w:r w:rsidRPr="00B47B26">
        <w:rPr>
          <w:rFonts w:eastAsia="TimesNewRomanPSMT" w:cstheme="minorHAnsi"/>
          <w:lang w:val="en-GB"/>
        </w:rPr>
        <w:t>Annual report. (2017). Academic Hospital</w:t>
      </w:r>
      <w:r>
        <w:rPr>
          <w:rFonts w:eastAsia="TimesNewRomanPSMT" w:cstheme="minorHAnsi"/>
          <w:lang w:val="en-GB"/>
        </w:rPr>
        <w:t>.</w:t>
      </w:r>
    </w:p>
    <w:p w14:paraId="773C1350" w14:textId="4AB254C6" w:rsidR="00B47B26" w:rsidRPr="00B47B26" w:rsidRDefault="00B47B26" w:rsidP="00B47B26">
      <w:pPr>
        <w:jc w:val="left"/>
        <w:rPr>
          <w:rFonts w:eastAsia="TimesNewRomanPSMT" w:cstheme="minorHAnsi"/>
          <w:lang w:val="en-GB"/>
        </w:rPr>
      </w:pPr>
      <w:r w:rsidRPr="00B47B26">
        <w:rPr>
          <w:rFonts w:eastAsia="TimesNewRomanPSMT" w:cstheme="minorHAnsi"/>
          <w:lang w:val="en-GB"/>
        </w:rPr>
        <w:t>Annual report. (2018). Academic Hospital</w:t>
      </w:r>
      <w:r>
        <w:rPr>
          <w:rFonts w:eastAsia="TimesNewRomanPSMT" w:cstheme="minorHAnsi"/>
          <w:lang w:val="en-GB"/>
        </w:rPr>
        <w:t>.</w:t>
      </w:r>
    </w:p>
    <w:p w14:paraId="56BDEDDB" w14:textId="366B05A6" w:rsidR="00B47B26" w:rsidRPr="00B47B26" w:rsidRDefault="00B47B26" w:rsidP="00B47B26">
      <w:pPr>
        <w:jc w:val="left"/>
        <w:rPr>
          <w:rFonts w:eastAsia="TimesNewRomanPSMT" w:cstheme="minorHAnsi"/>
          <w:lang w:val="en-GB"/>
        </w:rPr>
      </w:pPr>
      <w:r w:rsidRPr="00B47B26">
        <w:rPr>
          <w:rFonts w:eastAsia="TimesNewRomanPSMT" w:cstheme="minorHAnsi"/>
          <w:lang w:val="en-GB"/>
        </w:rPr>
        <w:t>Annual report. (2019). Academic Hospital</w:t>
      </w:r>
      <w:r>
        <w:rPr>
          <w:rFonts w:eastAsia="TimesNewRomanPSMT" w:cstheme="minorHAnsi"/>
          <w:lang w:val="en-GB"/>
        </w:rPr>
        <w:t>.</w:t>
      </w:r>
    </w:p>
    <w:p w14:paraId="6E57799A" w14:textId="77777777" w:rsidR="000C00AE" w:rsidRPr="00C40E51" w:rsidRDefault="000C00AE" w:rsidP="000C00AE">
      <w:pPr>
        <w:jc w:val="left"/>
        <w:rPr>
          <w:rFonts w:cstheme="minorHAnsi"/>
          <w:lang w:val="en-GB"/>
        </w:rPr>
      </w:pPr>
      <w:r w:rsidRPr="001F3048">
        <w:rPr>
          <w:lang w:val="en-GB"/>
        </w:rPr>
        <w:t xml:space="preserve">Avison, D., Lau, F., Myers, M., &amp; Nielsen, P. A. (1999). Action research. </w:t>
      </w:r>
      <w:r w:rsidRPr="001F3048">
        <w:rPr>
          <w:i/>
          <w:iCs/>
          <w:lang w:val="en-GB"/>
        </w:rPr>
        <w:t xml:space="preserve">Association for Computing Machinery. </w:t>
      </w:r>
      <w:r w:rsidRPr="00DF604F">
        <w:rPr>
          <w:i/>
          <w:iCs/>
          <w:lang w:val="en-GB"/>
        </w:rPr>
        <w:t xml:space="preserve">Communications of the </w:t>
      </w:r>
      <w:proofErr w:type="spellStart"/>
      <w:r w:rsidRPr="00DF604F">
        <w:rPr>
          <w:i/>
          <w:iCs/>
          <w:lang w:val="en-GB"/>
        </w:rPr>
        <w:t>Acm</w:t>
      </w:r>
      <w:proofErr w:type="spellEnd"/>
      <w:r w:rsidRPr="00DF604F">
        <w:rPr>
          <w:lang w:val="en-GB"/>
        </w:rPr>
        <w:t xml:space="preserve">, </w:t>
      </w:r>
      <w:r w:rsidRPr="00DF604F">
        <w:rPr>
          <w:i/>
          <w:iCs/>
          <w:lang w:val="en-GB"/>
        </w:rPr>
        <w:t>42</w:t>
      </w:r>
      <w:r w:rsidRPr="00DF604F">
        <w:rPr>
          <w:lang w:val="en-GB"/>
        </w:rPr>
        <w:t>(1), 94–97.</w:t>
      </w:r>
    </w:p>
    <w:p w14:paraId="55EBD6D1" w14:textId="77777777" w:rsidR="00796E91" w:rsidRPr="00C40E51" w:rsidRDefault="00796E91" w:rsidP="007E4E8C">
      <w:pPr>
        <w:jc w:val="left"/>
        <w:rPr>
          <w:rFonts w:cstheme="minorHAnsi"/>
          <w:lang w:val="en-GB"/>
        </w:rPr>
      </w:pPr>
      <w:r w:rsidRPr="00C40E51">
        <w:rPr>
          <w:rFonts w:cstheme="minorHAnsi"/>
          <w:lang w:val="en-GB"/>
        </w:rPr>
        <w:t xml:space="preserve">Bigelow, B., &amp; Arndt, M. (1997). Corporate political strategy: Incorporating the management of public policy issues into hospital strategy. </w:t>
      </w:r>
      <w:r w:rsidRPr="00C40E51">
        <w:rPr>
          <w:rFonts w:cstheme="minorHAnsi"/>
          <w:i/>
          <w:iCs/>
          <w:lang w:val="en-GB"/>
        </w:rPr>
        <w:t>Healthcare Management Review,</w:t>
      </w:r>
      <w:r w:rsidRPr="00C40E51">
        <w:rPr>
          <w:rFonts w:cstheme="minorHAnsi"/>
          <w:lang w:val="en-GB"/>
        </w:rPr>
        <w:t xml:space="preserve"> </w:t>
      </w:r>
      <w:r w:rsidRPr="00C40E51">
        <w:rPr>
          <w:rFonts w:cstheme="minorHAnsi"/>
          <w:i/>
          <w:iCs/>
          <w:lang w:val="en-GB"/>
        </w:rPr>
        <w:t>22</w:t>
      </w:r>
      <w:r w:rsidRPr="00C40E51">
        <w:rPr>
          <w:rFonts w:cstheme="minorHAnsi"/>
          <w:lang w:val="en-GB"/>
        </w:rPr>
        <w:t>(3), 53-63.</w:t>
      </w:r>
    </w:p>
    <w:p w14:paraId="539CFE85" w14:textId="77777777" w:rsidR="00796E91" w:rsidRPr="00C40E51" w:rsidRDefault="00796E91" w:rsidP="007E4E8C">
      <w:pPr>
        <w:jc w:val="left"/>
        <w:rPr>
          <w:rFonts w:cstheme="minorHAnsi"/>
          <w:lang w:val="en-GB"/>
        </w:rPr>
      </w:pPr>
      <w:r w:rsidRPr="00C40E51">
        <w:rPr>
          <w:rFonts w:cstheme="minorHAnsi"/>
          <w:lang w:val="en-GB"/>
        </w:rPr>
        <w:t xml:space="preserve">Bowen, G. (2009). Document Analysis as a Qualitative Research Method. </w:t>
      </w:r>
      <w:r w:rsidRPr="00C40E51">
        <w:rPr>
          <w:rFonts w:cstheme="minorHAnsi"/>
          <w:i/>
          <w:iCs/>
          <w:lang w:val="en-GB"/>
        </w:rPr>
        <w:t>Qualitative Research Journal</w:t>
      </w:r>
      <w:r w:rsidRPr="00C40E51">
        <w:rPr>
          <w:rFonts w:cstheme="minorHAnsi"/>
          <w:lang w:val="en-GB"/>
        </w:rPr>
        <w:t>. 9. 27-40. 10.3316/QRJ0902027.</w:t>
      </w:r>
    </w:p>
    <w:p w14:paraId="48DD120D" w14:textId="77777777" w:rsidR="00796E91" w:rsidRPr="00C40E51" w:rsidRDefault="00796E91" w:rsidP="007E4E8C">
      <w:pPr>
        <w:jc w:val="left"/>
        <w:rPr>
          <w:rFonts w:cstheme="minorHAnsi"/>
          <w:lang w:val="en-GB"/>
        </w:rPr>
      </w:pPr>
      <w:r w:rsidRPr="00C40E51">
        <w:rPr>
          <w:rFonts w:cstheme="minorHAnsi"/>
          <w:lang w:val="en-GB"/>
        </w:rPr>
        <w:t xml:space="preserve">Buntin, M., Burke, M., </w:t>
      </w:r>
      <w:proofErr w:type="spellStart"/>
      <w:r w:rsidRPr="00C40E51">
        <w:rPr>
          <w:rFonts w:cstheme="minorHAnsi"/>
          <w:lang w:val="en-GB"/>
        </w:rPr>
        <w:t>Hoaglin</w:t>
      </w:r>
      <w:proofErr w:type="spellEnd"/>
      <w:r w:rsidRPr="00C40E51">
        <w:rPr>
          <w:rFonts w:cstheme="minorHAnsi"/>
          <w:lang w:val="en-GB"/>
        </w:rPr>
        <w:t xml:space="preserve">, M., &amp; Blumenthal, D. (2011). The benefits of health information technology: A review of the recent literature shows predominantly positive results. </w:t>
      </w:r>
      <w:r w:rsidRPr="00C40E51">
        <w:rPr>
          <w:rFonts w:cstheme="minorHAnsi"/>
          <w:i/>
          <w:iCs/>
          <w:lang w:val="en-GB"/>
        </w:rPr>
        <w:t>Health Affairs,</w:t>
      </w:r>
      <w:r w:rsidRPr="00C40E51">
        <w:rPr>
          <w:rFonts w:cstheme="minorHAnsi"/>
          <w:lang w:val="en-GB"/>
        </w:rPr>
        <w:t xml:space="preserve"> </w:t>
      </w:r>
      <w:r w:rsidRPr="00C40E51">
        <w:rPr>
          <w:rFonts w:cstheme="minorHAnsi"/>
          <w:i/>
          <w:iCs/>
          <w:lang w:val="en-GB"/>
        </w:rPr>
        <w:t>30</w:t>
      </w:r>
      <w:r w:rsidRPr="00C40E51">
        <w:rPr>
          <w:rFonts w:cstheme="minorHAnsi"/>
          <w:lang w:val="en-GB"/>
        </w:rPr>
        <w:t>(3), 464-71.</w:t>
      </w:r>
    </w:p>
    <w:p w14:paraId="640A5F7A" w14:textId="77777777" w:rsidR="00796E91" w:rsidRPr="00C40E51" w:rsidRDefault="00796E91" w:rsidP="007E4E8C">
      <w:pPr>
        <w:jc w:val="left"/>
        <w:rPr>
          <w:rStyle w:val="Hyperlink"/>
          <w:rFonts w:cstheme="minorHAnsi"/>
          <w:lang w:val="en-GB"/>
        </w:rPr>
      </w:pPr>
      <w:proofErr w:type="spellStart"/>
      <w:r w:rsidRPr="00C40E51">
        <w:rPr>
          <w:rFonts w:cstheme="minorHAnsi"/>
          <w:lang w:val="en-GB"/>
        </w:rPr>
        <w:t>Chipsoft</w:t>
      </w:r>
      <w:proofErr w:type="spellEnd"/>
      <w:r w:rsidRPr="00C40E51">
        <w:rPr>
          <w:rFonts w:cstheme="minorHAnsi"/>
          <w:lang w:val="en-GB"/>
        </w:rPr>
        <w:t xml:space="preserve">. (n.d.). </w:t>
      </w:r>
      <w:proofErr w:type="spellStart"/>
      <w:r w:rsidRPr="00C40E51">
        <w:rPr>
          <w:rFonts w:cstheme="minorHAnsi"/>
          <w:i/>
          <w:iCs/>
          <w:lang w:val="en-GB"/>
        </w:rPr>
        <w:t>Patiëntenportaal</w:t>
      </w:r>
      <w:proofErr w:type="spellEnd"/>
      <w:r w:rsidRPr="00C40E51">
        <w:rPr>
          <w:rFonts w:cstheme="minorHAnsi"/>
          <w:lang w:val="en-GB"/>
        </w:rPr>
        <w:t xml:space="preserve">. Retrieved July 14, 2020, from </w:t>
      </w:r>
      <w:hyperlink r:id="rId17" w:history="1">
        <w:r w:rsidRPr="00C40E51">
          <w:rPr>
            <w:rStyle w:val="Hyperlink"/>
            <w:rFonts w:cstheme="minorHAnsi"/>
            <w:lang w:val="en-GB"/>
          </w:rPr>
          <w:t>https://www.chipsoft.nl/hix-abc/artikel/63/Patientenportaal</w:t>
        </w:r>
      </w:hyperlink>
    </w:p>
    <w:p w14:paraId="7CFDB497" w14:textId="77777777" w:rsidR="00796E91" w:rsidRPr="00C40E51" w:rsidRDefault="00796E91" w:rsidP="007E4E8C">
      <w:pPr>
        <w:jc w:val="left"/>
        <w:rPr>
          <w:rFonts w:cstheme="minorHAnsi"/>
          <w:lang w:val="en-GB"/>
        </w:rPr>
      </w:pPr>
      <w:r w:rsidRPr="00C40E51">
        <w:rPr>
          <w:rFonts w:cstheme="minorHAnsi"/>
          <w:lang w:val="en-GB"/>
        </w:rPr>
        <w:t xml:space="preserve">Creswell, J., &amp; </w:t>
      </w:r>
      <w:proofErr w:type="spellStart"/>
      <w:r w:rsidRPr="00C40E51">
        <w:rPr>
          <w:rFonts w:cstheme="minorHAnsi"/>
          <w:lang w:val="en-GB"/>
        </w:rPr>
        <w:t>Poth</w:t>
      </w:r>
      <w:proofErr w:type="spellEnd"/>
      <w:r w:rsidRPr="00C40E51">
        <w:rPr>
          <w:rFonts w:cstheme="minorHAnsi"/>
          <w:lang w:val="en-GB"/>
        </w:rPr>
        <w:t xml:space="preserve">, C. (2018). </w:t>
      </w:r>
      <w:r w:rsidRPr="00C40E51">
        <w:rPr>
          <w:rFonts w:cstheme="minorHAnsi"/>
          <w:i/>
          <w:iCs/>
          <w:lang w:val="en-GB"/>
        </w:rPr>
        <w:t>Qualitative inquiry &amp; research design : Choosing among five approaches</w:t>
      </w:r>
      <w:r w:rsidRPr="00C40E51">
        <w:rPr>
          <w:rFonts w:cstheme="minorHAnsi"/>
          <w:lang w:val="en-GB"/>
        </w:rPr>
        <w:t xml:space="preserve"> (Fourth edition, international student ed.). Los Angeles: SAGE Publications.</w:t>
      </w:r>
    </w:p>
    <w:p w14:paraId="2C060CED" w14:textId="77777777" w:rsidR="00796E91" w:rsidRPr="00A62518" w:rsidRDefault="00796E91" w:rsidP="007E4E8C">
      <w:pPr>
        <w:jc w:val="left"/>
        <w:rPr>
          <w:rFonts w:cstheme="minorHAnsi"/>
          <w:lang w:val="en-GB"/>
        </w:rPr>
      </w:pPr>
      <w:r w:rsidRPr="00C40E51">
        <w:rPr>
          <w:rFonts w:cstheme="minorHAnsi"/>
          <w:lang w:val="en-GB"/>
        </w:rPr>
        <w:t xml:space="preserve">Dutta, B., Peng, M-H, &amp; Sun, S-L. (2018). </w:t>
      </w:r>
      <w:proofErr w:type="spellStart"/>
      <w:r w:rsidRPr="00C40E51">
        <w:rPr>
          <w:rFonts w:cstheme="minorHAnsi"/>
          <w:lang w:val="en-GB"/>
        </w:rPr>
        <w:t>Modeling</w:t>
      </w:r>
      <w:proofErr w:type="spellEnd"/>
      <w:r w:rsidRPr="00C40E51">
        <w:rPr>
          <w:rFonts w:cstheme="minorHAnsi"/>
          <w:lang w:val="en-GB"/>
        </w:rPr>
        <w:t xml:space="preserve"> the adoption of personal health record (PHR) among individual: the effect of health-care technology self-efficacy and gender concern. </w:t>
      </w:r>
      <w:r w:rsidRPr="00A62518">
        <w:rPr>
          <w:rFonts w:cstheme="minorHAnsi"/>
          <w:i/>
          <w:iCs/>
          <w:lang w:val="en-GB"/>
        </w:rPr>
        <w:t>Libyan Journal of Medicine.</w:t>
      </w:r>
      <w:r w:rsidRPr="00A62518">
        <w:rPr>
          <w:rFonts w:cstheme="minorHAnsi"/>
          <w:sz w:val="20"/>
          <w:szCs w:val="20"/>
          <w:lang w:val="en-GB"/>
        </w:rPr>
        <w:t xml:space="preserve"> </w:t>
      </w:r>
      <w:r w:rsidRPr="00A62518">
        <w:rPr>
          <w:rFonts w:cstheme="minorHAnsi"/>
          <w:lang w:val="en-GB"/>
        </w:rPr>
        <w:t>13:1, 1500349, DOI:10.1080/19932820.2018.1500349</w:t>
      </w:r>
    </w:p>
    <w:p w14:paraId="736C2755" w14:textId="77777777" w:rsidR="00796E91" w:rsidRPr="00C40E51" w:rsidRDefault="00796E91" w:rsidP="007E4E8C">
      <w:pPr>
        <w:jc w:val="left"/>
        <w:rPr>
          <w:rFonts w:cstheme="minorHAnsi"/>
          <w:lang w:val="en-GB"/>
        </w:rPr>
      </w:pPr>
      <w:r w:rsidRPr="00C40E51">
        <w:rPr>
          <w:rFonts w:cstheme="minorHAnsi"/>
          <w:lang w:val="en-GB"/>
        </w:rPr>
        <w:t xml:space="preserve">European Commission. (2011). </w:t>
      </w:r>
      <w:r w:rsidRPr="00C40E51">
        <w:rPr>
          <w:rFonts w:cstheme="minorHAnsi"/>
          <w:i/>
          <w:iCs/>
          <w:lang w:val="en-GB"/>
        </w:rPr>
        <w:t>eHealth Action Plan 2012–2020 – Innovative Healthcare for the 21st Century.</w:t>
      </w:r>
      <w:r w:rsidRPr="00C40E51">
        <w:rPr>
          <w:rFonts w:cstheme="minorHAnsi"/>
          <w:lang w:val="en-GB"/>
        </w:rPr>
        <w:t xml:space="preserve"> Brussels: European Commission.</w:t>
      </w:r>
    </w:p>
    <w:p w14:paraId="172DD44E" w14:textId="77777777" w:rsidR="00796E91" w:rsidRPr="00C40E51" w:rsidRDefault="00796E91" w:rsidP="007E4E8C">
      <w:pPr>
        <w:jc w:val="left"/>
        <w:rPr>
          <w:rFonts w:cstheme="minorHAnsi"/>
          <w:lang w:val="en-GB"/>
        </w:rPr>
      </w:pPr>
      <w:r w:rsidRPr="00C40E51">
        <w:rPr>
          <w:rFonts w:cstheme="minorHAnsi"/>
          <w:lang w:val="en-GB"/>
        </w:rPr>
        <w:t xml:space="preserve">GDPR. (n.d.) </w:t>
      </w:r>
      <w:r w:rsidRPr="00C40E51">
        <w:rPr>
          <w:rFonts w:cstheme="minorHAnsi"/>
          <w:i/>
          <w:iCs/>
          <w:lang w:val="en-GB"/>
        </w:rPr>
        <w:t>General Data Protection Regulation GDPR.</w:t>
      </w:r>
      <w:r w:rsidRPr="00C40E51">
        <w:rPr>
          <w:rFonts w:cstheme="minorHAnsi"/>
          <w:lang w:val="en-GB"/>
        </w:rPr>
        <w:t xml:space="preserve"> Retrieved from </w:t>
      </w:r>
      <w:hyperlink r:id="rId18" w:history="1">
        <w:r w:rsidRPr="00C40E51">
          <w:rPr>
            <w:rStyle w:val="Hyperlink"/>
            <w:rFonts w:cstheme="minorHAnsi"/>
            <w:lang w:val="en-GB"/>
          </w:rPr>
          <w:t>https://gdpr-info.eu/</w:t>
        </w:r>
      </w:hyperlink>
    </w:p>
    <w:p w14:paraId="54366184" w14:textId="77777777" w:rsidR="00796E91" w:rsidRPr="00C40E51" w:rsidRDefault="00796E91" w:rsidP="007E4E8C">
      <w:pPr>
        <w:jc w:val="left"/>
        <w:rPr>
          <w:rFonts w:cstheme="minorHAnsi"/>
          <w:lang w:val="en-GB"/>
        </w:rPr>
      </w:pPr>
      <w:r w:rsidRPr="00C40E51">
        <w:rPr>
          <w:rFonts w:cstheme="minorHAnsi"/>
          <w:lang w:val="en-GB"/>
        </w:rPr>
        <w:lastRenderedPageBreak/>
        <w:t xml:space="preserve">Gillespie, B. M., </w:t>
      </w:r>
      <w:proofErr w:type="spellStart"/>
      <w:r w:rsidRPr="00C40E51">
        <w:rPr>
          <w:rFonts w:cstheme="minorHAnsi"/>
          <w:lang w:val="en-GB"/>
        </w:rPr>
        <w:t>Harbeck</w:t>
      </w:r>
      <w:proofErr w:type="spellEnd"/>
      <w:r w:rsidRPr="00C40E51">
        <w:rPr>
          <w:rFonts w:cstheme="minorHAnsi"/>
          <w:lang w:val="en-GB"/>
        </w:rPr>
        <w:t xml:space="preserve">, E., Lavin, J., Gardiner, T., Withers, T. K., &amp; Marshall, A. P. (2018). Using normalisation process theory to evaluate the implementation of a complex intervention to embed the surgical safety checklist. </w:t>
      </w:r>
      <w:r w:rsidRPr="00C40E51">
        <w:rPr>
          <w:rFonts w:cstheme="minorHAnsi"/>
          <w:i/>
          <w:iCs/>
          <w:lang w:val="en-GB"/>
        </w:rPr>
        <w:t>BMC Health Services Research</w:t>
      </w:r>
      <w:r w:rsidRPr="00C40E51">
        <w:rPr>
          <w:rFonts w:cstheme="minorHAnsi"/>
          <w:lang w:val="en-GB"/>
        </w:rPr>
        <w:t xml:space="preserve">, </w:t>
      </w:r>
      <w:r w:rsidRPr="00C40E51">
        <w:rPr>
          <w:rFonts w:cstheme="minorHAnsi"/>
          <w:i/>
          <w:iCs/>
          <w:lang w:val="en-GB"/>
        </w:rPr>
        <w:t>18</w:t>
      </w:r>
      <w:r w:rsidRPr="00C40E51">
        <w:rPr>
          <w:rFonts w:cstheme="minorHAnsi"/>
          <w:lang w:val="en-GB"/>
        </w:rPr>
        <w:t xml:space="preserve">(1). </w:t>
      </w:r>
    </w:p>
    <w:p w14:paraId="4547F319" w14:textId="77777777" w:rsidR="00796E91" w:rsidRPr="00C40E51" w:rsidRDefault="00796E91" w:rsidP="007E4E8C">
      <w:pPr>
        <w:jc w:val="left"/>
        <w:rPr>
          <w:rFonts w:cstheme="minorHAnsi"/>
          <w:lang w:val="en-GB"/>
        </w:rPr>
      </w:pPr>
      <w:r w:rsidRPr="00C40E51">
        <w:rPr>
          <w:rFonts w:cstheme="minorHAnsi"/>
          <w:lang w:val="en-GB"/>
        </w:rPr>
        <w:t xml:space="preserve">Glasgow, R.E., Phillips, S.M., &amp; Sanchez, M.A. (2014). Implementation science approaches for integrating </w:t>
      </w:r>
      <w:proofErr w:type="spellStart"/>
      <w:r w:rsidRPr="00C40E51">
        <w:rPr>
          <w:rFonts w:cstheme="minorHAnsi"/>
          <w:lang w:val="en-GB"/>
        </w:rPr>
        <w:t>ehealth</w:t>
      </w:r>
      <w:proofErr w:type="spellEnd"/>
      <w:r w:rsidRPr="00C40E51">
        <w:rPr>
          <w:rFonts w:cstheme="minorHAnsi"/>
          <w:lang w:val="en-GB"/>
        </w:rPr>
        <w:t xml:space="preserve"> research into practice and policy. </w:t>
      </w:r>
      <w:r w:rsidRPr="00C40E51">
        <w:rPr>
          <w:rFonts w:cstheme="minorHAnsi"/>
          <w:i/>
          <w:iCs/>
          <w:lang w:val="en-GB"/>
        </w:rPr>
        <w:t>International Journal of Medical Informatics,</w:t>
      </w:r>
      <w:r w:rsidRPr="00C40E51">
        <w:rPr>
          <w:rFonts w:cstheme="minorHAnsi"/>
          <w:lang w:val="en-GB"/>
        </w:rPr>
        <w:t xml:space="preserve"> </w:t>
      </w:r>
      <w:r w:rsidRPr="00C40E51">
        <w:rPr>
          <w:rFonts w:cstheme="minorHAnsi"/>
          <w:i/>
          <w:iCs/>
          <w:lang w:val="en-GB"/>
        </w:rPr>
        <w:t>83</w:t>
      </w:r>
      <w:r w:rsidRPr="00C40E51">
        <w:rPr>
          <w:rFonts w:cstheme="minorHAnsi"/>
          <w:lang w:val="en-GB"/>
        </w:rPr>
        <w:t>(7), 11. doi:10.1016/j.ijmedinf.2013.07.002</w:t>
      </w:r>
    </w:p>
    <w:p w14:paraId="7445E05E" w14:textId="77777777" w:rsidR="00796E91" w:rsidRPr="00C40E51" w:rsidRDefault="00796E91" w:rsidP="007E4E8C">
      <w:pPr>
        <w:jc w:val="left"/>
        <w:rPr>
          <w:rFonts w:cstheme="minorHAnsi"/>
          <w:lang w:val="en-GB"/>
        </w:rPr>
      </w:pPr>
      <w:r w:rsidRPr="00C40E51">
        <w:rPr>
          <w:rFonts w:cstheme="minorHAnsi"/>
          <w:lang w:val="en-GB"/>
        </w:rPr>
        <w:t xml:space="preserve">Goodman, L. A. (1961). Snowball sampling. </w:t>
      </w:r>
      <w:r w:rsidRPr="00C40E51">
        <w:rPr>
          <w:rFonts w:cstheme="minorHAnsi"/>
          <w:i/>
          <w:iCs/>
          <w:lang w:val="en-GB"/>
        </w:rPr>
        <w:t>The Annals of Mathematical Statistics</w:t>
      </w:r>
      <w:r w:rsidRPr="00C40E51">
        <w:rPr>
          <w:rFonts w:cstheme="minorHAnsi"/>
          <w:lang w:val="en-GB"/>
        </w:rPr>
        <w:t xml:space="preserve">, </w:t>
      </w:r>
      <w:r w:rsidRPr="00C40E51">
        <w:rPr>
          <w:rFonts w:cstheme="minorHAnsi"/>
          <w:i/>
          <w:iCs/>
          <w:lang w:val="en-GB"/>
        </w:rPr>
        <w:t>32</w:t>
      </w:r>
      <w:r w:rsidRPr="00C40E51">
        <w:rPr>
          <w:rFonts w:cstheme="minorHAnsi"/>
          <w:lang w:val="en-GB"/>
        </w:rPr>
        <w:t>(1), 148–170.</w:t>
      </w:r>
    </w:p>
    <w:p w14:paraId="37BD71A2" w14:textId="77777777" w:rsidR="00796E91" w:rsidRPr="00C40E51" w:rsidRDefault="00796E91" w:rsidP="007E4E8C">
      <w:pPr>
        <w:jc w:val="left"/>
        <w:rPr>
          <w:rFonts w:cstheme="minorHAnsi"/>
          <w:lang w:val="en-GB"/>
        </w:rPr>
      </w:pPr>
      <w:r w:rsidRPr="00C40E51">
        <w:rPr>
          <w:rFonts w:cstheme="minorHAnsi"/>
          <w:lang w:val="en-GB"/>
        </w:rPr>
        <w:t xml:space="preserve">Greenhalgh, T., </w:t>
      </w:r>
      <w:proofErr w:type="spellStart"/>
      <w:r w:rsidRPr="00C40E51">
        <w:rPr>
          <w:rFonts w:cstheme="minorHAnsi"/>
          <w:lang w:val="en-GB"/>
        </w:rPr>
        <w:t>Wherton</w:t>
      </w:r>
      <w:proofErr w:type="spellEnd"/>
      <w:r w:rsidRPr="00C40E51">
        <w:rPr>
          <w:rFonts w:cstheme="minorHAnsi"/>
          <w:lang w:val="en-GB"/>
        </w:rPr>
        <w:t xml:space="preserve">, J., </w:t>
      </w:r>
      <w:proofErr w:type="spellStart"/>
      <w:r w:rsidRPr="00C40E51">
        <w:rPr>
          <w:rFonts w:cstheme="minorHAnsi"/>
          <w:lang w:val="en-GB"/>
        </w:rPr>
        <w:t>Papoutsi</w:t>
      </w:r>
      <w:proofErr w:type="spellEnd"/>
      <w:r w:rsidRPr="00C40E51">
        <w:rPr>
          <w:rFonts w:cstheme="minorHAnsi"/>
          <w:lang w:val="en-GB"/>
        </w:rPr>
        <w:t xml:space="preserve">, C., Lynch, J., Hughes, G., </w:t>
      </w:r>
      <w:proofErr w:type="spellStart"/>
      <w:r w:rsidRPr="00C40E51">
        <w:rPr>
          <w:rFonts w:cstheme="minorHAnsi"/>
          <w:lang w:val="en-GB"/>
        </w:rPr>
        <w:t>A’Court</w:t>
      </w:r>
      <w:proofErr w:type="spellEnd"/>
      <w:r w:rsidRPr="00C40E51">
        <w:rPr>
          <w:rFonts w:cstheme="minorHAnsi"/>
          <w:lang w:val="en-GB"/>
        </w:rPr>
        <w:t xml:space="preserve">, C., et al. (2018). Analysing the role of complexity in explaining the fortunes of technology programmes: Empirical application of the </w:t>
      </w:r>
      <w:proofErr w:type="spellStart"/>
      <w:r w:rsidRPr="00C40E51">
        <w:rPr>
          <w:rFonts w:cstheme="minorHAnsi"/>
          <w:lang w:val="en-GB"/>
        </w:rPr>
        <w:t>nasss</w:t>
      </w:r>
      <w:proofErr w:type="spellEnd"/>
      <w:r w:rsidRPr="00C40E51">
        <w:rPr>
          <w:rFonts w:cstheme="minorHAnsi"/>
          <w:lang w:val="en-GB"/>
        </w:rPr>
        <w:t xml:space="preserve"> framework. </w:t>
      </w:r>
      <w:proofErr w:type="spellStart"/>
      <w:r w:rsidRPr="00C40E51">
        <w:rPr>
          <w:rFonts w:cstheme="minorHAnsi"/>
          <w:i/>
          <w:iCs/>
          <w:lang w:val="en-GB"/>
        </w:rPr>
        <w:t>Bmc</w:t>
      </w:r>
      <w:proofErr w:type="spellEnd"/>
      <w:r w:rsidRPr="00C40E51">
        <w:rPr>
          <w:rFonts w:cstheme="minorHAnsi"/>
          <w:i/>
          <w:iCs/>
          <w:lang w:val="en-GB"/>
        </w:rPr>
        <w:t xml:space="preserve"> Medicine,</w:t>
      </w:r>
      <w:r w:rsidRPr="00C40E51">
        <w:rPr>
          <w:rFonts w:cstheme="minorHAnsi"/>
          <w:lang w:val="en-GB"/>
        </w:rPr>
        <w:t xml:space="preserve"> </w:t>
      </w:r>
      <w:r w:rsidRPr="00C40E51">
        <w:rPr>
          <w:rFonts w:cstheme="minorHAnsi"/>
          <w:i/>
          <w:iCs/>
          <w:lang w:val="en-GB"/>
        </w:rPr>
        <w:t>16</w:t>
      </w:r>
      <w:r w:rsidRPr="00C40E51">
        <w:rPr>
          <w:rFonts w:cstheme="minorHAnsi"/>
          <w:lang w:val="en-GB"/>
        </w:rPr>
        <w:t>(1), 1-15. doi:10.1186/s12916-018-1050-6</w:t>
      </w:r>
    </w:p>
    <w:p w14:paraId="79BD1483" w14:textId="77777777" w:rsidR="00796E91" w:rsidRPr="00C40E51" w:rsidRDefault="00796E91" w:rsidP="007E4E8C">
      <w:pPr>
        <w:jc w:val="left"/>
        <w:rPr>
          <w:rFonts w:cstheme="minorHAnsi"/>
          <w:lang w:val="en-GB"/>
        </w:rPr>
      </w:pPr>
      <w:r w:rsidRPr="00C40E51">
        <w:rPr>
          <w:rFonts w:cstheme="minorHAnsi"/>
          <w:lang w:val="en-GB"/>
        </w:rPr>
        <w:t xml:space="preserve">Greenhalgh, T., </w:t>
      </w:r>
      <w:proofErr w:type="spellStart"/>
      <w:r w:rsidRPr="00C40E51">
        <w:rPr>
          <w:rFonts w:cstheme="minorHAnsi"/>
          <w:lang w:val="en-GB"/>
        </w:rPr>
        <w:t>Wherton</w:t>
      </w:r>
      <w:proofErr w:type="spellEnd"/>
      <w:r w:rsidRPr="00C40E51">
        <w:rPr>
          <w:rFonts w:cstheme="minorHAnsi"/>
          <w:lang w:val="en-GB"/>
        </w:rPr>
        <w:t xml:space="preserve">, J., </w:t>
      </w:r>
      <w:proofErr w:type="spellStart"/>
      <w:r w:rsidRPr="00C40E51">
        <w:rPr>
          <w:rFonts w:cstheme="minorHAnsi"/>
          <w:lang w:val="en-GB"/>
        </w:rPr>
        <w:t>Papoutsi</w:t>
      </w:r>
      <w:proofErr w:type="spellEnd"/>
      <w:r w:rsidRPr="00C40E51">
        <w:rPr>
          <w:rFonts w:cstheme="minorHAnsi"/>
          <w:lang w:val="en-GB"/>
        </w:rPr>
        <w:t xml:space="preserve">, C., Lynch, J., Hughes, G., </w:t>
      </w:r>
      <w:proofErr w:type="spellStart"/>
      <w:r w:rsidRPr="00C40E51">
        <w:rPr>
          <w:rFonts w:cstheme="minorHAnsi"/>
          <w:lang w:val="en-GB"/>
        </w:rPr>
        <w:t>A'Court</w:t>
      </w:r>
      <w:proofErr w:type="spellEnd"/>
      <w:r w:rsidRPr="00C40E51">
        <w:rPr>
          <w:rFonts w:cstheme="minorHAnsi"/>
          <w:lang w:val="en-GB"/>
        </w:rPr>
        <w:t xml:space="preserve">, C., et al. (2017). Beyond adoption: A new framework for theorizing and evaluating </w:t>
      </w:r>
      <w:proofErr w:type="spellStart"/>
      <w:r w:rsidRPr="00C40E51">
        <w:rPr>
          <w:rFonts w:cstheme="minorHAnsi"/>
          <w:lang w:val="en-GB"/>
        </w:rPr>
        <w:t>nonadoption</w:t>
      </w:r>
      <w:proofErr w:type="spellEnd"/>
      <w:r w:rsidRPr="00C40E51">
        <w:rPr>
          <w:rFonts w:cstheme="minorHAnsi"/>
          <w:lang w:val="en-GB"/>
        </w:rPr>
        <w:t xml:space="preserve">, abandonment, and challenges to the scale-up, spread, and sustainability of health and care technologies. </w:t>
      </w:r>
      <w:r w:rsidRPr="00C40E51">
        <w:rPr>
          <w:rFonts w:cstheme="minorHAnsi"/>
          <w:i/>
          <w:iCs/>
          <w:lang w:val="en-GB"/>
        </w:rPr>
        <w:t>Journal of Medical Internet Research,</w:t>
      </w:r>
      <w:r w:rsidRPr="00C40E51">
        <w:rPr>
          <w:rFonts w:cstheme="minorHAnsi"/>
          <w:lang w:val="en-GB"/>
        </w:rPr>
        <w:t xml:space="preserve"> </w:t>
      </w:r>
      <w:r w:rsidRPr="00C40E51">
        <w:rPr>
          <w:rFonts w:cstheme="minorHAnsi"/>
          <w:i/>
          <w:iCs/>
          <w:lang w:val="en-GB"/>
        </w:rPr>
        <w:t>19</w:t>
      </w:r>
      <w:r w:rsidRPr="00C40E51">
        <w:rPr>
          <w:rFonts w:cstheme="minorHAnsi"/>
          <w:lang w:val="en-GB"/>
        </w:rPr>
        <w:t>(11), 367. doi:10.2196/jmir.8775</w:t>
      </w:r>
    </w:p>
    <w:p w14:paraId="65C8DC6D" w14:textId="77777777" w:rsidR="00796E91" w:rsidRPr="00C40E51" w:rsidRDefault="00796E91" w:rsidP="007E4E8C">
      <w:pPr>
        <w:jc w:val="left"/>
        <w:rPr>
          <w:rFonts w:cstheme="minorHAnsi"/>
        </w:rPr>
      </w:pPr>
      <w:r w:rsidRPr="00C40E51">
        <w:rPr>
          <w:rFonts w:cstheme="minorHAnsi"/>
          <w:lang w:val="en-GB"/>
        </w:rPr>
        <w:t xml:space="preserve">Griffin, A., Skinner, A., Thornhill, J., &amp; Weinberger, M. (2016). Patient portals: Who uses them? what features do they use? and do they reduce hospital readmissions? </w:t>
      </w:r>
      <w:r w:rsidRPr="00C40E51">
        <w:rPr>
          <w:rFonts w:cstheme="minorHAnsi"/>
          <w:i/>
          <w:iCs/>
        </w:rPr>
        <w:t>Applied Clinical Informatics;</w:t>
      </w:r>
      <w:r w:rsidRPr="00C40E51">
        <w:rPr>
          <w:rFonts w:cstheme="minorHAnsi"/>
        </w:rPr>
        <w:t xml:space="preserve"> </w:t>
      </w:r>
      <w:r w:rsidRPr="00C40E51">
        <w:rPr>
          <w:rFonts w:cstheme="minorHAnsi"/>
          <w:i/>
          <w:iCs/>
        </w:rPr>
        <w:t>7</w:t>
      </w:r>
      <w:r w:rsidRPr="00C40E51">
        <w:rPr>
          <w:rFonts w:cstheme="minorHAnsi"/>
        </w:rPr>
        <w:t>(2): 489-501. DOI: 10.4338/ACI-2016-01-RA-0003</w:t>
      </w:r>
    </w:p>
    <w:p w14:paraId="65BD1EBB" w14:textId="3E75F153" w:rsidR="00796E91" w:rsidRPr="00C40E51" w:rsidRDefault="00796E91" w:rsidP="007E4E8C">
      <w:pPr>
        <w:jc w:val="left"/>
        <w:rPr>
          <w:rStyle w:val="downloadtitle"/>
          <w:rFonts w:cstheme="minorHAnsi"/>
          <w:lang w:val="en-GB"/>
        </w:rPr>
      </w:pPr>
      <w:r w:rsidRPr="00C40E51">
        <w:rPr>
          <w:rFonts w:cstheme="minorHAnsi"/>
        </w:rPr>
        <w:t>Hulter, P., Pluut, B.</w:t>
      </w:r>
      <w:r w:rsidR="007D19F9">
        <w:rPr>
          <w:rFonts w:cstheme="minorHAnsi"/>
        </w:rPr>
        <w:t>, &amp;</w:t>
      </w:r>
      <w:r w:rsidRPr="00C40E51">
        <w:rPr>
          <w:rFonts w:cstheme="minorHAnsi"/>
        </w:rPr>
        <w:t xml:space="preserve"> Weggelaar, A.M. (2019) </w:t>
      </w:r>
      <w:r w:rsidRPr="00C40E51">
        <w:rPr>
          <w:rStyle w:val="downloadtitle"/>
          <w:rFonts w:cstheme="minorHAnsi"/>
          <w:i/>
          <w:iCs/>
        </w:rPr>
        <w:t xml:space="preserve">Succesfactoren voor het (zinvol) gebruik van digitale patientomgevingen. </w:t>
      </w:r>
      <w:r w:rsidRPr="00C40E51">
        <w:rPr>
          <w:rStyle w:val="downloadtitle"/>
          <w:rFonts w:cstheme="minorHAnsi"/>
          <w:lang w:val="en-GB"/>
        </w:rPr>
        <w:t xml:space="preserve">Retrieved February 28, 2020, from </w:t>
      </w:r>
      <w:hyperlink r:id="rId19" w:history="1">
        <w:r w:rsidRPr="00C40E51">
          <w:rPr>
            <w:rStyle w:val="Hyperlink"/>
            <w:rFonts w:cstheme="minorHAnsi"/>
            <w:lang w:val="en-GB"/>
          </w:rPr>
          <w:t>https://www.eur.nl/eshpm/nieuws/succesvolle-inzet-online-patientenomgevingen-vraagt-om-samenspel</w:t>
        </w:r>
      </w:hyperlink>
      <w:r w:rsidRPr="00C40E51">
        <w:rPr>
          <w:rStyle w:val="downloadtitle"/>
          <w:rFonts w:cstheme="minorHAnsi"/>
          <w:lang w:val="en-GB"/>
        </w:rPr>
        <w:t xml:space="preserve"> </w:t>
      </w:r>
    </w:p>
    <w:p w14:paraId="2350E3AC" w14:textId="77777777" w:rsidR="00796E91" w:rsidRPr="00C40E51" w:rsidRDefault="00796E91" w:rsidP="007E4E8C">
      <w:pPr>
        <w:jc w:val="left"/>
        <w:rPr>
          <w:rFonts w:cstheme="minorHAnsi"/>
          <w:lang w:val="en-GB"/>
        </w:rPr>
      </w:pPr>
      <w:r w:rsidRPr="00C40E51">
        <w:rPr>
          <w:rFonts w:cstheme="minorHAnsi"/>
          <w:lang w:val="en-GB"/>
        </w:rPr>
        <w:t xml:space="preserve">Irizarry, T., DeVito, D., &amp; Curran, C. (2015). Patient portals and patient engagement: A state of the science review. </w:t>
      </w:r>
      <w:r w:rsidRPr="00C40E51">
        <w:rPr>
          <w:rFonts w:cstheme="minorHAnsi"/>
          <w:i/>
          <w:iCs/>
          <w:lang w:val="en-GB"/>
        </w:rPr>
        <w:t>Journal of Medical Internet Research,</w:t>
      </w:r>
      <w:r w:rsidRPr="00C40E51">
        <w:rPr>
          <w:rFonts w:cstheme="minorHAnsi"/>
          <w:lang w:val="en-GB"/>
        </w:rPr>
        <w:t xml:space="preserve"> </w:t>
      </w:r>
      <w:r w:rsidRPr="00C40E51">
        <w:rPr>
          <w:rFonts w:cstheme="minorHAnsi"/>
          <w:i/>
          <w:iCs/>
          <w:lang w:val="en-GB"/>
        </w:rPr>
        <w:t>17</w:t>
      </w:r>
      <w:r w:rsidRPr="00C40E51">
        <w:rPr>
          <w:rFonts w:cstheme="minorHAnsi"/>
          <w:lang w:val="en-GB"/>
        </w:rPr>
        <w:t>(6), 148. doi:10.2196/jmir.4255</w:t>
      </w:r>
    </w:p>
    <w:p w14:paraId="713AFAFF" w14:textId="77777777" w:rsidR="00796E91" w:rsidRPr="00C40E51" w:rsidRDefault="00796E91" w:rsidP="007E4E8C">
      <w:pPr>
        <w:jc w:val="left"/>
        <w:rPr>
          <w:rFonts w:cstheme="minorHAnsi"/>
          <w:lang w:val="en-GB"/>
        </w:rPr>
      </w:pPr>
      <w:proofErr w:type="spellStart"/>
      <w:r w:rsidRPr="00C40E51">
        <w:rPr>
          <w:rFonts w:cstheme="minorHAnsi"/>
          <w:lang w:val="en-GB"/>
        </w:rPr>
        <w:t>Kooij</w:t>
      </w:r>
      <w:proofErr w:type="spellEnd"/>
      <w:r w:rsidRPr="00C40E51">
        <w:rPr>
          <w:rFonts w:cstheme="minorHAnsi"/>
          <w:lang w:val="en-GB"/>
        </w:rPr>
        <w:t xml:space="preserve">, L., Groen, W., &amp; Van </w:t>
      </w:r>
      <w:proofErr w:type="spellStart"/>
      <w:r w:rsidRPr="00C40E51">
        <w:rPr>
          <w:rFonts w:cstheme="minorHAnsi"/>
          <w:lang w:val="en-GB"/>
        </w:rPr>
        <w:t>Harten</w:t>
      </w:r>
      <w:proofErr w:type="spellEnd"/>
      <w:r w:rsidRPr="00C40E51">
        <w:rPr>
          <w:rFonts w:cstheme="minorHAnsi"/>
          <w:lang w:val="en-GB"/>
        </w:rPr>
        <w:t xml:space="preserve">, W. (2018). Barriers and facilitators affecting patient portal implementation from an organizational perspective: Qualitative study. </w:t>
      </w:r>
      <w:r w:rsidRPr="00C40E51">
        <w:rPr>
          <w:rFonts w:cstheme="minorHAnsi"/>
          <w:i/>
          <w:iCs/>
          <w:lang w:val="en-GB"/>
        </w:rPr>
        <w:t>Journal of Medical Internet Research;</w:t>
      </w:r>
      <w:r w:rsidRPr="00C40E51">
        <w:rPr>
          <w:rFonts w:cstheme="minorHAnsi"/>
          <w:lang w:val="en-GB"/>
        </w:rPr>
        <w:t xml:space="preserve"> </w:t>
      </w:r>
      <w:r w:rsidRPr="00C40E51">
        <w:rPr>
          <w:rFonts w:cstheme="minorHAnsi"/>
          <w:i/>
          <w:iCs/>
          <w:lang w:val="en-GB"/>
        </w:rPr>
        <w:t>20</w:t>
      </w:r>
      <w:r w:rsidRPr="00C40E51">
        <w:rPr>
          <w:rFonts w:cstheme="minorHAnsi"/>
          <w:lang w:val="en-GB"/>
        </w:rPr>
        <w:t>(5):e183 DOI: 10.2196/jmir.8989</w:t>
      </w:r>
    </w:p>
    <w:p w14:paraId="7EBC0DB5" w14:textId="77777777" w:rsidR="00796E91" w:rsidRPr="00C40E51" w:rsidRDefault="00796E91" w:rsidP="007E4E8C">
      <w:pPr>
        <w:jc w:val="left"/>
        <w:rPr>
          <w:rFonts w:cstheme="minorHAnsi"/>
          <w:lang w:val="en-GB"/>
        </w:rPr>
      </w:pPr>
      <w:r w:rsidRPr="00C40E51">
        <w:rPr>
          <w:rFonts w:cstheme="minorHAnsi"/>
          <w:lang w:val="en-GB"/>
        </w:rPr>
        <w:t xml:space="preserve">Kuhlmann, E., </w:t>
      </w:r>
      <w:proofErr w:type="spellStart"/>
      <w:r w:rsidRPr="00C40E51">
        <w:rPr>
          <w:rFonts w:cstheme="minorHAnsi"/>
          <w:lang w:val="en-GB"/>
        </w:rPr>
        <w:t>Rangnitt</w:t>
      </w:r>
      <w:proofErr w:type="spellEnd"/>
      <w:r w:rsidRPr="00C40E51">
        <w:rPr>
          <w:rFonts w:cstheme="minorHAnsi"/>
          <w:lang w:val="en-GB"/>
        </w:rPr>
        <w:t xml:space="preserve">, Y., &amp; Von </w:t>
      </w:r>
      <w:proofErr w:type="spellStart"/>
      <w:r w:rsidRPr="00C40E51">
        <w:rPr>
          <w:rFonts w:cstheme="minorHAnsi"/>
          <w:lang w:val="en-GB"/>
        </w:rPr>
        <w:t>Knorring</w:t>
      </w:r>
      <w:proofErr w:type="spellEnd"/>
      <w:r w:rsidRPr="00C40E51">
        <w:rPr>
          <w:rFonts w:cstheme="minorHAnsi"/>
          <w:lang w:val="en-GB"/>
        </w:rPr>
        <w:t xml:space="preserve">, M. (2016). Medicine and management: Looking inside the box of changing hospital governance. </w:t>
      </w:r>
      <w:proofErr w:type="spellStart"/>
      <w:r w:rsidRPr="00C40E51">
        <w:rPr>
          <w:rFonts w:cstheme="minorHAnsi"/>
          <w:i/>
          <w:iCs/>
          <w:lang w:val="en-GB"/>
        </w:rPr>
        <w:t>Bmc</w:t>
      </w:r>
      <w:proofErr w:type="spellEnd"/>
      <w:r w:rsidRPr="00C40E51">
        <w:rPr>
          <w:rFonts w:cstheme="minorHAnsi"/>
          <w:i/>
          <w:iCs/>
          <w:lang w:val="en-GB"/>
        </w:rPr>
        <w:t xml:space="preserve"> Health Services Research,</w:t>
      </w:r>
      <w:r w:rsidRPr="00C40E51">
        <w:rPr>
          <w:rFonts w:cstheme="minorHAnsi"/>
          <w:lang w:val="en-GB"/>
        </w:rPr>
        <w:t xml:space="preserve"> </w:t>
      </w:r>
      <w:r w:rsidRPr="00C40E51">
        <w:rPr>
          <w:rFonts w:cstheme="minorHAnsi"/>
          <w:i/>
          <w:iCs/>
          <w:lang w:val="en-GB"/>
        </w:rPr>
        <w:t>16</w:t>
      </w:r>
      <w:r w:rsidRPr="00C40E51">
        <w:rPr>
          <w:rFonts w:cstheme="minorHAnsi"/>
          <w:lang w:val="en-GB"/>
        </w:rPr>
        <w:t>, 57-64. doi:10.1186/s12913-016-1393-7</w:t>
      </w:r>
    </w:p>
    <w:p w14:paraId="0F66C960" w14:textId="77777777" w:rsidR="00796E91" w:rsidRPr="00C40E51" w:rsidRDefault="00796E91" w:rsidP="007E4E8C">
      <w:pPr>
        <w:jc w:val="left"/>
        <w:rPr>
          <w:rFonts w:cstheme="minorHAnsi"/>
          <w:lang w:val="en-GB"/>
        </w:rPr>
      </w:pPr>
      <w:r w:rsidRPr="00C40E51">
        <w:rPr>
          <w:rFonts w:cstheme="minorHAnsi"/>
          <w:lang w:val="en-GB"/>
        </w:rPr>
        <w:t xml:space="preserve">Mackenzie, M., Bradley, L., Stanley, N., Gannon, M., Barton, D., Cosgrove, K., et al. (2019). What might normalisation process theory bring to policy implementation studies? learning lessons and uncovering questions through a case study of the profound implementation failure of a new policing policy. </w:t>
      </w:r>
      <w:r w:rsidRPr="00C40E51">
        <w:rPr>
          <w:rFonts w:cstheme="minorHAnsi"/>
          <w:i/>
          <w:iCs/>
          <w:lang w:val="en-GB"/>
        </w:rPr>
        <w:t>Social Policy &amp; Administration,</w:t>
      </w:r>
      <w:r w:rsidRPr="00C40E51">
        <w:rPr>
          <w:rFonts w:cstheme="minorHAnsi"/>
          <w:lang w:val="en-GB"/>
        </w:rPr>
        <w:t xml:space="preserve"> </w:t>
      </w:r>
      <w:r w:rsidRPr="00C40E51">
        <w:rPr>
          <w:rFonts w:cstheme="minorHAnsi"/>
          <w:i/>
          <w:iCs/>
          <w:lang w:val="en-GB"/>
        </w:rPr>
        <w:t>53</w:t>
      </w:r>
      <w:r w:rsidRPr="00C40E51">
        <w:rPr>
          <w:rFonts w:cstheme="minorHAnsi"/>
          <w:lang w:val="en-GB"/>
        </w:rPr>
        <w:t>(3), 449-463. doi:10.1111/spol.12467</w:t>
      </w:r>
    </w:p>
    <w:p w14:paraId="75481BA6" w14:textId="77777777" w:rsidR="00796E91" w:rsidRPr="00C40E51" w:rsidRDefault="00796E91" w:rsidP="007E4E8C">
      <w:pPr>
        <w:jc w:val="left"/>
        <w:rPr>
          <w:rFonts w:cstheme="minorHAnsi"/>
          <w:lang w:val="en-GB"/>
        </w:rPr>
      </w:pPr>
      <w:r w:rsidRPr="00C40E51">
        <w:rPr>
          <w:rFonts w:cstheme="minorHAnsi"/>
          <w:lang w:val="en-GB"/>
        </w:rPr>
        <w:t xml:space="preserve">Maguire, D., Evans, H., </w:t>
      </w:r>
      <w:proofErr w:type="spellStart"/>
      <w:r w:rsidRPr="00C40E51">
        <w:rPr>
          <w:rFonts w:cstheme="minorHAnsi"/>
          <w:lang w:val="en-GB"/>
        </w:rPr>
        <w:t>Honeyman</w:t>
      </w:r>
      <w:proofErr w:type="spellEnd"/>
      <w:r w:rsidRPr="00C40E51">
        <w:rPr>
          <w:rFonts w:cstheme="minorHAnsi"/>
          <w:lang w:val="en-GB"/>
        </w:rPr>
        <w:t xml:space="preserve">, M., &amp; </w:t>
      </w:r>
      <w:proofErr w:type="spellStart"/>
      <w:r w:rsidRPr="00C40E51">
        <w:rPr>
          <w:rFonts w:cstheme="minorHAnsi"/>
          <w:lang w:val="en-GB"/>
        </w:rPr>
        <w:t>Omojomolo</w:t>
      </w:r>
      <w:proofErr w:type="spellEnd"/>
      <w:r w:rsidRPr="00C40E51">
        <w:rPr>
          <w:rFonts w:cstheme="minorHAnsi"/>
          <w:lang w:val="en-GB"/>
        </w:rPr>
        <w:t xml:space="preserve">, D. (2018). </w:t>
      </w:r>
      <w:r w:rsidRPr="00C40E51">
        <w:rPr>
          <w:rFonts w:cstheme="minorHAnsi"/>
          <w:i/>
          <w:iCs/>
          <w:lang w:val="en-GB"/>
        </w:rPr>
        <w:t xml:space="preserve">Digital change in health and social care. </w:t>
      </w:r>
      <w:r w:rsidRPr="00C40E51">
        <w:rPr>
          <w:rFonts w:cstheme="minorHAnsi"/>
          <w:lang w:val="en-GB"/>
        </w:rPr>
        <w:t>The King’s Fund, London.  ISBN: 9781909029835</w:t>
      </w:r>
    </w:p>
    <w:p w14:paraId="6A599CD9" w14:textId="77777777" w:rsidR="00796E91" w:rsidRPr="00C40E51" w:rsidRDefault="00796E91" w:rsidP="007E4E8C">
      <w:pPr>
        <w:jc w:val="left"/>
        <w:rPr>
          <w:rFonts w:cstheme="minorHAnsi"/>
          <w:lang w:val="en-GB"/>
        </w:rPr>
      </w:pPr>
      <w:r w:rsidRPr="00C40E51">
        <w:rPr>
          <w:rFonts w:cstheme="minorHAnsi"/>
          <w:lang w:val="en-GB"/>
        </w:rPr>
        <w:lastRenderedPageBreak/>
        <w:t xml:space="preserve">May, C., &amp; Finch, T. (2009). Implementing, embedding, and integrating practices: An outline of normalization process theory. </w:t>
      </w:r>
      <w:r w:rsidRPr="00C40E51">
        <w:rPr>
          <w:rFonts w:cstheme="minorHAnsi"/>
          <w:i/>
          <w:iCs/>
          <w:lang w:val="en-GB"/>
        </w:rPr>
        <w:t>Sociology : The Journal of the British Sociological Association,</w:t>
      </w:r>
      <w:r w:rsidRPr="00C40E51">
        <w:rPr>
          <w:rFonts w:cstheme="minorHAnsi"/>
          <w:lang w:val="en-GB"/>
        </w:rPr>
        <w:t xml:space="preserve"> </w:t>
      </w:r>
      <w:r w:rsidRPr="00C40E51">
        <w:rPr>
          <w:rFonts w:cstheme="minorHAnsi"/>
          <w:i/>
          <w:iCs/>
          <w:lang w:val="en-GB"/>
        </w:rPr>
        <w:t>43</w:t>
      </w:r>
      <w:r w:rsidRPr="00C40E51">
        <w:rPr>
          <w:rFonts w:cstheme="minorHAnsi"/>
          <w:lang w:val="en-GB"/>
        </w:rPr>
        <w:t>(3), 535-535.</w:t>
      </w:r>
    </w:p>
    <w:p w14:paraId="0AE32041" w14:textId="77777777" w:rsidR="00796E91" w:rsidRPr="00C40E51" w:rsidRDefault="00796E91" w:rsidP="007E4E8C">
      <w:pPr>
        <w:jc w:val="left"/>
        <w:rPr>
          <w:rFonts w:cstheme="minorHAnsi"/>
          <w:lang w:val="en-GB"/>
        </w:rPr>
      </w:pPr>
      <w:proofErr w:type="spellStart"/>
      <w:r w:rsidRPr="00C40E51">
        <w:rPr>
          <w:rFonts w:cstheme="minorHAnsi"/>
          <w:lang w:val="en-GB"/>
        </w:rPr>
        <w:t>MedMij</w:t>
      </w:r>
      <w:proofErr w:type="spellEnd"/>
      <w:r w:rsidRPr="00C40E51">
        <w:rPr>
          <w:rFonts w:cstheme="minorHAnsi"/>
          <w:lang w:val="en-GB"/>
        </w:rPr>
        <w:t xml:space="preserve">. (n.d.). </w:t>
      </w:r>
      <w:r w:rsidRPr="007D19F9">
        <w:rPr>
          <w:rFonts w:cstheme="minorHAnsi"/>
          <w:i/>
          <w:iCs/>
          <w:lang w:val="en-GB"/>
        </w:rPr>
        <w:t xml:space="preserve">Wat is </w:t>
      </w:r>
      <w:proofErr w:type="spellStart"/>
      <w:r w:rsidRPr="007D19F9">
        <w:rPr>
          <w:rFonts w:cstheme="minorHAnsi"/>
          <w:i/>
          <w:iCs/>
          <w:lang w:val="en-GB"/>
        </w:rPr>
        <w:t>medmij</w:t>
      </w:r>
      <w:proofErr w:type="spellEnd"/>
      <w:r w:rsidRPr="007D19F9">
        <w:rPr>
          <w:rFonts w:cstheme="minorHAnsi"/>
          <w:i/>
          <w:iCs/>
          <w:lang w:val="en-GB"/>
        </w:rPr>
        <w:t>?</w:t>
      </w:r>
      <w:r w:rsidRPr="00C40E51">
        <w:rPr>
          <w:rFonts w:cstheme="minorHAnsi"/>
          <w:lang w:val="en-GB"/>
        </w:rPr>
        <w:t xml:space="preserve"> Retrieved July 17, 2020, from </w:t>
      </w:r>
      <w:hyperlink r:id="rId20" w:history="1">
        <w:r w:rsidRPr="00C40E51">
          <w:rPr>
            <w:rStyle w:val="Hyperlink"/>
            <w:rFonts w:cstheme="minorHAnsi"/>
            <w:lang w:val="en-GB"/>
          </w:rPr>
          <w:t>https://www.medmij.nl/wat-is-medmij/</w:t>
        </w:r>
      </w:hyperlink>
    </w:p>
    <w:p w14:paraId="465914E9" w14:textId="77777777" w:rsidR="00796E91" w:rsidRPr="00C40E51" w:rsidRDefault="00796E91" w:rsidP="007E4E8C">
      <w:pPr>
        <w:jc w:val="left"/>
        <w:rPr>
          <w:rFonts w:cstheme="minorHAnsi"/>
          <w:lang w:val="en-GB"/>
        </w:rPr>
      </w:pPr>
      <w:r w:rsidRPr="00C40E51">
        <w:rPr>
          <w:rFonts w:cstheme="minorHAnsi"/>
          <w:lang w:val="en-GB"/>
        </w:rPr>
        <w:t xml:space="preserve">Miller, D., </w:t>
      </w:r>
      <w:proofErr w:type="spellStart"/>
      <w:r w:rsidRPr="00C40E51">
        <w:rPr>
          <w:rFonts w:cstheme="minorHAnsi"/>
          <w:lang w:val="en-GB"/>
        </w:rPr>
        <w:t>Latulipe</w:t>
      </w:r>
      <w:proofErr w:type="spellEnd"/>
      <w:r w:rsidRPr="00C40E51">
        <w:rPr>
          <w:rFonts w:cstheme="minorHAnsi"/>
          <w:lang w:val="en-GB"/>
        </w:rPr>
        <w:t xml:space="preserve">, C., Melius, K., </w:t>
      </w:r>
      <w:proofErr w:type="spellStart"/>
      <w:r w:rsidRPr="00C40E51">
        <w:rPr>
          <w:rFonts w:cstheme="minorHAnsi"/>
          <w:lang w:val="en-GB"/>
        </w:rPr>
        <w:t>Quandt</w:t>
      </w:r>
      <w:proofErr w:type="spellEnd"/>
      <w:r w:rsidRPr="00C40E51">
        <w:rPr>
          <w:rFonts w:cstheme="minorHAnsi"/>
          <w:lang w:val="en-GB"/>
        </w:rPr>
        <w:t xml:space="preserve">, S., &amp; </w:t>
      </w:r>
      <w:proofErr w:type="spellStart"/>
      <w:r w:rsidRPr="00C40E51">
        <w:rPr>
          <w:rFonts w:cstheme="minorHAnsi"/>
          <w:lang w:val="en-GB"/>
        </w:rPr>
        <w:t>Arcury</w:t>
      </w:r>
      <w:proofErr w:type="spellEnd"/>
      <w:r w:rsidRPr="00C40E51">
        <w:rPr>
          <w:rFonts w:cstheme="minorHAnsi"/>
          <w:lang w:val="en-GB"/>
        </w:rPr>
        <w:t xml:space="preserve">, T. (2016). Primary care providers' views of patient portals: Interview study of perceived benefits and consequences. </w:t>
      </w:r>
      <w:r w:rsidRPr="00C40E51">
        <w:rPr>
          <w:rFonts w:cstheme="minorHAnsi"/>
          <w:i/>
          <w:iCs/>
          <w:lang w:val="en-GB"/>
        </w:rPr>
        <w:t>Journal of Medical Internet Research,</w:t>
      </w:r>
      <w:r w:rsidRPr="00C40E51">
        <w:rPr>
          <w:rFonts w:cstheme="minorHAnsi"/>
          <w:lang w:val="en-GB"/>
        </w:rPr>
        <w:t xml:space="preserve"> </w:t>
      </w:r>
      <w:r w:rsidRPr="00C40E51">
        <w:rPr>
          <w:rFonts w:cstheme="minorHAnsi"/>
          <w:i/>
          <w:iCs/>
          <w:lang w:val="en-GB"/>
        </w:rPr>
        <w:t>18</w:t>
      </w:r>
      <w:r w:rsidRPr="00C40E51">
        <w:rPr>
          <w:rFonts w:cstheme="minorHAnsi"/>
          <w:lang w:val="en-GB"/>
        </w:rPr>
        <w:t>(1), 8. doi:10.2196/jmir.4953</w:t>
      </w:r>
    </w:p>
    <w:p w14:paraId="62840A6E" w14:textId="77777777" w:rsidR="00796E91" w:rsidRPr="00796E91" w:rsidRDefault="00796E91" w:rsidP="007E4E8C">
      <w:pPr>
        <w:jc w:val="left"/>
        <w:rPr>
          <w:rFonts w:cstheme="minorHAnsi"/>
        </w:rPr>
      </w:pPr>
      <w:r w:rsidRPr="00C40E51">
        <w:rPr>
          <w:rFonts w:cstheme="minorHAnsi"/>
          <w:lang w:val="en-GB"/>
        </w:rPr>
        <w:t xml:space="preserve">Murray, E., </w:t>
      </w:r>
      <w:proofErr w:type="spellStart"/>
      <w:r w:rsidRPr="00C40E51">
        <w:rPr>
          <w:rFonts w:cstheme="minorHAnsi"/>
          <w:lang w:val="en-GB"/>
        </w:rPr>
        <w:t>Treweek</w:t>
      </w:r>
      <w:proofErr w:type="spellEnd"/>
      <w:r w:rsidRPr="00C40E51">
        <w:rPr>
          <w:rFonts w:cstheme="minorHAnsi"/>
          <w:lang w:val="en-GB"/>
        </w:rPr>
        <w:t xml:space="preserve">, S., Pope, C., MacFarlane, A., </w:t>
      </w:r>
      <w:proofErr w:type="spellStart"/>
      <w:r w:rsidRPr="00C40E51">
        <w:rPr>
          <w:rFonts w:cstheme="minorHAnsi"/>
          <w:lang w:val="en-GB"/>
        </w:rPr>
        <w:t>Ballini</w:t>
      </w:r>
      <w:proofErr w:type="spellEnd"/>
      <w:r w:rsidRPr="00C40E51">
        <w:rPr>
          <w:rFonts w:cstheme="minorHAnsi"/>
          <w:lang w:val="en-GB"/>
        </w:rPr>
        <w:t xml:space="preserve">, L., </w:t>
      </w:r>
      <w:proofErr w:type="spellStart"/>
      <w:r w:rsidRPr="00C40E51">
        <w:rPr>
          <w:rFonts w:cstheme="minorHAnsi"/>
          <w:lang w:val="en-GB"/>
        </w:rPr>
        <w:t>Dowrick</w:t>
      </w:r>
      <w:proofErr w:type="spellEnd"/>
      <w:r w:rsidRPr="00C40E51">
        <w:rPr>
          <w:rFonts w:cstheme="minorHAnsi"/>
          <w:lang w:val="en-GB"/>
        </w:rPr>
        <w:t xml:space="preserve">, C., et al. (2010). Normalisation process theory: a framework for developing, </w:t>
      </w:r>
      <w:proofErr w:type="gramStart"/>
      <w:r w:rsidRPr="00C40E51">
        <w:rPr>
          <w:rFonts w:cstheme="minorHAnsi"/>
          <w:lang w:val="en-GB"/>
        </w:rPr>
        <w:t>evaluating</w:t>
      </w:r>
      <w:proofErr w:type="gramEnd"/>
      <w:r w:rsidRPr="00C40E51">
        <w:rPr>
          <w:rFonts w:cstheme="minorHAnsi"/>
          <w:lang w:val="en-GB"/>
        </w:rPr>
        <w:t xml:space="preserve"> and implementing complex interventions. </w:t>
      </w:r>
      <w:r w:rsidRPr="00796E91">
        <w:rPr>
          <w:rFonts w:cstheme="minorHAnsi"/>
          <w:i/>
          <w:iCs/>
        </w:rPr>
        <w:t>BMC Medicine</w:t>
      </w:r>
      <w:r w:rsidRPr="00796E91">
        <w:rPr>
          <w:rFonts w:cstheme="minorHAnsi"/>
        </w:rPr>
        <w:t>, 8(1), 63.</w:t>
      </w:r>
    </w:p>
    <w:p w14:paraId="7E910B5A" w14:textId="77777777" w:rsidR="00796E91" w:rsidRPr="00C40E51" w:rsidRDefault="00796E91" w:rsidP="007E4E8C">
      <w:pPr>
        <w:jc w:val="left"/>
        <w:rPr>
          <w:rStyle w:val="Hyperlink"/>
          <w:rFonts w:cstheme="minorHAnsi"/>
        </w:rPr>
      </w:pPr>
      <w:r w:rsidRPr="00C40E51">
        <w:rPr>
          <w:rFonts w:cstheme="minorHAnsi"/>
        </w:rPr>
        <w:t xml:space="preserve">MVWS: Ministerie van Volksgezondheid, Welzijn en Sport (2016). </w:t>
      </w:r>
      <w:r w:rsidRPr="00C40E51">
        <w:rPr>
          <w:rFonts w:cstheme="minorHAnsi"/>
          <w:i/>
          <w:iCs/>
        </w:rPr>
        <w:t>Besluit vaststelling beleidskader subsidiëring Versnellingsprogramma Informatie-uitwisseling Patiënt en Professional</w:t>
      </w:r>
      <w:r w:rsidRPr="00C40E51">
        <w:rPr>
          <w:rFonts w:cstheme="minorHAnsi"/>
        </w:rPr>
        <w:t xml:space="preserve">. </w:t>
      </w:r>
      <w:r w:rsidRPr="00796E91">
        <w:rPr>
          <w:rFonts w:cstheme="minorHAnsi"/>
        </w:rPr>
        <w:t xml:space="preserve">Retrieved February 8, 2020, from  </w:t>
      </w:r>
      <w:hyperlink r:id="rId21" w:history="1">
        <w:r w:rsidRPr="00796E91">
          <w:rPr>
            <w:rStyle w:val="Hyperlink"/>
            <w:rFonts w:cstheme="minorHAnsi"/>
          </w:rPr>
          <w:t>https://zoek.officielebekendmakingen.nl/stcrt-2016-68985.html</w:t>
        </w:r>
      </w:hyperlink>
    </w:p>
    <w:p w14:paraId="1D6D8365" w14:textId="77777777" w:rsidR="00796E91" w:rsidRPr="00C40E51" w:rsidRDefault="00796E91" w:rsidP="007E4E8C">
      <w:pPr>
        <w:jc w:val="left"/>
        <w:rPr>
          <w:rFonts w:cstheme="minorHAnsi"/>
          <w:color w:val="0000FF" w:themeColor="hyperlink"/>
          <w:u w:val="single"/>
          <w:lang w:val="en-GB"/>
        </w:rPr>
      </w:pPr>
      <w:r w:rsidRPr="00C40E51">
        <w:rPr>
          <w:rFonts w:cstheme="minorHAnsi"/>
        </w:rPr>
        <w:t xml:space="preserve">MVWS: Ministerie van Volksgezondheid, Welzijn en Sport. (2017). </w:t>
      </w:r>
      <w:r w:rsidRPr="00C40E51">
        <w:rPr>
          <w:rFonts w:cstheme="minorHAnsi"/>
          <w:i/>
          <w:iCs/>
        </w:rPr>
        <w:t xml:space="preserve">Juridische factsheet: Wet cliëntenrechten bij elektronische verwerking van gegevens. </w:t>
      </w:r>
      <w:r w:rsidRPr="00C40E51">
        <w:rPr>
          <w:rFonts w:cstheme="minorHAnsi"/>
          <w:lang w:val="en-GB"/>
        </w:rPr>
        <w:t xml:space="preserve">Retrieved February 24, 2020, from </w:t>
      </w:r>
      <w:hyperlink r:id="rId22" w:history="1">
        <w:r w:rsidRPr="00C40E51">
          <w:rPr>
            <w:rStyle w:val="Hyperlink"/>
            <w:rFonts w:cstheme="minorHAnsi"/>
            <w:lang w:val="en-GB"/>
          </w:rPr>
          <w:t>https://webcache.googleusercontent.com/search?q=cache:2WV7h8de1S8J:https://bg.legal/wp-content/uploads/2017/08/Juridische-factsheet-Wet-cli%25C3%25ABntenrechten-bij-elektronische-verwerking-va....pdf+&amp;cd=4&amp;hl=nl&amp;ct=clnk&amp;gl=nl&amp;client=firefox-b-d</w:t>
        </w:r>
      </w:hyperlink>
    </w:p>
    <w:p w14:paraId="0D566B5F" w14:textId="77777777" w:rsidR="00796E91" w:rsidRPr="00C40E51" w:rsidRDefault="00796E91" w:rsidP="007E4E8C">
      <w:pPr>
        <w:jc w:val="left"/>
        <w:rPr>
          <w:rFonts w:cstheme="minorHAnsi"/>
          <w:lang w:val="en-GB"/>
        </w:rPr>
      </w:pPr>
      <w:r w:rsidRPr="00C40E51">
        <w:rPr>
          <w:rFonts w:cstheme="minorHAnsi"/>
        </w:rPr>
        <w:t xml:space="preserve">MVWS: Ministerie van Volksgezondheid, Welzijn en Sport. </w:t>
      </w:r>
      <w:r w:rsidRPr="00796E91">
        <w:rPr>
          <w:rFonts w:cstheme="minorHAnsi"/>
          <w:lang w:val="en-GB"/>
        </w:rPr>
        <w:t xml:space="preserve">(n.d.). </w:t>
      </w:r>
      <w:proofErr w:type="spellStart"/>
      <w:r w:rsidRPr="00796E91">
        <w:rPr>
          <w:rFonts w:cstheme="minorHAnsi"/>
          <w:i/>
          <w:iCs/>
          <w:lang w:val="en-GB"/>
        </w:rPr>
        <w:t>Jaarverantwoording</w:t>
      </w:r>
      <w:proofErr w:type="spellEnd"/>
      <w:r w:rsidRPr="00796E91">
        <w:rPr>
          <w:rFonts w:cstheme="minorHAnsi"/>
          <w:i/>
          <w:iCs/>
          <w:lang w:val="en-GB"/>
        </w:rPr>
        <w:t xml:space="preserve"> </w:t>
      </w:r>
      <w:proofErr w:type="spellStart"/>
      <w:r w:rsidRPr="00796E91">
        <w:rPr>
          <w:rFonts w:cstheme="minorHAnsi"/>
          <w:i/>
          <w:iCs/>
          <w:lang w:val="en-GB"/>
        </w:rPr>
        <w:t>zorg</w:t>
      </w:r>
      <w:proofErr w:type="spellEnd"/>
      <w:r w:rsidRPr="00796E91">
        <w:rPr>
          <w:rFonts w:cstheme="minorHAnsi"/>
          <w:i/>
          <w:iCs/>
          <w:lang w:val="en-GB"/>
        </w:rPr>
        <w:t xml:space="preserve">. </w:t>
      </w:r>
      <w:r w:rsidRPr="00C40E51">
        <w:rPr>
          <w:rFonts w:cstheme="minorHAnsi"/>
          <w:lang w:val="en-GB"/>
        </w:rPr>
        <w:t xml:space="preserve">Retrieved July, 20, 2020, from </w:t>
      </w:r>
      <w:hyperlink r:id="rId23" w:history="1">
        <w:r w:rsidRPr="00C40E51">
          <w:rPr>
            <w:rStyle w:val="Hyperlink"/>
            <w:rFonts w:cstheme="minorHAnsi"/>
            <w:lang w:val="en-GB"/>
          </w:rPr>
          <w:t>https://www.desan.nl/net/DoSearch/Search.aspx</w:t>
        </w:r>
      </w:hyperlink>
    </w:p>
    <w:p w14:paraId="4761DF66" w14:textId="77777777" w:rsidR="00796E91" w:rsidRPr="00C40E51" w:rsidRDefault="00796E91" w:rsidP="007E4E8C">
      <w:pPr>
        <w:jc w:val="left"/>
        <w:rPr>
          <w:rStyle w:val="Hyperlink"/>
          <w:rFonts w:cstheme="minorHAnsi"/>
          <w:lang w:val="en-GB"/>
        </w:rPr>
      </w:pPr>
      <w:r w:rsidRPr="00C40E51">
        <w:rPr>
          <w:rFonts w:cstheme="minorHAnsi"/>
          <w:lang w:val="en-GB"/>
        </w:rPr>
        <w:t>N.A. (2017).</w:t>
      </w:r>
      <w:r w:rsidRPr="00C40E51">
        <w:rPr>
          <w:rFonts w:cstheme="minorHAnsi"/>
          <w:i/>
          <w:iCs/>
          <w:lang w:val="en-GB"/>
        </w:rPr>
        <w:t xml:space="preserve"> Application in specific situations</w:t>
      </w:r>
      <w:r w:rsidRPr="00C40E51">
        <w:rPr>
          <w:rFonts w:cstheme="minorHAnsi"/>
          <w:lang w:val="en-GB"/>
        </w:rPr>
        <w:t xml:space="preserve">. Retrieved July 18, 2020, from </w:t>
      </w:r>
      <w:hyperlink r:id="rId24" w:history="1">
        <w:r w:rsidRPr="00C40E51">
          <w:rPr>
            <w:rStyle w:val="Hyperlink"/>
            <w:rFonts w:cstheme="minorHAnsi"/>
            <w:lang w:val="en-GB"/>
          </w:rPr>
          <w:t>https://www.governancecodezorg.nl/specifieke-situaties/</w:t>
        </w:r>
      </w:hyperlink>
    </w:p>
    <w:p w14:paraId="10C41543" w14:textId="77777777" w:rsidR="00796E91" w:rsidRPr="00C40E51" w:rsidRDefault="00796E91" w:rsidP="007E4E8C">
      <w:pPr>
        <w:jc w:val="left"/>
        <w:rPr>
          <w:rFonts w:cstheme="minorHAnsi"/>
          <w:lang w:val="en-GB"/>
        </w:rPr>
      </w:pPr>
      <w:r w:rsidRPr="00C40E51">
        <w:rPr>
          <w:rFonts w:cstheme="minorHAnsi"/>
        </w:rPr>
        <w:t xml:space="preserve">Nictiz. (July 1, 2019). </w:t>
      </w:r>
      <w:r w:rsidRPr="00C40E51">
        <w:rPr>
          <w:rFonts w:cstheme="minorHAnsi"/>
          <w:i/>
          <w:iCs/>
        </w:rPr>
        <w:t>Hoe online is jouw ziekenhuis?</w:t>
      </w:r>
      <w:r w:rsidRPr="00C40E51">
        <w:rPr>
          <w:rFonts w:cstheme="minorHAnsi"/>
        </w:rPr>
        <w:t xml:space="preserve"> </w:t>
      </w:r>
      <w:r w:rsidRPr="00C40E51">
        <w:rPr>
          <w:rFonts w:cstheme="minorHAnsi"/>
          <w:lang w:val="en-GB"/>
        </w:rPr>
        <w:t xml:space="preserve">Retrieved February 7, 2020, from </w:t>
      </w:r>
      <w:hyperlink r:id="rId25" w:history="1">
        <w:r w:rsidRPr="00C40E51">
          <w:rPr>
            <w:rStyle w:val="Hyperlink"/>
            <w:rFonts w:cstheme="minorHAnsi"/>
            <w:lang w:val="en-GB"/>
          </w:rPr>
          <w:t>https://www.hoeonlineisjouwziekenhuis.nl/</w:t>
        </w:r>
      </w:hyperlink>
    </w:p>
    <w:p w14:paraId="4D707093" w14:textId="77777777" w:rsidR="00796E91" w:rsidRPr="00C40E51" w:rsidRDefault="00796E91" w:rsidP="007E4E8C">
      <w:pPr>
        <w:jc w:val="left"/>
        <w:rPr>
          <w:rFonts w:cstheme="minorHAnsi"/>
          <w:lang w:val="en-GB"/>
        </w:rPr>
      </w:pPr>
      <w:r w:rsidRPr="00C40E51">
        <w:rPr>
          <w:rFonts w:cstheme="minorHAnsi"/>
          <w:lang w:val="en-GB"/>
        </w:rPr>
        <w:t xml:space="preserve">NVZ. (2020). </w:t>
      </w:r>
      <w:r w:rsidRPr="00C40E51">
        <w:rPr>
          <w:rFonts w:cstheme="minorHAnsi"/>
          <w:i/>
          <w:iCs/>
          <w:lang w:val="en-GB"/>
        </w:rPr>
        <w:t>VIPP-assessments</w:t>
      </w:r>
      <w:r w:rsidRPr="00C40E51">
        <w:rPr>
          <w:rFonts w:cstheme="minorHAnsi"/>
          <w:lang w:val="en-GB"/>
        </w:rPr>
        <w:t xml:space="preserve">. Retrieved from </w:t>
      </w:r>
      <w:hyperlink r:id="rId26" w:history="1">
        <w:r w:rsidRPr="00C40E51">
          <w:rPr>
            <w:rStyle w:val="Hyperlink"/>
            <w:rFonts w:cstheme="minorHAnsi"/>
            <w:lang w:val="en-GB"/>
          </w:rPr>
          <w:t>https://www.dus-i.nl/subsidies/versnellingsprogramma-informatie-uitwisseling-patient-en-professional/documenten/publicaties/2018/02/27/handreiking-vipp-assessments-v1.0</w:t>
        </w:r>
      </w:hyperlink>
    </w:p>
    <w:p w14:paraId="6D9B8AF2" w14:textId="77777777" w:rsidR="00796E91" w:rsidRPr="00C40E51" w:rsidRDefault="00796E91" w:rsidP="007E4E8C">
      <w:pPr>
        <w:jc w:val="left"/>
        <w:rPr>
          <w:rFonts w:cstheme="minorHAnsi"/>
          <w:lang w:val="en-GB"/>
        </w:rPr>
      </w:pPr>
      <w:r w:rsidRPr="00C40E51">
        <w:rPr>
          <w:rFonts w:cstheme="minorHAnsi"/>
        </w:rPr>
        <w:t xml:space="preserve">Otte-Trojel, T., De, B., Rundall, T., &amp; Van, D. (2016). </w:t>
      </w:r>
      <w:r w:rsidRPr="00C40E51">
        <w:rPr>
          <w:rFonts w:cstheme="minorHAnsi"/>
          <w:lang w:val="en-GB"/>
        </w:rPr>
        <w:t xml:space="preserve">What do we know about developing patient portals? a systematic literature review. </w:t>
      </w:r>
      <w:r w:rsidRPr="00C40E51">
        <w:rPr>
          <w:rFonts w:cstheme="minorHAnsi"/>
          <w:i/>
          <w:iCs/>
          <w:lang w:val="en-GB"/>
        </w:rPr>
        <w:t>Journal of the American Medical Informatics Association : Jamia,</w:t>
      </w:r>
      <w:r w:rsidRPr="00C40E51">
        <w:rPr>
          <w:rFonts w:cstheme="minorHAnsi"/>
          <w:lang w:val="en-GB"/>
        </w:rPr>
        <w:t xml:space="preserve"> </w:t>
      </w:r>
      <w:r w:rsidRPr="00C40E51">
        <w:rPr>
          <w:rFonts w:cstheme="minorHAnsi"/>
          <w:i/>
          <w:iCs/>
          <w:lang w:val="en-GB"/>
        </w:rPr>
        <w:t>23</w:t>
      </w:r>
      <w:r w:rsidRPr="00C40E51">
        <w:rPr>
          <w:rFonts w:cstheme="minorHAnsi"/>
          <w:lang w:val="en-GB"/>
        </w:rPr>
        <w:t>(E1), 162-8. doi:10.1093/</w:t>
      </w:r>
      <w:proofErr w:type="spellStart"/>
      <w:r w:rsidRPr="00C40E51">
        <w:rPr>
          <w:rFonts w:cstheme="minorHAnsi"/>
          <w:lang w:val="en-GB"/>
        </w:rPr>
        <w:t>jamia</w:t>
      </w:r>
      <w:proofErr w:type="spellEnd"/>
      <w:r w:rsidRPr="00C40E51">
        <w:rPr>
          <w:rFonts w:cstheme="minorHAnsi"/>
          <w:lang w:val="en-GB"/>
        </w:rPr>
        <w:t>/ocv114</w:t>
      </w:r>
    </w:p>
    <w:p w14:paraId="032E5410" w14:textId="77777777" w:rsidR="00796E91" w:rsidRPr="00C40E51" w:rsidRDefault="00796E91" w:rsidP="007E4E8C">
      <w:pPr>
        <w:jc w:val="left"/>
        <w:rPr>
          <w:rFonts w:cstheme="minorHAnsi"/>
          <w:lang w:val="en-GB"/>
        </w:rPr>
      </w:pPr>
      <w:proofErr w:type="spellStart"/>
      <w:r w:rsidRPr="00C40E51">
        <w:rPr>
          <w:rFonts w:cstheme="minorHAnsi"/>
          <w:lang w:val="en-GB"/>
        </w:rPr>
        <w:t>Pagliari</w:t>
      </w:r>
      <w:proofErr w:type="spellEnd"/>
      <w:r w:rsidRPr="00C40E51">
        <w:rPr>
          <w:rFonts w:cstheme="minorHAnsi"/>
          <w:lang w:val="en-GB"/>
        </w:rPr>
        <w:t xml:space="preserve">, C., </w:t>
      </w:r>
      <w:proofErr w:type="spellStart"/>
      <w:r w:rsidRPr="00C40E51">
        <w:rPr>
          <w:rFonts w:cstheme="minorHAnsi"/>
          <w:lang w:val="en-GB"/>
        </w:rPr>
        <w:t>Detmer</w:t>
      </w:r>
      <w:proofErr w:type="spellEnd"/>
      <w:r w:rsidRPr="00C40E51">
        <w:rPr>
          <w:rFonts w:cstheme="minorHAnsi"/>
          <w:lang w:val="en-GB"/>
        </w:rPr>
        <w:t xml:space="preserve">, D., &amp; Singleton, P. (2007). Potential of electronic personal health records. </w:t>
      </w:r>
      <w:proofErr w:type="spellStart"/>
      <w:r w:rsidRPr="00C40E51">
        <w:rPr>
          <w:rFonts w:cstheme="minorHAnsi"/>
          <w:i/>
          <w:iCs/>
          <w:lang w:val="en-GB"/>
        </w:rPr>
        <w:t>Bmj</w:t>
      </w:r>
      <w:proofErr w:type="spellEnd"/>
      <w:r w:rsidRPr="00C40E51">
        <w:rPr>
          <w:rFonts w:cstheme="minorHAnsi"/>
          <w:i/>
          <w:iCs/>
          <w:lang w:val="en-GB"/>
        </w:rPr>
        <w:t xml:space="preserve"> (Clinical Research Ed.)</w:t>
      </w:r>
      <w:r w:rsidRPr="00C40E51">
        <w:rPr>
          <w:rFonts w:cstheme="minorHAnsi"/>
          <w:lang w:val="en-GB"/>
        </w:rPr>
        <w:t xml:space="preserve">, </w:t>
      </w:r>
      <w:r w:rsidRPr="00C40E51">
        <w:rPr>
          <w:rFonts w:cstheme="minorHAnsi"/>
          <w:i/>
          <w:iCs/>
          <w:lang w:val="en-GB"/>
        </w:rPr>
        <w:t>335</w:t>
      </w:r>
      <w:r w:rsidRPr="00C40E51">
        <w:rPr>
          <w:rFonts w:cstheme="minorHAnsi"/>
          <w:lang w:val="en-GB"/>
        </w:rPr>
        <w:t>(7615), 330–3.</w:t>
      </w:r>
    </w:p>
    <w:p w14:paraId="235B9DE4" w14:textId="77777777" w:rsidR="00796E91" w:rsidRPr="00C40E51" w:rsidRDefault="00796E91" w:rsidP="007E4E8C">
      <w:pPr>
        <w:jc w:val="left"/>
        <w:rPr>
          <w:rFonts w:cstheme="minorHAnsi"/>
          <w:lang w:val="en-GB"/>
        </w:rPr>
      </w:pPr>
      <w:r w:rsidRPr="00C40E51">
        <w:rPr>
          <w:rFonts w:cstheme="minorHAnsi"/>
          <w:lang w:val="en-GB"/>
        </w:rPr>
        <w:t xml:space="preserve">Peters, B.G., &amp; Pierre, J. (2001). Developments in intergovernmental relations: towards multi-level governance. </w:t>
      </w:r>
      <w:r w:rsidRPr="00C40E51">
        <w:rPr>
          <w:rFonts w:cstheme="minorHAnsi"/>
          <w:i/>
          <w:lang w:val="en-GB"/>
        </w:rPr>
        <w:t>Policy and Politics</w:t>
      </w:r>
      <w:r w:rsidRPr="00C40E51">
        <w:rPr>
          <w:rFonts w:cstheme="minorHAnsi"/>
          <w:lang w:val="en-GB"/>
        </w:rPr>
        <w:t>, 29(2): 131-136.</w:t>
      </w:r>
    </w:p>
    <w:p w14:paraId="0CC4F087" w14:textId="77777777" w:rsidR="00796E91" w:rsidRPr="00C40E51" w:rsidRDefault="00796E91" w:rsidP="007E4E8C">
      <w:pPr>
        <w:jc w:val="left"/>
        <w:rPr>
          <w:rFonts w:cstheme="minorHAnsi"/>
          <w:lang w:val="en-GB"/>
        </w:rPr>
      </w:pPr>
      <w:r w:rsidRPr="00C40E51">
        <w:rPr>
          <w:rFonts w:cstheme="minorHAnsi"/>
          <w:lang w:val="en-GB"/>
        </w:rPr>
        <w:t xml:space="preserve">Pool, J. (1991) Hospital management: integrating the dual hierarchy? </w:t>
      </w:r>
      <w:r w:rsidRPr="00C40E51">
        <w:rPr>
          <w:rFonts w:cstheme="minorHAnsi"/>
          <w:i/>
          <w:iCs/>
          <w:lang w:val="en-GB"/>
        </w:rPr>
        <w:t xml:space="preserve">Int J Health </w:t>
      </w:r>
      <w:proofErr w:type="spellStart"/>
      <w:r w:rsidRPr="00C40E51">
        <w:rPr>
          <w:rFonts w:cstheme="minorHAnsi"/>
          <w:i/>
          <w:iCs/>
          <w:lang w:val="en-GB"/>
        </w:rPr>
        <w:t>Plann</w:t>
      </w:r>
      <w:proofErr w:type="spellEnd"/>
      <w:r w:rsidRPr="00C40E51">
        <w:rPr>
          <w:rFonts w:cstheme="minorHAnsi"/>
          <w:i/>
          <w:iCs/>
          <w:lang w:val="en-GB"/>
        </w:rPr>
        <w:t xml:space="preserve"> Manage</w:t>
      </w:r>
      <w:r w:rsidRPr="00C40E51">
        <w:rPr>
          <w:rFonts w:cstheme="minorHAnsi"/>
          <w:lang w:val="en-GB"/>
        </w:rPr>
        <w:t>.;6(3):193‐207.</w:t>
      </w:r>
    </w:p>
    <w:p w14:paraId="7A4C141A" w14:textId="77777777" w:rsidR="00796E91" w:rsidRPr="00C40E51" w:rsidRDefault="00796E91" w:rsidP="007E4E8C">
      <w:pPr>
        <w:jc w:val="left"/>
        <w:rPr>
          <w:rFonts w:cstheme="minorHAnsi"/>
          <w:lang w:val="en-GB"/>
        </w:rPr>
      </w:pPr>
      <w:r w:rsidRPr="00C40E51">
        <w:rPr>
          <w:rFonts w:cstheme="minorHAnsi"/>
          <w:lang w:val="en-GB"/>
        </w:rPr>
        <w:lastRenderedPageBreak/>
        <w:t xml:space="preserve">Porter, M. E. (2009). A strategy for health care reform--toward a value-based system. </w:t>
      </w:r>
      <w:r w:rsidRPr="00C40E51">
        <w:rPr>
          <w:rFonts w:cstheme="minorHAnsi"/>
          <w:i/>
          <w:iCs/>
          <w:lang w:val="en-GB"/>
        </w:rPr>
        <w:t>The New England Journal of Medicine</w:t>
      </w:r>
      <w:r w:rsidRPr="00C40E51">
        <w:rPr>
          <w:rFonts w:cstheme="minorHAnsi"/>
          <w:lang w:val="en-GB"/>
        </w:rPr>
        <w:t xml:space="preserve">, </w:t>
      </w:r>
      <w:r w:rsidRPr="00C40E51">
        <w:rPr>
          <w:rFonts w:cstheme="minorHAnsi"/>
          <w:i/>
          <w:iCs/>
          <w:lang w:val="en-GB"/>
        </w:rPr>
        <w:t>361</w:t>
      </w:r>
      <w:r w:rsidRPr="00C40E51">
        <w:rPr>
          <w:rFonts w:cstheme="minorHAnsi"/>
          <w:lang w:val="en-GB"/>
        </w:rPr>
        <w:t>(2), 109–12.</w:t>
      </w:r>
    </w:p>
    <w:p w14:paraId="53AC17F7" w14:textId="77777777" w:rsidR="00796E91" w:rsidRPr="00C40E51" w:rsidRDefault="00796E91" w:rsidP="007E4E8C">
      <w:pPr>
        <w:jc w:val="left"/>
        <w:rPr>
          <w:rFonts w:cstheme="minorHAnsi"/>
          <w:lang w:val="en-GB"/>
        </w:rPr>
      </w:pPr>
      <w:r w:rsidRPr="00C40E51">
        <w:rPr>
          <w:rFonts w:cstheme="minorHAnsi"/>
          <w:lang w:val="en-GB"/>
        </w:rPr>
        <w:t xml:space="preserve">Powell, K. R. (2017). </w:t>
      </w:r>
      <w:r w:rsidRPr="007D19F9">
        <w:rPr>
          <w:rFonts w:cstheme="minorHAnsi"/>
          <w:i/>
          <w:iCs/>
          <w:lang w:val="en-GB"/>
        </w:rPr>
        <w:t>Patient-Perceived Facilitators of and Barriers to Electronic Portal Use</w:t>
      </w:r>
      <w:r w:rsidRPr="00C40E51">
        <w:rPr>
          <w:rFonts w:cstheme="minorHAnsi"/>
          <w:lang w:val="en-GB"/>
        </w:rPr>
        <w:t xml:space="preserve">. CIN: Computers, Informatics, Nursing, 35(11), 565–573. </w:t>
      </w:r>
      <w:proofErr w:type="spellStart"/>
      <w:r w:rsidRPr="00C40E51">
        <w:rPr>
          <w:rFonts w:cstheme="minorHAnsi"/>
          <w:lang w:val="en-GB"/>
        </w:rPr>
        <w:t>doi</w:t>
      </w:r>
      <w:proofErr w:type="spellEnd"/>
      <w:r w:rsidRPr="00C40E51">
        <w:rPr>
          <w:rFonts w:cstheme="minorHAnsi"/>
          <w:lang w:val="en-GB"/>
        </w:rPr>
        <w:t>: 10.1097/CIN.0000000000000377.</w:t>
      </w:r>
    </w:p>
    <w:p w14:paraId="0C203593" w14:textId="77777777" w:rsidR="00796E91" w:rsidRPr="00C40E51" w:rsidRDefault="00796E91" w:rsidP="007E4E8C">
      <w:pPr>
        <w:jc w:val="left"/>
        <w:rPr>
          <w:rFonts w:cstheme="minorHAnsi"/>
          <w:lang w:val="en-GB"/>
        </w:rPr>
      </w:pPr>
      <w:r w:rsidRPr="00C40E51">
        <w:rPr>
          <w:rFonts w:cstheme="minorHAnsi"/>
          <w:lang w:val="en-GB"/>
        </w:rPr>
        <w:t xml:space="preserve">Price, P. (2017). How today's technology is shaping healthcare's future. </w:t>
      </w:r>
      <w:r w:rsidRPr="00C40E51">
        <w:rPr>
          <w:rFonts w:cstheme="minorHAnsi"/>
          <w:i/>
          <w:iCs/>
          <w:lang w:val="en-GB"/>
        </w:rPr>
        <w:t>Health Management Technology,</w:t>
      </w:r>
      <w:r w:rsidRPr="00C40E51">
        <w:rPr>
          <w:rFonts w:cstheme="minorHAnsi"/>
          <w:lang w:val="en-GB"/>
        </w:rPr>
        <w:t xml:space="preserve"> </w:t>
      </w:r>
      <w:r w:rsidRPr="00C40E51">
        <w:rPr>
          <w:rFonts w:cstheme="minorHAnsi"/>
          <w:i/>
          <w:iCs/>
          <w:lang w:val="en-GB"/>
        </w:rPr>
        <w:t>38</w:t>
      </w:r>
      <w:r w:rsidRPr="00C40E51">
        <w:rPr>
          <w:rFonts w:cstheme="minorHAnsi"/>
          <w:lang w:val="en-GB"/>
        </w:rPr>
        <w:t>(6), 10-11</w:t>
      </w:r>
    </w:p>
    <w:p w14:paraId="4AB40FE2" w14:textId="77777777" w:rsidR="00796E91" w:rsidRPr="00C40E51" w:rsidRDefault="00796E91" w:rsidP="007E4E8C">
      <w:pPr>
        <w:jc w:val="left"/>
        <w:rPr>
          <w:rFonts w:cstheme="minorHAnsi"/>
          <w:lang w:val="en-GB"/>
        </w:rPr>
      </w:pPr>
      <w:r w:rsidRPr="00C40E51">
        <w:rPr>
          <w:rFonts w:cstheme="minorHAnsi"/>
          <w:lang w:val="en-GB"/>
        </w:rPr>
        <w:t xml:space="preserve">Pronovost, P.J., Armstrong, M., </w:t>
      </w:r>
      <w:proofErr w:type="spellStart"/>
      <w:r w:rsidRPr="00C40E51">
        <w:rPr>
          <w:rFonts w:cstheme="minorHAnsi"/>
          <w:lang w:val="en-GB"/>
        </w:rPr>
        <w:t>Demski</w:t>
      </w:r>
      <w:proofErr w:type="spellEnd"/>
      <w:r w:rsidRPr="00C40E51">
        <w:rPr>
          <w:rFonts w:cstheme="minorHAnsi"/>
          <w:lang w:val="en-GB"/>
        </w:rPr>
        <w:t xml:space="preserve">, R., Peterson, R.R &amp; Rothman, P.B. (2018). Taking healthcare governance to the next level. </w:t>
      </w:r>
      <w:r w:rsidRPr="00C40E51">
        <w:rPr>
          <w:rFonts w:cstheme="minorHAnsi"/>
          <w:i/>
          <w:iCs/>
          <w:lang w:val="en-GB"/>
        </w:rPr>
        <w:t xml:space="preserve">NEJM Catalyst, </w:t>
      </w:r>
      <w:r w:rsidRPr="00C40E51">
        <w:rPr>
          <w:rFonts w:cstheme="minorHAnsi"/>
          <w:lang w:val="en-GB"/>
        </w:rPr>
        <w:t>March 2018.</w:t>
      </w:r>
    </w:p>
    <w:p w14:paraId="78D235E1" w14:textId="77777777" w:rsidR="00796E91" w:rsidRPr="00C40E51" w:rsidRDefault="00796E91" w:rsidP="007E4E8C">
      <w:pPr>
        <w:jc w:val="left"/>
        <w:rPr>
          <w:rFonts w:cstheme="minorHAnsi"/>
          <w:lang w:val="en-GB"/>
        </w:rPr>
      </w:pPr>
      <w:r w:rsidRPr="00C40E51">
        <w:rPr>
          <w:rFonts w:cstheme="minorHAnsi"/>
          <w:lang w:val="en-GB"/>
        </w:rPr>
        <w:t xml:space="preserve">Rhodes, R.A.W, (2007). Understanding governance: ten years on. </w:t>
      </w:r>
      <w:r w:rsidRPr="00C40E51">
        <w:rPr>
          <w:rFonts w:cstheme="minorHAnsi"/>
          <w:i/>
          <w:iCs/>
          <w:lang w:val="en-GB"/>
        </w:rPr>
        <w:t>Organization Studies</w:t>
      </w:r>
      <w:r w:rsidRPr="00C40E51">
        <w:rPr>
          <w:rFonts w:cstheme="minorHAnsi"/>
          <w:lang w:val="en-GB"/>
        </w:rPr>
        <w:t xml:space="preserve">, </w:t>
      </w:r>
      <w:r w:rsidRPr="00C40E51">
        <w:rPr>
          <w:rFonts w:cstheme="minorHAnsi"/>
          <w:i/>
          <w:iCs/>
          <w:lang w:val="en-GB"/>
        </w:rPr>
        <w:t>28</w:t>
      </w:r>
      <w:r w:rsidRPr="00C40E51">
        <w:rPr>
          <w:rFonts w:cstheme="minorHAnsi"/>
          <w:lang w:val="en-GB"/>
        </w:rPr>
        <w:t>(8), 1243–1264. https://doi-org.eur.idm.oclc.org/10.1177/0170840607076586</w:t>
      </w:r>
    </w:p>
    <w:p w14:paraId="3369DE58" w14:textId="77777777" w:rsidR="00796E91" w:rsidRPr="00796E91" w:rsidRDefault="00796E91" w:rsidP="007E4E8C">
      <w:pPr>
        <w:jc w:val="left"/>
        <w:rPr>
          <w:rFonts w:cstheme="minorHAnsi"/>
          <w:lang w:val="en-GB"/>
        </w:rPr>
      </w:pPr>
      <w:proofErr w:type="spellStart"/>
      <w:r w:rsidRPr="00C40E51">
        <w:rPr>
          <w:rFonts w:cstheme="minorHAnsi"/>
          <w:lang w:val="en-GB"/>
        </w:rPr>
        <w:t>Rosenmöller</w:t>
      </w:r>
      <w:proofErr w:type="spellEnd"/>
      <w:r w:rsidRPr="00C40E51">
        <w:rPr>
          <w:rFonts w:cstheme="minorHAnsi"/>
          <w:lang w:val="en-GB"/>
        </w:rPr>
        <w:t xml:space="preserve">, M., Whitehouse, D., &amp; Wilson, P. (Eds.). (2014). </w:t>
      </w:r>
      <w:r w:rsidRPr="00C40E51">
        <w:rPr>
          <w:rFonts w:cstheme="minorHAnsi"/>
          <w:i/>
          <w:iCs/>
          <w:lang w:val="en-GB"/>
        </w:rPr>
        <w:t xml:space="preserve">Managing </w:t>
      </w:r>
      <w:proofErr w:type="spellStart"/>
      <w:r w:rsidRPr="00C40E51">
        <w:rPr>
          <w:rFonts w:cstheme="minorHAnsi"/>
          <w:i/>
          <w:iCs/>
          <w:lang w:val="en-GB"/>
        </w:rPr>
        <w:t>ehealth</w:t>
      </w:r>
      <w:proofErr w:type="spellEnd"/>
      <w:r w:rsidRPr="00C40E51">
        <w:rPr>
          <w:rFonts w:cstheme="minorHAnsi"/>
          <w:i/>
          <w:iCs/>
          <w:lang w:val="en-GB"/>
        </w:rPr>
        <w:t xml:space="preserve"> : From vision to reality</w:t>
      </w:r>
      <w:r w:rsidRPr="00C40E51">
        <w:rPr>
          <w:rFonts w:cstheme="minorHAnsi"/>
          <w:lang w:val="en-GB"/>
        </w:rPr>
        <w:t xml:space="preserve"> (The </w:t>
      </w:r>
      <w:proofErr w:type="spellStart"/>
      <w:r w:rsidRPr="00C40E51">
        <w:rPr>
          <w:rFonts w:cstheme="minorHAnsi"/>
          <w:lang w:val="en-GB"/>
        </w:rPr>
        <w:t>palgrave</w:t>
      </w:r>
      <w:proofErr w:type="spellEnd"/>
      <w:r w:rsidRPr="00C40E51">
        <w:rPr>
          <w:rFonts w:cstheme="minorHAnsi"/>
          <w:lang w:val="en-GB"/>
        </w:rPr>
        <w:t xml:space="preserve"> </w:t>
      </w:r>
      <w:proofErr w:type="spellStart"/>
      <w:r w:rsidRPr="00C40E51">
        <w:rPr>
          <w:rFonts w:cstheme="minorHAnsi"/>
          <w:lang w:val="en-GB"/>
        </w:rPr>
        <w:t>macmillan</w:t>
      </w:r>
      <w:proofErr w:type="spellEnd"/>
      <w:r w:rsidRPr="00C40E51">
        <w:rPr>
          <w:rFonts w:cstheme="minorHAnsi"/>
          <w:lang w:val="en-GB"/>
        </w:rPr>
        <w:t xml:space="preserve"> </w:t>
      </w:r>
      <w:proofErr w:type="spellStart"/>
      <w:r w:rsidRPr="00C40E51">
        <w:rPr>
          <w:rFonts w:cstheme="minorHAnsi"/>
          <w:lang w:val="en-GB"/>
        </w:rPr>
        <w:t>iese</w:t>
      </w:r>
      <w:proofErr w:type="spellEnd"/>
      <w:r w:rsidRPr="00C40E51">
        <w:rPr>
          <w:rFonts w:cstheme="minorHAnsi"/>
          <w:lang w:val="en-GB"/>
        </w:rPr>
        <w:t xml:space="preserve"> business collection). </w:t>
      </w:r>
      <w:r w:rsidRPr="00796E91">
        <w:rPr>
          <w:rFonts w:cstheme="minorHAnsi"/>
          <w:lang w:val="en-GB"/>
        </w:rPr>
        <w:t>Basingstoke: Palgrave Macmillan. doi:10.1057/9781137379443</w:t>
      </w:r>
    </w:p>
    <w:p w14:paraId="7F839521" w14:textId="77777777" w:rsidR="00796E91" w:rsidRPr="00C40E51" w:rsidRDefault="00796E91" w:rsidP="007E4E8C">
      <w:pPr>
        <w:jc w:val="left"/>
        <w:rPr>
          <w:rFonts w:cstheme="minorHAnsi"/>
          <w:lang w:val="en-GB"/>
        </w:rPr>
      </w:pPr>
      <w:r w:rsidRPr="00C40E51">
        <w:rPr>
          <w:rFonts w:cstheme="minorHAnsi"/>
          <w:lang w:val="en-GB"/>
        </w:rPr>
        <w:t xml:space="preserve">Rouleau, L. (2013). Strategy-as-practice research at a crossroads. </w:t>
      </w:r>
      <w:proofErr w:type="spellStart"/>
      <w:r w:rsidRPr="00C40E51">
        <w:rPr>
          <w:rFonts w:cstheme="minorHAnsi"/>
          <w:i/>
          <w:iCs/>
          <w:lang w:val="en-GB"/>
        </w:rPr>
        <w:t>M@n@gement</w:t>
      </w:r>
      <w:proofErr w:type="spellEnd"/>
      <w:r w:rsidRPr="00C40E51">
        <w:rPr>
          <w:rFonts w:cstheme="minorHAnsi"/>
          <w:i/>
          <w:iCs/>
          <w:lang w:val="en-GB"/>
        </w:rPr>
        <w:t>,</w:t>
      </w:r>
      <w:r w:rsidRPr="00C40E51">
        <w:rPr>
          <w:rFonts w:cstheme="minorHAnsi"/>
          <w:lang w:val="en-GB"/>
        </w:rPr>
        <w:t xml:space="preserve"> </w:t>
      </w:r>
      <w:r w:rsidRPr="00C40E51">
        <w:rPr>
          <w:rFonts w:cstheme="minorHAnsi"/>
          <w:i/>
          <w:iCs/>
          <w:lang w:val="en-GB"/>
        </w:rPr>
        <w:t>16</w:t>
      </w:r>
      <w:r w:rsidRPr="00C40E51">
        <w:rPr>
          <w:rFonts w:cstheme="minorHAnsi"/>
          <w:lang w:val="en-GB"/>
        </w:rPr>
        <w:t>(5), 547-565. doi:10.3917/mana.165.0574</w:t>
      </w:r>
    </w:p>
    <w:p w14:paraId="75FD17E8" w14:textId="77777777" w:rsidR="00796E91" w:rsidRPr="00C40E51" w:rsidRDefault="00796E91" w:rsidP="007E4E8C">
      <w:pPr>
        <w:jc w:val="left"/>
        <w:rPr>
          <w:rFonts w:cstheme="minorHAnsi"/>
          <w:lang w:val="en-GB"/>
        </w:rPr>
      </w:pPr>
      <w:proofErr w:type="spellStart"/>
      <w:r w:rsidRPr="00C40E51">
        <w:rPr>
          <w:rFonts w:cstheme="minorHAnsi"/>
          <w:lang w:val="en-GB"/>
        </w:rPr>
        <w:t>Saripalle</w:t>
      </w:r>
      <w:proofErr w:type="spellEnd"/>
      <w:r w:rsidRPr="00C40E51">
        <w:rPr>
          <w:rFonts w:cstheme="minorHAnsi"/>
          <w:lang w:val="en-GB"/>
        </w:rPr>
        <w:t xml:space="preserve">, R., Runyan, C., &amp; Russell, M. (2019). Using hl7 </w:t>
      </w:r>
      <w:proofErr w:type="spellStart"/>
      <w:r w:rsidRPr="00C40E51">
        <w:rPr>
          <w:rFonts w:cstheme="minorHAnsi"/>
          <w:lang w:val="en-GB"/>
        </w:rPr>
        <w:t>fhir</w:t>
      </w:r>
      <w:proofErr w:type="spellEnd"/>
      <w:r w:rsidRPr="00C40E51">
        <w:rPr>
          <w:rFonts w:cstheme="minorHAnsi"/>
          <w:lang w:val="en-GB"/>
        </w:rPr>
        <w:t xml:space="preserve"> to achieve interoperability in patient health record. </w:t>
      </w:r>
      <w:r w:rsidRPr="00C40E51">
        <w:rPr>
          <w:rFonts w:cstheme="minorHAnsi"/>
          <w:i/>
          <w:iCs/>
          <w:lang w:val="en-GB"/>
        </w:rPr>
        <w:t>Journal of Biomedical Informatics,</w:t>
      </w:r>
      <w:r w:rsidRPr="00C40E51">
        <w:rPr>
          <w:rFonts w:cstheme="minorHAnsi"/>
          <w:lang w:val="en-GB"/>
        </w:rPr>
        <w:t xml:space="preserve"> </w:t>
      </w:r>
      <w:r w:rsidRPr="00C40E51">
        <w:rPr>
          <w:rFonts w:cstheme="minorHAnsi"/>
          <w:i/>
          <w:iCs/>
          <w:lang w:val="en-GB"/>
        </w:rPr>
        <w:t>94</w:t>
      </w:r>
      <w:r w:rsidRPr="00C40E51">
        <w:rPr>
          <w:rFonts w:cstheme="minorHAnsi"/>
          <w:lang w:val="en-GB"/>
        </w:rPr>
        <w:t>, 103188-103188. doi:10.1016/j.jbi.2019.103188</w:t>
      </w:r>
    </w:p>
    <w:p w14:paraId="098B287B" w14:textId="77777777" w:rsidR="00796E91" w:rsidRPr="00C40E51" w:rsidRDefault="00796E91" w:rsidP="007E4E8C">
      <w:pPr>
        <w:jc w:val="left"/>
        <w:rPr>
          <w:rFonts w:cstheme="minorHAnsi"/>
        </w:rPr>
      </w:pPr>
      <w:r w:rsidRPr="00C40E51">
        <w:rPr>
          <w:rFonts w:cstheme="minorHAnsi"/>
          <w:lang w:val="en-GB"/>
        </w:rPr>
        <w:t xml:space="preserve">Schippers, E. (2014, 2 July). </w:t>
      </w:r>
      <w:r w:rsidRPr="00C40E51">
        <w:rPr>
          <w:rFonts w:cstheme="minorHAnsi"/>
          <w:i/>
          <w:iCs/>
        </w:rPr>
        <w:t>Informatie- en communicatietechnologie in de zorg</w:t>
      </w:r>
      <w:r w:rsidRPr="00C40E51">
        <w:rPr>
          <w:rFonts w:cstheme="minorHAnsi"/>
        </w:rPr>
        <w:t xml:space="preserve"> [kamerbrief]. </w:t>
      </w:r>
    </w:p>
    <w:p w14:paraId="3A9C9A46" w14:textId="77777777" w:rsidR="00796E91" w:rsidRPr="00796E91" w:rsidRDefault="00796E91" w:rsidP="007E4E8C">
      <w:pPr>
        <w:jc w:val="left"/>
        <w:rPr>
          <w:rFonts w:cstheme="minorHAnsi"/>
          <w:lang w:val="en-GB"/>
        </w:rPr>
      </w:pPr>
      <w:r w:rsidRPr="00C40E51">
        <w:rPr>
          <w:rFonts w:cstheme="minorHAnsi"/>
          <w:lang w:val="en-GB"/>
        </w:rPr>
        <w:t xml:space="preserve">Scholten, G, </w:t>
      </w:r>
      <w:proofErr w:type="spellStart"/>
      <w:r w:rsidRPr="00C40E51">
        <w:rPr>
          <w:rFonts w:cstheme="minorHAnsi"/>
          <w:lang w:val="en-GB"/>
        </w:rPr>
        <w:t>Muijsers‐Creemers</w:t>
      </w:r>
      <w:proofErr w:type="spellEnd"/>
      <w:r w:rsidRPr="00C40E51">
        <w:rPr>
          <w:rFonts w:cstheme="minorHAnsi"/>
          <w:lang w:val="en-GB"/>
        </w:rPr>
        <w:t xml:space="preserve">, L., Moen, J., &amp; Bal, R. (2018). Structuring ambiguity in hospital governance. </w:t>
      </w:r>
      <w:r w:rsidRPr="00796E91">
        <w:rPr>
          <w:rFonts w:cstheme="minorHAnsi"/>
          <w:i/>
          <w:lang w:val="en-GB"/>
        </w:rPr>
        <w:t xml:space="preserve">Int J Health </w:t>
      </w:r>
      <w:proofErr w:type="spellStart"/>
      <w:r w:rsidRPr="00796E91">
        <w:rPr>
          <w:rFonts w:cstheme="minorHAnsi"/>
          <w:i/>
          <w:lang w:val="en-GB"/>
        </w:rPr>
        <w:t>Plann</w:t>
      </w:r>
      <w:proofErr w:type="spellEnd"/>
      <w:r w:rsidRPr="00796E91">
        <w:rPr>
          <w:rFonts w:cstheme="minorHAnsi"/>
          <w:i/>
          <w:lang w:val="en-GB"/>
        </w:rPr>
        <w:t xml:space="preserve"> </w:t>
      </w:r>
      <w:proofErr w:type="spellStart"/>
      <w:r w:rsidRPr="00796E91">
        <w:rPr>
          <w:rFonts w:cstheme="minorHAnsi"/>
          <w:i/>
          <w:lang w:val="en-GB"/>
        </w:rPr>
        <w:t>Mgmt</w:t>
      </w:r>
      <w:proofErr w:type="spellEnd"/>
      <w:r w:rsidRPr="00796E91">
        <w:rPr>
          <w:rFonts w:cstheme="minorHAnsi"/>
          <w:lang w:val="en-GB"/>
        </w:rPr>
        <w:t>; 1–15.</w:t>
      </w:r>
    </w:p>
    <w:p w14:paraId="24D753FC" w14:textId="77777777" w:rsidR="00796E91" w:rsidRPr="00796E91" w:rsidRDefault="00796E91" w:rsidP="007E4E8C">
      <w:pPr>
        <w:jc w:val="left"/>
        <w:rPr>
          <w:rFonts w:cstheme="minorHAnsi"/>
        </w:rPr>
      </w:pPr>
      <w:r w:rsidRPr="00C40E51">
        <w:rPr>
          <w:rFonts w:cstheme="minorHAnsi"/>
          <w:lang w:val="en-GB"/>
        </w:rPr>
        <w:t xml:space="preserve">Scott, S., Campbell, C., Cavers, D., Walter, F., &amp; </w:t>
      </w:r>
      <w:proofErr w:type="spellStart"/>
      <w:r w:rsidRPr="00C40E51">
        <w:rPr>
          <w:rFonts w:cstheme="minorHAnsi"/>
          <w:lang w:val="en-GB"/>
        </w:rPr>
        <w:t>Birt</w:t>
      </w:r>
      <w:proofErr w:type="spellEnd"/>
      <w:r w:rsidRPr="00C40E51">
        <w:rPr>
          <w:rFonts w:cstheme="minorHAnsi"/>
          <w:lang w:val="en-GB"/>
        </w:rPr>
        <w:t xml:space="preserve">, L. (2016). Member checking : a tool to enhance trustworthiness or merely a nod to validation? </w:t>
      </w:r>
      <w:r w:rsidRPr="00796E91">
        <w:rPr>
          <w:rFonts w:cstheme="minorHAnsi"/>
          <w:i/>
          <w:iCs/>
        </w:rPr>
        <w:t>Qualitative Health Research</w:t>
      </w:r>
      <w:r w:rsidRPr="00796E91">
        <w:rPr>
          <w:rFonts w:cstheme="minorHAnsi"/>
        </w:rPr>
        <w:t xml:space="preserve">, </w:t>
      </w:r>
      <w:r w:rsidRPr="00796E91">
        <w:rPr>
          <w:rFonts w:cstheme="minorHAnsi"/>
          <w:i/>
          <w:iCs/>
        </w:rPr>
        <w:t>26</w:t>
      </w:r>
      <w:r w:rsidRPr="00796E91">
        <w:rPr>
          <w:rFonts w:cstheme="minorHAnsi"/>
        </w:rPr>
        <w:t>(13), 1802–1811. https://doi.org/10.1177/1049732316654870</w:t>
      </w:r>
    </w:p>
    <w:p w14:paraId="73BDBB3E" w14:textId="0B2C4D94" w:rsidR="00796E91" w:rsidRDefault="00796E91" w:rsidP="007E4E8C">
      <w:pPr>
        <w:jc w:val="left"/>
        <w:rPr>
          <w:rStyle w:val="Hyperlink"/>
          <w:rFonts w:cstheme="minorHAnsi"/>
          <w:lang w:val="en-GB"/>
        </w:rPr>
      </w:pPr>
      <w:r w:rsidRPr="00C40E51">
        <w:rPr>
          <w:rFonts w:cstheme="minorHAnsi"/>
        </w:rPr>
        <w:t>Skipr</w:t>
      </w:r>
      <w:r w:rsidR="00F30827" w:rsidRPr="00F30827">
        <w:rPr>
          <w:rFonts w:cstheme="minorHAnsi"/>
          <w:sz w:val="18"/>
          <w:szCs w:val="18"/>
        </w:rPr>
        <w:t>1</w:t>
      </w:r>
      <w:r w:rsidRPr="00C40E51">
        <w:rPr>
          <w:rFonts w:cstheme="minorHAnsi"/>
        </w:rPr>
        <w:t xml:space="preserve">. (2020). </w:t>
      </w:r>
      <w:r w:rsidRPr="00C40E51">
        <w:rPr>
          <w:rFonts w:cstheme="minorHAnsi"/>
          <w:i/>
          <w:iCs/>
        </w:rPr>
        <w:t>Zeker vier ziekenhuizen moeten deel VIPP-gelden terugbetalen.</w:t>
      </w:r>
      <w:r w:rsidRPr="00C40E51">
        <w:rPr>
          <w:rFonts w:cstheme="minorHAnsi"/>
        </w:rPr>
        <w:t xml:space="preserve"> </w:t>
      </w:r>
      <w:r w:rsidRPr="00C40E51">
        <w:rPr>
          <w:rFonts w:cstheme="minorHAnsi"/>
          <w:lang w:val="en-GB"/>
        </w:rPr>
        <w:t xml:space="preserve">Retrieved August 8th, 2020, from </w:t>
      </w:r>
      <w:hyperlink r:id="rId27" w:history="1">
        <w:r w:rsidRPr="00C40E51">
          <w:rPr>
            <w:rStyle w:val="Hyperlink"/>
            <w:rFonts w:cstheme="minorHAnsi"/>
            <w:lang w:val="en-GB"/>
          </w:rPr>
          <w:t>https://www.skipr.nl/nieuws/zeker-vier-ziekenhuizen-moeten-deel-vipp-gelden-terugbetalen/?_ga=2.18382393.1071679638.1596879834-801398494.1579090495</w:t>
        </w:r>
      </w:hyperlink>
    </w:p>
    <w:p w14:paraId="546CC9E9" w14:textId="5E1B43F3" w:rsidR="00F30827" w:rsidRPr="00F30827" w:rsidRDefault="00F30827" w:rsidP="007E4E8C">
      <w:pPr>
        <w:jc w:val="left"/>
        <w:rPr>
          <w:rFonts w:cstheme="minorHAnsi"/>
          <w:lang w:val="en-GB"/>
        </w:rPr>
      </w:pPr>
      <w:r w:rsidRPr="00F30827">
        <w:rPr>
          <w:rFonts w:cstheme="minorHAnsi"/>
        </w:rPr>
        <w:t>Skipr</w:t>
      </w:r>
      <w:r w:rsidRPr="00F30827">
        <w:rPr>
          <w:rFonts w:cstheme="minorHAnsi"/>
          <w:sz w:val="18"/>
          <w:szCs w:val="18"/>
        </w:rPr>
        <w:t xml:space="preserve">2. </w:t>
      </w:r>
      <w:r w:rsidRPr="00F30827">
        <w:rPr>
          <w:rFonts w:cstheme="minorHAnsi"/>
        </w:rPr>
        <w:t xml:space="preserve">(2020). </w:t>
      </w:r>
      <w:r w:rsidRPr="00F30827">
        <w:rPr>
          <w:rFonts w:cstheme="minorHAnsi"/>
          <w:i/>
          <w:iCs/>
        </w:rPr>
        <w:t>Waarom e</w:t>
      </w:r>
      <w:r>
        <w:rPr>
          <w:rFonts w:cstheme="minorHAnsi"/>
          <w:i/>
          <w:iCs/>
        </w:rPr>
        <w:t>lke zorgbestuurder nu werk moet maken van digitale gegevensuitwisseling</w:t>
      </w:r>
      <w:r>
        <w:rPr>
          <w:rFonts w:cstheme="minorHAnsi"/>
        </w:rPr>
        <w:t xml:space="preserve">. </w:t>
      </w:r>
      <w:r w:rsidRPr="00F30827">
        <w:rPr>
          <w:rFonts w:cstheme="minorHAnsi"/>
          <w:lang w:val="en-GB"/>
        </w:rPr>
        <w:t xml:space="preserve">Retrieved August 9th, 2020, from </w:t>
      </w:r>
      <w:hyperlink r:id="rId28" w:history="1">
        <w:r w:rsidRPr="00F30827">
          <w:rPr>
            <w:rStyle w:val="Hyperlink"/>
            <w:rFonts w:cstheme="minorHAnsi"/>
            <w:lang w:val="en-GB"/>
          </w:rPr>
          <w:t>https://www.skipr.nl/partnernieuws/waarom-elke-zorgbestuurder-nu-werk-moet-maken-van-digitale-gegevensuitwisseling/</w:t>
        </w:r>
      </w:hyperlink>
    </w:p>
    <w:p w14:paraId="50C52B6A" w14:textId="77777777" w:rsidR="00796E91" w:rsidRPr="00C40E51" w:rsidRDefault="00796E91" w:rsidP="007E4E8C">
      <w:pPr>
        <w:jc w:val="left"/>
        <w:rPr>
          <w:rFonts w:cstheme="minorHAnsi"/>
          <w:lang w:val="en-GB"/>
        </w:rPr>
      </w:pPr>
      <w:proofErr w:type="spellStart"/>
      <w:r w:rsidRPr="00F30827">
        <w:rPr>
          <w:rFonts w:cstheme="minorHAnsi"/>
          <w:lang w:val="en-GB"/>
        </w:rPr>
        <w:t>Slodobkin,G</w:t>
      </w:r>
      <w:proofErr w:type="spellEnd"/>
      <w:r w:rsidRPr="00F30827">
        <w:rPr>
          <w:rFonts w:cstheme="minorHAnsi"/>
          <w:lang w:val="en-GB"/>
        </w:rPr>
        <w:t xml:space="preserve">. (2015). </w:t>
      </w:r>
      <w:r w:rsidRPr="00C40E51">
        <w:rPr>
          <w:rFonts w:cstheme="minorHAnsi"/>
          <w:lang w:val="en-GB"/>
        </w:rPr>
        <w:t xml:space="preserve">The portal outlook is cloudy. </w:t>
      </w:r>
      <w:r w:rsidRPr="00C40E51">
        <w:rPr>
          <w:rFonts w:cstheme="minorHAnsi"/>
          <w:i/>
          <w:iCs/>
          <w:lang w:val="en-GB"/>
        </w:rPr>
        <w:t>Health Data Management</w:t>
      </w:r>
      <w:r w:rsidRPr="00C40E51">
        <w:rPr>
          <w:rFonts w:cstheme="minorHAnsi"/>
          <w:lang w:val="en-GB"/>
        </w:rPr>
        <w:t>. v23 n5, 23-26</w:t>
      </w:r>
    </w:p>
    <w:p w14:paraId="371F5EF2" w14:textId="77777777" w:rsidR="00796E91" w:rsidRPr="00C40E51" w:rsidRDefault="00796E91" w:rsidP="007E4E8C">
      <w:pPr>
        <w:jc w:val="left"/>
        <w:rPr>
          <w:rFonts w:cstheme="minorHAnsi"/>
          <w:lang w:val="en-GB"/>
        </w:rPr>
      </w:pPr>
      <w:proofErr w:type="spellStart"/>
      <w:r w:rsidRPr="00C40E51">
        <w:rPr>
          <w:rFonts w:cstheme="minorHAnsi"/>
          <w:lang w:val="en-GB"/>
        </w:rPr>
        <w:t>Spee</w:t>
      </w:r>
      <w:proofErr w:type="spellEnd"/>
      <w:r w:rsidRPr="00C40E51">
        <w:rPr>
          <w:rFonts w:cstheme="minorHAnsi"/>
          <w:lang w:val="en-GB"/>
        </w:rPr>
        <w:t xml:space="preserve">, A., &amp; </w:t>
      </w:r>
      <w:proofErr w:type="spellStart"/>
      <w:r w:rsidRPr="00C40E51">
        <w:rPr>
          <w:rFonts w:cstheme="minorHAnsi"/>
          <w:lang w:val="en-GB"/>
        </w:rPr>
        <w:t>Jarzabkowski</w:t>
      </w:r>
      <w:proofErr w:type="spellEnd"/>
      <w:r w:rsidRPr="00C40E51">
        <w:rPr>
          <w:rFonts w:cstheme="minorHAnsi"/>
          <w:lang w:val="en-GB"/>
        </w:rPr>
        <w:t xml:space="preserve">, P. (2009). Strategy tools as boundary objects. </w:t>
      </w:r>
      <w:r w:rsidRPr="00C40E51">
        <w:rPr>
          <w:rFonts w:cstheme="minorHAnsi"/>
          <w:i/>
          <w:iCs/>
          <w:lang w:val="en-GB"/>
        </w:rPr>
        <w:t>Strategic Organization,</w:t>
      </w:r>
      <w:r w:rsidRPr="00C40E51">
        <w:rPr>
          <w:rFonts w:cstheme="minorHAnsi"/>
          <w:lang w:val="en-GB"/>
        </w:rPr>
        <w:t xml:space="preserve"> </w:t>
      </w:r>
      <w:r w:rsidRPr="00C40E51">
        <w:rPr>
          <w:rFonts w:cstheme="minorHAnsi"/>
          <w:i/>
          <w:iCs/>
          <w:lang w:val="en-GB"/>
        </w:rPr>
        <w:t>7</w:t>
      </w:r>
      <w:r w:rsidRPr="00C40E51">
        <w:rPr>
          <w:rFonts w:cstheme="minorHAnsi"/>
          <w:lang w:val="en-GB"/>
        </w:rPr>
        <w:t>(2), 223-232. doi:10.1177/1476127009102674</w:t>
      </w:r>
    </w:p>
    <w:p w14:paraId="498A30CC" w14:textId="19E0194C" w:rsidR="00796E91" w:rsidRDefault="00796E91" w:rsidP="007E4E8C">
      <w:pPr>
        <w:jc w:val="left"/>
        <w:rPr>
          <w:rFonts w:cstheme="minorHAnsi"/>
          <w:lang w:val="en-GB"/>
        </w:rPr>
      </w:pPr>
      <w:proofErr w:type="spellStart"/>
      <w:r w:rsidRPr="00796E91">
        <w:rPr>
          <w:rFonts w:cstheme="minorHAnsi"/>
          <w:lang w:val="en-GB"/>
        </w:rPr>
        <w:t>Stoopendaal</w:t>
      </w:r>
      <w:proofErr w:type="spellEnd"/>
      <w:r w:rsidRPr="00796E91">
        <w:rPr>
          <w:rFonts w:cstheme="minorHAnsi"/>
          <w:lang w:val="en-GB"/>
        </w:rPr>
        <w:t xml:space="preserve">, A., &amp; Van de </w:t>
      </w:r>
      <w:proofErr w:type="spellStart"/>
      <w:r w:rsidRPr="00796E91">
        <w:rPr>
          <w:rFonts w:cstheme="minorHAnsi"/>
          <w:lang w:val="en-GB"/>
        </w:rPr>
        <w:t>Bovenkamp</w:t>
      </w:r>
      <w:proofErr w:type="spellEnd"/>
      <w:r w:rsidRPr="00796E91">
        <w:rPr>
          <w:rFonts w:cstheme="minorHAnsi"/>
          <w:lang w:val="en-GB"/>
        </w:rPr>
        <w:t xml:space="preserve">, H. (2015). </w:t>
      </w:r>
      <w:r w:rsidRPr="00C40E51">
        <w:rPr>
          <w:rFonts w:cstheme="minorHAnsi"/>
          <w:lang w:val="en-GB"/>
        </w:rPr>
        <w:t xml:space="preserve">The mutual shaping of governance and regulation of quality and safety in </w:t>
      </w:r>
      <w:proofErr w:type="spellStart"/>
      <w:r w:rsidRPr="00C40E51">
        <w:rPr>
          <w:rFonts w:cstheme="minorHAnsi"/>
          <w:lang w:val="en-GB"/>
        </w:rPr>
        <w:t>dutch</w:t>
      </w:r>
      <w:proofErr w:type="spellEnd"/>
      <w:r w:rsidRPr="00C40E51">
        <w:rPr>
          <w:rFonts w:cstheme="minorHAnsi"/>
          <w:lang w:val="en-GB"/>
        </w:rPr>
        <w:t xml:space="preserve"> healthcare. </w:t>
      </w:r>
      <w:r w:rsidRPr="00C40E51">
        <w:rPr>
          <w:rFonts w:cstheme="minorHAnsi"/>
          <w:i/>
          <w:iCs/>
          <w:lang w:val="en-GB"/>
        </w:rPr>
        <w:t>Health Services Management Research,</w:t>
      </w:r>
      <w:r w:rsidRPr="00C40E51">
        <w:rPr>
          <w:rFonts w:cstheme="minorHAnsi"/>
          <w:lang w:val="en-GB"/>
        </w:rPr>
        <w:t xml:space="preserve"> </w:t>
      </w:r>
      <w:r w:rsidRPr="00C40E51">
        <w:rPr>
          <w:rFonts w:cstheme="minorHAnsi"/>
          <w:i/>
          <w:iCs/>
          <w:lang w:val="en-GB"/>
        </w:rPr>
        <w:t>28</w:t>
      </w:r>
      <w:r w:rsidRPr="00C40E51">
        <w:rPr>
          <w:rFonts w:cstheme="minorHAnsi"/>
          <w:lang w:val="en-GB"/>
        </w:rPr>
        <w:t>(1), 9-15. doi:10.1177/0951484815607542</w:t>
      </w:r>
    </w:p>
    <w:p w14:paraId="748E4C87" w14:textId="2D951B72" w:rsidR="00B47B26" w:rsidRPr="00B47B26" w:rsidRDefault="00B47B26" w:rsidP="00B47B26">
      <w:pPr>
        <w:jc w:val="left"/>
        <w:rPr>
          <w:rFonts w:eastAsia="TimesNewRomanPSMT" w:cstheme="minorHAnsi"/>
          <w:lang w:val="en-GB"/>
        </w:rPr>
      </w:pPr>
      <w:r>
        <w:rPr>
          <w:rFonts w:eastAsia="TimesNewRomanPSMT" w:cstheme="minorHAnsi"/>
          <w:lang w:val="en-GB"/>
        </w:rPr>
        <w:lastRenderedPageBreak/>
        <w:t>Strategy Course</w:t>
      </w:r>
      <w:r w:rsidR="00D70BA2">
        <w:rPr>
          <w:rFonts w:eastAsia="TimesNewRomanPSMT" w:cstheme="minorHAnsi"/>
          <w:lang w:val="en-GB"/>
        </w:rPr>
        <w:t xml:space="preserve"> 23</w:t>
      </w:r>
      <w:r w:rsidRPr="00B47B26">
        <w:rPr>
          <w:rFonts w:eastAsia="TimesNewRomanPSMT" w:cstheme="minorHAnsi"/>
          <w:sz w:val="14"/>
          <w:szCs w:val="14"/>
          <w:lang w:val="en-GB"/>
        </w:rPr>
        <w:t>1</w:t>
      </w:r>
      <w:r>
        <w:rPr>
          <w:rFonts w:eastAsia="TimesNewRomanPSMT" w:cstheme="minorHAnsi"/>
          <w:lang w:val="en-GB"/>
        </w:rPr>
        <w:t>. (2018). Academic Hospital.</w:t>
      </w:r>
    </w:p>
    <w:p w14:paraId="557ED581" w14:textId="0CA430BC" w:rsidR="00796E91" w:rsidRPr="003D0D9D" w:rsidRDefault="00796E91" w:rsidP="007E4E8C">
      <w:pPr>
        <w:jc w:val="left"/>
        <w:rPr>
          <w:rFonts w:cstheme="minorHAnsi"/>
          <w:lang w:val="en-GB"/>
        </w:rPr>
      </w:pPr>
      <w:r w:rsidRPr="00C40E51">
        <w:rPr>
          <w:rFonts w:cstheme="minorHAnsi"/>
          <w:lang w:val="en-GB"/>
        </w:rPr>
        <w:t xml:space="preserve">Swensen, S, and </w:t>
      </w:r>
      <w:proofErr w:type="spellStart"/>
      <w:r w:rsidRPr="00C40E51">
        <w:rPr>
          <w:rFonts w:cstheme="minorHAnsi"/>
          <w:lang w:val="en-GB"/>
        </w:rPr>
        <w:t>Mohta</w:t>
      </w:r>
      <w:proofErr w:type="spellEnd"/>
      <w:r w:rsidRPr="00C40E51">
        <w:rPr>
          <w:rFonts w:cstheme="minorHAnsi"/>
          <w:lang w:val="en-GB"/>
        </w:rPr>
        <w:t xml:space="preserve">, N. S. (2018). NEJM Catalyst Leadership Survey Why Big Gaps in Organizational Alignment Matter. </w:t>
      </w:r>
      <w:r w:rsidRPr="003D0D9D">
        <w:rPr>
          <w:rFonts w:cstheme="minorHAnsi"/>
          <w:i/>
          <w:iCs/>
          <w:lang w:val="en-GB"/>
        </w:rPr>
        <w:t>NEJM Catalyst</w:t>
      </w:r>
      <w:r w:rsidRPr="003D0D9D">
        <w:rPr>
          <w:rFonts w:cstheme="minorHAnsi"/>
          <w:lang w:val="en-GB"/>
        </w:rPr>
        <w:t>, March 2018.</w:t>
      </w:r>
    </w:p>
    <w:p w14:paraId="228482AC" w14:textId="55C44540" w:rsidR="00923E7C" w:rsidRPr="003D0D9D" w:rsidRDefault="00923E7C" w:rsidP="007E4E8C">
      <w:pPr>
        <w:jc w:val="left"/>
        <w:rPr>
          <w:lang w:val="en-GB"/>
        </w:rPr>
      </w:pPr>
      <w:r w:rsidRPr="00923E7C">
        <w:rPr>
          <w:lang w:val="en-GB"/>
        </w:rPr>
        <w:t xml:space="preserve">Tsang, E. W. K. (2014). Generalizing from research findings: the merits of case studies: generalizing from research findings. </w:t>
      </w:r>
      <w:r w:rsidRPr="00923E7C">
        <w:rPr>
          <w:i/>
          <w:iCs/>
          <w:lang w:val="en-GB"/>
        </w:rPr>
        <w:t>International Journal of Management Reviews</w:t>
      </w:r>
      <w:r w:rsidRPr="00923E7C">
        <w:rPr>
          <w:lang w:val="en-GB"/>
        </w:rPr>
        <w:t xml:space="preserve">, </w:t>
      </w:r>
      <w:r w:rsidRPr="00923E7C">
        <w:rPr>
          <w:i/>
          <w:iCs/>
          <w:lang w:val="en-GB"/>
        </w:rPr>
        <w:t>16</w:t>
      </w:r>
      <w:r w:rsidRPr="00923E7C">
        <w:rPr>
          <w:lang w:val="en-GB"/>
        </w:rPr>
        <w:t xml:space="preserve">(4), 369–383. </w:t>
      </w:r>
      <w:hyperlink r:id="rId29" w:history="1">
        <w:r w:rsidRPr="003D0D9D">
          <w:rPr>
            <w:rStyle w:val="Hyperlink"/>
            <w:lang w:val="en-GB"/>
          </w:rPr>
          <w:t>https://doi-org.eur.idm.oclc.org/10.1111/ijmr.12024</w:t>
        </w:r>
      </w:hyperlink>
    </w:p>
    <w:p w14:paraId="7DD19611" w14:textId="6490CFE5" w:rsidR="00796E91" w:rsidRPr="00C40E51" w:rsidRDefault="00796E91" w:rsidP="007E4E8C">
      <w:pPr>
        <w:jc w:val="left"/>
        <w:rPr>
          <w:rFonts w:cstheme="minorHAnsi"/>
          <w:lang w:val="en-GB"/>
        </w:rPr>
      </w:pPr>
      <w:r w:rsidRPr="00923E7C">
        <w:rPr>
          <w:rFonts w:cstheme="minorHAnsi"/>
        </w:rPr>
        <w:t xml:space="preserve">Van de Bovenkamp, H., Stoopendaal, A., &amp; Bal, R. (2017). </w:t>
      </w:r>
      <w:r w:rsidRPr="00C40E51">
        <w:rPr>
          <w:rFonts w:cstheme="minorHAnsi"/>
          <w:lang w:val="en-GB"/>
        </w:rPr>
        <w:t xml:space="preserve">Working with layers: The governance and regulation of healthcare quality in an institutionally layered system. </w:t>
      </w:r>
      <w:r w:rsidRPr="00C40E51">
        <w:rPr>
          <w:rFonts w:cstheme="minorHAnsi"/>
          <w:i/>
          <w:iCs/>
          <w:lang w:val="en-GB"/>
        </w:rPr>
        <w:t>Public Policy and Administration Vol. 32 No. 1, Pp. 45-65</w:t>
      </w:r>
      <w:r w:rsidRPr="00C40E51">
        <w:rPr>
          <w:rFonts w:cstheme="minorHAnsi"/>
          <w:lang w:val="en-GB"/>
        </w:rPr>
        <w:t>. doi:10.1177/0952076716652934</w:t>
      </w:r>
    </w:p>
    <w:p w14:paraId="6C771311" w14:textId="77777777" w:rsidR="00796E91" w:rsidRPr="00C40E51" w:rsidRDefault="00796E91" w:rsidP="007E4E8C">
      <w:pPr>
        <w:autoSpaceDE w:val="0"/>
        <w:autoSpaceDN w:val="0"/>
        <w:adjustRightInd w:val="0"/>
        <w:jc w:val="left"/>
        <w:rPr>
          <w:rFonts w:eastAsia="TimesNewRomanPSMT" w:cstheme="minorHAnsi"/>
          <w:lang w:val="en-GB"/>
        </w:rPr>
      </w:pPr>
      <w:r w:rsidRPr="00C40E51">
        <w:rPr>
          <w:rFonts w:eastAsia="TimesNewRomanPSMT" w:cstheme="minorHAnsi"/>
          <w:lang w:val="en-GB"/>
        </w:rPr>
        <w:t xml:space="preserve">Van </w:t>
      </w:r>
      <w:proofErr w:type="spellStart"/>
      <w:r w:rsidRPr="00C40E51">
        <w:rPr>
          <w:rFonts w:eastAsia="TimesNewRomanPSMT" w:cstheme="minorHAnsi"/>
          <w:lang w:val="en-GB"/>
        </w:rPr>
        <w:t>Eekeren</w:t>
      </w:r>
      <w:proofErr w:type="spellEnd"/>
      <w:r w:rsidRPr="00C40E51">
        <w:rPr>
          <w:rFonts w:eastAsia="TimesNewRomanPSMT" w:cstheme="minorHAnsi"/>
          <w:lang w:val="en-GB"/>
        </w:rPr>
        <w:t xml:space="preserve">, P. &amp; van </w:t>
      </w:r>
      <w:proofErr w:type="spellStart"/>
      <w:r w:rsidRPr="00C40E51">
        <w:rPr>
          <w:rFonts w:eastAsia="TimesNewRomanPSMT" w:cstheme="minorHAnsi"/>
          <w:lang w:val="en-GB"/>
        </w:rPr>
        <w:t>Zuilen</w:t>
      </w:r>
      <w:proofErr w:type="spellEnd"/>
      <w:r w:rsidRPr="00C40E51">
        <w:rPr>
          <w:rFonts w:eastAsia="TimesNewRomanPSMT" w:cstheme="minorHAnsi"/>
          <w:lang w:val="en-GB"/>
        </w:rPr>
        <w:t xml:space="preserve">, G. (February 28, 2018). </w:t>
      </w:r>
      <w:r w:rsidRPr="00C40E51">
        <w:rPr>
          <w:rFonts w:eastAsia="TimesNewRomanPSMT" w:cstheme="minorHAnsi"/>
          <w:i/>
          <w:iCs/>
          <w:lang w:val="en-GB"/>
        </w:rPr>
        <w:t>EHR-</w:t>
      </w:r>
      <w:proofErr w:type="spellStart"/>
      <w:r w:rsidRPr="00C40E51">
        <w:rPr>
          <w:rFonts w:eastAsia="TimesNewRomanPSMT" w:cstheme="minorHAnsi"/>
          <w:i/>
          <w:iCs/>
          <w:lang w:val="en-GB"/>
        </w:rPr>
        <w:t>overzicht</w:t>
      </w:r>
      <w:proofErr w:type="spellEnd"/>
      <w:r w:rsidRPr="00C40E51">
        <w:rPr>
          <w:rFonts w:eastAsia="TimesNewRomanPSMT" w:cstheme="minorHAnsi"/>
          <w:i/>
          <w:iCs/>
          <w:lang w:val="en-GB"/>
        </w:rPr>
        <w:t xml:space="preserve"> 2018. </w:t>
      </w:r>
      <w:r w:rsidRPr="00C40E51">
        <w:rPr>
          <w:rFonts w:eastAsia="TimesNewRomanPSMT" w:cstheme="minorHAnsi"/>
          <w:lang w:val="en-GB"/>
        </w:rPr>
        <w:t xml:space="preserve">Retrieved July 12, 2020, from </w:t>
      </w:r>
      <w:hyperlink r:id="rId30" w:history="1">
        <w:r w:rsidRPr="00C40E51">
          <w:rPr>
            <w:rStyle w:val="Hyperlink"/>
            <w:rFonts w:eastAsia="TimesNewRomanPSMT" w:cstheme="minorHAnsi"/>
            <w:lang w:val="en-GB"/>
          </w:rPr>
          <w:t>https://www.zorgvisie.nl/EHR-overzicht/</w:t>
        </w:r>
      </w:hyperlink>
      <w:r w:rsidRPr="00C40E51">
        <w:rPr>
          <w:rFonts w:eastAsia="TimesNewRomanPSMT" w:cstheme="minorHAnsi"/>
          <w:lang w:val="en-GB"/>
        </w:rPr>
        <w:t xml:space="preserve"> </w:t>
      </w:r>
    </w:p>
    <w:p w14:paraId="2F236DFC" w14:textId="77777777" w:rsidR="00796E91" w:rsidRPr="00C40E51" w:rsidRDefault="00796E91" w:rsidP="007E4E8C">
      <w:pPr>
        <w:jc w:val="left"/>
        <w:rPr>
          <w:rFonts w:cstheme="minorHAnsi"/>
          <w:lang w:val="en-GB"/>
        </w:rPr>
      </w:pPr>
      <w:r w:rsidRPr="00C40E51">
        <w:rPr>
          <w:rFonts w:cstheme="minorHAnsi"/>
        </w:rPr>
        <w:t xml:space="preserve">Van Wijngaarden, J.D., Scholten, G.R., &amp; Van Wijk, K.P. (2012). </w:t>
      </w:r>
      <w:r w:rsidRPr="00C40E51">
        <w:rPr>
          <w:rFonts w:cstheme="minorHAnsi"/>
          <w:lang w:val="en-GB"/>
        </w:rPr>
        <w:t xml:space="preserve">Strategic analysis for healthcare organizations: The suitability of the swot-analysis. </w:t>
      </w:r>
      <w:r w:rsidRPr="00C40E51">
        <w:rPr>
          <w:rFonts w:cstheme="minorHAnsi"/>
          <w:i/>
          <w:iCs/>
          <w:lang w:val="en-GB"/>
        </w:rPr>
        <w:t>The International Journal of Health Planning and Management,</w:t>
      </w:r>
      <w:r w:rsidRPr="00C40E51">
        <w:rPr>
          <w:rFonts w:cstheme="minorHAnsi"/>
          <w:lang w:val="en-GB"/>
        </w:rPr>
        <w:t xml:space="preserve"> </w:t>
      </w:r>
      <w:r w:rsidRPr="00C40E51">
        <w:rPr>
          <w:rFonts w:cstheme="minorHAnsi"/>
          <w:i/>
          <w:iCs/>
          <w:lang w:val="en-GB"/>
        </w:rPr>
        <w:t>27</w:t>
      </w:r>
      <w:r w:rsidRPr="00C40E51">
        <w:rPr>
          <w:rFonts w:cstheme="minorHAnsi"/>
          <w:lang w:val="en-GB"/>
        </w:rPr>
        <w:t>(1), 34-49. doi:10.1002/hpm.1032</w:t>
      </w:r>
    </w:p>
    <w:p w14:paraId="7D3F2B4B" w14:textId="77777777" w:rsidR="00796E91" w:rsidRPr="00C40E51" w:rsidRDefault="00796E91" w:rsidP="007E4E8C">
      <w:pPr>
        <w:jc w:val="left"/>
        <w:rPr>
          <w:rFonts w:cstheme="minorHAnsi"/>
          <w:lang w:val="en-GB"/>
        </w:rPr>
      </w:pPr>
      <w:r w:rsidRPr="00C40E51">
        <w:rPr>
          <w:rFonts w:cstheme="minorHAnsi"/>
          <w:lang w:val="en-GB"/>
        </w:rPr>
        <w:t xml:space="preserve">VIPP. (2019). </w:t>
      </w:r>
      <w:r w:rsidRPr="00C40E51">
        <w:rPr>
          <w:rFonts w:cstheme="minorHAnsi"/>
          <w:i/>
          <w:iCs/>
          <w:lang w:val="en-GB"/>
        </w:rPr>
        <w:t xml:space="preserve">VIPP-Monitor 2019 Q1 </w:t>
      </w:r>
      <w:proofErr w:type="spellStart"/>
      <w:r w:rsidRPr="00C40E51">
        <w:rPr>
          <w:rFonts w:cstheme="minorHAnsi"/>
          <w:i/>
          <w:iCs/>
          <w:lang w:val="en-GB"/>
        </w:rPr>
        <w:t>maartmeting</w:t>
      </w:r>
      <w:proofErr w:type="spellEnd"/>
      <w:r w:rsidRPr="00C40E51">
        <w:rPr>
          <w:rFonts w:cstheme="minorHAnsi"/>
          <w:i/>
          <w:iCs/>
          <w:lang w:val="en-GB"/>
        </w:rPr>
        <w:t xml:space="preserve">. </w:t>
      </w:r>
      <w:r w:rsidRPr="00C40E51">
        <w:rPr>
          <w:rFonts w:cstheme="minorHAnsi"/>
          <w:lang w:val="en-GB"/>
        </w:rPr>
        <w:t xml:space="preserve">Retrieved July 24, 2020, from </w:t>
      </w:r>
      <w:hyperlink r:id="rId31" w:history="1">
        <w:r w:rsidRPr="00C40E51">
          <w:rPr>
            <w:rStyle w:val="Hyperlink"/>
            <w:rFonts w:cstheme="minorHAnsi"/>
            <w:lang w:val="en-GB"/>
          </w:rPr>
          <w:t>https://www.vipp-programma.nl/vipp-monitor/ziekenhuizen/alle-ziekenhuizen/alle-ziekenhuizen/2019-q1-maartmeting/</w:t>
        </w:r>
      </w:hyperlink>
    </w:p>
    <w:p w14:paraId="7B6CD8C6" w14:textId="77777777" w:rsidR="00796E91" w:rsidRPr="00C40E51" w:rsidRDefault="00796E91" w:rsidP="007E4E8C">
      <w:pPr>
        <w:jc w:val="left"/>
        <w:rPr>
          <w:rFonts w:cstheme="minorHAnsi"/>
          <w:color w:val="0000FF" w:themeColor="hyperlink"/>
          <w:u w:val="single"/>
          <w:lang w:val="en-GB"/>
        </w:rPr>
      </w:pPr>
      <w:r w:rsidRPr="00C40E51">
        <w:rPr>
          <w:rFonts w:cstheme="minorHAnsi"/>
        </w:rPr>
        <w:t xml:space="preserve">VIPP. (n.d.) </w:t>
      </w:r>
      <w:r w:rsidRPr="00C40E51">
        <w:rPr>
          <w:rFonts w:cstheme="minorHAnsi"/>
          <w:i/>
          <w:iCs/>
        </w:rPr>
        <w:t>Doelstellingen VIPP</w:t>
      </w:r>
      <w:r w:rsidRPr="00C40E51">
        <w:rPr>
          <w:rFonts w:cstheme="minorHAnsi"/>
        </w:rPr>
        <w:t xml:space="preserve">. </w:t>
      </w:r>
      <w:r w:rsidRPr="00C40E51">
        <w:rPr>
          <w:rFonts w:cstheme="minorHAnsi"/>
          <w:lang w:val="en-GB"/>
        </w:rPr>
        <w:t xml:space="preserve">Retrieved July 23, 2020, from </w:t>
      </w:r>
      <w:hyperlink r:id="rId32" w:history="1">
        <w:r w:rsidRPr="00C40E51">
          <w:rPr>
            <w:rStyle w:val="Hyperlink"/>
            <w:rFonts w:cstheme="minorHAnsi"/>
            <w:lang w:val="en-GB"/>
          </w:rPr>
          <w:t>https://www.vipp-programma.nl/vipp-centraal/nieuws/2020/vipp-5-van-start</w:t>
        </w:r>
      </w:hyperlink>
    </w:p>
    <w:p w14:paraId="19C51FF0" w14:textId="77777777" w:rsidR="00796E91" w:rsidRPr="00C40E51" w:rsidRDefault="00796E91" w:rsidP="007E4E8C">
      <w:pPr>
        <w:jc w:val="left"/>
        <w:rPr>
          <w:rFonts w:cstheme="minorHAnsi"/>
          <w:color w:val="3E3E3F"/>
          <w:lang w:val="en-GB"/>
        </w:rPr>
      </w:pPr>
      <w:r w:rsidRPr="00C40E51">
        <w:rPr>
          <w:rFonts w:cstheme="minorHAnsi"/>
          <w:lang w:val="en-GB"/>
        </w:rPr>
        <w:t xml:space="preserve">Wakefield, D., </w:t>
      </w:r>
      <w:proofErr w:type="spellStart"/>
      <w:r w:rsidRPr="00C40E51">
        <w:rPr>
          <w:rFonts w:cstheme="minorHAnsi"/>
          <w:lang w:val="en-GB"/>
        </w:rPr>
        <w:t>Mehr</w:t>
      </w:r>
      <w:proofErr w:type="spellEnd"/>
      <w:r w:rsidRPr="00C40E51">
        <w:rPr>
          <w:rFonts w:cstheme="minorHAnsi"/>
          <w:lang w:val="en-GB"/>
        </w:rPr>
        <w:t xml:space="preserve">, D., </w:t>
      </w:r>
      <w:proofErr w:type="spellStart"/>
      <w:r w:rsidRPr="00C40E51">
        <w:rPr>
          <w:rFonts w:cstheme="minorHAnsi"/>
          <w:lang w:val="en-GB"/>
        </w:rPr>
        <w:t>Keplinger</w:t>
      </w:r>
      <w:proofErr w:type="spellEnd"/>
      <w:r w:rsidRPr="00C40E51">
        <w:rPr>
          <w:rFonts w:cstheme="minorHAnsi"/>
          <w:lang w:val="en-GB"/>
        </w:rPr>
        <w:t xml:space="preserve">, L., Canfield, S., </w:t>
      </w:r>
      <w:proofErr w:type="spellStart"/>
      <w:r w:rsidRPr="00C40E51">
        <w:rPr>
          <w:rFonts w:cstheme="minorHAnsi"/>
          <w:lang w:val="en-GB"/>
        </w:rPr>
        <w:t>Gopidi</w:t>
      </w:r>
      <w:proofErr w:type="spellEnd"/>
      <w:r w:rsidRPr="00C40E51">
        <w:rPr>
          <w:rFonts w:cstheme="minorHAnsi"/>
          <w:lang w:val="en-GB"/>
        </w:rPr>
        <w:t xml:space="preserve">, R., Wakefield, B., . . . </w:t>
      </w:r>
      <w:proofErr w:type="spellStart"/>
      <w:r w:rsidRPr="00C40E51">
        <w:rPr>
          <w:rFonts w:cstheme="minorHAnsi"/>
          <w:lang w:val="en-GB"/>
        </w:rPr>
        <w:t>Kochendorfer</w:t>
      </w:r>
      <w:proofErr w:type="spellEnd"/>
      <w:r w:rsidRPr="00C40E51">
        <w:rPr>
          <w:rFonts w:cstheme="minorHAnsi"/>
          <w:lang w:val="en-GB"/>
        </w:rPr>
        <w:t xml:space="preserve">, K. (2010). Issues and questions to consider in implementing secure electronic patient-provider web portal communications systems. </w:t>
      </w:r>
      <w:r w:rsidRPr="00C40E51">
        <w:rPr>
          <w:rFonts w:cstheme="minorHAnsi"/>
          <w:i/>
          <w:iCs/>
          <w:lang w:val="en-GB"/>
        </w:rPr>
        <w:t>International Journal of Medical Informatics,</w:t>
      </w:r>
      <w:r w:rsidRPr="00C40E51">
        <w:rPr>
          <w:rFonts w:cstheme="minorHAnsi"/>
          <w:lang w:val="en-GB"/>
        </w:rPr>
        <w:t xml:space="preserve"> </w:t>
      </w:r>
      <w:r w:rsidRPr="00C40E51">
        <w:rPr>
          <w:rFonts w:cstheme="minorHAnsi"/>
          <w:i/>
          <w:iCs/>
          <w:lang w:val="en-GB"/>
        </w:rPr>
        <w:t>79</w:t>
      </w:r>
      <w:r w:rsidRPr="00C40E51">
        <w:rPr>
          <w:rFonts w:cstheme="minorHAnsi"/>
          <w:lang w:val="en-GB"/>
        </w:rPr>
        <w:t>(7), 469-77. doi:10.1016/j.ijmedinf.2010.04.005</w:t>
      </w:r>
    </w:p>
    <w:p w14:paraId="3A670557" w14:textId="77777777" w:rsidR="00796E91" w:rsidRPr="00C40E51" w:rsidRDefault="00796E91" w:rsidP="007E4E8C">
      <w:pPr>
        <w:jc w:val="left"/>
        <w:rPr>
          <w:rFonts w:cstheme="minorHAnsi"/>
          <w:lang w:val="en-GB"/>
        </w:rPr>
      </w:pPr>
      <w:r w:rsidRPr="00C40E51">
        <w:rPr>
          <w:rFonts w:cstheme="minorHAnsi"/>
          <w:lang w:val="en-GB"/>
        </w:rPr>
        <w:t xml:space="preserve">Walker, J., </w:t>
      </w:r>
      <w:proofErr w:type="spellStart"/>
      <w:r w:rsidRPr="00C40E51">
        <w:rPr>
          <w:rFonts w:cstheme="minorHAnsi"/>
          <w:lang w:val="en-GB"/>
        </w:rPr>
        <w:t>Leveille</w:t>
      </w:r>
      <w:proofErr w:type="spellEnd"/>
      <w:r w:rsidRPr="00C40E51">
        <w:rPr>
          <w:rFonts w:cstheme="minorHAnsi"/>
          <w:lang w:val="en-GB"/>
        </w:rPr>
        <w:t xml:space="preserve">, S.G., Ngo, L., </w:t>
      </w:r>
      <w:proofErr w:type="spellStart"/>
      <w:r w:rsidRPr="00C40E51">
        <w:rPr>
          <w:rFonts w:cstheme="minorHAnsi"/>
          <w:lang w:val="en-GB"/>
        </w:rPr>
        <w:t>Vodicka</w:t>
      </w:r>
      <w:proofErr w:type="spellEnd"/>
      <w:r w:rsidRPr="00C40E51">
        <w:rPr>
          <w:rFonts w:cstheme="minorHAnsi"/>
          <w:lang w:val="en-GB"/>
        </w:rPr>
        <w:t xml:space="preserve">, E., Darer, J.D., </w:t>
      </w:r>
      <w:proofErr w:type="spellStart"/>
      <w:r w:rsidRPr="00C40E51">
        <w:rPr>
          <w:rFonts w:cstheme="minorHAnsi"/>
          <w:lang w:val="en-GB"/>
        </w:rPr>
        <w:t>Dhanireddy</w:t>
      </w:r>
      <w:proofErr w:type="spellEnd"/>
      <w:r w:rsidRPr="00C40E51">
        <w:rPr>
          <w:rFonts w:cstheme="minorHAnsi"/>
          <w:lang w:val="en-GB"/>
        </w:rPr>
        <w:t>, S., et al. (2011). Inviting Patients to Read Their Doctors' Notes: Patients and Doctors Look Ahead</w:t>
      </w:r>
      <w:r w:rsidRPr="00C40E51">
        <w:rPr>
          <w:rStyle w:val="titleseparator"/>
          <w:rFonts w:cstheme="minorHAnsi"/>
          <w:lang w:val="en-GB"/>
        </w:rPr>
        <w:t xml:space="preserve">: </w:t>
      </w:r>
      <w:r w:rsidRPr="00C40E51">
        <w:rPr>
          <w:rStyle w:val="Subtitle1"/>
          <w:rFonts w:cstheme="minorHAnsi"/>
          <w:lang w:val="en-GB"/>
        </w:rPr>
        <w:t>Patient and Physician Surveys</w:t>
      </w:r>
      <w:r w:rsidRPr="00C40E51">
        <w:rPr>
          <w:rFonts w:cstheme="minorHAnsi"/>
          <w:lang w:val="en-GB"/>
        </w:rPr>
        <w:t xml:space="preserve">. </w:t>
      </w:r>
      <w:r w:rsidRPr="00C40E51">
        <w:rPr>
          <w:rFonts w:cstheme="minorHAnsi"/>
          <w:i/>
          <w:iCs/>
          <w:lang w:val="en-GB"/>
        </w:rPr>
        <w:t>Ann Intern Med</w:t>
      </w:r>
      <w:r w:rsidRPr="00C40E51">
        <w:rPr>
          <w:rFonts w:cstheme="minorHAnsi"/>
          <w:lang w:val="en-GB"/>
        </w:rPr>
        <w:t>. 2011; 155</w:t>
      </w:r>
      <w:r w:rsidRPr="00C40E51">
        <w:rPr>
          <w:rStyle w:val="citation-volume-pages"/>
          <w:rFonts w:cstheme="minorHAnsi"/>
          <w:lang w:val="en-GB"/>
        </w:rPr>
        <w:t>: 811–819.</w:t>
      </w:r>
      <w:r w:rsidRPr="00C40E51">
        <w:rPr>
          <w:rFonts w:cstheme="minorHAnsi"/>
          <w:lang w:val="en-GB"/>
        </w:rPr>
        <w:t xml:space="preserve"> </w:t>
      </w:r>
      <w:r w:rsidRPr="00C40E51">
        <w:rPr>
          <w:rStyle w:val="subhead-sans"/>
          <w:rFonts w:cstheme="minorHAnsi"/>
          <w:lang w:val="en-GB"/>
        </w:rPr>
        <w:t xml:space="preserve">DOI: </w:t>
      </w:r>
      <w:r w:rsidRPr="00C40E51">
        <w:rPr>
          <w:rFonts w:cstheme="minorHAnsi"/>
          <w:lang w:val="en-GB"/>
        </w:rPr>
        <w:t>10.7326/0003-4819-155-12-201112200-00003</w:t>
      </w:r>
    </w:p>
    <w:p w14:paraId="1D44BB91" w14:textId="77777777" w:rsidR="00796E91" w:rsidRPr="00C40E51" w:rsidRDefault="00796E91" w:rsidP="007E4E8C">
      <w:pPr>
        <w:jc w:val="left"/>
        <w:rPr>
          <w:rFonts w:cstheme="minorHAnsi"/>
          <w:lang w:val="en-GB"/>
        </w:rPr>
      </w:pPr>
      <w:r w:rsidRPr="00C40E51">
        <w:rPr>
          <w:rFonts w:cstheme="minorHAnsi"/>
          <w:lang w:val="en-GB"/>
        </w:rPr>
        <w:t xml:space="preserve">Whittington, R. (2003). The work of strategizing and organizing: For a practice perspective. </w:t>
      </w:r>
      <w:r w:rsidRPr="00C40E51">
        <w:rPr>
          <w:rFonts w:cstheme="minorHAnsi"/>
          <w:i/>
          <w:iCs/>
          <w:lang w:val="en-GB"/>
        </w:rPr>
        <w:t>Strategic Organization,</w:t>
      </w:r>
      <w:r w:rsidRPr="00C40E51">
        <w:rPr>
          <w:rFonts w:cstheme="minorHAnsi"/>
          <w:lang w:val="en-GB"/>
        </w:rPr>
        <w:t xml:space="preserve"> </w:t>
      </w:r>
      <w:r w:rsidRPr="00C40E51">
        <w:rPr>
          <w:rFonts w:cstheme="minorHAnsi"/>
          <w:i/>
          <w:iCs/>
          <w:lang w:val="en-GB"/>
        </w:rPr>
        <w:t>1</w:t>
      </w:r>
      <w:r w:rsidRPr="00C40E51">
        <w:rPr>
          <w:rFonts w:cstheme="minorHAnsi"/>
          <w:lang w:val="en-GB"/>
        </w:rPr>
        <w:t>(1), 117-125.</w:t>
      </w:r>
    </w:p>
    <w:p w14:paraId="70DC5ECC" w14:textId="77777777" w:rsidR="00796E91" w:rsidRPr="00796E91" w:rsidRDefault="00796E91" w:rsidP="007E4E8C">
      <w:pPr>
        <w:jc w:val="left"/>
        <w:rPr>
          <w:rFonts w:cstheme="minorHAnsi"/>
        </w:rPr>
      </w:pPr>
      <w:r w:rsidRPr="00C40E51">
        <w:rPr>
          <w:rFonts w:cstheme="minorHAnsi"/>
          <w:lang w:val="en-GB"/>
        </w:rPr>
        <w:t xml:space="preserve">Williams, M. &amp; Moser, T. (2019). The Art of Coding and Thematic Exploration in Qualitative Research. </w:t>
      </w:r>
      <w:r w:rsidRPr="00796E91">
        <w:rPr>
          <w:rFonts w:cstheme="minorHAnsi"/>
          <w:i/>
          <w:iCs/>
        </w:rPr>
        <w:t>International Management Review</w:t>
      </w:r>
      <w:r w:rsidRPr="00796E91">
        <w:rPr>
          <w:rFonts w:cstheme="minorHAnsi"/>
        </w:rPr>
        <w:t>; Marietta Vol. 15, Iss.1, 45-55, 71-72</w:t>
      </w:r>
    </w:p>
    <w:p w14:paraId="512DAFFE" w14:textId="77777777" w:rsidR="00796E91" w:rsidRPr="00C40E51" w:rsidRDefault="00796E91" w:rsidP="007E4E8C">
      <w:pPr>
        <w:jc w:val="left"/>
        <w:rPr>
          <w:rFonts w:cstheme="minorHAnsi"/>
          <w:lang w:val="en-GB"/>
        </w:rPr>
      </w:pPr>
      <w:r w:rsidRPr="00C40E51">
        <w:rPr>
          <w:rFonts w:cstheme="minorHAnsi"/>
        </w:rPr>
        <w:t xml:space="preserve">Wouters, M., Huygens, M., Voogdt, H., Meurs, M., de Groot, J., Lamain, A., de Bruin, K., Brabers, A., Hofstede, C., Friele. &amp; van Gennip, L. (November, 2019). </w:t>
      </w:r>
      <w:r w:rsidRPr="00C40E51">
        <w:rPr>
          <w:rFonts w:cstheme="minorHAnsi"/>
          <w:i/>
          <w:iCs/>
        </w:rPr>
        <w:t>Samen aan zet! (e-health monitor 2019).</w:t>
      </w:r>
      <w:r w:rsidRPr="00C40E51">
        <w:rPr>
          <w:rFonts w:cstheme="minorHAnsi"/>
        </w:rPr>
        <w:t xml:space="preserve"> </w:t>
      </w:r>
      <w:r w:rsidRPr="00C40E51">
        <w:rPr>
          <w:rFonts w:cstheme="minorHAnsi"/>
          <w:lang w:val="en-GB"/>
        </w:rPr>
        <w:t xml:space="preserve">Retrieved February 7, 2020, from </w:t>
      </w:r>
      <w:hyperlink r:id="rId33" w:history="1">
        <w:r w:rsidRPr="00C40E51">
          <w:rPr>
            <w:rStyle w:val="Hyperlink"/>
            <w:rFonts w:cstheme="minorHAnsi"/>
            <w:lang w:val="en-GB"/>
          </w:rPr>
          <w:t>https://www.nictiz.nl/programmas/e-health-monitor/e-health-monitor-2019/</w:t>
        </w:r>
      </w:hyperlink>
    </w:p>
    <w:p w14:paraId="12693D57" w14:textId="7D6BB9B0" w:rsidR="00796E91" w:rsidRDefault="00796E91" w:rsidP="007E4E8C">
      <w:pPr>
        <w:jc w:val="left"/>
        <w:rPr>
          <w:rFonts w:cstheme="minorHAnsi"/>
          <w:lang w:val="en-GB"/>
        </w:rPr>
      </w:pPr>
      <w:r>
        <w:rPr>
          <w:rFonts w:cstheme="minorHAnsi"/>
          <w:lang w:val="en-GB"/>
        </w:rPr>
        <w:br w:type="page"/>
      </w:r>
    </w:p>
    <w:p w14:paraId="0D7B5CEC" w14:textId="69DC8BFE" w:rsidR="00765A6F" w:rsidRDefault="00765A6F" w:rsidP="00CF5F8C">
      <w:pPr>
        <w:pStyle w:val="Heading1"/>
        <w:spacing w:before="0" w:after="240"/>
        <w:rPr>
          <w:lang w:val="en-GB"/>
        </w:rPr>
      </w:pPr>
      <w:bookmarkStart w:id="100" w:name="_Toc47522454"/>
      <w:bookmarkStart w:id="101" w:name="_Toc51862113"/>
      <w:r>
        <w:rPr>
          <w:lang w:val="en-GB"/>
        </w:rPr>
        <w:lastRenderedPageBreak/>
        <w:t xml:space="preserve">Appendix 1. </w:t>
      </w:r>
      <w:r w:rsidR="00796E91">
        <w:rPr>
          <w:lang w:val="en-GB"/>
        </w:rPr>
        <w:t>Topic list i</w:t>
      </w:r>
      <w:r>
        <w:rPr>
          <w:lang w:val="en-GB"/>
        </w:rPr>
        <w:t>nterview</w:t>
      </w:r>
      <w:bookmarkEnd w:id="101"/>
      <w:r>
        <w:rPr>
          <w:lang w:val="en-GB"/>
        </w:rPr>
        <w:t xml:space="preserve"> </w:t>
      </w:r>
    </w:p>
    <w:p w14:paraId="70134BDF" w14:textId="1EA86462" w:rsidR="0045223E" w:rsidRPr="0045223E" w:rsidRDefault="0045223E" w:rsidP="0045223E">
      <w:pPr>
        <w:spacing w:after="0"/>
        <w:jc w:val="left"/>
        <w:rPr>
          <w:rFonts w:cstheme="minorHAnsi"/>
          <w:b/>
          <w:bCs/>
          <w:lang w:val="en-GB"/>
        </w:rPr>
      </w:pPr>
      <w:r>
        <w:rPr>
          <w:rFonts w:cstheme="minorHAnsi"/>
          <w:b/>
          <w:bCs/>
          <w:lang w:val="en-GB"/>
        </w:rPr>
        <w:t>Main research question:</w:t>
      </w:r>
    </w:p>
    <w:p w14:paraId="5016CAAA" w14:textId="4B35F560" w:rsidR="00CF5F8C" w:rsidRPr="003F71F8" w:rsidRDefault="00CF5F8C" w:rsidP="0045223E">
      <w:pPr>
        <w:jc w:val="left"/>
        <w:rPr>
          <w:rFonts w:cstheme="minorHAnsi"/>
          <w:i/>
          <w:iCs/>
          <w:lang w:val="en-US"/>
        </w:rPr>
      </w:pPr>
      <w:r w:rsidRPr="003F71F8">
        <w:rPr>
          <w:rFonts w:cstheme="minorHAnsi"/>
          <w:i/>
          <w:iCs/>
          <w:lang w:val="en-GB"/>
        </w:rPr>
        <w:t xml:space="preserve">How does hospital governance and strategy </w:t>
      </w:r>
      <w:r w:rsidRPr="003F71F8">
        <w:rPr>
          <w:rFonts w:cstheme="minorHAnsi"/>
          <w:i/>
          <w:iCs/>
          <w:lang w:val="en-US"/>
        </w:rPr>
        <w:t>contribute to the embedding of patient portals in care processes and the stimulation of use by staff and patients?</w:t>
      </w:r>
    </w:p>
    <w:p w14:paraId="1569C2CA" w14:textId="77777777" w:rsidR="00CF5F8C" w:rsidRPr="002E27DD" w:rsidRDefault="00CF5F8C" w:rsidP="00CF5F8C">
      <w:pPr>
        <w:spacing w:after="0"/>
        <w:rPr>
          <w:b/>
          <w:bCs/>
          <w:iCs/>
        </w:rPr>
      </w:pPr>
      <w:r>
        <w:rPr>
          <w:b/>
          <w:bCs/>
          <w:iCs/>
        </w:rPr>
        <w:t>General questions</w:t>
      </w:r>
      <w:r w:rsidRPr="002E27DD">
        <w:rPr>
          <w:b/>
          <w:bCs/>
          <w:iCs/>
        </w:rPr>
        <w:t>:</w:t>
      </w:r>
    </w:p>
    <w:p w14:paraId="18D734D4" w14:textId="2F7564DD" w:rsidR="00CF5F8C" w:rsidRDefault="00AF54AF" w:rsidP="00CF5F8C">
      <w:pPr>
        <w:pStyle w:val="ListParagraph"/>
        <w:numPr>
          <w:ilvl w:val="0"/>
          <w:numId w:val="5"/>
        </w:numPr>
        <w:jc w:val="left"/>
        <w:rPr>
          <w:iCs/>
          <w:lang w:val="en-GB"/>
        </w:rPr>
      </w:pPr>
      <w:r>
        <w:rPr>
          <w:iCs/>
          <w:lang w:val="en-GB"/>
        </w:rPr>
        <w:t xml:space="preserve">Do you agree with the </w:t>
      </w:r>
      <w:r w:rsidR="00CF5F8C">
        <w:rPr>
          <w:iCs/>
          <w:lang w:val="en-GB"/>
        </w:rPr>
        <w:t>research’s information consent sheet?</w:t>
      </w:r>
    </w:p>
    <w:p w14:paraId="1562697F" w14:textId="15B97807" w:rsidR="00CF5F8C" w:rsidRPr="003F71F8" w:rsidRDefault="00CF5F8C" w:rsidP="00CF5F8C">
      <w:pPr>
        <w:pStyle w:val="ListParagraph"/>
        <w:numPr>
          <w:ilvl w:val="0"/>
          <w:numId w:val="5"/>
        </w:numPr>
        <w:jc w:val="left"/>
        <w:rPr>
          <w:iCs/>
          <w:lang w:val="en-GB"/>
        </w:rPr>
      </w:pPr>
      <w:r w:rsidRPr="003F71F8">
        <w:rPr>
          <w:iCs/>
          <w:lang w:val="en-GB"/>
        </w:rPr>
        <w:t>Could you briefly explain y</w:t>
      </w:r>
      <w:r>
        <w:rPr>
          <w:iCs/>
          <w:lang w:val="en-GB"/>
        </w:rPr>
        <w:t xml:space="preserve">our role </w:t>
      </w:r>
      <w:r w:rsidR="007D19F9">
        <w:rPr>
          <w:iCs/>
          <w:lang w:val="en-GB"/>
        </w:rPr>
        <w:t>in the hospital,</w:t>
      </w:r>
      <w:r>
        <w:rPr>
          <w:iCs/>
          <w:lang w:val="en-GB"/>
        </w:rPr>
        <w:t xml:space="preserve"> and how you are involved with the patient portal?</w:t>
      </w:r>
    </w:p>
    <w:p w14:paraId="7B75E3C2" w14:textId="77777777" w:rsidR="00CF5F8C" w:rsidRDefault="00CF5F8C" w:rsidP="00CF5F8C">
      <w:pPr>
        <w:pStyle w:val="ListParagraph"/>
        <w:numPr>
          <w:ilvl w:val="0"/>
          <w:numId w:val="5"/>
        </w:numPr>
        <w:jc w:val="left"/>
        <w:rPr>
          <w:iCs/>
          <w:lang w:val="en-GB"/>
        </w:rPr>
      </w:pPr>
      <w:r w:rsidRPr="003F71F8">
        <w:rPr>
          <w:iCs/>
          <w:lang w:val="en-GB"/>
        </w:rPr>
        <w:t>How has the patient p</w:t>
      </w:r>
      <w:r>
        <w:rPr>
          <w:iCs/>
          <w:lang w:val="en-GB"/>
        </w:rPr>
        <w:t>ortal progressed in the past years?</w:t>
      </w:r>
    </w:p>
    <w:p w14:paraId="74AF7346" w14:textId="77777777" w:rsidR="00CF5F8C" w:rsidRDefault="00CF5F8C" w:rsidP="00CF5F8C">
      <w:pPr>
        <w:pStyle w:val="ListParagraph"/>
        <w:numPr>
          <w:ilvl w:val="0"/>
          <w:numId w:val="5"/>
        </w:numPr>
        <w:jc w:val="left"/>
        <w:rPr>
          <w:iCs/>
          <w:lang w:val="en-GB"/>
        </w:rPr>
      </w:pPr>
      <w:r>
        <w:rPr>
          <w:iCs/>
          <w:lang w:val="en-GB"/>
        </w:rPr>
        <w:t>What has been achieved in concrete terms?</w:t>
      </w:r>
    </w:p>
    <w:p w14:paraId="09E6308E" w14:textId="77777777" w:rsidR="00CF5F8C" w:rsidRPr="00516D6A" w:rsidRDefault="00CF5F8C" w:rsidP="00CF5F8C">
      <w:pPr>
        <w:rPr>
          <w:b/>
          <w:bCs/>
          <w:iCs/>
          <w:lang w:val="en-GB"/>
        </w:rPr>
      </w:pPr>
      <w:r w:rsidRPr="00516D6A">
        <w:rPr>
          <w:b/>
          <w:bCs/>
          <w:iCs/>
          <w:lang w:val="en-GB"/>
        </w:rPr>
        <w:t>1. The condition or i</w:t>
      </w:r>
      <w:r>
        <w:rPr>
          <w:b/>
          <w:bCs/>
          <w:iCs/>
          <w:lang w:val="en-GB"/>
        </w:rPr>
        <w:t>llness</w:t>
      </w:r>
      <w:r w:rsidRPr="00516D6A">
        <w:rPr>
          <w:b/>
          <w:bCs/>
          <w:iCs/>
          <w:lang w:val="en-GB"/>
        </w:rPr>
        <w:tab/>
      </w:r>
    </w:p>
    <w:p w14:paraId="5EE16F42" w14:textId="77777777" w:rsidR="00CF5F8C" w:rsidRPr="00516D6A" w:rsidRDefault="00CF5F8C" w:rsidP="0045223E">
      <w:pPr>
        <w:spacing w:after="0"/>
        <w:rPr>
          <w:b/>
          <w:bCs/>
          <w:iCs/>
          <w:lang w:val="en-GB"/>
        </w:rPr>
      </w:pPr>
      <w:r w:rsidRPr="00516D6A">
        <w:rPr>
          <w:b/>
          <w:bCs/>
          <w:iCs/>
          <w:lang w:val="en-GB"/>
        </w:rPr>
        <w:t xml:space="preserve">2. </w:t>
      </w:r>
      <w:r>
        <w:rPr>
          <w:b/>
          <w:bCs/>
          <w:iCs/>
          <w:lang w:val="en-GB"/>
        </w:rPr>
        <w:t>The t</w:t>
      </w:r>
      <w:r w:rsidRPr="00516D6A">
        <w:rPr>
          <w:b/>
          <w:bCs/>
          <w:iCs/>
          <w:lang w:val="en-GB"/>
        </w:rPr>
        <w:t>echnolog</w:t>
      </w:r>
      <w:r>
        <w:rPr>
          <w:b/>
          <w:bCs/>
          <w:iCs/>
          <w:lang w:val="en-GB"/>
        </w:rPr>
        <w:t>y</w:t>
      </w:r>
    </w:p>
    <w:p w14:paraId="09760F3F" w14:textId="77777777" w:rsidR="00CF5F8C" w:rsidRDefault="00CF5F8C" w:rsidP="00CF5F8C">
      <w:pPr>
        <w:pStyle w:val="ListParagraph"/>
        <w:numPr>
          <w:ilvl w:val="0"/>
          <w:numId w:val="5"/>
        </w:numPr>
        <w:jc w:val="left"/>
        <w:rPr>
          <w:iCs/>
          <w:lang w:val="en-GB"/>
        </w:rPr>
      </w:pPr>
      <w:r w:rsidRPr="00EF2E80">
        <w:rPr>
          <w:iCs/>
          <w:lang w:val="en-GB"/>
        </w:rPr>
        <w:t>Where does the technology c</w:t>
      </w:r>
      <w:r>
        <w:rPr>
          <w:iCs/>
          <w:lang w:val="en-GB"/>
        </w:rPr>
        <w:t xml:space="preserve">ome from? </w:t>
      </w:r>
    </w:p>
    <w:p w14:paraId="11339651" w14:textId="77777777" w:rsidR="00CF5F8C" w:rsidRDefault="00CF5F8C" w:rsidP="00CF5F8C">
      <w:pPr>
        <w:pStyle w:val="ListParagraph"/>
        <w:numPr>
          <w:ilvl w:val="0"/>
          <w:numId w:val="5"/>
        </w:numPr>
        <w:jc w:val="left"/>
        <w:rPr>
          <w:iCs/>
          <w:lang w:val="en-GB"/>
        </w:rPr>
      </w:pPr>
      <w:r>
        <w:rPr>
          <w:iCs/>
          <w:lang w:val="en-GB"/>
        </w:rPr>
        <w:t>How is it supplied?</w:t>
      </w:r>
    </w:p>
    <w:p w14:paraId="031A5E46" w14:textId="77777777" w:rsidR="00CF5F8C" w:rsidRDefault="00CF5F8C" w:rsidP="00CF5F8C">
      <w:pPr>
        <w:pStyle w:val="ListParagraph"/>
        <w:numPr>
          <w:ilvl w:val="0"/>
          <w:numId w:val="5"/>
        </w:numPr>
        <w:jc w:val="left"/>
        <w:rPr>
          <w:iCs/>
          <w:lang w:val="en-GB"/>
        </w:rPr>
      </w:pPr>
      <w:r>
        <w:rPr>
          <w:iCs/>
          <w:lang w:val="en-GB"/>
        </w:rPr>
        <w:t>What are the key features?</w:t>
      </w:r>
    </w:p>
    <w:p w14:paraId="259F436D" w14:textId="77777777" w:rsidR="00CF5F8C" w:rsidRDefault="00CF5F8C" w:rsidP="00CF5F8C">
      <w:pPr>
        <w:pStyle w:val="ListParagraph"/>
        <w:numPr>
          <w:ilvl w:val="0"/>
          <w:numId w:val="5"/>
        </w:numPr>
        <w:jc w:val="left"/>
        <w:rPr>
          <w:iCs/>
          <w:lang w:val="en-GB"/>
        </w:rPr>
      </w:pPr>
      <w:r>
        <w:rPr>
          <w:iCs/>
          <w:lang w:val="en-GB"/>
        </w:rPr>
        <w:t xml:space="preserve">What kind of knowledge does the technology bring into play? </w:t>
      </w:r>
    </w:p>
    <w:p w14:paraId="69EA7594" w14:textId="77777777" w:rsidR="00CF5F8C" w:rsidRDefault="00CF5F8C" w:rsidP="00CF5F8C">
      <w:pPr>
        <w:pStyle w:val="ListParagraph"/>
        <w:numPr>
          <w:ilvl w:val="0"/>
          <w:numId w:val="5"/>
        </w:numPr>
        <w:jc w:val="left"/>
        <w:rPr>
          <w:iCs/>
          <w:lang w:val="en-GB"/>
        </w:rPr>
      </w:pPr>
      <w:r>
        <w:rPr>
          <w:iCs/>
          <w:lang w:val="en-GB"/>
        </w:rPr>
        <w:t>What knowledge and/or support is required to use the technology?</w:t>
      </w:r>
      <w:r w:rsidRPr="00EF2E80">
        <w:rPr>
          <w:iCs/>
          <w:lang w:val="en-GB"/>
        </w:rPr>
        <w:t xml:space="preserve"> </w:t>
      </w:r>
    </w:p>
    <w:p w14:paraId="62AD9C75" w14:textId="77777777" w:rsidR="00CF5F8C" w:rsidRPr="000816BE" w:rsidRDefault="00CF5F8C" w:rsidP="0045223E">
      <w:pPr>
        <w:spacing w:after="0"/>
        <w:rPr>
          <w:b/>
          <w:bCs/>
          <w:iCs/>
        </w:rPr>
      </w:pPr>
      <w:r w:rsidRPr="000816BE">
        <w:rPr>
          <w:b/>
          <w:bCs/>
          <w:iCs/>
        </w:rPr>
        <w:t xml:space="preserve">3. </w:t>
      </w:r>
      <w:r>
        <w:rPr>
          <w:b/>
          <w:bCs/>
          <w:iCs/>
        </w:rPr>
        <w:t>The value proposition</w:t>
      </w:r>
    </w:p>
    <w:p w14:paraId="395831B6" w14:textId="77777777" w:rsidR="00CF5F8C" w:rsidRDefault="00CF5F8C" w:rsidP="00CF5F8C">
      <w:pPr>
        <w:pStyle w:val="ListParagraph"/>
        <w:numPr>
          <w:ilvl w:val="0"/>
          <w:numId w:val="5"/>
        </w:numPr>
        <w:jc w:val="left"/>
        <w:rPr>
          <w:iCs/>
          <w:lang w:val="en-GB"/>
        </w:rPr>
      </w:pPr>
      <w:r w:rsidRPr="00EF2E80">
        <w:rPr>
          <w:iCs/>
          <w:lang w:val="en-GB"/>
        </w:rPr>
        <w:t>How does the patient p</w:t>
      </w:r>
      <w:r>
        <w:rPr>
          <w:iCs/>
          <w:lang w:val="en-GB"/>
        </w:rPr>
        <w:t>ortal create value for the patient?</w:t>
      </w:r>
    </w:p>
    <w:p w14:paraId="0777DA9A" w14:textId="77777777" w:rsidR="00CF5F8C" w:rsidRDefault="00CF5F8C" w:rsidP="00CF5F8C">
      <w:pPr>
        <w:pStyle w:val="ListParagraph"/>
        <w:numPr>
          <w:ilvl w:val="0"/>
          <w:numId w:val="5"/>
        </w:numPr>
        <w:jc w:val="left"/>
        <w:rPr>
          <w:iCs/>
          <w:lang w:val="en-GB"/>
        </w:rPr>
      </w:pPr>
      <w:r>
        <w:rPr>
          <w:iCs/>
          <w:lang w:val="en-GB"/>
        </w:rPr>
        <w:t>How does the patient portal create value for the healthcare professional?</w:t>
      </w:r>
    </w:p>
    <w:p w14:paraId="1C0A045D" w14:textId="77777777" w:rsidR="00CF5F8C" w:rsidRDefault="00CF5F8C" w:rsidP="00CF5F8C">
      <w:pPr>
        <w:pStyle w:val="ListParagraph"/>
        <w:numPr>
          <w:ilvl w:val="0"/>
          <w:numId w:val="5"/>
        </w:numPr>
        <w:jc w:val="left"/>
        <w:rPr>
          <w:iCs/>
          <w:lang w:val="en-GB"/>
        </w:rPr>
      </w:pPr>
      <w:r>
        <w:rPr>
          <w:iCs/>
          <w:lang w:val="en-GB"/>
        </w:rPr>
        <w:t>Is there a visible difference between specific healthcare professionals?</w:t>
      </w:r>
    </w:p>
    <w:p w14:paraId="47562306" w14:textId="77777777" w:rsidR="00CF5F8C" w:rsidRDefault="00CF5F8C" w:rsidP="00CF5F8C">
      <w:pPr>
        <w:pStyle w:val="ListParagraph"/>
        <w:numPr>
          <w:ilvl w:val="0"/>
          <w:numId w:val="5"/>
        </w:numPr>
        <w:jc w:val="left"/>
        <w:rPr>
          <w:iCs/>
          <w:lang w:val="en-GB"/>
        </w:rPr>
      </w:pPr>
      <w:r>
        <w:rPr>
          <w:iCs/>
          <w:lang w:val="en-GB"/>
        </w:rPr>
        <w:t>Is it desirable, efficient, safe, and cost effective enough?</w:t>
      </w:r>
    </w:p>
    <w:p w14:paraId="4E8A82B5" w14:textId="77777777" w:rsidR="00CF5F8C" w:rsidRPr="00EF2E80" w:rsidRDefault="00CF5F8C" w:rsidP="00CF5F8C">
      <w:pPr>
        <w:pStyle w:val="ListParagraph"/>
        <w:numPr>
          <w:ilvl w:val="0"/>
          <w:numId w:val="5"/>
        </w:numPr>
        <w:jc w:val="left"/>
        <w:rPr>
          <w:iCs/>
          <w:lang w:val="en-GB"/>
        </w:rPr>
      </w:pPr>
      <w:r>
        <w:rPr>
          <w:iCs/>
          <w:lang w:val="en-GB"/>
        </w:rPr>
        <w:t>Is there a visible difference between specific patients?</w:t>
      </w:r>
    </w:p>
    <w:p w14:paraId="32C53851" w14:textId="77777777" w:rsidR="00CF5F8C" w:rsidRPr="000816BE" w:rsidRDefault="00CF5F8C" w:rsidP="0045223E">
      <w:pPr>
        <w:spacing w:after="0"/>
        <w:rPr>
          <w:b/>
          <w:bCs/>
          <w:iCs/>
        </w:rPr>
      </w:pPr>
      <w:r w:rsidRPr="000816BE">
        <w:rPr>
          <w:b/>
          <w:bCs/>
          <w:iCs/>
        </w:rPr>
        <w:t xml:space="preserve">4. </w:t>
      </w:r>
      <w:r>
        <w:rPr>
          <w:b/>
          <w:bCs/>
          <w:iCs/>
        </w:rPr>
        <w:t>The adopter system</w:t>
      </w:r>
    </w:p>
    <w:p w14:paraId="530E37BE" w14:textId="77777777" w:rsidR="00CF5F8C" w:rsidRPr="00516D6A" w:rsidRDefault="00CF5F8C" w:rsidP="00CF5F8C">
      <w:pPr>
        <w:pStyle w:val="ListParagraph"/>
        <w:numPr>
          <w:ilvl w:val="0"/>
          <w:numId w:val="5"/>
        </w:numPr>
        <w:jc w:val="left"/>
        <w:rPr>
          <w:iCs/>
          <w:lang w:val="en-GB"/>
        </w:rPr>
      </w:pPr>
      <w:r w:rsidRPr="00D86DB4">
        <w:rPr>
          <w:rFonts w:eastAsia="TimesNewRomanPSMT" w:cstheme="minorHAnsi"/>
          <w:lang w:val="en-GB"/>
        </w:rPr>
        <w:t>What changes in staff roles, practices, and identities are implied?</w:t>
      </w:r>
    </w:p>
    <w:p w14:paraId="637D5654" w14:textId="77777777" w:rsidR="00CF5F8C" w:rsidRPr="00516D6A" w:rsidRDefault="00CF5F8C" w:rsidP="00CF5F8C">
      <w:pPr>
        <w:pStyle w:val="ListParagraph"/>
        <w:numPr>
          <w:ilvl w:val="0"/>
          <w:numId w:val="5"/>
        </w:numPr>
        <w:jc w:val="left"/>
        <w:rPr>
          <w:iCs/>
          <w:lang w:val="en-GB"/>
        </w:rPr>
      </w:pPr>
      <w:r w:rsidRPr="00D86DB4">
        <w:rPr>
          <w:rFonts w:eastAsia="TimesNewRomanPSMT" w:cstheme="minorHAnsi"/>
          <w:lang w:val="en-GB"/>
        </w:rPr>
        <w:t>What is expected of the patient (and/or immediate caregiver)—and is this achievable by, and acceptable to, them?</w:t>
      </w:r>
    </w:p>
    <w:p w14:paraId="5A65BA58" w14:textId="77777777" w:rsidR="00CF5F8C" w:rsidRPr="00516D6A" w:rsidRDefault="00CF5F8C" w:rsidP="00CF5F8C">
      <w:pPr>
        <w:pStyle w:val="ListParagraph"/>
        <w:numPr>
          <w:ilvl w:val="0"/>
          <w:numId w:val="5"/>
        </w:numPr>
        <w:jc w:val="left"/>
        <w:rPr>
          <w:iCs/>
          <w:lang w:val="en-GB"/>
        </w:rPr>
      </w:pPr>
      <w:r w:rsidRPr="00D86DB4">
        <w:rPr>
          <w:rFonts w:eastAsia="TimesNewRomanPSMT" w:cstheme="minorHAnsi"/>
          <w:lang w:val="en-GB"/>
        </w:rPr>
        <w:t>What is assumed about the extended network of lay caregivers?</w:t>
      </w:r>
    </w:p>
    <w:p w14:paraId="0BAA960B" w14:textId="77777777" w:rsidR="00CF5F8C" w:rsidRPr="000816BE" w:rsidRDefault="00CF5F8C" w:rsidP="0045223E">
      <w:pPr>
        <w:spacing w:after="0"/>
        <w:rPr>
          <w:b/>
          <w:bCs/>
          <w:iCs/>
        </w:rPr>
      </w:pPr>
      <w:r w:rsidRPr="000816BE">
        <w:rPr>
          <w:b/>
          <w:bCs/>
          <w:iCs/>
        </w:rPr>
        <w:t xml:space="preserve">5. </w:t>
      </w:r>
      <w:r>
        <w:rPr>
          <w:b/>
          <w:bCs/>
          <w:iCs/>
        </w:rPr>
        <w:t>The organization</w:t>
      </w:r>
    </w:p>
    <w:p w14:paraId="2A4ACFD5" w14:textId="77777777" w:rsidR="00CF5F8C" w:rsidRPr="00CF5F8C" w:rsidRDefault="00CF5F8C" w:rsidP="00CF5F8C">
      <w:pPr>
        <w:pStyle w:val="ListParagraph"/>
        <w:numPr>
          <w:ilvl w:val="0"/>
          <w:numId w:val="5"/>
        </w:numPr>
        <w:jc w:val="left"/>
        <w:rPr>
          <w:iCs/>
          <w:lang w:val="en-GB"/>
        </w:rPr>
      </w:pPr>
      <w:r w:rsidRPr="00CF5F8C">
        <w:rPr>
          <w:rFonts w:eastAsia="TimesNewRomanPSMT" w:cstheme="minorHAnsi"/>
          <w:lang w:val="en-GB"/>
        </w:rPr>
        <w:t>What is the organization’s capacity to innovate?</w:t>
      </w:r>
    </w:p>
    <w:p w14:paraId="1313DBD3" w14:textId="77777777" w:rsidR="00CF5F8C" w:rsidRPr="00CF5F8C" w:rsidRDefault="00CF5F8C" w:rsidP="00CF5F8C">
      <w:pPr>
        <w:pStyle w:val="ListParagraph"/>
        <w:numPr>
          <w:ilvl w:val="0"/>
          <w:numId w:val="5"/>
        </w:numPr>
        <w:jc w:val="left"/>
        <w:rPr>
          <w:iCs/>
          <w:lang w:val="en-GB"/>
        </w:rPr>
      </w:pPr>
      <w:r w:rsidRPr="00CF5F8C">
        <w:rPr>
          <w:rFonts w:eastAsia="TimesNewRomanPSMT" w:cstheme="minorHAnsi"/>
          <w:lang w:val="en-GB"/>
        </w:rPr>
        <w:t>How ready is the organization for this technology-supported change?</w:t>
      </w:r>
    </w:p>
    <w:p w14:paraId="7BE4DF07" w14:textId="77777777" w:rsidR="00CF5F8C" w:rsidRPr="00516D6A" w:rsidRDefault="00CF5F8C" w:rsidP="00CF5F8C">
      <w:pPr>
        <w:pStyle w:val="ListParagraph"/>
        <w:numPr>
          <w:ilvl w:val="0"/>
          <w:numId w:val="5"/>
        </w:numPr>
        <w:jc w:val="left"/>
        <w:rPr>
          <w:iCs/>
          <w:lang w:val="en-GB"/>
        </w:rPr>
      </w:pPr>
      <w:r w:rsidRPr="00D86DB4">
        <w:rPr>
          <w:rFonts w:eastAsia="TimesNewRomanPSMT" w:cstheme="minorHAnsi"/>
          <w:lang w:val="en-GB"/>
        </w:rPr>
        <w:t>How easy will the adoption and funding decision be?</w:t>
      </w:r>
    </w:p>
    <w:p w14:paraId="164D0449" w14:textId="77777777" w:rsidR="00CF5F8C" w:rsidRPr="00CF5F8C" w:rsidRDefault="00CF5F8C" w:rsidP="00CF5F8C">
      <w:pPr>
        <w:pStyle w:val="ListParagraph"/>
        <w:numPr>
          <w:ilvl w:val="0"/>
          <w:numId w:val="5"/>
        </w:numPr>
        <w:jc w:val="left"/>
        <w:rPr>
          <w:iCs/>
          <w:lang w:val="en-GB"/>
        </w:rPr>
      </w:pPr>
      <w:r w:rsidRPr="00CF5F8C">
        <w:rPr>
          <w:rFonts w:eastAsia="TimesNewRomanPSMT" w:cstheme="minorHAnsi"/>
          <w:lang w:val="en-GB"/>
        </w:rPr>
        <w:t>What changes will be needed in team interactions and routines?</w:t>
      </w:r>
    </w:p>
    <w:p w14:paraId="23AA17FF" w14:textId="77777777" w:rsidR="00CF5F8C" w:rsidRPr="00516D6A" w:rsidRDefault="00CF5F8C" w:rsidP="00CF5F8C">
      <w:pPr>
        <w:pStyle w:val="ListParagraph"/>
        <w:numPr>
          <w:ilvl w:val="0"/>
          <w:numId w:val="5"/>
        </w:numPr>
        <w:jc w:val="left"/>
        <w:rPr>
          <w:iCs/>
          <w:lang w:val="en-GB"/>
        </w:rPr>
      </w:pPr>
      <w:r w:rsidRPr="00516D6A">
        <w:rPr>
          <w:rFonts w:eastAsia="TimesNewRomanPSMT" w:cstheme="minorHAnsi"/>
          <w:lang w:val="en-GB"/>
        </w:rPr>
        <w:t>What work is involved in implementation and who will do it?</w:t>
      </w:r>
    </w:p>
    <w:p w14:paraId="4F67634F" w14:textId="0AAE3B0F" w:rsidR="00CF5F8C" w:rsidRPr="00516D6A" w:rsidRDefault="00CF5F8C" w:rsidP="0045223E">
      <w:pPr>
        <w:spacing w:after="0"/>
        <w:rPr>
          <w:b/>
          <w:bCs/>
          <w:iCs/>
          <w:lang w:val="en-GB"/>
        </w:rPr>
      </w:pPr>
      <w:r w:rsidRPr="00516D6A">
        <w:rPr>
          <w:b/>
          <w:bCs/>
          <w:iCs/>
          <w:lang w:val="en-GB"/>
        </w:rPr>
        <w:t>6. The wider context</w:t>
      </w:r>
    </w:p>
    <w:p w14:paraId="4C59A717" w14:textId="77777777" w:rsidR="00CF5F8C" w:rsidRPr="00516D6A" w:rsidRDefault="00CF5F8C" w:rsidP="00CF5F8C">
      <w:pPr>
        <w:pStyle w:val="ListParagraph"/>
        <w:numPr>
          <w:ilvl w:val="0"/>
          <w:numId w:val="5"/>
        </w:numPr>
        <w:autoSpaceDE w:val="0"/>
        <w:autoSpaceDN w:val="0"/>
        <w:adjustRightInd w:val="0"/>
        <w:jc w:val="left"/>
        <w:rPr>
          <w:iCs/>
          <w:lang w:val="en-GB"/>
        </w:rPr>
      </w:pPr>
      <w:r w:rsidRPr="00516D6A">
        <w:rPr>
          <w:rFonts w:eastAsia="TimesNewRomanPSMT" w:cstheme="minorHAnsi"/>
          <w:lang w:val="en-GB"/>
        </w:rPr>
        <w:t>What is the political, economic, regulatory, professional (</w:t>
      </w:r>
      <w:proofErr w:type="spellStart"/>
      <w:r w:rsidRPr="00516D6A">
        <w:rPr>
          <w:rFonts w:eastAsia="TimesNewRomanPSMT" w:cstheme="minorHAnsi"/>
          <w:lang w:val="en-GB"/>
        </w:rPr>
        <w:t>eg</w:t>
      </w:r>
      <w:proofErr w:type="spellEnd"/>
      <w:r w:rsidRPr="00516D6A">
        <w:rPr>
          <w:rFonts w:eastAsia="TimesNewRomanPSMT" w:cstheme="minorHAnsi"/>
          <w:lang w:val="en-GB"/>
        </w:rPr>
        <w:t>, medicolegal), and sociocultural context for program rollout?</w:t>
      </w:r>
    </w:p>
    <w:p w14:paraId="50B6C85D" w14:textId="77777777" w:rsidR="0045223E" w:rsidRDefault="0045223E" w:rsidP="0045223E">
      <w:pPr>
        <w:spacing w:after="0"/>
        <w:rPr>
          <w:b/>
          <w:bCs/>
          <w:iCs/>
          <w:lang w:val="en-GB"/>
        </w:rPr>
      </w:pPr>
    </w:p>
    <w:p w14:paraId="788A45A7" w14:textId="77777777" w:rsidR="0045223E" w:rsidRDefault="0045223E" w:rsidP="0045223E">
      <w:pPr>
        <w:spacing w:after="0"/>
        <w:rPr>
          <w:b/>
          <w:bCs/>
          <w:iCs/>
          <w:lang w:val="en-GB"/>
        </w:rPr>
      </w:pPr>
    </w:p>
    <w:p w14:paraId="266BEB95" w14:textId="0F317CB8" w:rsidR="00CF5F8C" w:rsidRPr="00516D6A" w:rsidRDefault="00CF5F8C" w:rsidP="0045223E">
      <w:pPr>
        <w:spacing w:after="0"/>
        <w:rPr>
          <w:b/>
          <w:bCs/>
          <w:iCs/>
          <w:lang w:val="en-GB"/>
        </w:rPr>
      </w:pPr>
      <w:r w:rsidRPr="00516D6A">
        <w:rPr>
          <w:b/>
          <w:bCs/>
          <w:iCs/>
          <w:lang w:val="en-GB"/>
        </w:rPr>
        <w:lastRenderedPageBreak/>
        <w:t>7. Embedding and adaptation over t</w:t>
      </w:r>
      <w:r>
        <w:rPr>
          <w:b/>
          <w:bCs/>
          <w:iCs/>
          <w:lang w:val="en-GB"/>
        </w:rPr>
        <w:t>ime</w:t>
      </w:r>
    </w:p>
    <w:p w14:paraId="15397EE2" w14:textId="77777777" w:rsidR="00CF5F8C" w:rsidRPr="00516D6A" w:rsidRDefault="00CF5F8C" w:rsidP="00CF5F8C">
      <w:pPr>
        <w:pStyle w:val="ListParagraph"/>
        <w:numPr>
          <w:ilvl w:val="0"/>
          <w:numId w:val="5"/>
        </w:numPr>
        <w:jc w:val="left"/>
        <w:rPr>
          <w:iCs/>
          <w:lang w:val="en-GB"/>
        </w:rPr>
      </w:pPr>
      <w:r w:rsidRPr="00516D6A">
        <w:rPr>
          <w:rFonts w:eastAsia="TimesNewRomanPSMT" w:cstheme="minorHAnsi"/>
          <w:lang w:val="en-GB"/>
        </w:rPr>
        <w:t xml:space="preserve">How much scope is there for adapting and coevolving the technology and the service over time? </w:t>
      </w:r>
    </w:p>
    <w:p w14:paraId="59C57014" w14:textId="77777777" w:rsidR="00CF5F8C" w:rsidRPr="00516D6A" w:rsidRDefault="00CF5F8C" w:rsidP="00CF5F8C">
      <w:pPr>
        <w:pStyle w:val="ListParagraph"/>
        <w:numPr>
          <w:ilvl w:val="0"/>
          <w:numId w:val="5"/>
        </w:numPr>
        <w:jc w:val="left"/>
        <w:rPr>
          <w:iCs/>
          <w:lang w:val="en-GB"/>
        </w:rPr>
      </w:pPr>
      <w:r w:rsidRPr="00D86DB4">
        <w:rPr>
          <w:rFonts w:eastAsia="TimesNewRomanPSMT" w:cstheme="minorHAnsi"/>
          <w:lang w:val="en-GB"/>
        </w:rPr>
        <w:t>How resilient is the organization to handling critical events and adapting to unforeseen eventualities?</w:t>
      </w:r>
    </w:p>
    <w:p w14:paraId="06699027" w14:textId="77777777" w:rsidR="00CF5F8C" w:rsidRDefault="00CF5F8C" w:rsidP="0045223E">
      <w:pPr>
        <w:spacing w:after="0"/>
        <w:rPr>
          <w:b/>
          <w:bCs/>
          <w:iCs/>
        </w:rPr>
      </w:pPr>
      <w:r>
        <w:rPr>
          <w:b/>
          <w:bCs/>
          <w:iCs/>
        </w:rPr>
        <w:t>8. Reflection and monitoring</w:t>
      </w:r>
    </w:p>
    <w:p w14:paraId="1ACBD654" w14:textId="77777777" w:rsidR="00CF5F8C" w:rsidRDefault="00CF5F8C" w:rsidP="00CF5F8C">
      <w:pPr>
        <w:pStyle w:val="ListParagraph"/>
        <w:numPr>
          <w:ilvl w:val="0"/>
          <w:numId w:val="5"/>
        </w:numPr>
        <w:jc w:val="left"/>
        <w:rPr>
          <w:iCs/>
          <w:lang w:val="en-GB"/>
        </w:rPr>
      </w:pPr>
      <w:r w:rsidRPr="00516D6A">
        <w:rPr>
          <w:iCs/>
          <w:lang w:val="en-GB"/>
        </w:rPr>
        <w:t>How is the use o</w:t>
      </w:r>
      <w:r>
        <w:rPr>
          <w:iCs/>
          <w:lang w:val="en-GB"/>
        </w:rPr>
        <w:t>f the patient portal reflected and monitored?</w:t>
      </w:r>
    </w:p>
    <w:p w14:paraId="18EA03CC" w14:textId="77777777" w:rsidR="00CF5F8C" w:rsidRDefault="00CF5F8C" w:rsidP="00CF5F8C">
      <w:pPr>
        <w:pStyle w:val="ListParagraph"/>
        <w:numPr>
          <w:ilvl w:val="0"/>
          <w:numId w:val="5"/>
        </w:numPr>
        <w:jc w:val="left"/>
        <w:rPr>
          <w:iCs/>
          <w:lang w:val="en-GB"/>
        </w:rPr>
      </w:pPr>
      <w:r>
        <w:rPr>
          <w:iCs/>
          <w:lang w:val="en-GB"/>
        </w:rPr>
        <w:t>How are reviews from patients and professionals handled?</w:t>
      </w:r>
    </w:p>
    <w:p w14:paraId="64A07430" w14:textId="77777777" w:rsidR="00CF5F8C" w:rsidRDefault="00CF5F8C" w:rsidP="00CF5F8C">
      <w:pPr>
        <w:pStyle w:val="ListParagraph"/>
        <w:numPr>
          <w:ilvl w:val="0"/>
          <w:numId w:val="5"/>
        </w:numPr>
        <w:jc w:val="left"/>
        <w:rPr>
          <w:iCs/>
          <w:lang w:val="en-GB"/>
        </w:rPr>
      </w:pPr>
      <w:r>
        <w:rPr>
          <w:iCs/>
          <w:lang w:val="en-GB"/>
        </w:rPr>
        <w:t>To what extent has the patient portal been appreciated by professionals and patients?</w:t>
      </w:r>
    </w:p>
    <w:p w14:paraId="7A962F6C" w14:textId="77777777" w:rsidR="00CF5F8C" w:rsidRDefault="00CF5F8C" w:rsidP="00CF5F8C">
      <w:pPr>
        <w:pStyle w:val="ListParagraph"/>
        <w:numPr>
          <w:ilvl w:val="0"/>
          <w:numId w:val="5"/>
        </w:numPr>
        <w:jc w:val="left"/>
        <w:rPr>
          <w:iCs/>
          <w:lang w:val="en-GB"/>
        </w:rPr>
      </w:pPr>
      <w:r>
        <w:rPr>
          <w:iCs/>
          <w:lang w:val="en-GB"/>
        </w:rPr>
        <w:t>How have professionals been involved in the process of embedding?</w:t>
      </w:r>
    </w:p>
    <w:p w14:paraId="6EA64834" w14:textId="77777777" w:rsidR="00CF5F8C" w:rsidRDefault="00CF5F8C" w:rsidP="00CF5F8C">
      <w:pPr>
        <w:pStyle w:val="ListParagraph"/>
        <w:numPr>
          <w:ilvl w:val="0"/>
          <w:numId w:val="5"/>
        </w:numPr>
        <w:jc w:val="left"/>
        <w:rPr>
          <w:iCs/>
          <w:lang w:val="en-GB"/>
        </w:rPr>
      </w:pPr>
      <w:r>
        <w:rPr>
          <w:iCs/>
          <w:lang w:val="en-GB"/>
        </w:rPr>
        <w:t>What has been done in concrete terms?</w:t>
      </w:r>
    </w:p>
    <w:p w14:paraId="7C2CEA66" w14:textId="77777777" w:rsidR="00CF5F8C" w:rsidRDefault="00CF5F8C" w:rsidP="00CF5F8C">
      <w:pPr>
        <w:pStyle w:val="ListParagraph"/>
        <w:numPr>
          <w:ilvl w:val="0"/>
          <w:numId w:val="5"/>
        </w:numPr>
        <w:jc w:val="left"/>
        <w:rPr>
          <w:iCs/>
          <w:lang w:val="en-GB"/>
        </w:rPr>
      </w:pPr>
      <w:r w:rsidRPr="00516D6A">
        <w:rPr>
          <w:iCs/>
          <w:lang w:val="en-GB"/>
        </w:rPr>
        <w:t>To what extent have professionals and patients been able to include / include / adapt the patient portal</w:t>
      </w:r>
      <w:r>
        <w:rPr>
          <w:iCs/>
          <w:lang w:val="en-GB"/>
        </w:rPr>
        <w:t>?</w:t>
      </w:r>
    </w:p>
    <w:p w14:paraId="62294077" w14:textId="77777777" w:rsidR="00CF5F8C" w:rsidRDefault="00CF5F8C" w:rsidP="00CF5F8C">
      <w:pPr>
        <w:pStyle w:val="ListParagraph"/>
        <w:numPr>
          <w:ilvl w:val="0"/>
          <w:numId w:val="5"/>
        </w:numPr>
        <w:jc w:val="left"/>
        <w:rPr>
          <w:iCs/>
          <w:lang w:val="en-GB"/>
        </w:rPr>
      </w:pPr>
      <w:r>
        <w:rPr>
          <w:iCs/>
          <w:lang w:val="en-GB"/>
        </w:rPr>
        <w:t xml:space="preserve">How does governance impact the patient portal’s </w:t>
      </w:r>
      <w:r w:rsidRPr="00516D6A">
        <w:rPr>
          <w:iCs/>
          <w:lang w:val="en-GB"/>
        </w:rPr>
        <w:t>embedding</w:t>
      </w:r>
      <w:r>
        <w:rPr>
          <w:iCs/>
          <w:lang w:val="en-GB"/>
        </w:rPr>
        <w:t>?</w:t>
      </w:r>
    </w:p>
    <w:p w14:paraId="639B0758" w14:textId="77777777" w:rsidR="00CF5F8C" w:rsidRPr="00516D6A" w:rsidRDefault="00CF5F8C" w:rsidP="00CF5F8C">
      <w:pPr>
        <w:pStyle w:val="ListParagraph"/>
        <w:numPr>
          <w:ilvl w:val="0"/>
          <w:numId w:val="5"/>
        </w:numPr>
        <w:jc w:val="left"/>
        <w:rPr>
          <w:iCs/>
          <w:lang w:val="en-GB"/>
        </w:rPr>
      </w:pPr>
      <w:r>
        <w:rPr>
          <w:iCs/>
          <w:lang w:val="en-GB"/>
        </w:rPr>
        <w:t xml:space="preserve">How do strategy practices impact the patient portal’s </w:t>
      </w:r>
      <w:r w:rsidRPr="00516D6A">
        <w:rPr>
          <w:iCs/>
          <w:lang w:val="en-GB"/>
        </w:rPr>
        <w:t>embedding?</w:t>
      </w:r>
    </w:p>
    <w:p w14:paraId="4D75AD4F" w14:textId="77777777" w:rsidR="00CF5F8C" w:rsidRPr="00516D6A" w:rsidRDefault="00CF5F8C" w:rsidP="00CF5F8C">
      <w:pPr>
        <w:rPr>
          <w:iCs/>
          <w:lang w:val="en-GB"/>
        </w:rPr>
      </w:pPr>
    </w:p>
    <w:p w14:paraId="36869095" w14:textId="77777777" w:rsidR="00CF5F8C" w:rsidRPr="00516D6A" w:rsidRDefault="00CF5F8C" w:rsidP="00CF5F8C">
      <w:pPr>
        <w:rPr>
          <w:iCs/>
          <w:lang w:val="en-GB"/>
        </w:rPr>
      </w:pPr>
    </w:p>
    <w:p w14:paraId="3FA73A7B" w14:textId="77777777" w:rsidR="00765A6F" w:rsidRDefault="00765A6F">
      <w:pPr>
        <w:jc w:val="left"/>
        <w:rPr>
          <w:rFonts w:eastAsiaTheme="majorEastAsia" w:cstheme="majorBidi"/>
          <w:color w:val="365F91" w:themeColor="accent1" w:themeShade="BF"/>
          <w:sz w:val="32"/>
          <w:szCs w:val="32"/>
          <w:lang w:val="en-GB"/>
        </w:rPr>
      </w:pPr>
      <w:r>
        <w:rPr>
          <w:lang w:val="en-GB"/>
        </w:rPr>
        <w:br w:type="page"/>
      </w:r>
    </w:p>
    <w:p w14:paraId="138A76E6" w14:textId="07E094C3" w:rsidR="006D2DE2" w:rsidRDefault="00A77631" w:rsidP="00A77631">
      <w:pPr>
        <w:pStyle w:val="Heading1"/>
        <w:rPr>
          <w:lang w:val="en-GB"/>
        </w:rPr>
      </w:pPr>
      <w:bookmarkStart w:id="102" w:name="_Toc51862114"/>
      <w:r>
        <w:rPr>
          <w:lang w:val="en-GB"/>
        </w:rPr>
        <w:lastRenderedPageBreak/>
        <w:t xml:space="preserve">Appendix </w:t>
      </w:r>
      <w:r w:rsidR="00765A6F">
        <w:rPr>
          <w:lang w:val="en-GB"/>
        </w:rPr>
        <w:t>2</w:t>
      </w:r>
      <w:r>
        <w:rPr>
          <w:lang w:val="en-GB"/>
        </w:rPr>
        <w:t xml:space="preserve">. </w:t>
      </w:r>
      <w:r w:rsidR="00AF54AF">
        <w:rPr>
          <w:lang w:val="en-GB"/>
        </w:rPr>
        <w:t>Respondents</w:t>
      </w:r>
      <w:bookmarkEnd w:id="102"/>
    </w:p>
    <w:tbl>
      <w:tblPr>
        <w:tblStyle w:val="TableGrid"/>
        <w:tblW w:w="10119" w:type="dxa"/>
        <w:tblLayout w:type="fixed"/>
        <w:tblLook w:val="04A0" w:firstRow="1" w:lastRow="0" w:firstColumn="1" w:lastColumn="0" w:noHBand="0" w:noVBand="1"/>
      </w:tblPr>
      <w:tblGrid>
        <w:gridCol w:w="1445"/>
        <w:gridCol w:w="3625"/>
        <w:gridCol w:w="1417"/>
        <w:gridCol w:w="3632"/>
      </w:tblGrid>
      <w:tr w:rsidR="002B1395" w14:paraId="6B4EC7BE" w14:textId="57250DEC" w:rsidTr="00C80F82">
        <w:trPr>
          <w:trHeight w:val="307"/>
        </w:trPr>
        <w:tc>
          <w:tcPr>
            <w:tcW w:w="1445" w:type="dxa"/>
            <w:shd w:val="clear" w:color="auto" w:fill="D9D9D9" w:themeFill="background1" w:themeFillShade="D9"/>
          </w:tcPr>
          <w:p w14:paraId="7562B4CE" w14:textId="518CE438" w:rsidR="002B1395" w:rsidRPr="00C80F82" w:rsidRDefault="002B1395" w:rsidP="00C80F82">
            <w:pPr>
              <w:jc w:val="left"/>
              <w:rPr>
                <w:lang w:val="en-GB"/>
              </w:rPr>
            </w:pPr>
            <w:r w:rsidRPr="00C80F82">
              <w:rPr>
                <w:lang w:val="en-GB"/>
              </w:rPr>
              <w:t>Respondent</w:t>
            </w:r>
          </w:p>
        </w:tc>
        <w:tc>
          <w:tcPr>
            <w:tcW w:w="3625" w:type="dxa"/>
            <w:shd w:val="clear" w:color="auto" w:fill="D9D9D9" w:themeFill="background1" w:themeFillShade="D9"/>
          </w:tcPr>
          <w:p w14:paraId="66BF3699" w14:textId="7094E0A0" w:rsidR="002B1395" w:rsidRPr="00C80F82" w:rsidRDefault="002B1395" w:rsidP="002B1395">
            <w:pPr>
              <w:rPr>
                <w:lang w:val="en-GB"/>
              </w:rPr>
            </w:pPr>
            <w:r w:rsidRPr="00C80F82">
              <w:rPr>
                <w:lang w:val="en-GB"/>
              </w:rPr>
              <w:t>Role in hospital</w:t>
            </w:r>
          </w:p>
        </w:tc>
        <w:tc>
          <w:tcPr>
            <w:tcW w:w="1417" w:type="dxa"/>
            <w:shd w:val="clear" w:color="auto" w:fill="D9D9D9" w:themeFill="background1" w:themeFillShade="D9"/>
          </w:tcPr>
          <w:p w14:paraId="73048B25" w14:textId="726833DE" w:rsidR="002B1395" w:rsidRDefault="002B1395" w:rsidP="002B1395">
            <w:pPr>
              <w:jc w:val="left"/>
              <w:rPr>
                <w:lang w:val="en-GB"/>
              </w:rPr>
            </w:pPr>
            <w:r>
              <w:rPr>
                <w:lang w:val="en-GB"/>
              </w:rPr>
              <w:t>Respondent</w:t>
            </w:r>
          </w:p>
        </w:tc>
        <w:tc>
          <w:tcPr>
            <w:tcW w:w="3632" w:type="dxa"/>
            <w:shd w:val="clear" w:color="auto" w:fill="D9D9D9" w:themeFill="background1" w:themeFillShade="D9"/>
          </w:tcPr>
          <w:p w14:paraId="4393E88E" w14:textId="2042A409" w:rsidR="002B1395" w:rsidRDefault="002B1395" w:rsidP="002B1395">
            <w:pPr>
              <w:rPr>
                <w:lang w:val="en-GB"/>
              </w:rPr>
            </w:pPr>
            <w:r>
              <w:rPr>
                <w:lang w:val="en-GB"/>
              </w:rPr>
              <w:t>Role in hospital</w:t>
            </w:r>
          </w:p>
        </w:tc>
      </w:tr>
      <w:tr w:rsidR="00C80F82" w14:paraId="4E62C761" w14:textId="1C4D76EA" w:rsidTr="00C80F82">
        <w:trPr>
          <w:trHeight w:val="307"/>
        </w:trPr>
        <w:tc>
          <w:tcPr>
            <w:tcW w:w="1445" w:type="dxa"/>
          </w:tcPr>
          <w:p w14:paraId="4851C307" w14:textId="1B731C29" w:rsidR="00C80F82" w:rsidRPr="00C80F82" w:rsidRDefault="00B47B26" w:rsidP="00C80F82">
            <w:pPr>
              <w:rPr>
                <w:b/>
                <w:bCs/>
                <w:lang w:val="en-GB"/>
              </w:rPr>
            </w:pPr>
            <w:r>
              <w:rPr>
                <w:b/>
                <w:bCs/>
                <w:lang w:val="en-GB"/>
              </w:rPr>
              <w:t>Academic hospital</w:t>
            </w:r>
            <w:r w:rsidR="00136FB9">
              <w:rPr>
                <w:b/>
                <w:bCs/>
                <w:lang w:val="en-GB"/>
              </w:rPr>
              <w:t xml:space="preserve"> </w:t>
            </w:r>
            <w:r w:rsidR="00C80F82" w:rsidRPr="00C80F82">
              <w:rPr>
                <w:b/>
                <w:bCs/>
                <w:lang w:val="en-GB"/>
              </w:rPr>
              <w:t xml:space="preserve"> 1</w:t>
            </w:r>
          </w:p>
        </w:tc>
        <w:tc>
          <w:tcPr>
            <w:tcW w:w="3625" w:type="dxa"/>
          </w:tcPr>
          <w:p w14:paraId="03B3B8E4" w14:textId="33D650BD" w:rsidR="00C80F82" w:rsidRDefault="00C80F82" w:rsidP="00C80F82">
            <w:pPr>
              <w:rPr>
                <w:lang w:val="en-GB"/>
              </w:rPr>
            </w:pPr>
            <w:r>
              <w:rPr>
                <w:lang w:val="en-GB"/>
              </w:rPr>
              <w:t>Information</w:t>
            </w:r>
            <w:r w:rsidR="00AF54AF">
              <w:rPr>
                <w:lang w:val="en-GB"/>
              </w:rPr>
              <w:t xml:space="preserve">/technical </w:t>
            </w:r>
            <w:r>
              <w:rPr>
                <w:lang w:val="en-GB"/>
              </w:rPr>
              <w:t>manager</w:t>
            </w:r>
          </w:p>
        </w:tc>
        <w:tc>
          <w:tcPr>
            <w:tcW w:w="1417" w:type="dxa"/>
          </w:tcPr>
          <w:p w14:paraId="0CBA700A" w14:textId="4E7FF169" w:rsidR="00C80F82" w:rsidRPr="00C80F82" w:rsidRDefault="00C80F82" w:rsidP="00C80F82">
            <w:pPr>
              <w:rPr>
                <w:b/>
                <w:bCs/>
                <w:lang w:val="en-GB"/>
              </w:rPr>
            </w:pPr>
            <w:r w:rsidRPr="00C80F82">
              <w:rPr>
                <w:b/>
                <w:bCs/>
                <w:lang w:val="en-GB"/>
              </w:rPr>
              <w:t>VIPP 6.5</w:t>
            </w:r>
          </w:p>
        </w:tc>
        <w:tc>
          <w:tcPr>
            <w:tcW w:w="3632" w:type="dxa"/>
          </w:tcPr>
          <w:p w14:paraId="62D7B4FD" w14:textId="1D5D2D7A" w:rsidR="00C80F82" w:rsidRDefault="00C80F82" w:rsidP="00C80F82">
            <w:pPr>
              <w:rPr>
                <w:lang w:val="en-GB"/>
              </w:rPr>
            </w:pPr>
            <w:r>
              <w:rPr>
                <w:lang w:val="en-GB"/>
              </w:rPr>
              <w:t>Client councillor</w:t>
            </w:r>
          </w:p>
        </w:tc>
      </w:tr>
      <w:tr w:rsidR="00C80F82" w14:paraId="354D1DB3" w14:textId="084740C7" w:rsidTr="00C80F82">
        <w:trPr>
          <w:trHeight w:val="321"/>
        </w:trPr>
        <w:tc>
          <w:tcPr>
            <w:tcW w:w="1445" w:type="dxa"/>
          </w:tcPr>
          <w:p w14:paraId="3E87B259" w14:textId="38818155" w:rsidR="00C80F82" w:rsidRPr="00C80F82" w:rsidRDefault="00B47B26" w:rsidP="00C80F82">
            <w:pPr>
              <w:rPr>
                <w:b/>
                <w:bCs/>
                <w:lang w:val="en-GB"/>
              </w:rPr>
            </w:pPr>
            <w:r>
              <w:rPr>
                <w:b/>
                <w:bCs/>
                <w:lang w:val="en-GB"/>
              </w:rPr>
              <w:t xml:space="preserve">Academic hospital </w:t>
            </w:r>
            <w:r w:rsidRPr="00C80F82">
              <w:rPr>
                <w:b/>
                <w:bCs/>
                <w:lang w:val="en-GB"/>
              </w:rPr>
              <w:t xml:space="preserve"> </w:t>
            </w:r>
            <w:r w:rsidR="00C80F82" w:rsidRPr="00C80F82">
              <w:rPr>
                <w:b/>
                <w:bCs/>
                <w:lang w:val="en-GB"/>
              </w:rPr>
              <w:t>2</w:t>
            </w:r>
          </w:p>
        </w:tc>
        <w:tc>
          <w:tcPr>
            <w:tcW w:w="3625" w:type="dxa"/>
          </w:tcPr>
          <w:p w14:paraId="76D1DF90" w14:textId="050E733C" w:rsidR="00C80F82" w:rsidRDefault="00C80F82" w:rsidP="00C80F82">
            <w:pPr>
              <w:rPr>
                <w:lang w:val="en-GB"/>
              </w:rPr>
            </w:pPr>
            <w:r>
              <w:rPr>
                <w:lang w:val="en-GB"/>
              </w:rPr>
              <w:t>Doctor (domain chairman)</w:t>
            </w:r>
          </w:p>
        </w:tc>
        <w:tc>
          <w:tcPr>
            <w:tcW w:w="1417" w:type="dxa"/>
          </w:tcPr>
          <w:p w14:paraId="3CD226DF" w14:textId="1AA65D1E" w:rsidR="00C80F82" w:rsidRPr="00C80F82" w:rsidRDefault="00C80F82" w:rsidP="00C80F82">
            <w:pPr>
              <w:rPr>
                <w:b/>
                <w:bCs/>
                <w:lang w:val="en-GB"/>
              </w:rPr>
            </w:pPr>
            <w:r w:rsidRPr="00C80F82">
              <w:rPr>
                <w:b/>
                <w:bCs/>
                <w:lang w:val="en-GB"/>
              </w:rPr>
              <w:t>VIPP 6.6</w:t>
            </w:r>
          </w:p>
        </w:tc>
        <w:tc>
          <w:tcPr>
            <w:tcW w:w="3632" w:type="dxa"/>
          </w:tcPr>
          <w:p w14:paraId="308CD73A" w14:textId="7B4EF96C" w:rsidR="00C80F82" w:rsidRDefault="00C80F82" w:rsidP="00C80F82">
            <w:pPr>
              <w:rPr>
                <w:lang w:val="en-GB"/>
              </w:rPr>
            </w:pPr>
            <w:r>
              <w:rPr>
                <w:lang w:val="en-GB"/>
              </w:rPr>
              <w:t>Doctor’s assistant</w:t>
            </w:r>
          </w:p>
        </w:tc>
      </w:tr>
      <w:tr w:rsidR="00C80F82" w14:paraId="5ED5209A" w14:textId="2629AA1B" w:rsidTr="00C80F82">
        <w:trPr>
          <w:trHeight w:val="307"/>
        </w:trPr>
        <w:tc>
          <w:tcPr>
            <w:tcW w:w="1445" w:type="dxa"/>
          </w:tcPr>
          <w:p w14:paraId="6A792CDF" w14:textId="753952D4" w:rsidR="00C80F82" w:rsidRPr="00C80F82" w:rsidRDefault="00B47B26" w:rsidP="00C80F82">
            <w:pPr>
              <w:rPr>
                <w:b/>
                <w:bCs/>
                <w:lang w:val="en-GB"/>
              </w:rPr>
            </w:pPr>
            <w:r>
              <w:rPr>
                <w:b/>
                <w:bCs/>
                <w:lang w:val="en-GB"/>
              </w:rPr>
              <w:t xml:space="preserve">Academic hospital </w:t>
            </w:r>
            <w:r w:rsidRPr="00C80F82">
              <w:rPr>
                <w:b/>
                <w:bCs/>
                <w:lang w:val="en-GB"/>
              </w:rPr>
              <w:t xml:space="preserve"> </w:t>
            </w:r>
            <w:r w:rsidR="00C80F82" w:rsidRPr="00C80F82">
              <w:rPr>
                <w:b/>
                <w:bCs/>
                <w:lang w:val="en-GB"/>
              </w:rPr>
              <w:t>3</w:t>
            </w:r>
          </w:p>
        </w:tc>
        <w:tc>
          <w:tcPr>
            <w:tcW w:w="3625" w:type="dxa"/>
          </w:tcPr>
          <w:p w14:paraId="45BB66D7" w14:textId="1546942F" w:rsidR="00C80F82" w:rsidRDefault="00C80F82" w:rsidP="00C80F82">
            <w:pPr>
              <w:rPr>
                <w:lang w:val="en-GB"/>
              </w:rPr>
            </w:pPr>
            <w:r>
              <w:rPr>
                <w:lang w:val="en-GB"/>
              </w:rPr>
              <w:t>Quality advisor</w:t>
            </w:r>
          </w:p>
        </w:tc>
        <w:tc>
          <w:tcPr>
            <w:tcW w:w="1417" w:type="dxa"/>
          </w:tcPr>
          <w:p w14:paraId="1A02684B" w14:textId="1FC3A6E9" w:rsidR="00C80F82" w:rsidRPr="00C80F82" w:rsidRDefault="00C80F82" w:rsidP="00C80F82">
            <w:pPr>
              <w:rPr>
                <w:b/>
                <w:bCs/>
                <w:lang w:val="en-GB"/>
              </w:rPr>
            </w:pPr>
            <w:r w:rsidRPr="00C80F82">
              <w:rPr>
                <w:b/>
                <w:bCs/>
                <w:lang w:val="en-GB"/>
              </w:rPr>
              <w:t>VIPP 7.1</w:t>
            </w:r>
          </w:p>
        </w:tc>
        <w:tc>
          <w:tcPr>
            <w:tcW w:w="3632" w:type="dxa"/>
          </w:tcPr>
          <w:p w14:paraId="276FA613" w14:textId="2FE70A18" w:rsidR="00C80F82" w:rsidRDefault="00C80F82" w:rsidP="00C80F82">
            <w:pPr>
              <w:rPr>
                <w:lang w:val="en-GB"/>
              </w:rPr>
            </w:pPr>
            <w:r>
              <w:rPr>
                <w:lang w:val="en-GB"/>
              </w:rPr>
              <w:t>Project employee VIPP</w:t>
            </w:r>
          </w:p>
        </w:tc>
      </w:tr>
      <w:tr w:rsidR="00C80F82" w14:paraId="4B280BEB" w14:textId="0142FFB2" w:rsidTr="00C80F82">
        <w:trPr>
          <w:trHeight w:val="307"/>
        </w:trPr>
        <w:tc>
          <w:tcPr>
            <w:tcW w:w="1445" w:type="dxa"/>
          </w:tcPr>
          <w:p w14:paraId="3150A6A9" w14:textId="750374F1" w:rsidR="00C80F82" w:rsidRPr="00C80F82" w:rsidRDefault="00C80F82" w:rsidP="00C80F82">
            <w:pPr>
              <w:rPr>
                <w:b/>
                <w:bCs/>
                <w:lang w:val="en-GB"/>
              </w:rPr>
            </w:pPr>
            <w:r w:rsidRPr="00C80F82">
              <w:rPr>
                <w:b/>
                <w:bCs/>
                <w:lang w:val="en-GB"/>
              </w:rPr>
              <w:t>VIPP 1.1</w:t>
            </w:r>
          </w:p>
        </w:tc>
        <w:tc>
          <w:tcPr>
            <w:tcW w:w="3625" w:type="dxa"/>
          </w:tcPr>
          <w:p w14:paraId="7E167EC0" w14:textId="58BD0CF5" w:rsidR="00C80F82" w:rsidRDefault="00C80F82" w:rsidP="00C80F82">
            <w:pPr>
              <w:rPr>
                <w:lang w:val="en-GB"/>
              </w:rPr>
            </w:pPr>
            <w:r>
              <w:rPr>
                <w:lang w:val="en-GB"/>
              </w:rPr>
              <w:t>Communication advisor</w:t>
            </w:r>
          </w:p>
        </w:tc>
        <w:tc>
          <w:tcPr>
            <w:tcW w:w="1417" w:type="dxa"/>
          </w:tcPr>
          <w:p w14:paraId="4C2077A1" w14:textId="11C2674F" w:rsidR="00C80F82" w:rsidRPr="00C80F82" w:rsidRDefault="00C80F82" w:rsidP="00C80F82">
            <w:pPr>
              <w:rPr>
                <w:b/>
                <w:bCs/>
                <w:lang w:val="en-GB"/>
              </w:rPr>
            </w:pPr>
            <w:r w:rsidRPr="00C80F82">
              <w:rPr>
                <w:b/>
                <w:bCs/>
                <w:lang w:val="en-GB"/>
              </w:rPr>
              <w:t>VIPP 8.1</w:t>
            </w:r>
          </w:p>
        </w:tc>
        <w:tc>
          <w:tcPr>
            <w:tcW w:w="3632" w:type="dxa"/>
          </w:tcPr>
          <w:p w14:paraId="02580C83" w14:textId="289122E8" w:rsidR="00C80F82" w:rsidRDefault="00C80F82" w:rsidP="00C80F82">
            <w:pPr>
              <w:rPr>
                <w:lang w:val="en-GB"/>
              </w:rPr>
            </w:pPr>
            <w:r>
              <w:rPr>
                <w:lang w:val="en-GB"/>
              </w:rPr>
              <w:t>Communication VIPP &amp; precursors</w:t>
            </w:r>
          </w:p>
        </w:tc>
      </w:tr>
      <w:tr w:rsidR="00C80F82" w14:paraId="35C1EFBC" w14:textId="06E49D97" w:rsidTr="00C80F82">
        <w:trPr>
          <w:trHeight w:val="307"/>
        </w:trPr>
        <w:tc>
          <w:tcPr>
            <w:tcW w:w="1445" w:type="dxa"/>
          </w:tcPr>
          <w:p w14:paraId="5A5E1D2C" w14:textId="67C6B31F" w:rsidR="00C80F82" w:rsidRPr="00C80F82" w:rsidRDefault="00C80F82" w:rsidP="00C80F82">
            <w:pPr>
              <w:rPr>
                <w:b/>
                <w:bCs/>
                <w:lang w:val="en-GB"/>
              </w:rPr>
            </w:pPr>
            <w:r w:rsidRPr="00C80F82">
              <w:rPr>
                <w:b/>
                <w:bCs/>
                <w:lang w:val="en-GB"/>
              </w:rPr>
              <w:t>VIPP 1.2</w:t>
            </w:r>
          </w:p>
        </w:tc>
        <w:tc>
          <w:tcPr>
            <w:tcW w:w="3625" w:type="dxa"/>
          </w:tcPr>
          <w:p w14:paraId="679202EA" w14:textId="330A24E8" w:rsidR="00C80F82" w:rsidRDefault="00C80F82" w:rsidP="00C80F82">
            <w:pPr>
              <w:rPr>
                <w:lang w:val="en-GB"/>
              </w:rPr>
            </w:pPr>
            <w:r>
              <w:rPr>
                <w:lang w:val="en-GB"/>
              </w:rPr>
              <w:t>Staff advisor</w:t>
            </w:r>
          </w:p>
        </w:tc>
        <w:tc>
          <w:tcPr>
            <w:tcW w:w="1417" w:type="dxa"/>
          </w:tcPr>
          <w:p w14:paraId="78EEA0DA" w14:textId="6A020728" w:rsidR="00C80F82" w:rsidRPr="00C80F82" w:rsidRDefault="00C80F82" w:rsidP="00C80F82">
            <w:pPr>
              <w:rPr>
                <w:b/>
                <w:bCs/>
                <w:lang w:val="en-GB"/>
              </w:rPr>
            </w:pPr>
            <w:r w:rsidRPr="00C80F82">
              <w:rPr>
                <w:b/>
                <w:bCs/>
                <w:lang w:val="en-GB"/>
              </w:rPr>
              <w:t>VIPP 8.2</w:t>
            </w:r>
          </w:p>
        </w:tc>
        <w:tc>
          <w:tcPr>
            <w:tcW w:w="3632" w:type="dxa"/>
          </w:tcPr>
          <w:p w14:paraId="0B7E57FA" w14:textId="3FB96327" w:rsidR="00C80F82" w:rsidRDefault="00C80F82" w:rsidP="00C80F82">
            <w:pPr>
              <w:rPr>
                <w:lang w:val="en-GB"/>
              </w:rPr>
            </w:pPr>
            <w:r>
              <w:rPr>
                <w:lang w:val="en-GB"/>
              </w:rPr>
              <w:t>Programme manager VIPP &amp; EHR</w:t>
            </w:r>
          </w:p>
        </w:tc>
      </w:tr>
      <w:tr w:rsidR="00C80F82" w14:paraId="4542E767" w14:textId="0901B9CF" w:rsidTr="00C80F82">
        <w:trPr>
          <w:trHeight w:val="307"/>
        </w:trPr>
        <w:tc>
          <w:tcPr>
            <w:tcW w:w="1445" w:type="dxa"/>
          </w:tcPr>
          <w:p w14:paraId="6C16CF9E" w14:textId="67CAFCCF" w:rsidR="00C80F82" w:rsidRPr="00C80F82" w:rsidRDefault="00C80F82" w:rsidP="00C80F82">
            <w:pPr>
              <w:rPr>
                <w:b/>
                <w:bCs/>
                <w:lang w:val="en-GB"/>
              </w:rPr>
            </w:pPr>
            <w:r w:rsidRPr="00C80F82">
              <w:rPr>
                <w:b/>
                <w:bCs/>
                <w:lang w:val="en-GB"/>
              </w:rPr>
              <w:t>VIPP 1.3</w:t>
            </w:r>
          </w:p>
        </w:tc>
        <w:tc>
          <w:tcPr>
            <w:tcW w:w="3625" w:type="dxa"/>
          </w:tcPr>
          <w:p w14:paraId="4227D5D0" w14:textId="36D38236" w:rsidR="00C80F82" w:rsidRDefault="00C80F82" w:rsidP="00C80F82">
            <w:pPr>
              <w:rPr>
                <w:lang w:val="en-GB"/>
              </w:rPr>
            </w:pPr>
            <w:r>
              <w:rPr>
                <w:lang w:val="en-GB"/>
              </w:rPr>
              <w:t>Patient</w:t>
            </w:r>
          </w:p>
        </w:tc>
        <w:tc>
          <w:tcPr>
            <w:tcW w:w="1417" w:type="dxa"/>
          </w:tcPr>
          <w:p w14:paraId="3F889149" w14:textId="6AD971FB" w:rsidR="00C80F82" w:rsidRPr="00C80F82" w:rsidRDefault="00C80F82" w:rsidP="00C80F82">
            <w:pPr>
              <w:rPr>
                <w:b/>
                <w:bCs/>
                <w:lang w:val="en-GB"/>
              </w:rPr>
            </w:pPr>
            <w:r w:rsidRPr="00C80F82">
              <w:rPr>
                <w:b/>
                <w:bCs/>
                <w:lang w:val="en-GB"/>
              </w:rPr>
              <w:t>VIPP 8.3</w:t>
            </w:r>
          </w:p>
        </w:tc>
        <w:tc>
          <w:tcPr>
            <w:tcW w:w="3632" w:type="dxa"/>
          </w:tcPr>
          <w:p w14:paraId="2241E61E" w14:textId="14DDE8C3" w:rsidR="00C80F82" w:rsidRDefault="00C80F82" w:rsidP="00C80F82">
            <w:pPr>
              <w:rPr>
                <w:lang w:val="en-GB"/>
              </w:rPr>
            </w:pPr>
            <w:r>
              <w:rPr>
                <w:lang w:val="en-GB"/>
              </w:rPr>
              <w:t>Client councillor</w:t>
            </w:r>
          </w:p>
        </w:tc>
      </w:tr>
      <w:tr w:rsidR="00C80F82" w14:paraId="7CF143F2" w14:textId="5525E090" w:rsidTr="00C80F82">
        <w:trPr>
          <w:trHeight w:val="321"/>
        </w:trPr>
        <w:tc>
          <w:tcPr>
            <w:tcW w:w="1445" w:type="dxa"/>
          </w:tcPr>
          <w:p w14:paraId="32B43B4D" w14:textId="0F6D826B" w:rsidR="00C80F82" w:rsidRPr="00C80F82" w:rsidRDefault="00C80F82" w:rsidP="00C80F82">
            <w:pPr>
              <w:rPr>
                <w:b/>
                <w:bCs/>
                <w:lang w:val="en-GB"/>
              </w:rPr>
            </w:pPr>
            <w:r w:rsidRPr="00C80F82">
              <w:rPr>
                <w:b/>
                <w:bCs/>
                <w:lang w:val="en-GB"/>
              </w:rPr>
              <w:t>VIPP 1.4</w:t>
            </w:r>
          </w:p>
        </w:tc>
        <w:tc>
          <w:tcPr>
            <w:tcW w:w="3625" w:type="dxa"/>
          </w:tcPr>
          <w:p w14:paraId="4753CD7E" w14:textId="018ADFC0" w:rsidR="00C80F82" w:rsidRDefault="00C80F82" w:rsidP="00C80F82">
            <w:pPr>
              <w:rPr>
                <w:lang w:val="en-GB"/>
              </w:rPr>
            </w:pPr>
            <w:r>
              <w:rPr>
                <w:lang w:val="en-GB"/>
              </w:rPr>
              <w:t>Client councillor</w:t>
            </w:r>
          </w:p>
        </w:tc>
        <w:tc>
          <w:tcPr>
            <w:tcW w:w="1417" w:type="dxa"/>
          </w:tcPr>
          <w:p w14:paraId="5DD6E38B" w14:textId="32F68BF7" w:rsidR="00C80F82" w:rsidRPr="00C80F82" w:rsidRDefault="00C80F82" w:rsidP="00C80F82">
            <w:pPr>
              <w:rPr>
                <w:b/>
                <w:bCs/>
                <w:lang w:val="en-GB"/>
              </w:rPr>
            </w:pPr>
            <w:r w:rsidRPr="00C80F82">
              <w:rPr>
                <w:b/>
                <w:bCs/>
                <w:lang w:val="en-GB"/>
              </w:rPr>
              <w:t>VIPP 8.4</w:t>
            </w:r>
          </w:p>
        </w:tc>
        <w:tc>
          <w:tcPr>
            <w:tcW w:w="3632" w:type="dxa"/>
          </w:tcPr>
          <w:p w14:paraId="2924E8FA" w14:textId="6AF4CF73" w:rsidR="00C80F82" w:rsidRDefault="00C80F82" w:rsidP="00C80F82">
            <w:pPr>
              <w:rPr>
                <w:lang w:val="en-GB"/>
              </w:rPr>
            </w:pPr>
            <w:r>
              <w:rPr>
                <w:lang w:val="en-GB"/>
              </w:rPr>
              <w:t>Staff advisor</w:t>
            </w:r>
          </w:p>
        </w:tc>
      </w:tr>
      <w:tr w:rsidR="00C80F82" w14:paraId="56795DE3" w14:textId="080A918B" w:rsidTr="00C80F82">
        <w:trPr>
          <w:trHeight w:val="307"/>
        </w:trPr>
        <w:tc>
          <w:tcPr>
            <w:tcW w:w="1445" w:type="dxa"/>
          </w:tcPr>
          <w:p w14:paraId="4EC89B6A" w14:textId="57E21E43" w:rsidR="00C80F82" w:rsidRPr="00C80F82" w:rsidRDefault="00C80F82" w:rsidP="00C80F82">
            <w:pPr>
              <w:rPr>
                <w:b/>
                <w:bCs/>
                <w:lang w:val="en-GB"/>
              </w:rPr>
            </w:pPr>
            <w:r w:rsidRPr="00C80F82">
              <w:rPr>
                <w:b/>
                <w:bCs/>
                <w:lang w:val="en-GB"/>
              </w:rPr>
              <w:t>VIPP 1.5</w:t>
            </w:r>
          </w:p>
        </w:tc>
        <w:tc>
          <w:tcPr>
            <w:tcW w:w="3625" w:type="dxa"/>
          </w:tcPr>
          <w:p w14:paraId="00FF1F22" w14:textId="776F6554" w:rsidR="00C80F82" w:rsidRDefault="00C80F82" w:rsidP="00C80F82">
            <w:pPr>
              <w:rPr>
                <w:lang w:val="en-GB"/>
              </w:rPr>
            </w:pPr>
            <w:r>
              <w:rPr>
                <w:lang w:val="en-GB"/>
              </w:rPr>
              <w:t>Client councillor</w:t>
            </w:r>
          </w:p>
        </w:tc>
        <w:tc>
          <w:tcPr>
            <w:tcW w:w="1417" w:type="dxa"/>
          </w:tcPr>
          <w:p w14:paraId="276A9B0D" w14:textId="37645E38" w:rsidR="00C80F82" w:rsidRPr="00C80F82" w:rsidRDefault="00C80F82" w:rsidP="00C80F82">
            <w:pPr>
              <w:rPr>
                <w:b/>
                <w:bCs/>
                <w:lang w:val="en-GB"/>
              </w:rPr>
            </w:pPr>
            <w:r w:rsidRPr="00C80F82">
              <w:rPr>
                <w:b/>
                <w:bCs/>
                <w:lang w:val="en-GB"/>
              </w:rPr>
              <w:t>VIPP 8.5</w:t>
            </w:r>
          </w:p>
        </w:tc>
        <w:tc>
          <w:tcPr>
            <w:tcW w:w="3632" w:type="dxa"/>
          </w:tcPr>
          <w:p w14:paraId="187E495B" w14:textId="4B26DDCC" w:rsidR="00C80F82" w:rsidRDefault="00C80F82" w:rsidP="00C80F82">
            <w:pPr>
              <w:rPr>
                <w:lang w:val="en-GB"/>
              </w:rPr>
            </w:pPr>
            <w:r>
              <w:rPr>
                <w:lang w:val="en-GB"/>
              </w:rPr>
              <w:t>Client councillor</w:t>
            </w:r>
          </w:p>
        </w:tc>
      </w:tr>
      <w:tr w:rsidR="00C80F82" w14:paraId="35328BBD" w14:textId="3FD0E2F4" w:rsidTr="00C80F82">
        <w:trPr>
          <w:trHeight w:val="307"/>
        </w:trPr>
        <w:tc>
          <w:tcPr>
            <w:tcW w:w="1445" w:type="dxa"/>
          </w:tcPr>
          <w:p w14:paraId="0913BD56" w14:textId="2E69CB58" w:rsidR="00C80F82" w:rsidRPr="00C80F82" w:rsidRDefault="00C80F82" w:rsidP="00C80F82">
            <w:pPr>
              <w:rPr>
                <w:b/>
                <w:bCs/>
                <w:lang w:val="en-GB"/>
              </w:rPr>
            </w:pPr>
            <w:r w:rsidRPr="00C80F82">
              <w:rPr>
                <w:b/>
                <w:bCs/>
                <w:lang w:val="en-GB"/>
              </w:rPr>
              <w:t>VIPP 1.6</w:t>
            </w:r>
          </w:p>
        </w:tc>
        <w:tc>
          <w:tcPr>
            <w:tcW w:w="3625" w:type="dxa"/>
          </w:tcPr>
          <w:p w14:paraId="555346FC" w14:textId="0563F263" w:rsidR="00C80F82" w:rsidRDefault="00C80F82" w:rsidP="00C80F82">
            <w:pPr>
              <w:rPr>
                <w:lang w:val="en-GB"/>
              </w:rPr>
            </w:pPr>
            <w:r>
              <w:rPr>
                <w:lang w:val="en-GB"/>
              </w:rPr>
              <w:t>Outpatient clinic employee</w:t>
            </w:r>
          </w:p>
        </w:tc>
        <w:tc>
          <w:tcPr>
            <w:tcW w:w="1417" w:type="dxa"/>
          </w:tcPr>
          <w:p w14:paraId="6DB9774F" w14:textId="207F5BDE" w:rsidR="00C80F82" w:rsidRPr="00C80F82" w:rsidRDefault="00C80F82" w:rsidP="00C80F82">
            <w:pPr>
              <w:rPr>
                <w:b/>
                <w:bCs/>
                <w:lang w:val="en-GB"/>
              </w:rPr>
            </w:pPr>
            <w:r w:rsidRPr="00C80F82">
              <w:rPr>
                <w:b/>
                <w:bCs/>
                <w:lang w:val="en-GB"/>
              </w:rPr>
              <w:t>VIPP 8.6</w:t>
            </w:r>
          </w:p>
        </w:tc>
        <w:tc>
          <w:tcPr>
            <w:tcW w:w="3632" w:type="dxa"/>
          </w:tcPr>
          <w:p w14:paraId="4B9F7BA3" w14:textId="70CD9C5F" w:rsidR="00C80F82" w:rsidRDefault="00C80F82" w:rsidP="00C80F82">
            <w:pPr>
              <w:rPr>
                <w:lang w:val="en-GB"/>
              </w:rPr>
            </w:pPr>
            <w:r>
              <w:rPr>
                <w:lang w:val="en-GB"/>
              </w:rPr>
              <w:t>Project officer collaboration</w:t>
            </w:r>
          </w:p>
        </w:tc>
      </w:tr>
      <w:tr w:rsidR="00C80F82" w14:paraId="08CCF059" w14:textId="4057039E" w:rsidTr="00C80F82">
        <w:trPr>
          <w:trHeight w:val="307"/>
        </w:trPr>
        <w:tc>
          <w:tcPr>
            <w:tcW w:w="1445" w:type="dxa"/>
          </w:tcPr>
          <w:p w14:paraId="6F279E02" w14:textId="0C7AB199" w:rsidR="00C80F82" w:rsidRPr="00C80F82" w:rsidRDefault="00C80F82" w:rsidP="00C80F82">
            <w:pPr>
              <w:rPr>
                <w:b/>
                <w:bCs/>
                <w:lang w:val="en-GB"/>
              </w:rPr>
            </w:pPr>
            <w:r w:rsidRPr="00C80F82">
              <w:rPr>
                <w:b/>
                <w:bCs/>
                <w:lang w:val="en-GB"/>
              </w:rPr>
              <w:t>VIPP 2.1</w:t>
            </w:r>
          </w:p>
        </w:tc>
        <w:tc>
          <w:tcPr>
            <w:tcW w:w="3625" w:type="dxa"/>
          </w:tcPr>
          <w:p w14:paraId="5DE5B673" w14:textId="5BC38F6C" w:rsidR="00C80F82" w:rsidRDefault="00C80F82" w:rsidP="00C80F82">
            <w:pPr>
              <w:rPr>
                <w:lang w:val="en-GB"/>
              </w:rPr>
            </w:pPr>
            <w:r>
              <w:rPr>
                <w:lang w:val="en-GB"/>
              </w:rPr>
              <w:t>Project employee eHealth</w:t>
            </w:r>
          </w:p>
        </w:tc>
        <w:tc>
          <w:tcPr>
            <w:tcW w:w="1417" w:type="dxa"/>
          </w:tcPr>
          <w:p w14:paraId="7EFFA1D6" w14:textId="50F41F1A" w:rsidR="00C80F82" w:rsidRPr="00C80F82" w:rsidRDefault="00C80F82" w:rsidP="00C80F82">
            <w:pPr>
              <w:rPr>
                <w:b/>
                <w:bCs/>
                <w:lang w:val="en-GB"/>
              </w:rPr>
            </w:pPr>
            <w:r w:rsidRPr="00C80F82">
              <w:rPr>
                <w:b/>
                <w:bCs/>
                <w:lang w:val="en-GB"/>
              </w:rPr>
              <w:t>VIPP 8.7</w:t>
            </w:r>
          </w:p>
        </w:tc>
        <w:tc>
          <w:tcPr>
            <w:tcW w:w="3632" w:type="dxa"/>
          </w:tcPr>
          <w:p w14:paraId="65329159" w14:textId="223B0AA9" w:rsidR="00C80F82" w:rsidRDefault="00C80F82" w:rsidP="00C80F82">
            <w:pPr>
              <w:rPr>
                <w:lang w:val="en-GB"/>
              </w:rPr>
            </w:pPr>
            <w:r>
              <w:rPr>
                <w:lang w:val="en-GB"/>
              </w:rPr>
              <w:t>Doctor</w:t>
            </w:r>
          </w:p>
        </w:tc>
      </w:tr>
      <w:tr w:rsidR="00C80F82" w14:paraId="3FE4AE8F" w14:textId="5FFEF213" w:rsidTr="00C80F82">
        <w:trPr>
          <w:trHeight w:val="321"/>
        </w:trPr>
        <w:tc>
          <w:tcPr>
            <w:tcW w:w="1445" w:type="dxa"/>
          </w:tcPr>
          <w:p w14:paraId="392D3790" w14:textId="6224C476" w:rsidR="00C80F82" w:rsidRPr="00C80F82" w:rsidRDefault="00C80F82" w:rsidP="00C80F82">
            <w:pPr>
              <w:rPr>
                <w:b/>
                <w:bCs/>
                <w:lang w:val="en-GB"/>
              </w:rPr>
            </w:pPr>
            <w:r w:rsidRPr="00C80F82">
              <w:rPr>
                <w:b/>
                <w:bCs/>
                <w:lang w:val="en-GB"/>
              </w:rPr>
              <w:t>VIPP 2.2</w:t>
            </w:r>
          </w:p>
        </w:tc>
        <w:tc>
          <w:tcPr>
            <w:tcW w:w="3625" w:type="dxa"/>
          </w:tcPr>
          <w:p w14:paraId="16B94FC1" w14:textId="3F50FD55" w:rsidR="00C80F82" w:rsidRDefault="00C80F82" w:rsidP="00C80F82">
            <w:pPr>
              <w:rPr>
                <w:lang w:val="en-GB"/>
              </w:rPr>
            </w:pPr>
            <w:r>
              <w:rPr>
                <w:lang w:val="en-GB"/>
              </w:rPr>
              <w:t>Employee digital media</w:t>
            </w:r>
          </w:p>
        </w:tc>
        <w:tc>
          <w:tcPr>
            <w:tcW w:w="1417" w:type="dxa"/>
          </w:tcPr>
          <w:p w14:paraId="379ACED7" w14:textId="4059FEEA" w:rsidR="00C80F82" w:rsidRPr="00C80F82" w:rsidRDefault="00C80F82" w:rsidP="00C80F82">
            <w:pPr>
              <w:rPr>
                <w:b/>
                <w:bCs/>
                <w:lang w:val="en-GB"/>
              </w:rPr>
            </w:pPr>
            <w:r w:rsidRPr="00C80F82">
              <w:rPr>
                <w:b/>
                <w:bCs/>
                <w:lang w:val="en-GB"/>
              </w:rPr>
              <w:t>VIPP 8.8</w:t>
            </w:r>
          </w:p>
        </w:tc>
        <w:tc>
          <w:tcPr>
            <w:tcW w:w="3632" w:type="dxa"/>
          </w:tcPr>
          <w:p w14:paraId="5299AE93" w14:textId="098E8791" w:rsidR="00C80F82" w:rsidRDefault="00C80F82" w:rsidP="00C80F82">
            <w:pPr>
              <w:rPr>
                <w:lang w:val="en-GB"/>
              </w:rPr>
            </w:pPr>
            <w:r>
              <w:rPr>
                <w:lang w:val="en-GB"/>
              </w:rPr>
              <w:t>Doctor &amp; CMIO</w:t>
            </w:r>
          </w:p>
        </w:tc>
      </w:tr>
      <w:tr w:rsidR="00C80F82" w14:paraId="422688B2" w14:textId="6CCB17EA" w:rsidTr="00C80F82">
        <w:trPr>
          <w:trHeight w:val="307"/>
        </w:trPr>
        <w:tc>
          <w:tcPr>
            <w:tcW w:w="1445" w:type="dxa"/>
          </w:tcPr>
          <w:p w14:paraId="43098CA0" w14:textId="0F60B033" w:rsidR="00C80F82" w:rsidRPr="00C80F82" w:rsidRDefault="00C80F82" w:rsidP="00C80F82">
            <w:pPr>
              <w:rPr>
                <w:b/>
                <w:bCs/>
                <w:lang w:val="en-GB"/>
              </w:rPr>
            </w:pPr>
            <w:r w:rsidRPr="00C80F82">
              <w:rPr>
                <w:b/>
                <w:bCs/>
                <w:lang w:val="en-GB"/>
              </w:rPr>
              <w:t>VIPP 2.3</w:t>
            </w:r>
          </w:p>
        </w:tc>
        <w:tc>
          <w:tcPr>
            <w:tcW w:w="3625" w:type="dxa"/>
          </w:tcPr>
          <w:p w14:paraId="6064A672" w14:textId="1DD0E7B7" w:rsidR="00C80F82" w:rsidRDefault="00C80F82" w:rsidP="00C80F82">
            <w:pPr>
              <w:rPr>
                <w:lang w:val="en-GB"/>
              </w:rPr>
            </w:pPr>
            <w:r>
              <w:rPr>
                <w:lang w:val="en-GB"/>
              </w:rPr>
              <w:t>Project officer VIPP</w:t>
            </w:r>
          </w:p>
        </w:tc>
        <w:tc>
          <w:tcPr>
            <w:tcW w:w="1417" w:type="dxa"/>
          </w:tcPr>
          <w:p w14:paraId="4C344911" w14:textId="57952203" w:rsidR="00C80F82" w:rsidRPr="00C80F82" w:rsidRDefault="00C80F82" w:rsidP="00C80F82">
            <w:pPr>
              <w:rPr>
                <w:b/>
                <w:bCs/>
                <w:lang w:val="en-GB"/>
              </w:rPr>
            </w:pPr>
            <w:r w:rsidRPr="00C80F82">
              <w:rPr>
                <w:b/>
                <w:bCs/>
                <w:lang w:val="en-GB"/>
              </w:rPr>
              <w:t>VIPP 8.9</w:t>
            </w:r>
          </w:p>
        </w:tc>
        <w:tc>
          <w:tcPr>
            <w:tcW w:w="3632" w:type="dxa"/>
          </w:tcPr>
          <w:p w14:paraId="46615608" w14:textId="47E4FB12" w:rsidR="00C80F82" w:rsidRDefault="00C80F82" w:rsidP="00C80F82">
            <w:pPr>
              <w:rPr>
                <w:lang w:val="en-GB"/>
              </w:rPr>
            </w:pPr>
            <w:r>
              <w:rPr>
                <w:lang w:val="en-GB"/>
              </w:rPr>
              <w:t>Pharmacist</w:t>
            </w:r>
          </w:p>
        </w:tc>
      </w:tr>
      <w:tr w:rsidR="00C80F82" w14:paraId="14A893C1" w14:textId="1F2E4BA6" w:rsidTr="00C80F82">
        <w:trPr>
          <w:trHeight w:val="307"/>
        </w:trPr>
        <w:tc>
          <w:tcPr>
            <w:tcW w:w="1445" w:type="dxa"/>
          </w:tcPr>
          <w:p w14:paraId="5B56D9AC" w14:textId="794D4132" w:rsidR="00C80F82" w:rsidRPr="00C80F82" w:rsidRDefault="00C80F82" w:rsidP="00C80F82">
            <w:pPr>
              <w:rPr>
                <w:b/>
                <w:bCs/>
                <w:lang w:val="en-GB"/>
              </w:rPr>
            </w:pPr>
            <w:r w:rsidRPr="00C80F82">
              <w:rPr>
                <w:b/>
                <w:bCs/>
                <w:lang w:val="en-GB"/>
              </w:rPr>
              <w:t>VIPP 3.1</w:t>
            </w:r>
          </w:p>
        </w:tc>
        <w:tc>
          <w:tcPr>
            <w:tcW w:w="3625" w:type="dxa"/>
          </w:tcPr>
          <w:p w14:paraId="2DE9807D" w14:textId="33DE845F" w:rsidR="00C80F82" w:rsidRDefault="00C80F82" w:rsidP="00C80F82">
            <w:pPr>
              <w:rPr>
                <w:lang w:val="en-GB"/>
              </w:rPr>
            </w:pPr>
            <w:r>
              <w:rPr>
                <w:lang w:val="en-GB"/>
              </w:rPr>
              <w:t>Programme manager VIPP</w:t>
            </w:r>
          </w:p>
        </w:tc>
        <w:tc>
          <w:tcPr>
            <w:tcW w:w="1417" w:type="dxa"/>
          </w:tcPr>
          <w:p w14:paraId="1C7FC3DD" w14:textId="0F46A01D" w:rsidR="00C80F82" w:rsidRPr="00C80F82" w:rsidRDefault="00C80F82" w:rsidP="00C80F82">
            <w:pPr>
              <w:rPr>
                <w:b/>
                <w:bCs/>
                <w:lang w:val="en-GB"/>
              </w:rPr>
            </w:pPr>
            <w:r w:rsidRPr="00C80F82">
              <w:rPr>
                <w:b/>
                <w:bCs/>
                <w:lang w:val="en-GB"/>
              </w:rPr>
              <w:t>VIPP 8.10</w:t>
            </w:r>
          </w:p>
        </w:tc>
        <w:tc>
          <w:tcPr>
            <w:tcW w:w="3632" w:type="dxa"/>
          </w:tcPr>
          <w:p w14:paraId="4E18D182" w14:textId="38A81BD8" w:rsidR="00C80F82" w:rsidRDefault="00C80F82" w:rsidP="00C80F82">
            <w:pPr>
              <w:rPr>
                <w:lang w:val="en-GB"/>
              </w:rPr>
            </w:pPr>
            <w:r>
              <w:rPr>
                <w:lang w:val="en-GB"/>
              </w:rPr>
              <w:t>Pharmacist</w:t>
            </w:r>
          </w:p>
        </w:tc>
      </w:tr>
      <w:tr w:rsidR="00C80F82" w14:paraId="18BE64C6" w14:textId="292A3687" w:rsidTr="00C80F82">
        <w:trPr>
          <w:trHeight w:val="307"/>
        </w:trPr>
        <w:tc>
          <w:tcPr>
            <w:tcW w:w="1445" w:type="dxa"/>
          </w:tcPr>
          <w:p w14:paraId="22390C96" w14:textId="221BB6E6" w:rsidR="00C80F82" w:rsidRPr="00C80F82" w:rsidRDefault="00C80F82" w:rsidP="00C80F82">
            <w:pPr>
              <w:rPr>
                <w:b/>
                <w:bCs/>
                <w:lang w:val="en-GB"/>
              </w:rPr>
            </w:pPr>
            <w:r w:rsidRPr="00C80F82">
              <w:rPr>
                <w:b/>
                <w:bCs/>
                <w:lang w:val="en-GB"/>
              </w:rPr>
              <w:t>VIPP 3.2</w:t>
            </w:r>
          </w:p>
        </w:tc>
        <w:tc>
          <w:tcPr>
            <w:tcW w:w="3625" w:type="dxa"/>
          </w:tcPr>
          <w:p w14:paraId="01A4962F" w14:textId="322A4592" w:rsidR="00C80F82" w:rsidRDefault="00C80F82" w:rsidP="00C80F82">
            <w:pPr>
              <w:rPr>
                <w:lang w:val="en-GB"/>
              </w:rPr>
            </w:pPr>
            <w:r>
              <w:rPr>
                <w:lang w:val="en-GB"/>
              </w:rPr>
              <w:t>Client councillor</w:t>
            </w:r>
          </w:p>
        </w:tc>
        <w:tc>
          <w:tcPr>
            <w:tcW w:w="1417" w:type="dxa"/>
          </w:tcPr>
          <w:p w14:paraId="7A359A53" w14:textId="237935E7" w:rsidR="00C80F82" w:rsidRPr="00C80F82" w:rsidRDefault="00C80F82" w:rsidP="00C80F82">
            <w:pPr>
              <w:rPr>
                <w:b/>
                <w:bCs/>
                <w:lang w:val="en-GB"/>
              </w:rPr>
            </w:pPr>
            <w:r w:rsidRPr="00C80F82">
              <w:rPr>
                <w:b/>
                <w:bCs/>
                <w:lang w:val="en-GB"/>
              </w:rPr>
              <w:t>VIPP 9.1</w:t>
            </w:r>
          </w:p>
        </w:tc>
        <w:tc>
          <w:tcPr>
            <w:tcW w:w="3632" w:type="dxa"/>
          </w:tcPr>
          <w:p w14:paraId="537AABC3" w14:textId="1D847094" w:rsidR="00C80F82" w:rsidRDefault="00C80F82" w:rsidP="00C80F82">
            <w:pPr>
              <w:rPr>
                <w:lang w:val="en-GB"/>
              </w:rPr>
            </w:pPr>
            <w:r>
              <w:rPr>
                <w:lang w:val="en-GB"/>
              </w:rPr>
              <w:t>Communication advisor</w:t>
            </w:r>
          </w:p>
        </w:tc>
      </w:tr>
      <w:tr w:rsidR="00C80F82" w14:paraId="6B4D01D4" w14:textId="241C4610" w:rsidTr="00C80F82">
        <w:trPr>
          <w:trHeight w:val="307"/>
        </w:trPr>
        <w:tc>
          <w:tcPr>
            <w:tcW w:w="1445" w:type="dxa"/>
          </w:tcPr>
          <w:p w14:paraId="5B2CC9FF" w14:textId="01F60652" w:rsidR="00C80F82" w:rsidRPr="00C80F82" w:rsidRDefault="00C80F82" w:rsidP="00C80F82">
            <w:pPr>
              <w:rPr>
                <w:b/>
                <w:bCs/>
                <w:lang w:val="en-GB"/>
              </w:rPr>
            </w:pPr>
            <w:r w:rsidRPr="00C80F82">
              <w:rPr>
                <w:b/>
                <w:bCs/>
                <w:lang w:val="en-GB"/>
              </w:rPr>
              <w:t>VIPP 3.3</w:t>
            </w:r>
          </w:p>
        </w:tc>
        <w:tc>
          <w:tcPr>
            <w:tcW w:w="3625" w:type="dxa"/>
          </w:tcPr>
          <w:p w14:paraId="604E1776" w14:textId="55C424F4" w:rsidR="00C80F82" w:rsidRDefault="00C80F82" w:rsidP="00C80F82">
            <w:pPr>
              <w:rPr>
                <w:lang w:val="en-GB"/>
              </w:rPr>
            </w:pPr>
            <w:r>
              <w:rPr>
                <w:lang w:val="en-GB"/>
              </w:rPr>
              <w:t>Functional management</w:t>
            </w:r>
          </w:p>
        </w:tc>
        <w:tc>
          <w:tcPr>
            <w:tcW w:w="1417" w:type="dxa"/>
          </w:tcPr>
          <w:p w14:paraId="26305546" w14:textId="7C15AFB0" w:rsidR="00C80F82" w:rsidRPr="00C80F82" w:rsidRDefault="00C80F82" w:rsidP="00C80F82">
            <w:pPr>
              <w:rPr>
                <w:b/>
                <w:bCs/>
                <w:lang w:val="en-GB"/>
              </w:rPr>
            </w:pPr>
            <w:r w:rsidRPr="00C80F82">
              <w:rPr>
                <w:b/>
                <w:bCs/>
                <w:lang w:val="en-GB"/>
              </w:rPr>
              <w:t>VIPP 9.2</w:t>
            </w:r>
          </w:p>
        </w:tc>
        <w:tc>
          <w:tcPr>
            <w:tcW w:w="3632" w:type="dxa"/>
          </w:tcPr>
          <w:p w14:paraId="6BB88EB4" w14:textId="024AE8EC" w:rsidR="00C80F82" w:rsidRDefault="00C80F82" w:rsidP="00C80F82">
            <w:pPr>
              <w:rPr>
                <w:lang w:val="en-GB"/>
              </w:rPr>
            </w:pPr>
            <w:r>
              <w:rPr>
                <w:lang w:val="en-GB"/>
              </w:rPr>
              <w:t>Patient</w:t>
            </w:r>
          </w:p>
        </w:tc>
      </w:tr>
      <w:tr w:rsidR="00C80F82" w14:paraId="7EBB03F2" w14:textId="224786C1" w:rsidTr="00C80F82">
        <w:trPr>
          <w:trHeight w:val="321"/>
        </w:trPr>
        <w:tc>
          <w:tcPr>
            <w:tcW w:w="1445" w:type="dxa"/>
          </w:tcPr>
          <w:p w14:paraId="044C0F6A" w14:textId="411D2247" w:rsidR="00C80F82" w:rsidRPr="00C80F82" w:rsidRDefault="00C80F82" w:rsidP="00C80F82">
            <w:pPr>
              <w:rPr>
                <w:b/>
                <w:bCs/>
                <w:lang w:val="en-GB"/>
              </w:rPr>
            </w:pPr>
            <w:r w:rsidRPr="00C80F82">
              <w:rPr>
                <w:b/>
                <w:bCs/>
                <w:lang w:val="en-GB"/>
              </w:rPr>
              <w:t>VIPP 3.4</w:t>
            </w:r>
          </w:p>
        </w:tc>
        <w:tc>
          <w:tcPr>
            <w:tcW w:w="3625" w:type="dxa"/>
          </w:tcPr>
          <w:p w14:paraId="74F81079" w14:textId="3541C05F" w:rsidR="00C80F82" w:rsidRDefault="00C80F82" w:rsidP="00C80F82">
            <w:pPr>
              <w:rPr>
                <w:lang w:val="en-GB"/>
              </w:rPr>
            </w:pPr>
            <w:r>
              <w:rPr>
                <w:lang w:val="en-GB"/>
              </w:rPr>
              <w:t>Project officer</w:t>
            </w:r>
          </w:p>
        </w:tc>
        <w:tc>
          <w:tcPr>
            <w:tcW w:w="1417" w:type="dxa"/>
          </w:tcPr>
          <w:p w14:paraId="7C8EDEFF" w14:textId="6701EBCB" w:rsidR="00C80F82" w:rsidRPr="00C80F82" w:rsidRDefault="00C80F82" w:rsidP="00C80F82">
            <w:pPr>
              <w:rPr>
                <w:b/>
                <w:bCs/>
                <w:lang w:val="en-GB"/>
              </w:rPr>
            </w:pPr>
            <w:r w:rsidRPr="00C80F82">
              <w:rPr>
                <w:b/>
                <w:bCs/>
                <w:lang w:val="en-GB"/>
              </w:rPr>
              <w:t>VIPP 9.3</w:t>
            </w:r>
          </w:p>
        </w:tc>
        <w:tc>
          <w:tcPr>
            <w:tcW w:w="3632" w:type="dxa"/>
          </w:tcPr>
          <w:p w14:paraId="2D095B3A" w14:textId="4B6A802D" w:rsidR="00C80F82" w:rsidRDefault="00C80F82" w:rsidP="00C80F82">
            <w:pPr>
              <w:rPr>
                <w:lang w:val="en-GB"/>
              </w:rPr>
            </w:pPr>
            <w:r>
              <w:rPr>
                <w:lang w:val="en-GB"/>
              </w:rPr>
              <w:t>Doctor &amp; CMIO</w:t>
            </w:r>
          </w:p>
        </w:tc>
      </w:tr>
      <w:tr w:rsidR="00C80F82" w14:paraId="2D342122" w14:textId="5AFD93FD" w:rsidTr="00C80F82">
        <w:trPr>
          <w:trHeight w:val="307"/>
        </w:trPr>
        <w:tc>
          <w:tcPr>
            <w:tcW w:w="1445" w:type="dxa"/>
          </w:tcPr>
          <w:p w14:paraId="67935C9D" w14:textId="5138F53F" w:rsidR="00C80F82" w:rsidRPr="00C80F82" w:rsidRDefault="00C80F82" w:rsidP="00C80F82">
            <w:pPr>
              <w:rPr>
                <w:b/>
                <w:bCs/>
                <w:lang w:val="en-GB"/>
              </w:rPr>
            </w:pPr>
            <w:r w:rsidRPr="00C80F82">
              <w:rPr>
                <w:b/>
                <w:bCs/>
                <w:lang w:val="en-GB"/>
              </w:rPr>
              <w:t>VIPP 3.5</w:t>
            </w:r>
          </w:p>
        </w:tc>
        <w:tc>
          <w:tcPr>
            <w:tcW w:w="3625" w:type="dxa"/>
          </w:tcPr>
          <w:p w14:paraId="1B54DD10" w14:textId="7AAF981B" w:rsidR="00C80F82" w:rsidRDefault="00C80F82" w:rsidP="00C80F82">
            <w:pPr>
              <w:rPr>
                <w:lang w:val="en-GB"/>
              </w:rPr>
            </w:pPr>
            <w:r>
              <w:rPr>
                <w:lang w:val="en-GB"/>
              </w:rPr>
              <w:t>Marketing &amp; communication advisor</w:t>
            </w:r>
          </w:p>
        </w:tc>
        <w:tc>
          <w:tcPr>
            <w:tcW w:w="1417" w:type="dxa"/>
          </w:tcPr>
          <w:p w14:paraId="7F95ED92" w14:textId="4FBFCA80" w:rsidR="00C80F82" w:rsidRPr="00C80F82" w:rsidRDefault="00C80F82" w:rsidP="00C80F82">
            <w:pPr>
              <w:rPr>
                <w:b/>
                <w:bCs/>
                <w:lang w:val="en-GB"/>
              </w:rPr>
            </w:pPr>
            <w:r w:rsidRPr="00C80F82">
              <w:rPr>
                <w:b/>
                <w:bCs/>
                <w:lang w:val="en-GB"/>
              </w:rPr>
              <w:t>VIPP 9.4</w:t>
            </w:r>
          </w:p>
        </w:tc>
        <w:tc>
          <w:tcPr>
            <w:tcW w:w="3632" w:type="dxa"/>
          </w:tcPr>
          <w:p w14:paraId="4D233B88" w14:textId="20D1FA8D" w:rsidR="00C80F82" w:rsidRDefault="00C80F82" w:rsidP="00C80F82">
            <w:pPr>
              <w:rPr>
                <w:lang w:val="en-GB"/>
              </w:rPr>
            </w:pPr>
            <w:r>
              <w:rPr>
                <w:lang w:val="en-GB"/>
              </w:rPr>
              <w:t>Programme manager eHealth &amp; VIPP</w:t>
            </w:r>
          </w:p>
        </w:tc>
      </w:tr>
      <w:tr w:rsidR="00C80F82" w14:paraId="07732B7D" w14:textId="5BAFBC74" w:rsidTr="00C80F82">
        <w:trPr>
          <w:trHeight w:val="307"/>
        </w:trPr>
        <w:tc>
          <w:tcPr>
            <w:tcW w:w="1445" w:type="dxa"/>
          </w:tcPr>
          <w:p w14:paraId="43E7E7C6" w14:textId="0923FBCA" w:rsidR="00C80F82" w:rsidRPr="00C80F82" w:rsidRDefault="00C80F82" w:rsidP="00C80F82">
            <w:pPr>
              <w:rPr>
                <w:b/>
                <w:bCs/>
                <w:lang w:val="en-GB"/>
              </w:rPr>
            </w:pPr>
            <w:r w:rsidRPr="00C80F82">
              <w:rPr>
                <w:b/>
                <w:bCs/>
                <w:lang w:val="en-GB"/>
              </w:rPr>
              <w:t>VIPP 3.6</w:t>
            </w:r>
          </w:p>
        </w:tc>
        <w:tc>
          <w:tcPr>
            <w:tcW w:w="3625" w:type="dxa"/>
          </w:tcPr>
          <w:p w14:paraId="32B36947" w14:textId="0402D9BE" w:rsidR="00C80F82" w:rsidRDefault="00C80F82" w:rsidP="00C80F82">
            <w:pPr>
              <w:rPr>
                <w:lang w:val="en-GB"/>
              </w:rPr>
            </w:pPr>
            <w:r>
              <w:rPr>
                <w:lang w:val="en-GB"/>
              </w:rPr>
              <w:t>Doctor</w:t>
            </w:r>
          </w:p>
        </w:tc>
        <w:tc>
          <w:tcPr>
            <w:tcW w:w="1417" w:type="dxa"/>
          </w:tcPr>
          <w:p w14:paraId="5589FAD1" w14:textId="0BC85EBB" w:rsidR="00C80F82" w:rsidRPr="00C80F82" w:rsidRDefault="00C80F82" w:rsidP="00C80F82">
            <w:pPr>
              <w:rPr>
                <w:b/>
                <w:bCs/>
                <w:lang w:val="en-GB"/>
              </w:rPr>
            </w:pPr>
            <w:r w:rsidRPr="00C80F82">
              <w:rPr>
                <w:b/>
                <w:bCs/>
                <w:lang w:val="en-GB"/>
              </w:rPr>
              <w:t>VIPP 9.5</w:t>
            </w:r>
          </w:p>
        </w:tc>
        <w:tc>
          <w:tcPr>
            <w:tcW w:w="3632" w:type="dxa"/>
          </w:tcPr>
          <w:p w14:paraId="7FDD8521" w14:textId="6FC7B3D0" w:rsidR="00C80F82" w:rsidRDefault="00C80F82" w:rsidP="00C80F82">
            <w:pPr>
              <w:rPr>
                <w:lang w:val="en-GB"/>
              </w:rPr>
            </w:pPr>
            <w:r>
              <w:rPr>
                <w:lang w:val="en-GB"/>
              </w:rPr>
              <w:t>Project officer ICT</w:t>
            </w:r>
          </w:p>
        </w:tc>
      </w:tr>
      <w:tr w:rsidR="00C80F82" w14:paraId="69370C09" w14:textId="70493EC4" w:rsidTr="00C80F82">
        <w:trPr>
          <w:trHeight w:val="307"/>
        </w:trPr>
        <w:tc>
          <w:tcPr>
            <w:tcW w:w="1445" w:type="dxa"/>
          </w:tcPr>
          <w:p w14:paraId="6858032B" w14:textId="4D501FEE" w:rsidR="00C80F82" w:rsidRPr="00C80F82" w:rsidRDefault="00C80F82" w:rsidP="00C80F82">
            <w:pPr>
              <w:rPr>
                <w:b/>
                <w:bCs/>
                <w:lang w:val="en-GB"/>
              </w:rPr>
            </w:pPr>
            <w:r w:rsidRPr="00C80F82">
              <w:rPr>
                <w:b/>
                <w:bCs/>
                <w:lang w:val="en-GB"/>
              </w:rPr>
              <w:t>VIPP 4.1</w:t>
            </w:r>
          </w:p>
        </w:tc>
        <w:tc>
          <w:tcPr>
            <w:tcW w:w="3625" w:type="dxa"/>
          </w:tcPr>
          <w:p w14:paraId="137E81A2" w14:textId="47AF2E93" w:rsidR="00C80F82" w:rsidRDefault="00C80F82" w:rsidP="00C80F82">
            <w:pPr>
              <w:rPr>
                <w:lang w:val="en-GB"/>
              </w:rPr>
            </w:pPr>
            <w:r>
              <w:rPr>
                <w:lang w:val="en-GB"/>
              </w:rPr>
              <w:t>Advisor functional management</w:t>
            </w:r>
          </w:p>
        </w:tc>
        <w:tc>
          <w:tcPr>
            <w:tcW w:w="1417" w:type="dxa"/>
          </w:tcPr>
          <w:p w14:paraId="163FB137" w14:textId="20E6D153" w:rsidR="00C80F82" w:rsidRPr="00C80F82" w:rsidRDefault="00C80F82" w:rsidP="00C80F82">
            <w:pPr>
              <w:rPr>
                <w:b/>
                <w:bCs/>
                <w:lang w:val="en-GB"/>
              </w:rPr>
            </w:pPr>
            <w:r w:rsidRPr="00C80F82">
              <w:rPr>
                <w:b/>
                <w:bCs/>
                <w:lang w:val="en-GB"/>
              </w:rPr>
              <w:t>VIPP 10.1</w:t>
            </w:r>
          </w:p>
        </w:tc>
        <w:tc>
          <w:tcPr>
            <w:tcW w:w="3632" w:type="dxa"/>
          </w:tcPr>
          <w:p w14:paraId="44F9E81A" w14:textId="4B15EE38" w:rsidR="00C80F82" w:rsidRDefault="00C80F82" w:rsidP="00C80F82">
            <w:pPr>
              <w:rPr>
                <w:lang w:val="en-GB"/>
              </w:rPr>
            </w:pPr>
            <w:r>
              <w:rPr>
                <w:lang w:val="en-GB"/>
              </w:rPr>
              <w:t>Information</w:t>
            </w:r>
            <w:r w:rsidR="0045223E">
              <w:rPr>
                <w:lang w:val="en-GB"/>
              </w:rPr>
              <w:t xml:space="preserve"> </w:t>
            </w:r>
            <w:r>
              <w:rPr>
                <w:lang w:val="en-GB"/>
              </w:rPr>
              <w:t xml:space="preserve">manager </w:t>
            </w:r>
            <w:r w:rsidRPr="0045223E">
              <w:rPr>
                <w:sz w:val="20"/>
                <w:szCs w:val="20"/>
                <w:lang w:val="en-GB"/>
              </w:rPr>
              <w:t xml:space="preserve">&amp; </w:t>
            </w:r>
            <w:r>
              <w:rPr>
                <w:lang w:val="en-GB"/>
              </w:rPr>
              <w:t>project officer</w:t>
            </w:r>
          </w:p>
        </w:tc>
      </w:tr>
      <w:tr w:rsidR="00C80F82" w14:paraId="4B1CE6E3" w14:textId="424A13DF" w:rsidTr="00C80F82">
        <w:trPr>
          <w:trHeight w:val="307"/>
        </w:trPr>
        <w:tc>
          <w:tcPr>
            <w:tcW w:w="1445" w:type="dxa"/>
          </w:tcPr>
          <w:p w14:paraId="1033DB89" w14:textId="7B50759D" w:rsidR="00C80F82" w:rsidRPr="00C80F82" w:rsidRDefault="00C80F82" w:rsidP="00C80F82">
            <w:pPr>
              <w:rPr>
                <w:b/>
                <w:bCs/>
                <w:lang w:val="en-GB"/>
              </w:rPr>
            </w:pPr>
            <w:r w:rsidRPr="00C80F82">
              <w:rPr>
                <w:b/>
                <w:bCs/>
                <w:lang w:val="en-GB"/>
              </w:rPr>
              <w:t>VIPP 4.2</w:t>
            </w:r>
          </w:p>
        </w:tc>
        <w:tc>
          <w:tcPr>
            <w:tcW w:w="3625" w:type="dxa"/>
          </w:tcPr>
          <w:p w14:paraId="3079C8E6" w14:textId="3EB16A59" w:rsidR="00C80F82" w:rsidRDefault="00C80F82" w:rsidP="00C80F82">
            <w:pPr>
              <w:rPr>
                <w:lang w:val="en-GB"/>
              </w:rPr>
            </w:pPr>
            <w:r>
              <w:rPr>
                <w:lang w:val="en-GB"/>
              </w:rPr>
              <w:t>Project officer portals</w:t>
            </w:r>
          </w:p>
        </w:tc>
        <w:tc>
          <w:tcPr>
            <w:tcW w:w="1417" w:type="dxa"/>
          </w:tcPr>
          <w:p w14:paraId="18FB4E04" w14:textId="51F92921" w:rsidR="00C80F82" w:rsidRPr="00C80F82" w:rsidRDefault="00C80F82" w:rsidP="00C80F82">
            <w:pPr>
              <w:rPr>
                <w:b/>
                <w:bCs/>
                <w:lang w:val="en-GB"/>
              </w:rPr>
            </w:pPr>
            <w:r w:rsidRPr="00C80F82">
              <w:rPr>
                <w:b/>
                <w:bCs/>
                <w:lang w:val="en-GB"/>
              </w:rPr>
              <w:t>VIPP 10.2</w:t>
            </w:r>
          </w:p>
        </w:tc>
        <w:tc>
          <w:tcPr>
            <w:tcW w:w="3632" w:type="dxa"/>
          </w:tcPr>
          <w:p w14:paraId="2EE93777" w14:textId="5DEBDA4F" w:rsidR="00C80F82" w:rsidRDefault="0045223E" w:rsidP="00C80F82">
            <w:pPr>
              <w:rPr>
                <w:lang w:val="en-GB"/>
              </w:rPr>
            </w:pPr>
            <w:r>
              <w:rPr>
                <w:lang w:val="en-GB"/>
              </w:rPr>
              <w:t>Communication employee</w:t>
            </w:r>
          </w:p>
        </w:tc>
      </w:tr>
      <w:tr w:rsidR="00C80F82" w14:paraId="4B4B8752" w14:textId="4401A7D2" w:rsidTr="00C80F82">
        <w:trPr>
          <w:trHeight w:val="321"/>
        </w:trPr>
        <w:tc>
          <w:tcPr>
            <w:tcW w:w="1445" w:type="dxa"/>
          </w:tcPr>
          <w:p w14:paraId="12E99D5A" w14:textId="1D901332" w:rsidR="00C80F82" w:rsidRPr="00C80F82" w:rsidRDefault="00C80F82" w:rsidP="00C80F82">
            <w:pPr>
              <w:rPr>
                <w:b/>
                <w:bCs/>
                <w:lang w:val="en-GB"/>
              </w:rPr>
            </w:pPr>
            <w:r w:rsidRPr="00C80F82">
              <w:rPr>
                <w:b/>
                <w:bCs/>
                <w:lang w:val="en-GB"/>
              </w:rPr>
              <w:t>VIPP 5.1</w:t>
            </w:r>
          </w:p>
        </w:tc>
        <w:tc>
          <w:tcPr>
            <w:tcW w:w="3625" w:type="dxa"/>
          </w:tcPr>
          <w:p w14:paraId="27463427" w14:textId="7A1B0AFC" w:rsidR="00C80F82" w:rsidRDefault="00C80F82" w:rsidP="00C80F82">
            <w:pPr>
              <w:rPr>
                <w:lang w:val="en-GB"/>
              </w:rPr>
            </w:pPr>
            <w:r>
              <w:rPr>
                <w:lang w:val="en-GB"/>
              </w:rPr>
              <w:t>Patient</w:t>
            </w:r>
          </w:p>
        </w:tc>
        <w:tc>
          <w:tcPr>
            <w:tcW w:w="1417" w:type="dxa"/>
          </w:tcPr>
          <w:p w14:paraId="42F95630" w14:textId="5EABB7DE" w:rsidR="00C80F82" w:rsidRPr="00C80F82" w:rsidRDefault="00C80F82" w:rsidP="00C80F82">
            <w:pPr>
              <w:rPr>
                <w:b/>
                <w:bCs/>
                <w:lang w:val="en-GB"/>
              </w:rPr>
            </w:pPr>
            <w:r w:rsidRPr="00C80F82">
              <w:rPr>
                <w:b/>
                <w:bCs/>
                <w:lang w:val="en-GB"/>
              </w:rPr>
              <w:t>VIPP 10.3</w:t>
            </w:r>
          </w:p>
        </w:tc>
        <w:tc>
          <w:tcPr>
            <w:tcW w:w="3632" w:type="dxa"/>
          </w:tcPr>
          <w:p w14:paraId="0E900A18" w14:textId="675B8936" w:rsidR="00C80F82" w:rsidRDefault="0045223E" w:rsidP="00C80F82">
            <w:pPr>
              <w:rPr>
                <w:lang w:val="en-GB"/>
              </w:rPr>
            </w:pPr>
            <w:r>
              <w:rPr>
                <w:lang w:val="en-GB"/>
              </w:rPr>
              <w:t>Patient</w:t>
            </w:r>
          </w:p>
        </w:tc>
      </w:tr>
      <w:tr w:rsidR="00C80F82" w14:paraId="79E79273" w14:textId="46DFF649" w:rsidTr="00C80F82">
        <w:trPr>
          <w:trHeight w:val="307"/>
        </w:trPr>
        <w:tc>
          <w:tcPr>
            <w:tcW w:w="1445" w:type="dxa"/>
          </w:tcPr>
          <w:p w14:paraId="4CB7DB4F" w14:textId="6B398A08" w:rsidR="00C80F82" w:rsidRPr="00C80F82" w:rsidRDefault="00C80F82" w:rsidP="00C80F82">
            <w:pPr>
              <w:rPr>
                <w:b/>
                <w:bCs/>
                <w:lang w:val="en-GB"/>
              </w:rPr>
            </w:pPr>
            <w:r w:rsidRPr="00C80F82">
              <w:rPr>
                <w:b/>
                <w:bCs/>
                <w:lang w:val="en-GB"/>
              </w:rPr>
              <w:t>VIPP 5.2</w:t>
            </w:r>
          </w:p>
        </w:tc>
        <w:tc>
          <w:tcPr>
            <w:tcW w:w="3625" w:type="dxa"/>
          </w:tcPr>
          <w:p w14:paraId="44653679" w14:textId="21BC9EAA" w:rsidR="00C80F82" w:rsidRDefault="00C80F82" w:rsidP="00C80F82">
            <w:pPr>
              <w:rPr>
                <w:lang w:val="en-GB"/>
              </w:rPr>
            </w:pPr>
            <w:r>
              <w:rPr>
                <w:lang w:val="en-GB"/>
              </w:rPr>
              <w:t>Legal policy officer</w:t>
            </w:r>
          </w:p>
        </w:tc>
        <w:tc>
          <w:tcPr>
            <w:tcW w:w="1417" w:type="dxa"/>
          </w:tcPr>
          <w:p w14:paraId="41E49C34" w14:textId="7CB9BA87" w:rsidR="00C80F82" w:rsidRPr="00C80F82" w:rsidRDefault="00C80F82" w:rsidP="00C80F82">
            <w:pPr>
              <w:rPr>
                <w:b/>
                <w:bCs/>
                <w:lang w:val="en-GB"/>
              </w:rPr>
            </w:pPr>
            <w:r w:rsidRPr="00C80F82">
              <w:rPr>
                <w:b/>
                <w:bCs/>
                <w:lang w:val="en-GB"/>
              </w:rPr>
              <w:t>VIPP 10.4</w:t>
            </w:r>
          </w:p>
        </w:tc>
        <w:tc>
          <w:tcPr>
            <w:tcW w:w="3632" w:type="dxa"/>
          </w:tcPr>
          <w:p w14:paraId="18F837DF" w14:textId="4632ECCF" w:rsidR="00C80F82" w:rsidRDefault="0045223E" w:rsidP="00C80F82">
            <w:pPr>
              <w:rPr>
                <w:lang w:val="en-GB"/>
              </w:rPr>
            </w:pPr>
            <w:r>
              <w:rPr>
                <w:lang w:val="en-GB"/>
              </w:rPr>
              <w:t>Client councillor</w:t>
            </w:r>
          </w:p>
        </w:tc>
      </w:tr>
      <w:tr w:rsidR="00C80F82" w14:paraId="5A62411C" w14:textId="05842854" w:rsidTr="00C80F82">
        <w:trPr>
          <w:trHeight w:val="307"/>
        </w:trPr>
        <w:tc>
          <w:tcPr>
            <w:tcW w:w="1445" w:type="dxa"/>
          </w:tcPr>
          <w:p w14:paraId="5AD58567" w14:textId="121F4698" w:rsidR="00C80F82" w:rsidRPr="00C80F82" w:rsidRDefault="00C80F82" w:rsidP="00C80F82">
            <w:pPr>
              <w:rPr>
                <w:b/>
                <w:bCs/>
                <w:lang w:val="en-GB"/>
              </w:rPr>
            </w:pPr>
            <w:r w:rsidRPr="00C80F82">
              <w:rPr>
                <w:b/>
                <w:bCs/>
                <w:lang w:val="en-GB"/>
              </w:rPr>
              <w:t>VIPP 5.3</w:t>
            </w:r>
          </w:p>
        </w:tc>
        <w:tc>
          <w:tcPr>
            <w:tcW w:w="3625" w:type="dxa"/>
          </w:tcPr>
          <w:p w14:paraId="4C6BB096" w14:textId="6BFB64EE" w:rsidR="00C80F82" w:rsidRDefault="00C80F82" w:rsidP="00C80F82">
            <w:pPr>
              <w:rPr>
                <w:lang w:val="en-GB"/>
              </w:rPr>
            </w:pPr>
            <w:r>
              <w:rPr>
                <w:lang w:val="en-GB"/>
              </w:rPr>
              <w:t>Functional management</w:t>
            </w:r>
          </w:p>
        </w:tc>
        <w:tc>
          <w:tcPr>
            <w:tcW w:w="1417" w:type="dxa"/>
          </w:tcPr>
          <w:p w14:paraId="68D0716F" w14:textId="7C35C90C" w:rsidR="00C80F82" w:rsidRPr="00C80F82" w:rsidRDefault="00C80F82" w:rsidP="00C80F82">
            <w:pPr>
              <w:rPr>
                <w:b/>
                <w:bCs/>
                <w:lang w:val="en-GB"/>
              </w:rPr>
            </w:pPr>
            <w:r w:rsidRPr="00C80F82">
              <w:rPr>
                <w:b/>
                <w:bCs/>
                <w:lang w:val="en-GB"/>
              </w:rPr>
              <w:t>VIPP 10.5</w:t>
            </w:r>
          </w:p>
        </w:tc>
        <w:tc>
          <w:tcPr>
            <w:tcW w:w="3632" w:type="dxa"/>
          </w:tcPr>
          <w:p w14:paraId="3A0BC87A" w14:textId="7F878681" w:rsidR="00C80F82" w:rsidRDefault="0045223E" w:rsidP="00C80F82">
            <w:pPr>
              <w:rPr>
                <w:lang w:val="en-GB"/>
              </w:rPr>
            </w:pPr>
            <w:r>
              <w:rPr>
                <w:lang w:val="en-GB"/>
              </w:rPr>
              <w:t>Patient</w:t>
            </w:r>
          </w:p>
        </w:tc>
      </w:tr>
      <w:tr w:rsidR="00C80F82" w14:paraId="70BACD96" w14:textId="7116BF5E" w:rsidTr="00C80F82">
        <w:trPr>
          <w:trHeight w:val="307"/>
        </w:trPr>
        <w:tc>
          <w:tcPr>
            <w:tcW w:w="1445" w:type="dxa"/>
          </w:tcPr>
          <w:p w14:paraId="2B12B3F2" w14:textId="0BD1D9EF" w:rsidR="00C80F82" w:rsidRPr="00C80F82" w:rsidRDefault="00C80F82" w:rsidP="00C80F82">
            <w:pPr>
              <w:rPr>
                <w:b/>
                <w:bCs/>
                <w:lang w:val="en-GB"/>
              </w:rPr>
            </w:pPr>
            <w:r w:rsidRPr="00C80F82">
              <w:rPr>
                <w:b/>
                <w:bCs/>
                <w:lang w:val="en-GB"/>
              </w:rPr>
              <w:t>VIPP 5.4</w:t>
            </w:r>
          </w:p>
        </w:tc>
        <w:tc>
          <w:tcPr>
            <w:tcW w:w="3625" w:type="dxa"/>
          </w:tcPr>
          <w:p w14:paraId="078E14A6" w14:textId="67B4F367" w:rsidR="00C80F82" w:rsidRDefault="00C80F82" w:rsidP="00C80F82">
            <w:pPr>
              <w:rPr>
                <w:lang w:val="en-GB"/>
              </w:rPr>
            </w:pPr>
            <w:r>
              <w:rPr>
                <w:lang w:val="en-GB"/>
              </w:rPr>
              <w:t>Manager care &amp; operations</w:t>
            </w:r>
          </w:p>
        </w:tc>
        <w:tc>
          <w:tcPr>
            <w:tcW w:w="1417" w:type="dxa"/>
          </w:tcPr>
          <w:p w14:paraId="542CD795" w14:textId="366EC2E0" w:rsidR="00C80F82" w:rsidRPr="00C80F82" w:rsidRDefault="00C80F82" w:rsidP="00C80F82">
            <w:pPr>
              <w:rPr>
                <w:b/>
                <w:bCs/>
                <w:lang w:val="en-GB"/>
              </w:rPr>
            </w:pPr>
            <w:r w:rsidRPr="00C80F82">
              <w:rPr>
                <w:b/>
                <w:bCs/>
                <w:lang w:val="en-GB"/>
              </w:rPr>
              <w:t>VIPP 10.6</w:t>
            </w:r>
          </w:p>
        </w:tc>
        <w:tc>
          <w:tcPr>
            <w:tcW w:w="3632" w:type="dxa"/>
          </w:tcPr>
          <w:p w14:paraId="10B86B31" w14:textId="1107177C" w:rsidR="00C80F82" w:rsidRDefault="0045223E" w:rsidP="00C80F82">
            <w:pPr>
              <w:rPr>
                <w:lang w:val="en-GB"/>
              </w:rPr>
            </w:pPr>
            <w:r>
              <w:rPr>
                <w:lang w:val="en-GB"/>
              </w:rPr>
              <w:t>Client councillor &amp; patient</w:t>
            </w:r>
          </w:p>
        </w:tc>
      </w:tr>
      <w:tr w:rsidR="00C80F82" w14:paraId="30B16989" w14:textId="0DF4FBF7" w:rsidTr="00C80F82">
        <w:trPr>
          <w:trHeight w:val="321"/>
        </w:trPr>
        <w:tc>
          <w:tcPr>
            <w:tcW w:w="1445" w:type="dxa"/>
          </w:tcPr>
          <w:p w14:paraId="3E40F537" w14:textId="57713E84" w:rsidR="00C80F82" w:rsidRPr="00C80F82" w:rsidRDefault="00C80F82" w:rsidP="00C80F82">
            <w:pPr>
              <w:rPr>
                <w:b/>
                <w:bCs/>
                <w:lang w:val="en-GB"/>
              </w:rPr>
            </w:pPr>
            <w:r w:rsidRPr="00C80F82">
              <w:rPr>
                <w:b/>
                <w:bCs/>
                <w:lang w:val="en-GB"/>
              </w:rPr>
              <w:t>VIPP 5.5</w:t>
            </w:r>
          </w:p>
        </w:tc>
        <w:tc>
          <w:tcPr>
            <w:tcW w:w="3625" w:type="dxa"/>
          </w:tcPr>
          <w:p w14:paraId="5D0C01E4" w14:textId="744132A4" w:rsidR="00C80F82" w:rsidRDefault="00C80F82" w:rsidP="00C80F82">
            <w:pPr>
              <w:rPr>
                <w:lang w:val="en-GB"/>
              </w:rPr>
            </w:pPr>
            <w:r>
              <w:rPr>
                <w:lang w:val="en-GB"/>
              </w:rPr>
              <w:t>Doctor’s assistant</w:t>
            </w:r>
          </w:p>
        </w:tc>
        <w:tc>
          <w:tcPr>
            <w:tcW w:w="1417" w:type="dxa"/>
          </w:tcPr>
          <w:p w14:paraId="4CDBC9A4" w14:textId="5236EC68" w:rsidR="00C80F82" w:rsidRPr="00C80F82" w:rsidRDefault="00C80F82" w:rsidP="00C80F82">
            <w:pPr>
              <w:rPr>
                <w:b/>
                <w:bCs/>
                <w:lang w:val="en-GB"/>
              </w:rPr>
            </w:pPr>
            <w:r w:rsidRPr="00C80F82">
              <w:rPr>
                <w:b/>
                <w:bCs/>
                <w:lang w:val="en-GB"/>
              </w:rPr>
              <w:t>VIPP 10.7</w:t>
            </w:r>
          </w:p>
        </w:tc>
        <w:tc>
          <w:tcPr>
            <w:tcW w:w="3632" w:type="dxa"/>
          </w:tcPr>
          <w:p w14:paraId="0A72D8F3" w14:textId="5D2EC41B" w:rsidR="00C80F82" w:rsidRDefault="0045223E" w:rsidP="00C80F82">
            <w:pPr>
              <w:rPr>
                <w:lang w:val="en-GB"/>
              </w:rPr>
            </w:pPr>
            <w:r>
              <w:rPr>
                <w:lang w:val="en-GB"/>
              </w:rPr>
              <w:t>Patient</w:t>
            </w:r>
          </w:p>
        </w:tc>
      </w:tr>
      <w:tr w:rsidR="00C80F82" w14:paraId="03E567FC" w14:textId="72F987D0" w:rsidTr="00C80F82">
        <w:trPr>
          <w:trHeight w:val="307"/>
        </w:trPr>
        <w:tc>
          <w:tcPr>
            <w:tcW w:w="1445" w:type="dxa"/>
          </w:tcPr>
          <w:p w14:paraId="2540FBBB" w14:textId="7D834FE6" w:rsidR="00C80F82" w:rsidRPr="00C80F82" w:rsidRDefault="00C80F82" w:rsidP="00C80F82">
            <w:pPr>
              <w:rPr>
                <w:b/>
                <w:bCs/>
                <w:lang w:val="en-GB"/>
              </w:rPr>
            </w:pPr>
            <w:r w:rsidRPr="00C80F82">
              <w:rPr>
                <w:b/>
                <w:bCs/>
                <w:lang w:val="en-GB"/>
              </w:rPr>
              <w:t>VIPP 5.6</w:t>
            </w:r>
          </w:p>
        </w:tc>
        <w:tc>
          <w:tcPr>
            <w:tcW w:w="3625" w:type="dxa"/>
          </w:tcPr>
          <w:p w14:paraId="4905F06D" w14:textId="1976ECC7" w:rsidR="00C80F82" w:rsidRDefault="00C80F82" w:rsidP="00C80F82">
            <w:pPr>
              <w:rPr>
                <w:lang w:val="en-GB"/>
              </w:rPr>
            </w:pPr>
            <w:r>
              <w:rPr>
                <w:lang w:val="en-GB"/>
              </w:rPr>
              <w:t>Pharmacist</w:t>
            </w:r>
          </w:p>
        </w:tc>
        <w:tc>
          <w:tcPr>
            <w:tcW w:w="1417" w:type="dxa"/>
          </w:tcPr>
          <w:p w14:paraId="1A82B168" w14:textId="2018343D" w:rsidR="00C80F82" w:rsidRPr="00C80F82" w:rsidRDefault="00C80F82" w:rsidP="00C80F82">
            <w:pPr>
              <w:rPr>
                <w:b/>
                <w:bCs/>
                <w:lang w:val="en-GB"/>
              </w:rPr>
            </w:pPr>
            <w:r w:rsidRPr="00C80F82">
              <w:rPr>
                <w:b/>
                <w:bCs/>
                <w:lang w:val="en-GB"/>
              </w:rPr>
              <w:t>VIPP 11.1</w:t>
            </w:r>
          </w:p>
        </w:tc>
        <w:tc>
          <w:tcPr>
            <w:tcW w:w="3632" w:type="dxa"/>
          </w:tcPr>
          <w:p w14:paraId="69DC36D6" w14:textId="6E59739B" w:rsidR="00C80F82" w:rsidRDefault="0045223E" w:rsidP="00C80F82">
            <w:pPr>
              <w:rPr>
                <w:lang w:val="en-GB"/>
              </w:rPr>
            </w:pPr>
            <w:r>
              <w:rPr>
                <w:lang w:val="en-GB"/>
              </w:rPr>
              <w:t>Project officer VIPP</w:t>
            </w:r>
          </w:p>
        </w:tc>
      </w:tr>
      <w:tr w:rsidR="00C80F82" w14:paraId="046CEF05" w14:textId="4030AEBF" w:rsidTr="00C80F82">
        <w:trPr>
          <w:trHeight w:val="307"/>
        </w:trPr>
        <w:tc>
          <w:tcPr>
            <w:tcW w:w="1445" w:type="dxa"/>
          </w:tcPr>
          <w:p w14:paraId="0F34CBAA" w14:textId="109349BB" w:rsidR="00C80F82" w:rsidRPr="00C80F82" w:rsidRDefault="00C80F82" w:rsidP="00C80F82">
            <w:pPr>
              <w:rPr>
                <w:b/>
                <w:bCs/>
                <w:lang w:val="en-GB"/>
              </w:rPr>
            </w:pPr>
            <w:r w:rsidRPr="00C80F82">
              <w:rPr>
                <w:b/>
                <w:bCs/>
                <w:lang w:val="en-GB"/>
              </w:rPr>
              <w:t>VIPP 6.1</w:t>
            </w:r>
          </w:p>
        </w:tc>
        <w:tc>
          <w:tcPr>
            <w:tcW w:w="3625" w:type="dxa"/>
          </w:tcPr>
          <w:p w14:paraId="7775FCB7" w14:textId="2AD7D518" w:rsidR="00C80F82" w:rsidRDefault="00C80F82" w:rsidP="00C80F82">
            <w:pPr>
              <w:rPr>
                <w:lang w:val="en-GB"/>
              </w:rPr>
            </w:pPr>
            <w:r>
              <w:rPr>
                <w:lang w:val="en-GB"/>
              </w:rPr>
              <w:t>Project officer</w:t>
            </w:r>
          </w:p>
        </w:tc>
        <w:tc>
          <w:tcPr>
            <w:tcW w:w="1417" w:type="dxa"/>
          </w:tcPr>
          <w:p w14:paraId="04016DB4" w14:textId="5B98D58F" w:rsidR="00C80F82" w:rsidRPr="00C80F82" w:rsidRDefault="00C80F82" w:rsidP="00C80F82">
            <w:pPr>
              <w:rPr>
                <w:b/>
                <w:bCs/>
                <w:lang w:val="en-GB"/>
              </w:rPr>
            </w:pPr>
            <w:r w:rsidRPr="00C80F82">
              <w:rPr>
                <w:b/>
                <w:bCs/>
                <w:lang w:val="en-GB"/>
              </w:rPr>
              <w:t>VIPP 11.2</w:t>
            </w:r>
          </w:p>
        </w:tc>
        <w:tc>
          <w:tcPr>
            <w:tcW w:w="3632" w:type="dxa"/>
          </w:tcPr>
          <w:p w14:paraId="26ACAAA8" w14:textId="64B617A9" w:rsidR="00C80F82" w:rsidRDefault="0045223E" w:rsidP="00C80F82">
            <w:pPr>
              <w:rPr>
                <w:lang w:val="en-GB"/>
              </w:rPr>
            </w:pPr>
            <w:r>
              <w:rPr>
                <w:lang w:val="en-GB"/>
              </w:rPr>
              <w:t>Communication advisor</w:t>
            </w:r>
          </w:p>
        </w:tc>
      </w:tr>
      <w:tr w:rsidR="00C80F82" w14:paraId="58CC2B3D" w14:textId="491BBDA1" w:rsidTr="00C80F82">
        <w:trPr>
          <w:trHeight w:val="307"/>
        </w:trPr>
        <w:tc>
          <w:tcPr>
            <w:tcW w:w="1445" w:type="dxa"/>
          </w:tcPr>
          <w:p w14:paraId="64EA92CF" w14:textId="57BBBBBC" w:rsidR="00C80F82" w:rsidRPr="00C80F82" w:rsidRDefault="00C80F82" w:rsidP="00C80F82">
            <w:pPr>
              <w:rPr>
                <w:b/>
                <w:bCs/>
                <w:lang w:val="en-GB"/>
              </w:rPr>
            </w:pPr>
            <w:r w:rsidRPr="00C80F82">
              <w:rPr>
                <w:b/>
                <w:bCs/>
                <w:lang w:val="en-GB"/>
              </w:rPr>
              <w:t>VIPP 6.2</w:t>
            </w:r>
          </w:p>
        </w:tc>
        <w:tc>
          <w:tcPr>
            <w:tcW w:w="3625" w:type="dxa"/>
          </w:tcPr>
          <w:p w14:paraId="160F01FE" w14:textId="0861D93F" w:rsidR="00C80F82" w:rsidRDefault="00C80F82" w:rsidP="00C80F82">
            <w:pPr>
              <w:rPr>
                <w:lang w:val="en-GB"/>
              </w:rPr>
            </w:pPr>
            <w:r>
              <w:rPr>
                <w:lang w:val="en-GB"/>
              </w:rPr>
              <w:t xml:space="preserve">Care manager </w:t>
            </w:r>
          </w:p>
        </w:tc>
        <w:tc>
          <w:tcPr>
            <w:tcW w:w="1417" w:type="dxa"/>
          </w:tcPr>
          <w:p w14:paraId="61FC2437" w14:textId="1145C125" w:rsidR="00C80F82" w:rsidRPr="00C80F82" w:rsidRDefault="00C80F82" w:rsidP="00C80F82">
            <w:pPr>
              <w:rPr>
                <w:b/>
                <w:bCs/>
                <w:lang w:val="en-GB"/>
              </w:rPr>
            </w:pPr>
            <w:r w:rsidRPr="00C80F82">
              <w:rPr>
                <w:b/>
                <w:bCs/>
                <w:lang w:val="en-GB"/>
              </w:rPr>
              <w:t>VIPP 11.3</w:t>
            </w:r>
          </w:p>
        </w:tc>
        <w:tc>
          <w:tcPr>
            <w:tcW w:w="3632" w:type="dxa"/>
          </w:tcPr>
          <w:p w14:paraId="4846B815" w14:textId="4464CDC0" w:rsidR="00C80F82" w:rsidRDefault="0045223E" w:rsidP="00C80F82">
            <w:pPr>
              <w:rPr>
                <w:lang w:val="en-GB"/>
              </w:rPr>
            </w:pPr>
            <w:r>
              <w:rPr>
                <w:lang w:val="en-GB"/>
              </w:rPr>
              <w:t>CMIO</w:t>
            </w:r>
          </w:p>
        </w:tc>
      </w:tr>
      <w:tr w:rsidR="00C80F82" w14:paraId="779B08DE" w14:textId="5C10DB5D" w:rsidTr="00C80F82">
        <w:trPr>
          <w:trHeight w:val="307"/>
        </w:trPr>
        <w:tc>
          <w:tcPr>
            <w:tcW w:w="1445" w:type="dxa"/>
          </w:tcPr>
          <w:p w14:paraId="057750A0" w14:textId="480F0742" w:rsidR="00C80F82" w:rsidRPr="00C80F82" w:rsidRDefault="00C80F82" w:rsidP="00C80F82">
            <w:pPr>
              <w:rPr>
                <w:b/>
                <w:bCs/>
                <w:lang w:val="en-GB"/>
              </w:rPr>
            </w:pPr>
            <w:r w:rsidRPr="00C80F82">
              <w:rPr>
                <w:b/>
                <w:bCs/>
                <w:lang w:val="en-GB"/>
              </w:rPr>
              <w:t>VIPP 6.3</w:t>
            </w:r>
          </w:p>
        </w:tc>
        <w:tc>
          <w:tcPr>
            <w:tcW w:w="3625" w:type="dxa"/>
          </w:tcPr>
          <w:p w14:paraId="4D5CAE64" w14:textId="2500366A" w:rsidR="00C80F82" w:rsidRDefault="00C80F82" w:rsidP="00C80F82">
            <w:pPr>
              <w:rPr>
                <w:lang w:val="en-GB"/>
              </w:rPr>
            </w:pPr>
            <w:r>
              <w:rPr>
                <w:lang w:val="en-GB"/>
              </w:rPr>
              <w:t>Care manager</w:t>
            </w:r>
          </w:p>
        </w:tc>
        <w:tc>
          <w:tcPr>
            <w:tcW w:w="1417" w:type="dxa"/>
          </w:tcPr>
          <w:p w14:paraId="07278DCE" w14:textId="3C0F5506" w:rsidR="00C80F82" w:rsidRPr="00C80F82" w:rsidRDefault="00C80F82" w:rsidP="00C80F82">
            <w:pPr>
              <w:rPr>
                <w:b/>
                <w:bCs/>
                <w:lang w:val="en-GB"/>
              </w:rPr>
            </w:pPr>
            <w:r w:rsidRPr="00C80F82">
              <w:rPr>
                <w:b/>
                <w:bCs/>
                <w:lang w:val="en-GB"/>
              </w:rPr>
              <w:t>VIPP 11.4</w:t>
            </w:r>
          </w:p>
        </w:tc>
        <w:tc>
          <w:tcPr>
            <w:tcW w:w="3632" w:type="dxa"/>
          </w:tcPr>
          <w:p w14:paraId="0DBC618B" w14:textId="2FA4D563" w:rsidR="00C80F82" w:rsidRDefault="0045223E" w:rsidP="00C80F82">
            <w:pPr>
              <w:rPr>
                <w:lang w:val="en-GB"/>
              </w:rPr>
            </w:pPr>
            <w:r>
              <w:rPr>
                <w:lang w:val="en-GB"/>
              </w:rPr>
              <w:t>Client councillor</w:t>
            </w:r>
          </w:p>
        </w:tc>
      </w:tr>
      <w:tr w:rsidR="00C80F82" w14:paraId="2EF6B4AC" w14:textId="0EF6D469" w:rsidTr="00C80F82">
        <w:trPr>
          <w:trHeight w:val="307"/>
        </w:trPr>
        <w:tc>
          <w:tcPr>
            <w:tcW w:w="1445" w:type="dxa"/>
          </w:tcPr>
          <w:p w14:paraId="4FE1D063" w14:textId="0390B590" w:rsidR="00C80F82" w:rsidRPr="00C80F82" w:rsidRDefault="00C80F82" w:rsidP="00C80F82">
            <w:pPr>
              <w:rPr>
                <w:b/>
                <w:bCs/>
                <w:lang w:val="en-GB"/>
              </w:rPr>
            </w:pPr>
            <w:r w:rsidRPr="00C80F82">
              <w:rPr>
                <w:b/>
                <w:bCs/>
                <w:lang w:val="en-GB"/>
              </w:rPr>
              <w:t>VIPP 6.4</w:t>
            </w:r>
          </w:p>
        </w:tc>
        <w:tc>
          <w:tcPr>
            <w:tcW w:w="3625" w:type="dxa"/>
          </w:tcPr>
          <w:p w14:paraId="25043F22" w14:textId="00680A30" w:rsidR="00C80F82" w:rsidRDefault="00C80F82" w:rsidP="00C80F82">
            <w:pPr>
              <w:rPr>
                <w:lang w:val="en-GB"/>
              </w:rPr>
            </w:pPr>
            <w:r>
              <w:rPr>
                <w:lang w:val="en-GB"/>
              </w:rPr>
              <w:t>Programme manager</w:t>
            </w:r>
          </w:p>
        </w:tc>
        <w:tc>
          <w:tcPr>
            <w:tcW w:w="1417" w:type="dxa"/>
          </w:tcPr>
          <w:p w14:paraId="7837F148" w14:textId="333DA3F1" w:rsidR="00C80F82" w:rsidRPr="00C80F82" w:rsidRDefault="00C80F82" w:rsidP="00C80F82">
            <w:pPr>
              <w:rPr>
                <w:b/>
                <w:bCs/>
                <w:lang w:val="en-GB"/>
              </w:rPr>
            </w:pPr>
            <w:r w:rsidRPr="00C80F82">
              <w:rPr>
                <w:b/>
                <w:bCs/>
                <w:lang w:val="en-GB"/>
              </w:rPr>
              <w:t>VIPP 12.1</w:t>
            </w:r>
          </w:p>
        </w:tc>
        <w:tc>
          <w:tcPr>
            <w:tcW w:w="3632" w:type="dxa"/>
          </w:tcPr>
          <w:p w14:paraId="2E3F7B7D" w14:textId="61707786" w:rsidR="00C80F82" w:rsidRDefault="0045223E" w:rsidP="00C80F82">
            <w:pPr>
              <w:rPr>
                <w:lang w:val="en-GB"/>
              </w:rPr>
            </w:pPr>
            <w:r>
              <w:rPr>
                <w:lang w:val="en-GB"/>
              </w:rPr>
              <w:t>Project officer patient portal</w:t>
            </w:r>
          </w:p>
        </w:tc>
      </w:tr>
      <w:bookmarkEnd w:id="100"/>
    </w:tbl>
    <w:p w14:paraId="7E32619A" w14:textId="1AB41134" w:rsidR="006D2DE2" w:rsidRDefault="006D2DE2">
      <w:pPr>
        <w:jc w:val="left"/>
        <w:rPr>
          <w:rFonts w:eastAsiaTheme="majorEastAsia" w:cstheme="majorBidi"/>
          <w:color w:val="365F91" w:themeColor="accent1" w:themeShade="BF"/>
          <w:sz w:val="32"/>
          <w:szCs w:val="32"/>
          <w:lang w:val="en-GB"/>
        </w:rPr>
      </w:pPr>
    </w:p>
    <w:sectPr w:rsidR="006D2DE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8CED40" w14:textId="77777777" w:rsidR="00AF1D6B" w:rsidRDefault="00AF1D6B" w:rsidP="00A77631">
      <w:pPr>
        <w:spacing w:after="0" w:line="240" w:lineRule="auto"/>
      </w:pPr>
      <w:r>
        <w:separator/>
      </w:r>
    </w:p>
  </w:endnote>
  <w:endnote w:type="continuationSeparator" w:id="0">
    <w:p w14:paraId="408080DF" w14:textId="77777777" w:rsidR="00AF1D6B" w:rsidRDefault="00AF1D6B" w:rsidP="00A77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5385836"/>
      <w:docPartObj>
        <w:docPartGallery w:val="Page Numbers (Bottom of Page)"/>
        <w:docPartUnique/>
      </w:docPartObj>
    </w:sdtPr>
    <w:sdtEndPr>
      <w:rPr>
        <w:noProof/>
      </w:rPr>
    </w:sdtEndPr>
    <w:sdtContent>
      <w:p w14:paraId="4A765692" w14:textId="485ACCCA" w:rsidR="00BC0C49" w:rsidRDefault="00AF1D6B">
        <w:pPr>
          <w:pStyle w:val="Footer"/>
          <w:jc w:val="right"/>
        </w:pPr>
      </w:p>
    </w:sdtContent>
  </w:sdt>
  <w:p w14:paraId="68C098C9" w14:textId="77777777" w:rsidR="00BC0C49" w:rsidRDefault="00BC0C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3665593"/>
      <w:docPartObj>
        <w:docPartGallery w:val="Page Numbers (Bottom of Page)"/>
        <w:docPartUnique/>
      </w:docPartObj>
    </w:sdtPr>
    <w:sdtEndPr>
      <w:rPr>
        <w:noProof/>
      </w:rPr>
    </w:sdtEndPr>
    <w:sdtContent>
      <w:p w14:paraId="3D86E483" w14:textId="77777777" w:rsidR="00BC0C49" w:rsidRDefault="00BC0C4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F94862" w14:textId="77777777" w:rsidR="00BC0C49" w:rsidRDefault="00BC0C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1F362C" w14:textId="77777777" w:rsidR="00AF1D6B" w:rsidRDefault="00AF1D6B" w:rsidP="00A77631">
      <w:pPr>
        <w:spacing w:after="0" w:line="240" w:lineRule="auto"/>
      </w:pPr>
      <w:r>
        <w:separator/>
      </w:r>
    </w:p>
  </w:footnote>
  <w:footnote w:type="continuationSeparator" w:id="0">
    <w:p w14:paraId="111446D2" w14:textId="77777777" w:rsidR="00AF1D6B" w:rsidRDefault="00AF1D6B" w:rsidP="00A77631">
      <w:pPr>
        <w:spacing w:after="0" w:line="240" w:lineRule="auto"/>
      </w:pPr>
      <w:r>
        <w:continuationSeparator/>
      </w:r>
    </w:p>
  </w:footnote>
  <w:footnote w:id="1">
    <w:p w14:paraId="54885D20" w14:textId="77777777" w:rsidR="00BC0C49" w:rsidRPr="005460C9" w:rsidRDefault="00BC0C49" w:rsidP="00A77631">
      <w:pPr>
        <w:pStyle w:val="FootnoteText"/>
        <w:rPr>
          <w:lang w:val="en-GB"/>
        </w:rPr>
      </w:pPr>
      <w:r>
        <w:rPr>
          <w:rStyle w:val="FootnoteReference"/>
        </w:rPr>
        <w:footnoteRef/>
      </w:r>
      <w:r w:rsidRPr="005460C9">
        <w:rPr>
          <w:lang w:val="en-GB"/>
        </w:rPr>
        <w:t xml:space="preserve"> </w:t>
      </w:r>
      <w:r>
        <w:rPr>
          <w:rFonts w:eastAsia="TimesNewRomanPSMT" w:cstheme="minorHAnsi"/>
          <w:i/>
          <w:iCs/>
          <w:lang w:val="en-GB"/>
        </w:rPr>
        <w:t>U</w:t>
      </w:r>
      <w:r w:rsidRPr="00C03B5E">
        <w:rPr>
          <w:rFonts w:eastAsia="TimesNewRomanPSMT" w:cstheme="minorHAnsi"/>
          <w:i/>
          <w:iCs/>
          <w:lang w:val="en-GB"/>
        </w:rPr>
        <w:t>itvoeringsbesluit wet toelating zorginstellingen</w:t>
      </w:r>
    </w:p>
  </w:footnote>
  <w:footnote w:id="2">
    <w:p w14:paraId="0E6967F3" w14:textId="4098C3E9" w:rsidR="00BC0C49" w:rsidRPr="00934247" w:rsidRDefault="00BC0C49" w:rsidP="00A77631">
      <w:pPr>
        <w:pStyle w:val="FootnoteText"/>
        <w:rPr>
          <w:lang w:val="en-GB"/>
        </w:rPr>
      </w:pPr>
      <w:r>
        <w:rPr>
          <w:rStyle w:val="FootnoteReference"/>
        </w:rPr>
        <w:footnoteRef/>
      </w:r>
      <w:r w:rsidRPr="00934247">
        <w:rPr>
          <w:lang w:val="en-GB"/>
        </w:rPr>
        <w:t xml:space="preserve"> </w:t>
      </w:r>
      <w:r>
        <w:rPr>
          <w:lang w:val="en-GB"/>
        </w:rPr>
        <w:t>‘</w:t>
      </w:r>
      <w:r w:rsidRPr="00934247">
        <w:rPr>
          <w:lang w:val="en-GB"/>
        </w:rPr>
        <w:t>Persoonlijke GezondheidsOmgeving</w:t>
      </w:r>
      <w:r>
        <w:rPr>
          <w:lang w:val="en-GB"/>
        </w:rPr>
        <w:t>’ (PGO)</w:t>
      </w:r>
      <w:r w:rsidRPr="00934247">
        <w:rPr>
          <w:lang w:val="en-GB"/>
        </w:rPr>
        <w:t xml:space="preserve"> is a</w:t>
      </w:r>
      <w:r>
        <w:rPr>
          <w:lang w:val="en-GB"/>
        </w:rPr>
        <w:t xml:space="preserve">n online environment </w:t>
      </w:r>
      <w:r w:rsidRPr="00934247">
        <w:rPr>
          <w:lang w:val="en-GB"/>
        </w:rPr>
        <w:t xml:space="preserve">where people can </w:t>
      </w:r>
      <w:r>
        <w:rPr>
          <w:lang w:val="en-GB"/>
        </w:rPr>
        <w:t xml:space="preserve">track, collect, </w:t>
      </w:r>
      <w:r>
        <w:rPr>
          <w:lang w:val="en-GB"/>
        </w:rPr>
        <w:t>manage and share</w:t>
      </w:r>
      <w:r w:rsidRPr="00934247">
        <w:rPr>
          <w:lang w:val="en-GB"/>
        </w:rPr>
        <w:t xml:space="preserve"> information on th</w:t>
      </w:r>
      <w:r>
        <w:rPr>
          <w:lang w:val="en-GB"/>
        </w:rPr>
        <w:t>eir health(care). (MedMij, n.d.)</w:t>
      </w:r>
    </w:p>
  </w:footnote>
  <w:footnote w:id="3">
    <w:p w14:paraId="7CC58826" w14:textId="74C7EF44" w:rsidR="00BC0C49" w:rsidRPr="001E1EF0" w:rsidRDefault="00BC0C49" w:rsidP="00A77631">
      <w:pPr>
        <w:pStyle w:val="FootnoteText"/>
        <w:rPr>
          <w:lang w:val="en-GB"/>
        </w:rPr>
      </w:pPr>
      <w:r>
        <w:rPr>
          <w:rStyle w:val="FootnoteReference"/>
        </w:rPr>
        <w:footnoteRef/>
      </w:r>
      <w:r w:rsidRPr="001E1EF0">
        <w:rPr>
          <w:lang w:val="en-GB"/>
        </w:rPr>
        <w:t xml:space="preserve"> </w:t>
      </w:r>
      <w:r>
        <w:rPr>
          <w:lang w:val="en-GB"/>
        </w:rPr>
        <w:t>‘</w:t>
      </w:r>
      <w:r w:rsidRPr="001E1EF0">
        <w:rPr>
          <w:lang w:val="en-GB"/>
        </w:rPr>
        <w:t>MedMij</w:t>
      </w:r>
      <w:r>
        <w:rPr>
          <w:lang w:val="en-GB"/>
        </w:rPr>
        <w:t>’</w:t>
      </w:r>
      <w:r w:rsidRPr="001E1EF0">
        <w:rPr>
          <w:lang w:val="en-GB"/>
        </w:rPr>
        <w:t xml:space="preserve"> is the </w:t>
      </w:r>
      <w:r>
        <w:rPr>
          <w:lang w:val="en-GB"/>
        </w:rPr>
        <w:t xml:space="preserve">Dutch </w:t>
      </w:r>
      <w:r w:rsidRPr="001E1EF0">
        <w:rPr>
          <w:lang w:val="en-GB"/>
        </w:rPr>
        <w:t>standard for t</w:t>
      </w:r>
      <w:r>
        <w:rPr>
          <w:lang w:val="en-GB"/>
        </w:rPr>
        <w:t>he safe exchange of medical data between patients and healthcare professionals via PGO (MedMij, n.d.)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D4347"/>
    <w:multiLevelType w:val="hybridMultilevel"/>
    <w:tmpl w:val="5A62EBF4"/>
    <w:lvl w:ilvl="0" w:tplc="EFC2962A">
      <w:start w:val="1"/>
      <w:numFmt w:val="bullet"/>
      <w:lvlText w:val="-"/>
      <w:lvlJc w:val="left"/>
      <w:pPr>
        <w:ind w:left="1068" w:hanging="360"/>
      </w:pPr>
      <w:rPr>
        <w:rFonts w:ascii="Calibri" w:eastAsiaTheme="minorHAnsi"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15:restartNumberingAfterBreak="0">
    <w:nsid w:val="17084022"/>
    <w:multiLevelType w:val="hybridMultilevel"/>
    <w:tmpl w:val="4180276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BE1333F"/>
    <w:multiLevelType w:val="hybridMultilevel"/>
    <w:tmpl w:val="7248B6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BE764C2"/>
    <w:multiLevelType w:val="hybridMultilevel"/>
    <w:tmpl w:val="07A234A8"/>
    <w:lvl w:ilvl="0" w:tplc="5F7A407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CE87CBE"/>
    <w:multiLevelType w:val="hybridMultilevel"/>
    <w:tmpl w:val="105030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6964619C"/>
    <w:multiLevelType w:val="hybridMultilevel"/>
    <w:tmpl w:val="3C7858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6F0437B4"/>
    <w:multiLevelType w:val="hybridMultilevel"/>
    <w:tmpl w:val="5BCE4AD6"/>
    <w:lvl w:ilvl="0" w:tplc="5FCED350">
      <w:start w:val="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0"/>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A77631"/>
    <w:rsid w:val="00005E63"/>
    <w:rsid w:val="00014DD3"/>
    <w:rsid w:val="00056FDB"/>
    <w:rsid w:val="00063859"/>
    <w:rsid w:val="000657D9"/>
    <w:rsid w:val="000A1531"/>
    <w:rsid w:val="000A416A"/>
    <w:rsid w:val="000C00AE"/>
    <w:rsid w:val="000C0887"/>
    <w:rsid w:val="000C2437"/>
    <w:rsid w:val="000C2B36"/>
    <w:rsid w:val="000C544E"/>
    <w:rsid w:val="000C7483"/>
    <w:rsid w:val="00105AA3"/>
    <w:rsid w:val="0011264D"/>
    <w:rsid w:val="00136FB9"/>
    <w:rsid w:val="00140A3C"/>
    <w:rsid w:val="00141072"/>
    <w:rsid w:val="00152A60"/>
    <w:rsid w:val="00152FF3"/>
    <w:rsid w:val="001703A2"/>
    <w:rsid w:val="00171BE9"/>
    <w:rsid w:val="00173621"/>
    <w:rsid w:val="00192D59"/>
    <w:rsid w:val="00197FD7"/>
    <w:rsid w:val="001B2278"/>
    <w:rsid w:val="001D173E"/>
    <w:rsid w:val="001F3048"/>
    <w:rsid w:val="00204190"/>
    <w:rsid w:val="00263CBF"/>
    <w:rsid w:val="002B1395"/>
    <w:rsid w:val="002E2F4D"/>
    <w:rsid w:val="002F2A59"/>
    <w:rsid w:val="002F5724"/>
    <w:rsid w:val="003238C7"/>
    <w:rsid w:val="00325A9E"/>
    <w:rsid w:val="00325FC3"/>
    <w:rsid w:val="0034462F"/>
    <w:rsid w:val="003508C8"/>
    <w:rsid w:val="00360E1A"/>
    <w:rsid w:val="003B045F"/>
    <w:rsid w:val="003C074E"/>
    <w:rsid w:val="003D0D9D"/>
    <w:rsid w:val="00402E4A"/>
    <w:rsid w:val="00415D9F"/>
    <w:rsid w:val="00437F7A"/>
    <w:rsid w:val="0044215B"/>
    <w:rsid w:val="0045223E"/>
    <w:rsid w:val="00455A00"/>
    <w:rsid w:val="004649DA"/>
    <w:rsid w:val="00492ADA"/>
    <w:rsid w:val="004939BE"/>
    <w:rsid w:val="004A6A19"/>
    <w:rsid w:val="004C0B84"/>
    <w:rsid w:val="004C71A0"/>
    <w:rsid w:val="004E3A19"/>
    <w:rsid w:val="004E613E"/>
    <w:rsid w:val="004E6F44"/>
    <w:rsid w:val="00500472"/>
    <w:rsid w:val="00505E41"/>
    <w:rsid w:val="00512255"/>
    <w:rsid w:val="00513390"/>
    <w:rsid w:val="005157B3"/>
    <w:rsid w:val="00516EF6"/>
    <w:rsid w:val="005235DA"/>
    <w:rsid w:val="0053576D"/>
    <w:rsid w:val="00544040"/>
    <w:rsid w:val="00575414"/>
    <w:rsid w:val="0058552C"/>
    <w:rsid w:val="005949F6"/>
    <w:rsid w:val="005B5332"/>
    <w:rsid w:val="005C0866"/>
    <w:rsid w:val="005C33E3"/>
    <w:rsid w:val="005C585E"/>
    <w:rsid w:val="005D19F0"/>
    <w:rsid w:val="005E0413"/>
    <w:rsid w:val="005F615C"/>
    <w:rsid w:val="00622E76"/>
    <w:rsid w:val="006507A1"/>
    <w:rsid w:val="00652D75"/>
    <w:rsid w:val="00675024"/>
    <w:rsid w:val="00675688"/>
    <w:rsid w:val="006839D0"/>
    <w:rsid w:val="00685CBA"/>
    <w:rsid w:val="006B3619"/>
    <w:rsid w:val="006D0365"/>
    <w:rsid w:val="006D1CD2"/>
    <w:rsid w:val="006D2DE2"/>
    <w:rsid w:val="006D46B5"/>
    <w:rsid w:val="006E5EB3"/>
    <w:rsid w:val="006F1420"/>
    <w:rsid w:val="007112E6"/>
    <w:rsid w:val="00711E0E"/>
    <w:rsid w:val="00765A6F"/>
    <w:rsid w:val="007822D9"/>
    <w:rsid w:val="0078532A"/>
    <w:rsid w:val="007904BC"/>
    <w:rsid w:val="0079050F"/>
    <w:rsid w:val="00796E91"/>
    <w:rsid w:val="007A5047"/>
    <w:rsid w:val="007B135C"/>
    <w:rsid w:val="007C1FE7"/>
    <w:rsid w:val="007C580A"/>
    <w:rsid w:val="007C5F8A"/>
    <w:rsid w:val="007D10DF"/>
    <w:rsid w:val="007D19F9"/>
    <w:rsid w:val="007E4E8C"/>
    <w:rsid w:val="007F418A"/>
    <w:rsid w:val="00805EB1"/>
    <w:rsid w:val="0082621B"/>
    <w:rsid w:val="00845ECB"/>
    <w:rsid w:val="008473CB"/>
    <w:rsid w:val="008566CF"/>
    <w:rsid w:val="008C73BF"/>
    <w:rsid w:val="008F6799"/>
    <w:rsid w:val="00907358"/>
    <w:rsid w:val="00917091"/>
    <w:rsid w:val="00923E7C"/>
    <w:rsid w:val="0093412E"/>
    <w:rsid w:val="009441A3"/>
    <w:rsid w:val="00963F9B"/>
    <w:rsid w:val="009A04F3"/>
    <w:rsid w:val="009B701C"/>
    <w:rsid w:val="009F1693"/>
    <w:rsid w:val="009F41E9"/>
    <w:rsid w:val="00A02C2C"/>
    <w:rsid w:val="00A02FB7"/>
    <w:rsid w:val="00A11549"/>
    <w:rsid w:val="00A4414F"/>
    <w:rsid w:val="00A45574"/>
    <w:rsid w:val="00A53A00"/>
    <w:rsid w:val="00A62518"/>
    <w:rsid w:val="00A6602D"/>
    <w:rsid w:val="00A71B11"/>
    <w:rsid w:val="00A73A02"/>
    <w:rsid w:val="00A77631"/>
    <w:rsid w:val="00A870E5"/>
    <w:rsid w:val="00A87129"/>
    <w:rsid w:val="00AA6A1E"/>
    <w:rsid w:val="00AA6A42"/>
    <w:rsid w:val="00AB24C9"/>
    <w:rsid w:val="00AB4786"/>
    <w:rsid w:val="00AC0063"/>
    <w:rsid w:val="00AD1741"/>
    <w:rsid w:val="00AF1D6B"/>
    <w:rsid w:val="00AF54AF"/>
    <w:rsid w:val="00B1318F"/>
    <w:rsid w:val="00B21FB6"/>
    <w:rsid w:val="00B25C23"/>
    <w:rsid w:val="00B31F66"/>
    <w:rsid w:val="00B458EC"/>
    <w:rsid w:val="00B47B26"/>
    <w:rsid w:val="00B60CB5"/>
    <w:rsid w:val="00B64402"/>
    <w:rsid w:val="00B9378A"/>
    <w:rsid w:val="00BB5FE8"/>
    <w:rsid w:val="00BC0C49"/>
    <w:rsid w:val="00BF76C3"/>
    <w:rsid w:val="00C17868"/>
    <w:rsid w:val="00C272EC"/>
    <w:rsid w:val="00C3348C"/>
    <w:rsid w:val="00C42229"/>
    <w:rsid w:val="00C509B5"/>
    <w:rsid w:val="00C66388"/>
    <w:rsid w:val="00C80F82"/>
    <w:rsid w:val="00CA612D"/>
    <w:rsid w:val="00CB6BD5"/>
    <w:rsid w:val="00CC48ED"/>
    <w:rsid w:val="00CD3561"/>
    <w:rsid w:val="00CF1CBE"/>
    <w:rsid w:val="00CF336C"/>
    <w:rsid w:val="00CF5F8C"/>
    <w:rsid w:val="00D40F4F"/>
    <w:rsid w:val="00D52B27"/>
    <w:rsid w:val="00D54433"/>
    <w:rsid w:val="00D70BA2"/>
    <w:rsid w:val="00D77E9B"/>
    <w:rsid w:val="00D86DB4"/>
    <w:rsid w:val="00DA607F"/>
    <w:rsid w:val="00DC5BDD"/>
    <w:rsid w:val="00DF50B7"/>
    <w:rsid w:val="00DF604F"/>
    <w:rsid w:val="00E1345D"/>
    <w:rsid w:val="00E17A9F"/>
    <w:rsid w:val="00E20E7E"/>
    <w:rsid w:val="00E54D4C"/>
    <w:rsid w:val="00E6058E"/>
    <w:rsid w:val="00E65E5E"/>
    <w:rsid w:val="00E77FB9"/>
    <w:rsid w:val="00E82E90"/>
    <w:rsid w:val="00EC36C4"/>
    <w:rsid w:val="00EC6D91"/>
    <w:rsid w:val="00ED4791"/>
    <w:rsid w:val="00EE7AE8"/>
    <w:rsid w:val="00F30827"/>
    <w:rsid w:val="00F479CB"/>
    <w:rsid w:val="00F72A61"/>
    <w:rsid w:val="00FA7135"/>
    <w:rsid w:val="00FB19FF"/>
    <w:rsid w:val="00FB1C9A"/>
    <w:rsid w:val="00FC6A96"/>
    <w:rsid w:val="00FD6FF6"/>
    <w:rsid w:val="00FE0ED6"/>
    <w:rsid w:val="00FE7566"/>
    <w:rsid w:val="00FF583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6FFA0A"/>
  <w15:chartTrackingRefBased/>
  <w15:docId w15:val="{290E9B70-8A81-4634-B3AA-8DC100B17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631"/>
    <w:pPr>
      <w:jc w:val="both"/>
    </w:pPr>
  </w:style>
  <w:style w:type="paragraph" w:styleId="Heading1">
    <w:name w:val="heading 1"/>
    <w:basedOn w:val="Normal"/>
    <w:next w:val="Normal"/>
    <w:link w:val="Heading1Char"/>
    <w:uiPriority w:val="9"/>
    <w:qFormat/>
    <w:rsid w:val="00A6602D"/>
    <w:pPr>
      <w:keepNext/>
      <w:keepLines/>
      <w:spacing w:before="240" w:after="0"/>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A77631"/>
    <w:pPr>
      <w:keepNext/>
      <w:keepLines/>
      <w:spacing w:before="40" w:after="0"/>
      <w:outlineLvl w:val="1"/>
    </w:pPr>
    <w:rPr>
      <w:rFonts w:eastAsiaTheme="majorEastAsia" w:cstheme="majorBidi"/>
      <w:color w:val="365F91" w:themeColor="accent1" w:themeShade="BF"/>
      <w:sz w:val="28"/>
      <w:szCs w:val="26"/>
    </w:rPr>
  </w:style>
  <w:style w:type="paragraph" w:styleId="Heading3">
    <w:name w:val="heading 3"/>
    <w:basedOn w:val="Normal"/>
    <w:next w:val="Normal"/>
    <w:link w:val="Heading3Char"/>
    <w:uiPriority w:val="9"/>
    <w:unhideWhenUsed/>
    <w:qFormat/>
    <w:rsid w:val="00A77631"/>
    <w:pPr>
      <w:keepNext/>
      <w:keepLines/>
      <w:spacing w:before="40" w:after="0"/>
      <w:outlineLvl w:val="2"/>
    </w:pPr>
    <w:rPr>
      <w:rFonts w:eastAsiaTheme="majorEastAsia"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77631"/>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A77631"/>
    <w:rPr>
      <w:rFonts w:eastAsiaTheme="majorEastAsia" w:cstheme="majorBidi"/>
      <w:spacing w:val="-10"/>
      <w:kern w:val="28"/>
      <w:sz w:val="56"/>
      <w:szCs w:val="56"/>
    </w:rPr>
  </w:style>
  <w:style w:type="paragraph" w:styleId="Subtitle">
    <w:name w:val="Subtitle"/>
    <w:basedOn w:val="Normal"/>
    <w:next w:val="Normal"/>
    <w:link w:val="SubtitleChar"/>
    <w:uiPriority w:val="11"/>
    <w:qFormat/>
    <w:rsid w:val="00A77631"/>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77631"/>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A6602D"/>
    <w:rPr>
      <w:rFonts w:eastAsiaTheme="majorEastAsia" w:cstheme="majorBidi"/>
      <w:color w:val="365F91" w:themeColor="accent1" w:themeShade="BF"/>
      <w:sz w:val="32"/>
      <w:szCs w:val="32"/>
    </w:rPr>
  </w:style>
  <w:style w:type="paragraph" w:styleId="TOCHeading">
    <w:name w:val="TOC Heading"/>
    <w:basedOn w:val="Heading1"/>
    <w:next w:val="Normal"/>
    <w:uiPriority w:val="39"/>
    <w:unhideWhenUsed/>
    <w:qFormat/>
    <w:rsid w:val="00A77631"/>
    <w:pPr>
      <w:spacing w:line="259" w:lineRule="auto"/>
      <w:jc w:val="left"/>
      <w:outlineLvl w:val="9"/>
    </w:pPr>
    <w:rPr>
      <w:lang w:val="en-US"/>
    </w:rPr>
  </w:style>
  <w:style w:type="character" w:customStyle="1" w:styleId="Heading2Char">
    <w:name w:val="Heading 2 Char"/>
    <w:basedOn w:val="DefaultParagraphFont"/>
    <w:link w:val="Heading2"/>
    <w:uiPriority w:val="9"/>
    <w:rsid w:val="00A77631"/>
    <w:rPr>
      <w:rFonts w:eastAsiaTheme="majorEastAsia" w:cstheme="majorBidi"/>
      <w:color w:val="365F91" w:themeColor="accent1" w:themeShade="BF"/>
      <w:sz w:val="28"/>
      <w:szCs w:val="26"/>
    </w:rPr>
  </w:style>
  <w:style w:type="character" w:customStyle="1" w:styleId="Heading3Char">
    <w:name w:val="Heading 3 Char"/>
    <w:basedOn w:val="DefaultParagraphFont"/>
    <w:link w:val="Heading3"/>
    <w:uiPriority w:val="9"/>
    <w:rsid w:val="00A77631"/>
    <w:rPr>
      <w:rFonts w:eastAsiaTheme="majorEastAsia" w:cstheme="majorBidi"/>
      <w:color w:val="243F60" w:themeColor="accent1" w:themeShade="7F"/>
      <w:sz w:val="24"/>
      <w:szCs w:val="24"/>
    </w:rPr>
  </w:style>
  <w:style w:type="paragraph" w:styleId="TOC1">
    <w:name w:val="toc 1"/>
    <w:basedOn w:val="Normal"/>
    <w:next w:val="Normal"/>
    <w:autoRedefine/>
    <w:uiPriority w:val="39"/>
    <w:unhideWhenUsed/>
    <w:rsid w:val="00A62518"/>
    <w:pPr>
      <w:tabs>
        <w:tab w:val="right" w:leader="dot" w:pos="9062"/>
      </w:tabs>
      <w:spacing w:after="100"/>
    </w:pPr>
    <w:rPr>
      <w:noProof/>
      <w:sz w:val="20"/>
      <w:szCs w:val="20"/>
      <w:lang w:val="en-GB"/>
    </w:rPr>
  </w:style>
  <w:style w:type="character" w:styleId="Hyperlink">
    <w:name w:val="Hyperlink"/>
    <w:basedOn w:val="DefaultParagraphFont"/>
    <w:uiPriority w:val="99"/>
    <w:unhideWhenUsed/>
    <w:rsid w:val="00A77631"/>
    <w:rPr>
      <w:color w:val="0000FF" w:themeColor="hyperlink"/>
      <w:u w:val="single"/>
    </w:rPr>
  </w:style>
  <w:style w:type="paragraph" w:styleId="TOC2">
    <w:name w:val="toc 2"/>
    <w:basedOn w:val="Normal"/>
    <w:next w:val="Normal"/>
    <w:autoRedefine/>
    <w:uiPriority w:val="39"/>
    <w:unhideWhenUsed/>
    <w:rsid w:val="00A77631"/>
    <w:pPr>
      <w:spacing w:after="100"/>
      <w:ind w:left="220"/>
    </w:pPr>
  </w:style>
  <w:style w:type="paragraph" w:styleId="ListParagraph">
    <w:name w:val="List Paragraph"/>
    <w:basedOn w:val="Normal"/>
    <w:uiPriority w:val="34"/>
    <w:qFormat/>
    <w:rsid w:val="00A77631"/>
    <w:pPr>
      <w:ind w:left="720"/>
      <w:contextualSpacing/>
    </w:pPr>
  </w:style>
  <w:style w:type="paragraph" w:styleId="BalloonText">
    <w:name w:val="Balloon Text"/>
    <w:basedOn w:val="Normal"/>
    <w:link w:val="BalloonTextChar"/>
    <w:uiPriority w:val="99"/>
    <w:semiHidden/>
    <w:unhideWhenUsed/>
    <w:rsid w:val="00A776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7631"/>
    <w:rPr>
      <w:rFonts w:ascii="Segoe UI" w:hAnsi="Segoe UI" w:cs="Segoe UI"/>
      <w:sz w:val="18"/>
      <w:szCs w:val="18"/>
    </w:rPr>
  </w:style>
  <w:style w:type="table" w:styleId="TableGrid">
    <w:name w:val="Table Grid"/>
    <w:basedOn w:val="TableNormal"/>
    <w:uiPriority w:val="59"/>
    <w:rsid w:val="00A776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631"/>
    <w:pPr>
      <w:autoSpaceDE w:val="0"/>
      <w:autoSpaceDN w:val="0"/>
      <w:adjustRightInd w:val="0"/>
      <w:spacing w:after="0" w:line="240" w:lineRule="auto"/>
    </w:pPr>
    <w:rPr>
      <w:rFonts w:ascii="Calibri" w:hAnsi="Calibri" w:cs="Calibri"/>
      <w:color w:val="000000"/>
      <w:sz w:val="24"/>
      <w:szCs w:val="24"/>
    </w:rPr>
  </w:style>
  <w:style w:type="character" w:customStyle="1" w:styleId="downloadtitle">
    <w:name w:val="download__title"/>
    <w:basedOn w:val="DefaultParagraphFont"/>
    <w:rsid w:val="00A77631"/>
  </w:style>
  <w:style w:type="character" w:styleId="CommentReference">
    <w:name w:val="annotation reference"/>
    <w:basedOn w:val="DefaultParagraphFont"/>
    <w:uiPriority w:val="99"/>
    <w:semiHidden/>
    <w:unhideWhenUsed/>
    <w:rsid w:val="00A77631"/>
    <w:rPr>
      <w:sz w:val="16"/>
      <w:szCs w:val="16"/>
    </w:rPr>
  </w:style>
  <w:style w:type="paragraph" w:styleId="CommentText">
    <w:name w:val="annotation text"/>
    <w:basedOn w:val="Normal"/>
    <w:link w:val="CommentTextChar"/>
    <w:uiPriority w:val="99"/>
    <w:unhideWhenUsed/>
    <w:rsid w:val="00A77631"/>
    <w:pPr>
      <w:spacing w:line="240" w:lineRule="auto"/>
    </w:pPr>
    <w:rPr>
      <w:sz w:val="20"/>
      <w:szCs w:val="20"/>
    </w:rPr>
  </w:style>
  <w:style w:type="character" w:customStyle="1" w:styleId="CommentTextChar">
    <w:name w:val="Comment Text Char"/>
    <w:basedOn w:val="DefaultParagraphFont"/>
    <w:link w:val="CommentText"/>
    <w:uiPriority w:val="99"/>
    <w:rsid w:val="00A77631"/>
    <w:rPr>
      <w:sz w:val="20"/>
      <w:szCs w:val="20"/>
    </w:rPr>
  </w:style>
  <w:style w:type="paragraph" w:styleId="CommentSubject">
    <w:name w:val="annotation subject"/>
    <w:basedOn w:val="CommentText"/>
    <w:next w:val="CommentText"/>
    <w:link w:val="CommentSubjectChar"/>
    <w:uiPriority w:val="99"/>
    <w:semiHidden/>
    <w:unhideWhenUsed/>
    <w:rsid w:val="00A77631"/>
    <w:rPr>
      <w:b/>
      <w:bCs/>
    </w:rPr>
  </w:style>
  <w:style w:type="character" w:customStyle="1" w:styleId="CommentSubjectChar">
    <w:name w:val="Comment Subject Char"/>
    <w:basedOn w:val="CommentTextChar"/>
    <w:link w:val="CommentSubject"/>
    <w:uiPriority w:val="99"/>
    <w:semiHidden/>
    <w:rsid w:val="00A77631"/>
    <w:rPr>
      <w:b/>
      <w:bCs/>
      <w:sz w:val="20"/>
      <w:szCs w:val="20"/>
    </w:rPr>
  </w:style>
  <w:style w:type="character" w:styleId="UnresolvedMention">
    <w:name w:val="Unresolved Mention"/>
    <w:basedOn w:val="DefaultParagraphFont"/>
    <w:uiPriority w:val="99"/>
    <w:semiHidden/>
    <w:unhideWhenUsed/>
    <w:rsid w:val="00A77631"/>
    <w:rPr>
      <w:color w:val="605E5C"/>
      <w:shd w:val="clear" w:color="auto" w:fill="E1DFDD"/>
    </w:rPr>
  </w:style>
  <w:style w:type="paragraph" w:styleId="NormalWeb">
    <w:name w:val="Normal (Web)"/>
    <w:basedOn w:val="Normal"/>
    <w:uiPriority w:val="99"/>
    <w:unhideWhenUsed/>
    <w:rsid w:val="00A77631"/>
    <w:pPr>
      <w:spacing w:after="0" w:line="240" w:lineRule="auto"/>
      <w:jc w:val="left"/>
    </w:pPr>
    <w:rPr>
      <w:rFonts w:ascii="Times New Roman" w:eastAsia="Times New Roman" w:hAnsi="Times New Roman" w:cs="Times New Roman"/>
      <w:sz w:val="24"/>
      <w:szCs w:val="24"/>
      <w:lang w:eastAsia="nl-NL"/>
    </w:rPr>
  </w:style>
  <w:style w:type="character" w:styleId="FollowedHyperlink">
    <w:name w:val="FollowedHyperlink"/>
    <w:basedOn w:val="DefaultParagraphFont"/>
    <w:uiPriority w:val="99"/>
    <w:semiHidden/>
    <w:unhideWhenUsed/>
    <w:rsid w:val="00A77631"/>
    <w:rPr>
      <w:color w:val="800080" w:themeColor="followedHyperlink"/>
      <w:u w:val="single"/>
    </w:rPr>
  </w:style>
  <w:style w:type="paragraph" w:styleId="FootnoteText">
    <w:name w:val="footnote text"/>
    <w:basedOn w:val="Normal"/>
    <w:link w:val="FootnoteTextChar"/>
    <w:uiPriority w:val="99"/>
    <w:semiHidden/>
    <w:unhideWhenUsed/>
    <w:rsid w:val="00A776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7631"/>
    <w:rPr>
      <w:sz w:val="20"/>
      <w:szCs w:val="20"/>
    </w:rPr>
  </w:style>
  <w:style w:type="character" w:styleId="FootnoteReference">
    <w:name w:val="footnote reference"/>
    <w:basedOn w:val="DefaultParagraphFont"/>
    <w:uiPriority w:val="99"/>
    <w:semiHidden/>
    <w:unhideWhenUsed/>
    <w:rsid w:val="00A77631"/>
    <w:rPr>
      <w:vertAlign w:val="superscript"/>
    </w:rPr>
  </w:style>
  <w:style w:type="paragraph" w:styleId="TOC3">
    <w:name w:val="toc 3"/>
    <w:basedOn w:val="Normal"/>
    <w:next w:val="Normal"/>
    <w:autoRedefine/>
    <w:uiPriority w:val="39"/>
    <w:unhideWhenUsed/>
    <w:rsid w:val="00A77631"/>
    <w:pPr>
      <w:spacing w:after="100"/>
      <w:ind w:left="440"/>
    </w:pPr>
  </w:style>
  <w:style w:type="character" w:customStyle="1" w:styleId="tlid-translation">
    <w:name w:val="tlid-translation"/>
    <w:basedOn w:val="DefaultParagraphFont"/>
    <w:rsid w:val="00A77631"/>
  </w:style>
  <w:style w:type="character" w:customStyle="1" w:styleId="annotatedpart">
    <w:name w:val="annotatedpart"/>
    <w:basedOn w:val="DefaultParagraphFont"/>
    <w:rsid w:val="00A77631"/>
  </w:style>
  <w:style w:type="paragraph" w:styleId="Header">
    <w:name w:val="header"/>
    <w:basedOn w:val="Normal"/>
    <w:link w:val="HeaderChar"/>
    <w:uiPriority w:val="99"/>
    <w:unhideWhenUsed/>
    <w:rsid w:val="00A77631"/>
    <w:pPr>
      <w:tabs>
        <w:tab w:val="center" w:pos="4536"/>
        <w:tab w:val="right" w:pos="9072"/>
      </w:tabs>
      <w:spacing w:after="0" w:line="240" w:lineRule="auto"/>
    </w:pPr>
  </w:style>
  <w:style w:type="character" w:customStyle="1" w:styleId="HeaderChar">
    <w:name w:val="Header Char"/>
    <w:basedOn w:val="DefaultParagraphFont"/>
    <w:link w:val="Header"/>
    <w:uiPriority w:val="99"/>
    <w:rsid w:val="00A77631"/>
  </w:style>
  <w:style w:type="paragraph" w:styleId="Footer">
    <w:name w:val="footer"/>
    <w:basedOn w:val="Normal"/>
    <w:link w:val="FooterChar"/>
    <w:uiPriority w:val="99"/>
    <w:unhideWhenUsed/>
    <w:rsid w:val="00A77631"/>
    <w:pPr>
      <w:tabs>
        <w:tab w:val="center" w:pos="4536"/>
        <w:tab w:val="right" w:pos="9072"/>
      </w:tabs>
      <w:spacing w:after="0" w:line="240" w:lineRule="auto"/>
    </w:pPr>
  </w:style>
  <w:style w:type="character" w:customStyle="1" w:styleId="FooterChar">
    <w:name w:val="Footer Char"/>
    <w:basedOn w:val="DefaultParagraphFont"/>
    <w:link w:val="Footer"/>
    <w:uiPriority w:val="99"/>
    <w:rsid w:val="00A77631"/>
  </w:style>
  <w:style w:type="character" w:customStyle="1" w:styleId="titleseparator">
    <w:name w:val="titleseparator"/>
    <w:basedOn w:val="DefaultParagraphFont"/>
    <w:rsid w:val="007C580A"/>
  </w:style>
  <w:style w:type="character" w:customStyle="1" w:styleId="Subtitle1">
    <w:name w:val="Subtitle1"/>
    <w:basedOn w:val="DefaultParagraphFont"/>
    <w:rsid w:val="007C580A"/>
  </w:style>
  <w:style w:type="character" w:customStyle="1" w:styleId="citation-volume-pages">
    <w:name w:val="citation-volume-pages"/>
    <w:basedOn w:val="DefaultParagraphFont"/>
    <w:rsid w:val="007C580A"/>
  </w:style>
  <w:style w:type="character" w:customStyle="1" w:styleId="subhead-sans">
    <w:name w:val="subhead-sans"/>
    <w:basedOn w:val="DefaultParagraphFont"/>
    <w:rsid w:val="007C58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6014685">
      <w:bodyDiv w:val="1"/>
      <w:marLeft w:val="0"/>
      <w:marRight w:val="0"/>
      <w:marTop w:val="0"/>
      <w:marBottom w:val="0"/>
      <w:divBdr>
        <w:top w:val="none" w:sz="0" w:space="0" w:color="auto"/>
        <w:left w:val="none" w:sz="0" w:space="0" w:color="auto"/>
        <w:bottom w:val="none" w:sz="0" w:space="0" w:color="auto"/>
        <w:right w:val="none" w:sz="0" w:space="0" w:color="auto"/>
      </w:divBdr>
    </w:div>
    <w:div w:id="1710954275">
      <w:bodyDiv w:val="1"/>
      <w:marLeft w:val="0"/>
      <w:marRight w:val="0"/>
      <w:marTop w:val="0"/>
      <w:marBottom w:val="0"/>
      <w:divBdr>
        <w:top w:val="none" w:sz="0" w:space="0" w:color="auto"/>
        <w:left w:val="none" w:sz="0" w:space="0" w:color="auto"/>
        <w:bottom w:val="none" w:sz="0" w:space="0" w:color="auto"/>
        <w:right w:val="none" w:sz="0" w:space="0" w:color="auto"/>
      </w:divBdr>
    </w:div>
    <w:div w:id="1879925514">
      <w:bodyDiv w:val="1"/>
      <w:marLeft w:val="0"/>
      <w:marRight w:val="0"/>
      <w:marTop w:val="0"/>
      <w:marBottom w:val="0"/>
      <w:divBdr>
        <w:top w:val="none" w:sz="0" w:space="0" w:color="auto"/>
        <w:left w:val="none" w:sz="0" w:space="0" w:color="auto"/>
        <w:bottom w:val="none" w:sz="0" w:space="0" w:color="auto"/>
        <w:right w:val="none" w:sz="0" w:space="0" w:color="auto"/>
      </w:divBdr>
    </w:div>
    <w:div w:id="1917085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hyperlink" Target="https://gdpr-info.eu/" TargetMode="External"/><Relationship Id="rId26" Type="http://schemas.openxmlformats.org/officeDocument/2006/relationships/hyperlink" Target="https://www.dus-i.nl/subsidies/versnellingsprogramma-informatie-uitwisseling-patient-en-professional/documenten/publicaties/2018/02/27/handreiking-vipp-assessments-v1.0" TargetMode="External"/><Relationship Id="rId3" Type="http://schemas.openxmlformats.org/officeDocument/2006/relationships/styles" Target="styles.xml"/><Relationship Id="rId21" Type="http://schemas.openxmlformats.org/officeDocument/2006/relationships/hyperlink" Target="https://zoek.officielebekendmakingen.nl/stcrt-2016-68985.html"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chipsoft.nl/hix-abc/artikel/63/Patientenportaal" TargetMode="External"/><Relationship Id="rId25" Type="http://schemas.openxmlformats.org/officeDocument/2006/relationships/hyperlink" Target="https://www.hoeonlineisjouwziekenhuis.nl/" TargetMode="External"/><Relationship Id="rId33" Type="http://schemas.openxmlformats.org/officeDocument/2006/relationships/hyperlink" Target="https://www.nictiz.nl/programmas/e-health-monitor/e-health-monitor-2019/" TargetMode="Externa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hyperlink" Target="https://www.medmij.nl/wat-is-medmij/" TargetMode="External"/><Relationship Id="rId29" Type="http://schemas.openxmlformats.org/officeDocument/2006/relationships/hyperlink" Target="https://doi-org.eur.idm.oclc.org/10.1111/ijmr.1202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https://www.governancecodezorg.nl/specifieke-situaties/" TargetMode="External"/><Relationship Id="rId32" Type="http://schemas.openxmlformats.org/officeDocument/2006/relationships/hyperlink" Target="https://www.vipp-programma.nl/vipp-centraal/nieuws/2020/vipp-5-van-start" TargetMode="Externa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hyperlink" Target="https://www.desan.nl/net/DoSearch/Search.aspx" TargetMode="External"/><Relationship Id="rId28" Type="http://schemas.openxmlformats.org/officeDocument/2006/relationships/hyperlink" Target="https://www.skipr.nl/partnernieuws/waarom-elke-zorgbestuurder-nu-werk-moet-maken-van-digitale-gegevensuitwisseling/" TargetMode="External"/><Relationship Id="rId10" Type="http://schemas.openxmlformats.org/officeDocument/2006/relationships/footer" Target="footer1.xml"/><Relationship Id="rId19" Type="http://schemas.openxmlformats.org/officeDocument/2006/relationships/hyperlink" Target="https://www.eur.nl/eshpm/nieuws/succesvolle-inzet-online-patientenomgevingen-vraagt-om-samenspel" TargetMode="External"/><Relationship Id="rId31" Type="http://schemas.openxmlformats.org/officeDocument/2006/relationships/hyperlink" Target="https://www.vipp-programma.nl/vipp-monitor/ziekenhuizen/alle-ziekenhuizen/alle-ziekenhuizen/2019-q1-maartmetin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hyperlink" Target="https://webcache.googleusercontent.com/search?q=cache:2WV7h8de1S8J:https://bg.legal/wp-content/uploads/2017/08/Juridische-factsheet-Wet-cli%25C3%25ABntenrechten-bij-elektronische-verwerking-va....pdf+&amp;cd=4&amp;hl=nl&amp;ct=clnk&amp;gl=nl&amp;client=firefox-b-d" TargetMode="External"/><Relationship Id="rId27" Type="http://schemas.openxmlformats.org/officeDocument/2006/relationships/hyperlink" Target="https://www.skipr.nl/nieuws/zeker-vier-ziekenhuizen-moeten-deel-vipp-gelden-terugbetalen/?_ga=2.18382393.1071679638.1596879834-801398494.1579090495" TargetMode="External"/><Relationship Id="rId30" Type="http://schemas.openxmlformats.org/officeDocument/2006/relationships/hyperlink" Target="https://www.zorgvisie.nl/epd-overzicht/"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A8D7D1-C510-4FA1-A9B1-327BFDEF4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54</Pages>
  <Words>22718</Words>
  <Characters>124952</Characters>
  <Application>Microsoft Office Word</Application>
  <DocSecurity>0</DocSecurity>
  <Lines>1041</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N.V. van der Boor</dc:creator>
  <cp:keywords/>
  <dc:description/>
  <cp:lastModifiedBy>N.V. van der Boor</cp:lastModifiedBy>
  <cp:revision>3</cp:revision>
  <cp:lastPrinted>2020-08-10T08:04:00Z</cp:lastPrinted>
  <dcterms:created xsi:type="dcterms:W3CDTF">2020-09-22T11:20:00Z</dcterms:created>
  <dcterms:modified xsi:type="dcterms:W3CDTF">2020-09-24T15:48:00Z</dcterms:modified>
</cp:coreProperties>
</file>