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7B1E" w:rsidRPr="00832004" w:rsidRDefault="00DC7B1E" w:rsidP="00BC212C">
      <w:pPr>
        <w:spacing w:line="240" w:lineRule="auto"/>
        <w:contextualSpacing/>
        <w:rPr>
          <w:rFonts w:ascii="Times New Roman" w:hAnsi="Times New Roman"/>
        </w:rPr>
      </w:pPr>
      <w:bookmarkStart w:id="0" w:name="_Toc224624699"/>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1026" type="#_x0000_t75" alt="EUR-NL-ZW.jpg" style="position:absolute;margin-left:269.85pt;margin-top:4.7pt;width:210.75pt;height:49.95pt;z-index:-251653632;visibility:visible" wrapcoords="-77 0 -77 21278 21600 21278 21600 0 -77 0">
            <v:imagedata r:id="rId7" o:title=""/>
            <w10:wrap type="tight"/>
          </v:shape>
        </w:pict>
      </w:r>
      <w:r w:rsidRPr="00832004">
        <w:rPr>
          <w:rFonts w:ascii="Times New Roman" w:hAnsi="Times New Roman"/>
        </w:rPr>
        <w:t>Erasmus School of Economics</w:t>
      </w:r>
    </w:p>
    <w:p w:rsidR="00DC7B1E" w:rsidRPr="00832004" w:rsidRDefault="00DC7B1E" w:rsidP="00BC212C">
      <w:pPr>
        <w:spacing w:line="240" w:lineRule="auto"/>
        <w:contextualSpacing/>
        <w:rPr>
          <w:rFonts w:ascii="Times New Roman" w:hAnsi="Times New Roman"/>
        </w:rPr>
      </w:pPr>
      <w:r w:rsidRPr="00832004">
        <w:rPr>
          <w:rFonts w:ascii="Times New Roman" w:hAnsi="Times New Roman"/>
        </w:rPr>
        <w:t>Economics &amp; Business</w:t>
      </w:r>
    </w:p>
    <w:p w:rsidR="00DC7B1E" w:rsidRPr="00832004" w:rsidRDefault="00DC7B1E" w:rsidP="00BC212C">
      <w:pPr>
        <w:spacing w:line="240" w:lineRule="auto"/>
        <w:contextualSpacing/>
        <w:rPr>
          <w:rFonts w:ascii="Times New Roman" w:hAnsi="Times New Roman"/>
        </w:rPr>
      </w:pPr>
      <w:r w:rsidRPr="00832004">
        <w:rPr>
          <w:rFonts w:ascii="Times New Roman" w:hAnsi="Times New Roman"/>
        </w:rPr>
        <w:t>Accounting, Auditing &amp; Control</w:t>
      </w:r>
    </w:p>
    <w:p w:rsidR="00DC7B1E" w:rsidRPr="00832004" w:rsidRDefault="00DC7B1E" w:rsidP="00BC212C">
      <w:pPr>
        <w:spacing w:line="240" w:lineRule="auto"/>
        <w:contextualSpacing/>
        <w:rPr>
          <w:rFonts w:ascii="Times New Roman" w:hAnsi="Times New Roman"/>
        </w:rPr>
      </w:pPr>
      <w:r w:rsidRPr="00832004">
        <w:rPr>
          <w:rFonts w:ascii="Times New Roman" w:hAnsi="Times New Roman"/>
        </w:rPr>
        <w:t>Master Thesis</w:t>
      </w:r>
    </w:p>
    <w:p w:rsidR="00DC7B1E" w:rsidRPr="00832004" w:rsidRDefault="00DC7B1E" w:rsidP="00B46EAC">
      <w:pPr>
        <w:jc w:val="center"/>
        <w:rPr>
          <w:rFonts w:ascii="Times New Roman" w:hAnsi="Times New Roman"/>
          <w:sz w:val="32"/>
          <w:szCs w:val="32"/>
        </w:rPr>
      </w:pPr>
    </w:p>
    <w:p w:rsidR="00DC7B1E" w:rsidRPr="00832004" w:rsidRDefault="00DC7B1E" w:rsidP="00B46EAC">
      <w:pPr>
        <w:jc w:val="center"/>
        <w:rPr>
          <w:rFonts w:ascii="Times New Roman" w:hAnsi="Times New Roman"/>
          <w:sz w:val="32"/>
          <w:szCs w:val="32"/>
        </w:rPr>
      </w:pPr>
    </w:p>
    <w:p w:rsidR="00DC7B1E" w:rsidRPr="00832004" w:rsidRDefault="00DC7B1E" w:rsidP="00832004">
      <w:pPr>
        <w:pStyle w:val="Style1"/>
      </w:pPr>
    </w:p>
    <w:p w:rsidR="00DC7B1E" w:rsidRPr="00832004" w:rsidRDefault="00DC7B1E" w:rsidP="00B46EAC">
      <w:pPr>
        <w:jc w:val="center"/>
        <w:rPr>
          <w:rFonts w:ascii="Times New Roman" w:hAnsi="Times New Roman"/>
          <w:sz w:val="32"/>
          <w:szCs w:val="32"/>
        </w:rPr>
      </w:pPr>
    </w:p>
    <w:p w:rsidR="00DC7B1E" w:rsidRPr="00832004" w:rsidRDefault="00DC7B1E" w:rsidP="00B46EAC">
      <w:pPr>
        <w:jc w:val="center"/>
        <w:rPr>
          <w:rFonts w:ascii="Times New Roman" w:hAnsi="Times New Roman"/>
          <w:sz w:val="40"/>
          <w:szCs w:val="40"/>
        </w:rPr>
      </w:pPr>
    </w:p>
    <w:p w:rsidR="00DC7B1E" w:rsidRPr="00832004" w:rsidRDefault="00DC7B1E" w:rsidP="00B46EAC">
      <w:pPr>
        <w:jc w:val="center"/>
        <w:rPr>
          <w:rFonts w:ascii="Times New Roman" w:hAnsi="Times New Roman"/>
          <w:b/>
          <w:sz w:val="40"/>
          <w:szCs w:val="40"/>
        </w:rPr>
      </w:pPr>
      <w:r w:rsidRPr="00832004">
        <w:rPr>
          <w:rFonts w:ascii="Times New Roman" w:hAnsi="Times New Roman"/>
          <w:b/>
          <w:sz w:val="40"/>
          <w:szCs w:val="40"/>
        </w:rPr>
        <w:t>Executive Stock Options and Earnings Management</w:t>
      </w:r>
    </w:p>
    <w:p w:rsidR="00DC7B1E" w:rsidRPr="00832004" w:rsidRDefault="00DC7B1E" w:rsidP="00B46EAC">
      <w:pPr>
        <w:rPr>
          <w:rFonts w:ascii="Times New Roman" w:hAnsi="Times New Roman"/>
        </w:rPr>
      </w:pPr>
    </w:p>
    <w:p w:rsidR="00DC7B1E" w:rsidRPr="00832004" w:rsidRDefault="00DC7B1E" w:rsidP="000B6F78">
      <w:pPr>
        <w:jc w:val="center"/>
        <w:rPr>
          <w:rFonts w:ascii="Times New Roman" w:hAnsi="Times New Roman"/>
          <w:sz w:val="32"/>
          <w:szCs w:val="32"/>
        </w:rPr>
      </w:pPr>
      <w:r w:rsidRPr="00832004">
        <w:rPr>
          <w:rFonts w:ascii="Times New Roman" w:hAnsi="Times New Roman"/>
          <w:sz w:val="32"/>
          <w:szCs w:val="32"/>
        </w:rPr>
        <w:t>The Exercise and Vesting of Executive Stock Options of All Executives within a Firm</w:t>
      </w:r>
    </w:p>
    <w:p w:rsidR="00DC7B1E" w:rsidRPr="00832004" w:rsidRDefault="00DC7B1E" w:rsidP="00B46EAC">
      <w:pPr>
        <w:rPr>
          <w:rFonts w:ascii="Times New Roman" w:hAnsi="Times New Roman"/>
        </w:rPr>
      </w:pPr>
    </w:p>
    <w:p w:rsidR="00DC7B1E" w:rsidRPr="00832004" w:rsidRDefault="00DC7B1E" w:rsidP="00B46EAC">
      <w:pPr>
        <w:rPr>
          <w:rFonts w:ascii="Times New Roman" w:hAnsi="Times New Roman"/>
        </w:rPr>
      </w:pPr>
    </w:p>
    <w:p w:rsidR="00DC7B1E" w:rsidRPr="00832004" w:rsidRDefault="00DC7B1E" w:rsidP="00B46EAC">
      <w:pPr>
        <w:rPr>
          <w:rFonts w:ascii="Times New Roman" w:hAnsi="Times New Roman"/>
        </w:rPr>
      </w:pPr>
    </w:p>
    <w:p w:rsidR="00DC7B1E" w:rsidRPr="00832004" w:rsidRDefault="00DC7B1E" w:rsidP="00B46EAC">
      <w:pPr>
        <w:rPr>
          <w:rFonts w:ascii="Times New Roman" w:hAnsi="Times New Roman"/>
        </w:rPr>
      </w:pPr>
    </w:p>
    <w:p w:rsidR="00DC7B1E" w:rsidRPr="00832004" w:rsidRDefault="00DC7B1E" w:rsidP="00A20027">
      <w:pPr>
        <w:jc w:val="right"/>
        <w:rPr>
          <w:rFonts w:ascii="Times New Roman" w:hAnsi="Times New Roman"/>
        </w:rPr>
      </w:pPr>
    </w:p>
    <w:p w:rsidR="00DC7B1E" w:rsidRPr="00832004" w:rsidRDefault="00DC7B1E" w:rsidP="00AA7B4C">
      <w:pPr>
        <w:spacing w:line="240" w:lineRule="auto"/>
        <w:contextualSpacing/>
        <w:rPr>
          <w:rFonts w:ascii="Times New Roman" w:hAnsi="Times New Roman"/>
        </w:rPr>
      </w:pP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p>
    <w:p w:rsidR="00DC7B1E" w:rsidRPr="00832004" w:rsidRDefault="00DC7B1E" w:rsidP="008C1ED7">
      <w:pPr>
        <w:spacing w:line="240" w:lineRule="auto"/>
        <w:contextualSpacing/>
        <w:rPr>
          <w:rFonts w:ascii="Times New Roman" w:hAnsi="Times New Roman"/>
          <w:b/>
          <w:sz w:val="24"/>
          <w:szCs w:val="24"/>
        </w:rPr>
      </w:pPr>
    </w:p>
    <w:p w:rsidR="00DC7B1E" w:rsidRPr="00832004" w:rsidRDefault="00DC7B1E" w:rsidP="008C1ED7">
      <w:pPr>
        <w:spacing w:line="240" w:lineRule="auto"/>
        <w:contextualSpacing/>
        <w:rPr>
          <w:rFonts w:ascii="Times New Roman" w:hAnsi="Times New Roman"/>
          <w:b/>
          <w:sz w:val="24"/>
          <w:szCs w:val="24"/>
        </w:rPr>
      </w:pPr>
    </w:p>
    <w:p w:rsidR="00DC7B1E" w:rsidRPr="00832004" w:rsidRDefault="00DC7B1E" w:rsidP="008C1ED7">
      <w:pPr>
        <w:spacing w:line="240" w:lineRule="auto"/>
        <w:contextualSpacing/>
        <w:rPr>
          <w:rFonts w:ascii="Times New Roman" w:hAnsi="Times New Roman"/>
          <w:b/>
          <w:sz w:val="24"/>
          <w:szCs w:val="24"/>
          <w:lang w:val="nl-NL"/>
        </w:rPr>
      </w:pPr>
      <w:r w:rsidRPr="00832004">
        <w:rPr>
          <w:rFonts w:ascii="Times New Roman" w:hAnsi="Times New Roman"/>
          <w:b/>
          <w:sz w:val="24"/>
          <w:szCs w:val="24"/>
          <w:lang w:val="nl-NL"/>
        </w:rPr>
        <w:t>Student</w:t>
      </w:r>
    </w:p>
    <w:p w:rsidR="00DC7B1E" w:rsidRPr="00832004" w:rsidRDefault="00DC7B1E" w:rsidP="008C1ED7">
      <w:pPr>
        <w:spacing w:line="240" w:lineRule="auto"/>
        <w:contextualSpacing/>
        <w:rPr>
          <w:rFonts w:ascii="Times New Roman" w:hAnsi="Times New Roman"/>
          <w:lang w:val="nl-NL"/>
        </w:rPr>
      </w:pPr>
      <w:r w:rsidRPr="00832004">
        <w:rPr>
          <w:rFonts w:ascii="Times New Roman" w:hAnsi="Times New Roman"/>
          <w:lang w:val="nl-NL"/>
        </w:rPr>
        <w:t>Yuen Kwan Lam</w:t>
      </w:r>
    </w:p>
    <w:p w:rsidR="00DC7B1E" w:rsidRPr="00832004" w:rsidRDefault="00DC7B1E" w:rsidP="008C1ED7">
      <w:pPr>
        <w:spacing w:line="240" w:lineRule="auto"/>
        <w:contextualSpacing/>
        <w:rPr>
          <w:rFonts w:ascii="Times New Roman" w:hAnsi="Times New Roman"/>
          <w:b/>
          <w:lang w:val="nl-NL"/>
        </w:rPr>
      </w:pPr>
    </w:p>
    <w:p w:rsidR="00DC7B1E" w:rsidRPr="00832004" w:rsidRDefault="00DC7B1E" w:rsidP="008C1ED7">
      <w:pPr>
        <w:spacing w:line="240" w:lineRule="auto"/>
        <w:contextualSpacing/>
        <w:rPr>
          <w:rFonts w:ascii="Times New Roman" w:hAnsi="Times New Roman"/>
          <w:b/>
          <w:sz w:val="24"/>
          <w:szCs w:val="24"/>
          <w:lang w:val="nl-NL"/>
        </w:rPr>
      </w:pPr>
      <w:r w:rsidRPr="00832004">
        <w:rPr>
          <w:rFonts w:ascii="Times New Roman" w:hAnsi="Times New Roman"/>
          <w:b/>
          <w:sz w:val="24"/>
          <w:szCs w:val="24"/>
          <w:lang w:val="nl-NL"/>
        </w:rPr>
        <w:t>Student Number</w:t>
      </w:r>
    </w:p>
    <w:p w:rsidR="00DC7B1E" w:rsidRPr="00832004" w:rsidRDefault="00DC7B1E" w:rsidP="008C1ED7">
      <w:pPr>
        <w:spacing w:line="240" w:lineRule="auto"/>
        <w:contextualSpacing/>
        <w:rPr>
          <w:rFonts w:ascii="Times New Roman" w:hAnsi="Times New Roman"/>
        </w:rPr>
      </w:pPr>
      <w:r w:rsidRPr="00832004">
        <w:rPr>
          <w:rFonts w:ascii="Times New Roman" w:hAnsi="Times New Roman"/>
        </w:rPr>
        <w:t>280136</w:t>
      </w:r>
    </w:p>
    <w:p w:rsidR="00DC7B1E" w:rsidRPr="00832004" w:rsidRDefault="00DC7B1E" w:rsidP="008C1ED7">
      <w:pPr>
        <w:spacing w:line="240" w:lineRule="auto"/>
        <w:contextualSpacing/>
        <w:rPr>
          <w:rFonts w:ascii="Times New Roman" w:hAnsi="Times New Roman"/>
          <w:b/>
        </w:rPr>
      </w:pPr>
    </w:p>
    <w:p w:rsidR="00DC7B1E" w:rsidRPr="00832004" w:rsidRDefault="00DC7B1E" w:rsidP="008C1ED7">
      <w:pPr>
        <w:spacing w:line="240" w:lineRule="auto"/>
        <w:contextualSpacing/>
        <w:rPr>
          <w:rFonts w:ascii="Times New Roman" w:hAnsi="Times New Roman"/>
          <w:b/>
          <w:sz w:val="24"/>
          <w:szCs w:val="24"/>
        </w:rPr>
      </w:pPr>
      <w:r w:rsidRPr="00832004">
        <w:rPr>
          <w:rFonts w:ascii="Times New Roman" w:hAnsi="Times New Roman"/>
          <w:b/>
          <w:sz w:val="24"/>
          <w:szCs w:val="24"/>
        </w:rPr>
        <w:t>Contact information</w:t>
      </w:r>
    </w:p>
    <w:p w:rsidR="00DC7B1E" w:rsidRPr="00832004" w:rsidRDefault="00DC7B1E" w:rsidP="008C1ED7">
      <w:pPr>
        <w:spacing w:line="240" w:lineRule="auto"/>
        <w:contextualSpacing/>
        <w:rPr>
          <w:rFonts w:ascii="Times New Roman" w:hAnsi="Times New Roman"/>
          <w:sz w:val="24"/>
          <w:szCs w:val="24"/>
        </w:rPr>
      </w:pPr>
      <w:r w:rsidRPr="00832004">
        <w:rPr>
          <w:rFonts w:ascii="Times New Roman" w:hAnsi="Times New Roman"/>
          <w:sz w:val="24"/>
          <w:szCs w:val="24"/>
        </w:rPr>
        <w:t>E-mail: yklam@live.nl</w:t>
      </w:r>
    </w:p>
    <w:p w:rsidR="00DC7B1E" w:rsidRPr="00832004" w:rsidRDefault="00DC7B1E" w:rsidP="001E0DF3">
      <w:pPr>
        <w:spacing w:line="240" w:lineRule="auto"/>
        <w:contextualSpacing/>
        <w:rPr>
          <w:rFonts w:ascii="Times New Roman" w:hAnsi="Times New Roman"/>
          <w:b/>
          <w:sz w:val="24"/>
          <w:szCs w:val="24"/>
        </w:rPr>
      </w:pPr>
    </w:p>
    <w:p w:rsidR="00DC7B1E" w:rsidRPr="00832004" w:rsidRDefault="00DC7B1E" w:rsidP="001E0DF3">
      <w:pPr>
        <w:spacing w:line="240" w:lineRule="auto"/>
        <w:contextualSpacing/>
        <w:rPr>
          <w:rFonts w:ascii="Times New Roman" w:hAnsi="Times New Roman"/>
          <w:b/>
          <w:sz w:val="24"/>
          <w:szCs w:val="24"/>
        </w:rPr>
      </w:pPr>
      <w:r w:rsidRPr="00832004">
        <w:rPr>
          <w:rFonts w:ascii="Times New Roman" w:hAnsi="Times New Roman"/>
          <w:b/>
          <w:sz w:val="24"/>
          <w:szCs w:val="24"/>
        </w:rPr>
        <w:t>Supervisor</w:t>
      </w:r>
    </w:p>
    <w:p w:rsidR="00DC7B1E" w:rsidRPr="00832004" w:rsidRDefault="00DC7B1E" w:rsidP="001E0DF3">
      <w:pPr>
        <w:spacing w:line="240" w:lineRule="auto"/>
        <w:contextualSpacing/>
        <w:rPr>
          <w:rFonts w:ascii="Times New Roman" w:hAnsi="Times New Roman"/>
        </w:rPr>
      </w:pPr>
      <w:r w:rsidRPr="00832004">
        <w:rPr>
          <w:rFonts w:ascii="Times New Roman" w:hAnsi="Times New Roman"/>
        </w:rPr>
        <w:t>Hans Mersmann</w:t>
      </w:r>
    </w:p>
    <w:p w:rsidR="00DC7B1E" w:rsidRPr="00BC212C" w:rsidRDefault="00DC7B1E" w:rsidP="008C1ED7">
      <w:pPr>
        <w:spacing w:line="240" w:lineRule="auto"/>
        <w:contextualSpacing/>
        <w:rPr>
          <w:sz w:val="24"/>
          <w:szCs w:val="24"/>
        </w:rPr>
      </w:pPr>
    </w:p>
    <w:p w:rsidR="00DC7B1E" w:rsidRDefault="00DC7B1E" w:rsidP="008C1ED7">
      <w:pPr>
        <w:spacing w:line="240" w:lineRule="auto"/>
        <w:contextualSpacing/>
        <w:rPr>
          <w:sz w:val="24"/>
          <w:szCs w:val="24"/>
        </w:rPr>
      </w:pPr>
    </w:p>
    <w:p w:rsidR="00DC7B1E" w:rsidRPr="00236C8C" w:rsidRDefault="00DC7B1E" w:rsidP="00D63425">
      <w:pPr>
        <w:pStyle w:val="Heading1"/>
        <w:spacing w:before="60" w:line="360" w:lineRule="auto"/>
        <w:contextualSpacing/>
        <w:rPr>
          <w:color w:val="2A62A6"/>
        </w:rPr>
      </w:pPr>
      <w:bookmarkStart w:id="1" w:name="_Toc234567956"/>
      <w:bookmarkEnd w:id="0"/>
      <w:r w:rsidRPr="00236C8C">
        <w:rPr>
          <w:color w:val="2A62A6"/>
        </w:rPr>
        <w:t>Preface</w:t>
      </w:r>
      <w:bookmarkEnd w:id="1"/>
    </w:p>
    <w:p w:rsidR="00DC7B1E" w:rsidRPr="00832004" w:rsidRDefault="00DC7B1E" w:rsidP="00832004">
      <w:pPr>
        <w:pStyle w:val="Style2"/>
      </w:pPr>
      <w:r>
        <w:rPr>
          <w:noProof/>
          <w:lang w:val="en-US"/>
        </w:rPr>
        <w:pict>
          <v:shapetype id="_x0000_t32" coordsize="21600,21600" o:spt="32" o:oned="t" path="m,l21600,21600e" filled="f">
            <v:path arrowok="t" fillok="f" o:connecttype="none"/>
            <o:lock v:ext="edit" shapetype="t"/>
          </v:shapetype>
          <v:shape id="_x0000_s1027" type="#_x0000_t32" style="position:absolute;margin-left:1.25pt;margin-top:12.75pt;width:452.05pt;height:0;z-index:251652608" o:connectortype="straight"/>
        </w:pict>
      </w:r>
    </w:p>
    <w:p w:rsidR="00DC7B1E" w:rsidRPr="00832004" w:rsidRDefault="00DC7B1E" w:rsidP="000E7227">
      <w:pPr>
        <w:pStyle w:val="Style2"/>
        <w:jc w:val="both"/>
      </w:pPr>
    </w:p>
    <w:p w:rsidR="00DC7B1E" w:rsidRPr="00832004" w:rsidRDefault="00DC7B1E" w:rsidP="000E7227">
      <w:pPr>
        <w:pStyle w:val="Style2"/>
        <w:jc w:val="both"/>
      </w:pPr>
      <w:r w:rsidRPr="00832004">
        <w:t xml:space="preserve">This thesis serves as the completion of the master programme Accounting, Auditing and Control of my study Economics &amp; Business at the Erasmus University Rotterdam. During my study at the university I </w:t>
      </w:r>
      <w:r>
        <w:t xml:space="preserve">have </w:t>
      </w:r>
      <w:r w:rsidRPr="00832004">
        <w:t xml:space="preserve">learned a lot and </w:t>
      </w:r>
      <w:r>
        <w:t xml:space="preserve">I </w:t>
      </w:r>
      <w:r w:rsidRPr="00832004">
        <w:t>really enjoyed my time there. I definitely will miss it</w:t>
      </w:r>
      <w:r>
        <w:t>,</w:t>
      </w:r>
      <w:r w:rsidRPr="00832004">
        <w:t xml:space="preserve"> but I am also grateful that the time has come to finish my study. </w:t>
      </w:r>
    </w:p>
    <w:p w:rsidR="00DC7B1E" w:rsidRPr="00832004" w:rsidRDefault="00DC7B1E" w:rsidP="000E7227">
      <w:pPr>
        <w:pStyle w:val="Style2"/>
        <w:jc w:val="both"/>
      </w:pPr>
    </w:p>
    <w:p w:rsidR="00DC7B1E" w:rsidRPr="00832004" w:rsidRDefault="00DC7B1E" w:rsidP="000E7227">
      <w:pPr>
        <w:pStyle w:val="Style2"/>
        <w:jc w:val="both"/>
      </w:pPr>
      <w:r w:rsidRPr="00832004">
        <w:t xml:space="preserve">I would like to take the opportunity to thank a number of people who gave me a lot of support and help. First of all, I want to thank my supervisor H. Mersmann who gave me a lot of good advice on my thesis and support, even during the hard time when the results of my empirical research do not match with my expectations and prior research.  </w:t>
      </w:r>
    </w:p>
    <w:p w:rsidR="00DC7B1E" w:rsidRPr="00832004" w:rsidRDefault="00DC7B1E" w:rsidP="000E7227">
      <w:pPr>
        <w:pStyle w:val="Style2"/>
        <w:jc w:val="both"/>
      </w:pPr>
    </w:p>
    <w:p w:rsidR="00DC7B1E" w:rsidRPr="00832004" w:rsidRDefault="00DC7B1E" w:rsidP="000E7227">
      <w:pPr>
        <w:pStyle w:val="Style2"/>
        <w:jc w:val="both"/>
      </w:pPr>
      <w:r w:rsidRPr="00832004">
        <w:t xml:space="preserve">Secondly, I especially want to thank my parents who gave me a lot of support during my whole study and the writing process of this thesis. I also want to thank Chun who sometimes helped me with </w:t>
      </w:r>
      <w:r>
        <w:t>the grammar</w:t>
      </w:r>
      <w:r w:rsidRPr="00832004">
        <w:t xml:space="preserve">. Lastly, I want to thank my friends for their support by asking me regularly on the progress of my thesis that keeps me motivated to write this thesis. </w:t>
      </w:r>
    </w:p>
    <w:p w:rsidR="00DC7B1E" w:rsidRPr="00832004" w:rsidRDefault="00DC7B1E" w:rsidP="000E7227">
      <w:pPr>
        <w:pStyle w:val="Style2"/>
        <w:jc w:val="both"/>
      </w:pPr>
    </w:p>
    <w:p w:rsidR="00DC7B1E" w:rsidRPr="00832004" w:rsidRDefault="00DC7B1E" w:rsidP="000E7227">
      <w:pPr>
        <w:pStyle w:val="Style2"/>
        <w:jc w:val="both"/>
      </w:pPr>
      <w:r w:rsidRPr="00832004">
        <w:t xml:space="preserve">Den Haag, </w:t>
      </w:r>
    </w:p>
    <w:p w:rsidR="00DC7B1E" w:rsidRPr="00832004" w:rsidRDefault="00DC7B1E" w:rsidP="000E7227">
      <w:pPr>
        <w:pStyle w:val="Style2"/>
        <w:jc w:val="both"/>
      </w:pPr>
    </w:p>
    <w:p w:rsidR="00DC7B1E" w:rsidRPr="00832004" w:rsidRDefault="00DC7B1E" w:rsidP="000E7227">
      <w:pPr>
        <w:pStyle w:val="Style2"/>
        <w:jc w:val="both"/>
      </w:pPr>
      <w:r w:rsidRPr="00832004">
        <w:t>Ju</w:t>
      </w:r>
      <w:r>
        <w:t>ly</w:t>
      </w:r>
      <w:r w:rsidRPr="00832004">
        <w:t xml:space="preserve"> 2009</w:t>
      </w:r>
    </w:p>
    <w:p w:rsidR="00DC7B1E" w:rsidRPr="00832004" w:rsidRDefault="00DC7B1E" w:rsidP="000E7227">
      <w:pPr>
        <w:pStyle w:val="Style2"/>
        <w:jc w:val="both"/>
        <w:rPr>
          <w:color w:val="365F91"/>
        </w:rPr>
      </w:pPr>
    </w:p>
    <w:p w:rsidR="00DC7B1E" w:rsidRPr="00832004" w:rsidRDefault="00DC7B1E" w:rsidP="000E7227">
      <w:pPr>
        <w:pStyle w:val="Style2"/>
        <w:jc w:val="both"/>
      </w:pPr>
    </w:p>
    <w:p w:rsidR="00DC7B1E" w:rsidRPr="00832004" w:rsidRDefault="00DC7B1E" w:rsidP="000E7227">
      <w:pPr>
        <w:pStyle w:val="Style2"/>
        <w:jc w:val="both"/>
      </w:pPr>
    </w:p>
    <w:p w:rsidR="00DC7B1E" w:rsidRPr="00832004" w:rsidRDefault="00DC7B1E" w:rsidP="00832004">
      <w:pPr>
        <w:pStyle w:val="Style2"/>
      </w:pPr>
    </w:p>
    <w:p w:rsidR="00DC7B1E" w:rsidRPr="00832004" w:rsidRDefault="00DC7B1E" w:rsidP="00832004">
      <w:pPr>
        <w:pStyle w:val="Style2"/>
      </w:pPr>
    </w:p>
    <w:p w:rsidR="00DC7B1E" w:rsidRPr="00832004" w:rsidRDefault="00DC7B1E" w:rsidP="00832004">
      <w:pPr>
        <w:pStyle w:val="Style2"/>
      </w:pPr>
    </w:p>
    <w:p w:rsidR="00DC7B1E" w:rsidRPr="00832004" w:rsidRDefault="00DC7B1E" w:rsidP="00832004">
      <w:pPr>
        <w:pStyle w:val="Style2"/>
      </w:pPr>
    </w:p>
    <w:p w:rsidR="00DC7B1E" w:rsidRPr="00832004" w:rsidRDefault="00DC7B1E" w:rsidP="00832004">
      <w:pPr>
        <w:pStyle w:val="Style2"/>
      </w:pPr>
    </w:p>
    <w:p w:rsidR="00DC7B1E" w:rsidRPr="00832004" w:rsidRDefault="00DC7B1E" w:rsidP="00832004">
      <w:pPr>
        <w:pStyle w:val="Style2"/>
      </w:pPr>
    </w:p>
    <w:p w:rsidR="00DC7B1E" w:rsidRPr="00832004" w:rsidRDefault="00DC7B1E" w:rsidP="00832004">
      <w:pPr>
        <w:pStyle w:val="Style2"/>
      </w:pPr>
    </w:p>
    <w:p w:rsidR="00DC7B1E" w:rsidRDefault="00DC7B1E" w:rsidP="00832004">
      <w:pPr>
        <w:pStyle w:val="Style2"/>
      </w:pPr>
    </w:p>
    <w:p w:rsidR="00DC7B1E" w:rsidRDefault="00DC7B1E" w:rsidP="00832004">
      <w:pPr>
        <w:pStyle w:val="Style2"/>
      </w:pPr>
    </w:p>
    <w:p w:rsidR="00DC7B1E" w:rsidRPr="00832004" w:rsidRDefault="00DC7B1E" w:rsidP="00832004">
      <w:pPr>
        <w:pStyle w:val="Style2"/>
      </w:pPr>
    </w:p>
    <w:p w:rsidR="00DC7B1E" w:rsidRPr="00236C8C" w:rsidRDefault="00DC7B1E" w:rsidP="00D63425">
      <w:pPr>
        <w:pStyle w:val="Heading1"/>
        <w:spacing w:before="60" w:line="360" w:lineRule="auto"/>
        <w:contextualSpacing/>
        <w:rPr>
          <w:color w:val="2A62A6"/>
        </w:rPr>
      </w:pPr>
      <w:bookmarkStart w:id="2" w:name="_Toc234567957"/>
      <w:r w:rsidRPr="00236C8C">
        <w:rPr>
          <w:color w:val="2A62A6"/>
        </w:rPr>
        <w:t>Executive summary</w:t>
      </w:r>
      <w:bookmarkEnd w:id="2"/>
    </w:p>
    <w:p w:rsidR="00DC7B1E" w:rsidRPr="00832004" w:rsidRDefault="00DC7B1E" w:rsidP="00A94509">
      <w:pPr>
        <w:pStyle w:val="NoSpacing"/>
        <w:spacing w:line="360" w:lineRule="auto"/>
        <w:jc w:val="both"/>
        <w:rPr>
          <w:rFonts w:ascii="Times New Roman" w:hAnsi="Times New Roman"/>
        </w:rPr>
      </w:pPr>
      <w:r>
        <w:rPr>
          <w:noProof/>
        </w:rPr>
        <w:pict>
          <v:shape id="_x0000_s1028" type="#_x0000_t32" style="position:absolute;left:0;text-align:left;margin-left:1.5pt;margin-top:14.5pt;width:451.8pt;height:0;z-index:251653632" o:connectortype="straight"/>
        </w:pict>
      </w: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r w:rsidRPr="00832004">
        <w:rPr>
          <w:rFonts w:ascii="Times New Roman" w:hAnsi="Times New Roman"/>
        </w:rPr>
        <w:t xml:space="preserve">This research investigates the effect of the exercise and vesting of executive stock options on the extent that managers engage in earnings management, measured by discretionary accruals. Since prior literature only examine this subject by only focusing on the CEO compensation, this study strives to contribute the existing literature by investigating the exercise and vesting of executive stock options of all executives of a firm. I hypothesize that the number of options exercised by executives and their gain from those exercises are positively correlated with earnings management. Additionally, the difference in the level of earnings management between the various function combinations of executives that exercise stock options is also reflected on. Regarding the vesting of executive stock options, I hypothesize that the moneyness of the vested stock options and the number of vested stock options relative to the total stock option holdings is positively associated with earnings management. Hereby a distinction has been made between traditional stock options and performance stock options. </w:t>
      </w:r>
    </w:p>
    <w:p w:rsidR="00DC7B1E" w:rsidRPr="00832004" w:rsidRDefault="00DC7B1E" w:rsidP="00DC2D01">
      <w:pPr>
        <w:pStyle w:val="NoSpacing"/>
        <w:spacing w:line="360" w:lineRule="auto"/>
        <w:jc w:val="both"/>
        <w:rPr>
          <w:rFonts w:ascii="Times New Roman" w:hAnsi="Times New Roman"/>
        </w:rPr>
      </w:pPr>
      <w:r w:rsidRPr="00832004">
        <w:rPr>
          <w:rFonts w:ascii="Times New Roman" w:hAnsi="Times New Roman"/>
        </w:rPr>
        <w:t xml:space="preserve">Using a sample of 88 firms in the UK over the time period of 2004 to 2007, I find that the level of earnings management of only the function combination CEO, CFO and other types of executives that exercise their stock options during the same year, is significantly higher in relation to the case that none of the executives exercise their stock options. However, in contrast to prior researches I find no evidence for the relationship of the number of exercised options and the gain from those exercises with earnings management. The moneyness of the vested stock options is not significantly correlated with earnings management either. Lastly, with no certainty can be concluded that the portion of performance stock options that vest during the year is associated with earnings management. While the absolute value of the number of performance stock options relative to the executives’ total stock option holdings is significant positively related to discretionary accruals, I find no evidence that the change in the portion of performance vested stock options explains the change in discretionary accruals. </w:t>
      </w: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832004" w:rsidRDefault="00DC7B1E" w:rsidP="00A94509">
      <w:pPr>
        <w:pStyle w:val="NoSpacing"/>
        <w:spacing w:line="360" w:lineRule="auto"/>
        <w:jc w:val="both"/>
        <w:rPr>
          <w:rFonts w:ascii="Times New Roman" w:hAnsi="Times New Roman"/>
        </w:rPr>
      </w:pPr>
    </w:p>
    <w:p w:rsidR="00DC7B1E" w:rsidRPr="00236C8C" w:rsidRDefault="00DC7B1E" w:rsidP="00731266">
      <w:pPr>
        <w:pStyle w:val="TOCHeading"/>
        <w:spacing w:before="60" w:after="60" w:line="360" w:lineRule="auto"/>
        <w:contextualSpacing/>
        <w:rPr>
          <w:color w:val="2A62A6"/>
          <w:sz w:val="32"/>
          <w:szCs w:val="32"/>
        </w:rPr>
      </w:pPr>
      <w:r w:rsidRPr="00236C8C">
        <w:rPr>
          <w:color w:val="2A62A6"/>
          <w:sz w:val="32"/>
          <w:szCs w:val="32"/>
        </w:rPr>
        <w:t>Table of Contents</w:t>
      </w:r>
    </w:p>
    <w:p w:rsidR="00DC7B1E" w:rsidRPr="00AC7CE7" w:rsidRDefault="00DC7B1E" w:rsidP="00A94509">
      <w:r>
        <w:rPr>
          <w:noProof/>
        </w:rPr>
        <w:pict>
          <v:shape id="_x0000_s1029" type="#_x0000_t32" style="position:absolute;margin-left:-.25pt;margin-top:13.05pt;width:468pt;height:0;z-index:251654656" o:connectortype="straight"/>
        </w:pict>
      </w:r>
    </w:p>
    <w:p w:rsidR="00DC7B1E" w:rsidRDefault="00DC7B1E" w:rsidP="0083384C">
      <w:pPr>
        <w:pStyle w:val="TOC1"/>
        <w:rPr>
          <w:b w:val="0"/>
        </w:rPr>
      </w:pPr>
      <w:r w:rsidRPr="00B3741E">
        <w:rPr>
          <w:rFonts w:ascii="Times New Roman" w:hAnsi="Times New Roman"/>
        </w:rPr>
        <w:fldChar w:fldCharType="begin"/>
      </w:r>
      <w:r w:rsidRPr="00B3741E">
        <w:rPr>
          <w:rFonts w:ascii="Times New Roman" w:hAnsi="Times New Roman"/>
        </w:rPr>
        <w:instrText xml:space="preserve"> TOC \o "1-3" \h \z \u </w:instrText>
      </w:r>
      <w:r w:rsidRPr="00B3741E">
        <w:rPr>
          <w:rFonts w:ascii="Times New Roman" w:hAnsi="Times New Roman"/>
        </w:rPr>
        <w:fldChar w:fldCharType="separate"/>
      </w:r>
    </w:p>
    <w:p w:rsidR="00DC7B1E" w:rsidRPr="00A3575F" w:rsidRDefault="00DC7B1E">
      <w:pPr>
        <w:pStyle w:val="TOC1"/>
        <w:rPr>
          <w:rFonts w:ascii="Times New Roman" w:hAnsi="Times New Roman"/>
          <w:b w:val="0"/>
        </w:rPr>
      </w:pPr>
      <w:hyperlink w:anchor="_Toc234567958" w:history="1">
        <w:r w:rsidRPr="00A3575F">
          <w:rPr>
            <w:rStyle w:val="Hyperlink"/>
            <w:rFonts w:ascii="Times New Roman" w:hAnsi="Times New Roman"/>
          </w:rPr>
          <w:t>1</w:t>
        </w:r>
        <w:r w:rsidRPr="00A3575F">
          <w:rPr>
            <w:rFonts w:ascii="Times New Roman" w:hAnsi="Times New Roman"/>
            <w:b w:val="0"/>
          </w:rPr>
          <w:tab/>
        </w:r>
        <w:r w:rsidRPr="00A3575F">
          <w:rPr>
            <w:rStyle w:val="Hyperlink"/>
            <w:rFonts w:ascii="Times New Roman" w:hAnsi="Times New Roman"/>
          </w:rPr>
          <w:t>Introduction</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_Toc234567958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59" w:history="1">
        <w:r w:rsidRPr="00A3575F">
          <w:rPr>
            <w:rStyle w:val="Hyperlink"/>
            <w:rFonts w:ascii="Times New Roman" w:hAnsi="Times New Roman"/>
            <w:noProof/>
          </w:rPr>
          <w:t xml:space="preserve">1.1 </w:t>
        </w:r>
        <w:r w:rsidRPr="00A3575F">
          <w:rPr>
            <w:rFonts w:ascii="Times New Roman" w:hAnsi="Times New Roman"/>
            <w:noProof/>
          </w:rPr>
          <w:tab/>
        </w:r>
        <w:r w:rsidRPr="00A3575F">
          <w:rPr>
            <w:rStyle w:val="Hyperlink"/>
            <w:rFonts w:ascii="Times New Roman" w:hAnsi="Times New Roman"/>
            <w:noProof/>
          </w:rPr>
          <w:t>Executive stock options and earnings management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_Toc234567959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60" w:history="1">
        <w:r w:rsidRPr="00A3575F">
          <w:rPr>
            <w:rStyle w:val="Hyperlink"/>
            <w:rFonts w:ascii="Times New Roman" w:hAnsi="Times New Roman"/>
            <w:noProof/>
          </w:rPr>
          <w:t xml:space="preserve">1.2 </w:t>
        </w:r>
        <w:r w:rsidRPr="00A3575F">
          <w:rPr>
            <w:rFonts w:ascii="Times New Roman" w:hAnsi="Times New Roman"/>
            <w:noProof/>
          </w:rPr>
          <w:tab/>
        </w:r>
        <w:r w:rsidRPr="00A3575F">
          <w:rPr>
            <w:rStyle w:val="Hyperlink"/>
            <w:rFonts w:ascii="Times New Roman" w:hAnsi="Times New Roman"/>
            <w:noProof/>
          </w:rPr>
          <w:t>Research question</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_Toc234567960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61" w:history="1">
        <w:r w:rsidRPr="00A3575F">
          <w:rPr>
            <w:rStyle w:val="Hyperlink"/>
            <w:rFonts w:ascii="Times New Roman" w:hAnsi="Times New Roman"/>
            <w:noProof/>
          </w:rPr>
          <w:t xml:space="preserve">1.3 </w:t>
        </w:r>
        <w:r w:rsidRPr="00A3575F">
          <w:rPr>
            <w:rFonts w:ascii="Times New Roman" w:hAnsi="Times New Roman"/>
            <w:noProof/>
          </w:rPr>
          <w:tab/>
        </w:r>
        <w:r w:rsidRPr="00A3575F">
          <w:rPr>
            <w:rStyle w:val="Hyperlink"/>
            <w:rFonts w:ascii="Times New Roman" w:hAnsi="Times New Roman"/>
            <w:noProof/>
          </w:rPr>
          <w:t>Earnings management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_Toc234567961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62" w:history="1">
        <w:r w:rsidRPr="00A3575F">
          <w:rPr>
            <w:rStyle w:val="Hyperlink"/>
            <w:rFonts w:ascii="Times New Roman" w:hAnsi="Times New Roman"/>
            <w:noProof/>
          </w:rPr>
          <w:t xml:space="preserve">1.4 </w:t>
        </w:r>
        <w:r w:rsidRPr="00A3575F">
          <w:rPr>
            <w:rFonts w:ascii="Times New Roman" w:hAnsi="Times New Roman"/>
            <w:noProof/>
          </w:rPr>
          <w:tab/>
        </w:r>
        <w:r w:rsidRPr="00A3575F">
          <w:rPr>
            <w:rStyle w:val="Hyperlink"/>
            <w:rFonts w:ascii="Times New Roman" w:hAnsi="Times New Roman"/>
            <w:noProof/>
          </w:rPr>
          <w:t>Relevance</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_Toc234567962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63" w:history="1">
        <w:r w:rsidRPr="00A3575F">
          <w:rPr>
            <w:rStyle w:val="Hyperlink"/>
            <w:rFonts w:ascii="Times New Roman" w:hAnsi="Times New Roman"/>
            <w:noProof/>
          </w:rPr>
          <w:t xml:space="preserve">1.5 </w:t>
        </w:r>
        <w:r w:rsidRPr="00A3575F">
          <w:rPr>
            <w:rFonts w:ascii="Times New Roman" w:hAnsi="Times New Roman"/>
            <w:noProof/>
          </w:rPr>
          <w:tab/>
        </w:r>
        <w:r w:rsidRPr="00A3575F">
          <w:rPr>
            <w:rStyle w:val="Hyperlink"/>
            <w:rFonts w:ascii="Times New Roman" w:hAnsi="Times New Roman"/>
            <w:noProof/>
          </w:rPr>
          <w:t>Structure</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_Toc234567963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1"/>
        <w:rPr>
          <w:rStyle w:val="Hyperlink"/>
          <w:rFonts w:ascii="Times New Roman" w:hAnsi="Times New Roman"/>
        </w:rPr>
      </w:pPr>
    </w:p>
    <w:p w:rsidR="00DC7B1E" w:rsidRPr="00A3575F" w:rsidRDefault="00DC7B1E">
      <w:pPr>
        <w:pStyle w:val="TOC1"/>
        <w:rPr>
          <w:rFonts w:ascii="Times New Roman" w:hAnsi="Times New Roman"/>
          <w:b w:val="0"/>
        </w:rPr>
      </w:pPr>
      <w:hyperlink w:anchor="_Toc234567964" w:history="1">
        <w:r w:rsidRPr="00A3575F">
          <w:rPr>
            <w:rStyle w:val="Hyperlink"/>
            <w:rFonts w:ascii="Times New Roman" w:hAnsi="Times New Roman"/>
          </w:rPr>
          <w:t>2</w:t>
        </w:r>
        <w:r w:rsidRPr="00A3575F">
          <w:rPr>
            <w:rFonts w:ascii="Times New Roman" w:hAnsi="Times New Roman"/>
            <w:b w:val="0"/>
          </w:rPr>
          <w:tab/>
        </w:r>
        <w:r w:rsidRPr="00A3575F">
          <w:rPr>
            <w:rStyle w:val="Hyperlink"/>
            <w:rFonts w:ascii="Times New Roman" w:hAnsi="Times New Roman"/>
          </w:rPr>
          <w:t>Literature review</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_Toc234567964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65" w:history="1">
        <w:r w:rsidRPr="00A3575F">
          <w:rPr>
            <w:rStyle w:val="Hyperlink"/>
            <w:rFonts w:ascii="Times New Roman" w:hAnsi="Times New Roman"/>
            <w:noProof/>
          </w:rPr>
          <w:t>2.1</w:t>
        </w:r>
        <w:r w:rsidRPr="00A3575F">
          <w:rPr>
            <w:rFonts w:ascii="Times New Roman" w:hAnsi="Times New Roman"/>
            <w:noProof/>
          </w:rPr>
          <w:tab/>
        </w:r>
        <w:r w:rsidRPr="00A3575F">
          <w:rPr>
            <w:rStyle w:val="Hyperlink"/>
            <w:rFonts w:ascii="Times New Roman" w:hAnsi="Times New Roman"/>
            <w:noProof/>
          </w:rPr>
          <w:t>Agency theory</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_Toc234567965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66" w:history="1">
        <w:r w:rsidRPr="00A3575F">
          <w:rPr>
            <w:rStyle w:val="Hyperlink"/>
            <w:rFonts w:ascii="Times New Roman" w:hAnsi="Times New Roman"/>
            <w:noProof/>
          </w:rPr>
          <w:t xml:space="preserve">2.2 </w:t>
        </w:r>
        <w:r w:rsidRPr="00A3575F">
          <w:rPr>
            <w:rFonts w:ascii="Times New Roman" w:hAnsi="Times New Roman"/>
            <w:noProof/>
          </w:rPr>
          <w:tab/>
        </w:r>
        <w:r w:rsidRPr="00A3575F">
          <w:rPr>
            <w:rStyle w:val="Hyperlink"/>
            <w:rFonts w:ascii="Times New Roman" w:hAnsi="Times New Roman"/>
            <w:noProof/>
          </w:rPr>
          <w:t>Stock Options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_Toc234567966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67" w:history="1">
        <w:r w:rsidRPr="00A3575F">
          <w:rPr>
            <w:rStyle w:val="Hyperlink"/>
            <w:rFonts w:ascii="Times New Roman" w:hAnsi="Times New Roman"/>
            <w:i/>
            <w:noProof/>
          </w:rPr>
          <w:t xml:space="preserve">2.2.1 </w:t>
        </w:r>
        <w:r w:rsidRPr="00A3575F">
          <w:rPr>
            <w:rFonts w:ascii="Times New Roman" w:hAnsi="Times New Roman"/>
            <w:noProof/>
          </w:rPr>
          <w:tab/>
        </w:r>
        <w:r w:rsidRPr="00A3575F">
          <w:rPr>
            <w:rStyle w:val="Hyperlink"/>
            <w:rFonts w:ascii="Times New Roman" w:hAnsi="Times New Roman"/>
            <w:i/>
            <w:noProof/>
          </w:rPr>
          <w:t>Developments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_Toc234567967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68" w:history="1">
        <w:r w:rsidRPr="00A3575F">
          <w:rPr>
            <w:rStyle w:val="Hyperlink"/>
            <w:rFonts w:ascii="Times New Roman" w:hAnsi="Times New Roman"/>
            <w:i/>
            <w:noProof/>
          </w:rPr>
          <w:t xml:space="preserve">2.2.2 </w:t>
        </w:r>
        <w:r w:rsidRPr="00A3575F">
          <w:rPr>
            <w:rFonts w:ascii="Times New Roman" w:hAnsi="Times New Roman"/>
            <w:noProof/>
          </w:rPr>
          <w:tab/>
        </w:r>
        <w:r w:rsidRPr="00A3575F">
          <w:rPr>
            <w:rStyle w:val="Hyperlink"/>
            <w:rFonts w:ascii="Times New Roman" w:hAnsi="Times New Roman"/>
            <w:i/>
            <w:noProof/>
          </w:rPr>
          <w:t>Regular stock options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_Toc234567968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69" w:history="1">
        <w:r w:rsidRPr="00A3575F">
          <w:rPr>
            <w:rStyle w:val="Hyperlink"/>
            <w:rFonts w:ascii="Times New Roman" w:hAnsi="Times New Roman"/>
            <w:i/>
            <w:noProof/>
          </w:rPr>
          <w:t>2.2.3</w:t>
        </w:r>
        <w:r w:rsidRPr="00A3575F">
          <w:rPr>
            <w:rFonts w:ascii="Times New Roman" w:hAnsi="Times New Roman"/>
            <w:noProof/>
          </w:rPr>
          <w:tab/>
        </w:r>
        <w:r w:rsidRPr="00A3575F">
          <w:rPr>
            <w:rStyle w:val="Hyperlink"/>
            <w:rFonts w:ascii="Times New Roman" w:hAnsi="Times New Roman"/>
            <w:i/>
            <w:noProof/>
          </w:rPr>
          <w:t>Executive stock options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_Toc234567969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70" w:history="1">
        <w:r w:rsidRPr="00A3575F">
          <w:rPr>
            <w:rStyle w:val="Hyperlink"/>
            <w:rFonts w:ascii="Times New Roman" w:hAnsi="Times New Roman"/>
            <w:i/>
            <w:noProof/>
          </w:rPr>
          <w:t xml:space="preserve">2.2.4 </w:t>
        </w:r>
        <w:r w:rsidRPr="00A3575F">
          <w:rPr>
            <w:rFonts w:ascii="Times New Roman" w:hAnsi="Times New Roman"/>
            <w:noProof/>
          </w:rPr>
          <w:tab/>
        </w:r>
        <w:r w:rsidRPr="00A3575F">
          <w:rPr>
            <w:rStyle w:val="Hyperlink"/>
            <w:rFonts w:ascii="Times New Roman" w:hAnsi="Times New Roman"/>
            <w:i/>
            <w:noProof/>
          </w:rPr>
          <w:t>Advantages of executive stock option grants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_Toc234567970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71" w:history="1">
        <w:r w:rsidRPr="00A3575F">
          <w:rPr>
            <w:rStyle w:val="Hyperlink"/>
            <w:rFonts w:ascii="Times New Roman" w:hAnsi="Times New Roman"/>
            <w:i/>
            <w:noProof/>
          </w:rPr>
          <w:t>2.2.5</w:t>
        </w:r>
        <w:r w:rsidRPr="00A3575F">
          <w:rPr>
            <w:rFonts w:ascii="Times New Roman" w:hAnsi="Times New Roman"/>
            <w:noProof/>
          </w:rPr>
          <w:tab/>
        </w:r>
        <w:r w:rsidRPr="00A3575F">
          <w:rPr>
            <w:rStyle w:val="Hyperlink"/>
            <w:rFonts w:ascii="Times New Roman" w:hAnsi="Times New Roman"/>
            <w:i/>
            <w:noProof/>
          </w:rPr>
          <w:t>Drawbacks of executive stock options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_Toc234567971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72" w:history="1">
        <w:r w:rsidRPr="00A3575F">
          <w:rPr>
            <w:rStyle w:val="Hyperlink"/>
            <w:rFonts w:ascii="Times New Roman" w:hAnsi="Times New Roman"/>
            <w:noProof/>
          </w:rPr>
          <w:t>2.3</w:t>
        </w:r>
        <w:r w:rsidRPr="00A3575F">
          <w:rPr>
            <w:rFonts w:ascii="Times New Roman" w:hAnsi="Times New Roman"/>
            <w:noProof/>
          </w:rPr>
          <w:tab/>
        </w:r>
        <w:r w:rsidRPr="00A3575F">
          <w:rPr>
            <w:rStyle w:val="Hyperlink"/>
            <w:rFonts w:ascii="Times New Roman" w:hAnsi="Times New Roman"/>
            <w:noProof/>
          </w:rPr>
          <w:t>Earnings Management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_Toc234567972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73" w:history="1">
        <w:r w:rsidRPr="00A3575F">
          <w:rPr>
            <w:rStyle w:val="Hyperlink"/>
            <w:rFonts w:ascii="Times New Roman" w:hAnsi="Times New Roman"/>
            <w:i/>
            <w:noProof/>
          </w:rPr>
          <w:t>2.3.1</w:t>
        </w:r>
        <w:r w:rsidRPr="00A3575F">
          <w:rPr>
            <w:rFonts w:ascii="Times New Roman" w:hAnsi="Times New Roman"/>
            <w:noProof/>
          </w:rPr>
          <w:tab/>
        </w:r>
        <w:r w:rsidRPr="00A3575F">
          <w:rPr>
            <w:rStyle w:val="Hyperlink"/>
            <w:rFonts w:ascii="Times New Roman" w:hAnsi="Times New Roman"/>
            <w:i/>
            <w:noProof/>
          </w:rPr>
          <w:t>Earnings management versus fraud</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_Toc234567973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74" w:history="1">
        <w:r w:rsidRPr="00A3575F">
          <w:rPr>
            <w:rStyle w:val="Hyperlink"/>
            <w:rFonts w:ascii="Times New Roman" w:hAnsi="Times New Roman"/>
            <w:i/>
            <w:noProof/>
          </w:rPr>
          <w:t>2.3.2</w:t>
        </w:r>
        <w:r w:rsidRPr="00A3575F">
          <w:rPr>
            <w:rFonts w:ascii="Times New Roman" w:hAnsi="Times New Roman"/>
            <w:noProof/>
          </w:rPr>
          <w:tab/>
        </w:r>
        <w:r w:rsidRPr="00A3575F">
          <w:rPr>
            <w:rStyle w:val="Hyperlink"/>
            <w:rFonts w:ascii="Times New Roman" w:hAnsi="Times New Roman"/>
            <w:i/>
            <w:noProof/>
          </w:rPr>
          <w:t>Incentives for earnings management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_Toc234567974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100"/>
          <w:tab w:val="right" w:leader="dot" w:pos="9061"/>
        </w:tabs>
        <w:rPr>
          <w:rFonts w:ascii="Times New Roman" w:hAnsi="Times New Roman"/>
          <w:noProof/>
        </w:rPr>
      </w:pPr>
      <w:hyperlink w:anchor="_Toc234567975" w:history="1">
        <w:r w:rsidRPr="00A3575F">
          <w:rPr>
            <w:rStyle w:val="Hyperlink"/>
            <w:rFonts w:ascii="Times New Roman" w:hAnsi="Times New Roman"/>
            <w:i/>
            <w:noProof/>
          </w:rPr>
          <w:t>2.3.3</w:t>
        </w:r>
        <w:r w:rsidRPr="00A3575F">
          <w:rPr>
            <w:rFonts w:ascii="Times New Roman" w:hAnsi="Times New Roman"/>
            <w:noProof/>
          </w:rPr>
          <w:tab/>
        </w:r>
        <w:r>
          <w:rPr>
            <w:rFonts w:ascii="Times New Roman" w:hAnsi="Times New Roman"/>
            <w:noProof/>
          </w:rPr>
          <w:t xml:space="preserve">    </w:t>
        </w:r>
        <w:r w:rsidRPr="00A3575F">
          <w:rPr>
            <w:rStyle w:val="Hyperlink"/>
            <w:rFonts w:ascii="Times New Roman" w:hAnsi="Times New Roman"/>
            <w:i/>
            <w:noProof/>
          </w:rPr>
          <w:t>Methods to manage earnings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_Toc234567975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76" w:history="1">
        <w:r w:rsidRPr="00A3575F">
          <w:rPr>
            <w:rStyle w:val="Hyperlink"/>
            <w:rFonts w:ascii="Times New Roman" w:hAnsi="Times New Roman"/>
            <w:i/>
            <w:noProof/>
          </w:rPr>
          <w:t>2.3.4</w:t>
        </w:r>
        <w:r w:rsidRPr="00A3575F">
          <w:rPr>
            <w:rFonts w:ascii="Times New Roman" w:hAnsi="Times New Roman"/>
            <w:noProof/>
          </w:rPr>
          <w:tab/>
        </w:r>
        <w:r w:rsidRPr="00A3575F">
          <w:rPr>
            <w:rStyle w:val="Hyperlink"/>
            <w:rFonts w:ascii="Times New Roman" w:hAnsi="Times New Roman"/>
            <w:i/>
            <w:noProof/>
          </w:rPr>
          <w:t>Accrual accounting</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_Toc234567976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77" w:history="1">
        <w:r w:rsidRPr="00A3575F">
          <w:rPr>
            <w:rStyle w:val="Hyperlink"/>
            <w:rFonts w:ascii="Times New Roman" w:hAnsi="Times New Roman"/>
            <w:noProof/>
          </w:rPr>
          <w:t>2.4</w:t>
        </w:r>
        <w:r w:rsidRPr="00A3575F">
          <w:rPr>
            <w:rFonts w:ascii="Times New Roman" w:hAnsi="Times New Roman"/>
            <w:noProof/>
          </w:rPr>
          <w:tab/>
        </w:r>
        <w:r w:rsidRPr="00A3575F">
          <w:rPr>
            <w:rStyle w:val="Hyperlink"/>
            <w:rFonts w:ascii="Times New Roman" w:hAnsi="Times New Roman"/>
            <w:noProof/>
          </w:rPr>
          <w:t>Stock options and earnings management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_Toc234567977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1"/>
        <w:rPr>
          <w:rStyle w:val="Hyperlink"/>
          <w:rFonts w:ascii="Times New Roman" w:hAnsi="Times New Roman"/>
        </w:rPr>
      </w:pPr>
    </w:p>
    <w:p w:rsidR="00DC7B1E" w:rsidRPr="00A3575F" w:rsidRDefault="00DC7B1E">
      <w:pPr>
        <w:pStyle w:val="TOC1"/>
        <w:rPr>
          <w:rFonts w:ascii="Times New Roman" w:hAnsi="Times New Roman"/>
          <w:b w:val="0"/>
        </w:rPr>
      </w:pPr>
      <w:hyperlink w:anchor="_Toc234567978" w:history="1">
        <w:r w:rsidRPr="00A3575F">
          <w:rPr>
            <w:rStyle w:val="Hyperlink"/>
            <w:rFonts w:ascii="Times New Roman" w:hAnsi="Times New Roman"/>
          </w:rPr>
          <w:t>3</w:t>
        </w:r>
        <w:r w:rsidRPr="00A3575F">
          <w:rPr>
            <w:rFonts w:ascii="Times New Roman" w:hAnsi="Times New Roman"/>
            <w:b w:val="0"/>
          </w:rPr>
          <w:tab/>
        </w:r>
        <w:r w:rsidRPr="00A3575F">
          <w:rPr>
            <w:rStyle w:val="Hyperlink"/>
            <w:rFonts w:ascii="Times New Roman" w:hAnsi="Times New Roman"/>
          </w:rPr>
          <w:t>Hypothesis development</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_Toc234567978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Style w:val="Hyperlink"/>
          <w:rFonts w:ascii="Times New Roman" w:hAnsi="Times New Roman"/>
        </w:rPr>
      </w:pPr>
    </w:p>
    <w:p w:rsidR="00DC7B1E" w:rsidRPr="00A3575F" w:rsidRDefault="00DC7B1E">
      <w:pPr>
        <w:pStyle w:val="TOC1"/>
        <w:rPr>
          <w:rFonts w:ascii="Times New Roman" w:hAnsi="Times New Roman"/>
          <w:b w:val="0"/>
        </w:rPr>
      </w:pPr>
      <w:hyperlink w:anchor="_Toc234567979" w:history="1">
        <w:r w:rsidRPr="00A3575F">
          <w:rPr>
            <w:rStyle w:val="Hyperlink"/>
            <w:rFonts w:ascii="Times New Roman" w:hAnsi="Times New Roman"/>
          </w:rPr>
          <w:t>4</w:t>
        </w:r>
        <w:r w:rsidRPr="00A3575F">
          <w:rPr>
            <w:rFonts w:ascii="Times New Roman" w:hAnsi="Times New Roman"/>
            <w:b w:val="0"/>
          </w:rPr>
          <w:tab/>
        </w:r>
        <w:r w:rsidRPr="00A3575F">
          <w:rPr>
            <w:rStyle w:val="Hyperlink"/>
            <w:rFonts w:ascii="Times New Roman" w:hAnsi="Times New Roman"/>
          </w:rPr>
          <w:t>Methodology</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_Toc234567979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80" w:history="1">
        <w:r w:rsidRPr="00A3575F">
          <w:rPr>
            <w:rStyle w:val="Hyperlink"/>
            <w:rFonts w:ascii="Times New Roman" w:hAnsi="Times New Roman"/>
            <w:noProof/>
          </w:rPr>
          <w:t>4.1</w:t>
        </w:r>
        <w:r w:rsidRPr="00A3575F">
          <w:rPr>
            <w:rFonts w:ascii="Times New Roman" w:hAnsi="Times New Roman"/>
            <w:noProof/>
          </w:rPr>
          <w:tab/>
        </w:r>
        <w:r w:rsidRPr="00A3575F">
          <w:rPr>
            <w:rStyle w:val="Hyperlink"/>
            <w:rFonts w:ascii="Times New Roman" w:hAnsi="Times New Roman"/>
            <w:noProof/>
          </w:rPr>
          <w:t>Measuring discretionary accruals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_Toc234567980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81" w:history="1">
        <w:r w:rsidRPr="00A3575F">
          <w:rPr>
            <w:rStyle w:val="Hyperlink"/>
            <w:rFonts w:ascii="Times New Roman" w:hAnsi="Times New Roman"/>
            <w:noProof/>
          </w:rPr>
          <w:t>4.2</w:t>
        </w:r>
        <w:r w:rsidRPr="00A3575F">
          <w:rPr>
            <w:rFonts w:ascii="Times New Roman" w:hAnsi="Times New Roman"/>
            <w:noProof/>
          </w:rPr>
          <w:tab/>
        </w:r>
        <w:r w:rsidRPr="00A3575F">
          <w:rPr>
            <w:rStyle w:val="Hyperlink"/>
            <w:rFonts w:ascii="Times New Roman" w:hAnsi="Times New Roman"/>
            <w:noProof/>
          </w:rPr>
          <w:t>Empirical models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_Toc234567981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82" w:history="1">
        <w:r w:rsidRPr="00A3575F">
          <w:rPr>
            <w:rStyle w:val="Hyperlink"/>
            <w:rFonts w:ascii="Times New Roman" w:hAnsi="Times New Roman"/>
            <w:i/>
            <w:noProof/>
          </w:rPr>
          <w:t>4.2.1</w:t>
        </w:r>
        <w:r w:rsidRPr="00A3575F">
          <w:rPr>
            <w:rFonts w:ascii="Times New Roman" w:hAnsi="Times New Roman"/>
            <w:noProof/>
          </w:rPr>
          <w:tab/>
        </w:r>
        <w:r w:rsidRPr="00A3575F">
          <w:rPr>
            <w:rStyle w:val="Hyperlink"/>
            <w:rFonts w:ascii="Times New Roman" w:hAnsi="Times New Roman"/>
            <w:i/>
            <w:noProof/>
          </w:rPr>
          <w:t>Empirical model for H1, H2 and H3</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_Toc234567982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83" w:history="1">
        <w:r w:rsidRPr="00A3575F">
          <w:rPr>
            <w:rStyle w:val="Hyperlink"/>
            <w:rFonts w:ascii="Times New Roman" w:hAnsi="Times New Roman"/>
            <w:i/>
            <w:noProof/>
          </w:rPr>
          <w:t>4.2.2</w:t>
        </w:r>
        <w:r w:rsidRPr="00A3575F">
          <w:rPr>
            <w:rFonts w:ascii="Times New Roman" w:hAnsi="Times New Roman"/>
            <w:noProof/>
          </w:rPr>
          <w:tab/>
        </w:r>
        <w:r w:rsidRPr="00A3575F">
          <w:rPr>
            <w:rStyle w:val="Hyperlink"/>
            <w:rFonts w:ascii="Times New Roman" w:hAnsi="Times New Roman"/>
            <w:i/>
            <w:noProof/>
          </w:rPr>
          <w:t>Empirical model for H4 and H5</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_Toc234567983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84" w:history="1">
        <w:r w:rsidRPr="00A3575F">
          <w:rPr>
            <w:rStyle w:val="Hyperlink"/>
            <w:rFonts w:ascii="Times New Roman" w:hAnsi="Times New Roman"/>
            <w:noProof/>
          </w:rPr>
          <w:t>4.3</w:t>
        </w:r>
        <w:r w:rsidRPr="00A3575F">
          <w:rPr>
            <w:rFonts w:ascii="Times New Roman" w:hAnsi="Times New Roman"/>
            <w:noProof/>
          </w:rPr>
          <w:tab/>
        </w:r>
        <w:r w:rsidRPr="00A3575F">
          <w:rPr>
            <w:rStyle w:val="Hyperlink"/>
            <w:rFonts w:ascii="Times New Roman" w:hAnsi="Times New Roman"/>
            <w:noProof/>
          </w:rPr>
          <w:t>Sample selection</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_Toc234567984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85" w:history="1">
        <w:r w:rsidRPr="00A3575F">
          <w:rPr>
            <w:rStyle w:val="Hyperlink"/>
            <w:rFonts w:ascii="Times New Roman" w:hAnsi="Times New Roman"/>
            <w:noProof/>
          </w:rPr>
          <w:t>4.4</w:t>
        </w:r>
        <w:r w:rsidRPr="00A3575F">
          <w:rPr>
            <w:rFonts w:ascii="Times New Roman" w:hAnsi="Times New Roman"/>
            <w:noProof/>
          </w:rPr>
          <w:tab/>
        </w:r>
        <w:r w:rsidRPr="00A3575F">
          <w:rPr>
            <w:rStyle w:val="Hyperlink"/>
            <w:rFonts w:ascii="Times New Roman" w:hAnsi="Times New Roman"/>
            <w:noProof/>
          </w:rPr>
          <w:t>Data collection</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_Toc234567985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1"/>
        <w:rPr>
          <w:rStyle w:val="Hyperlink"/>
          <w:rFonts w:ascii="Times New Roman" w:hAnsi="Times New Roman"/>
        </w:rPr>
      </w:pPr>
    </w:p>
    <w:p w:rsidR="00DC7B1E" w:rsidRPr="00A3575F" w:rsidRDefault="00DC7B1E">
      <w:pPr>
        <w:pStyle w:val="TOC1"/>
        <w:rPr>
          <w:rFonts w:ascii="Times New Roman" w:hAnsi="Times New Roman"/>
          <w:b w:val="0"/>
        </w:rPr>
      </w:pPr>
      <w:hyperlink w:anchor="_Toc234567986" w:history="1">
        <w:r w:rsidRPr="00A3575F">
          <w:rPr>
            <w:rStyle w:val="Hyperlink"/>
            <w:rFonts w:ascii="Times New Roman" w:hAnsi="Times New Roman"/>
          </w:rPr>
          <w:t>5</w:t>
        </w:r>
        <w:r w:rsidRPr="00A3575F">
          <w:rPr>
            <w:rFonts w:ascii="Times New Roman" w:hAnsi="Times New Roman"/>
            <w:b w:val="0"/>
          </w:rPr>
          <w:tab/>
        </w:r>
        <w:r w:rsidRPr="00A3575F">
          <w:rPr>
            <w:rStyle w:val="Hyperlink"/>
            <w:rFonts w:ascii="Times New Roman" w:hAnsi="Times New Roman"/>
          </w:rPr>
          <w:t>Results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_Toc234567986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87" w:history="1">
        <w:r w:rsidRPr="00A3575F">
          <w:rPr>
            <w:rStyle w:val="Hyperlink"/>
            <w:rFonts w:ascii="Times New Roman" w:hAnsi="Times New Roman"/>
            <w:noProof/>
          </w:rPr>
          <w:t>5.1</w:t>
        </w:r>
        <w:r w:rsidRPr="00A3575F">
          <w:rPr>
            <w:rFonts w:ascii="Times New Roman" w:hAnsi="Times New Roman"/>
            <w:noProof/>
          </w:rPr>
          <w:tab/>
        </w:r>
        <w:r w:rsidRPr="00A3575F">
          <w:rPr>
            <w:rStyle w:val="Hyperlink"/>
            <w:rFonts w:ascii="Times New Roman" w:hAnsi="Times New Roman"/>
            <w:noProof/>
          </w:rPr>
          <w:t>Results exercise of executive stock options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_Toc234567987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88" w:history="1">
        <w:r w:rsidRPr="00A3575F">
          <w:rPr>
            <w:rStyle w:val="Hyperlink"/>
            <w:rFonts w:ascii="Times New Roman" w:hAnsi="Times New Roman"/>
            <w:i/>
            <w:noProof/>
          </w:rPr>
          <w:t>5.1.1</w:t>
        </w:r>
        <w:r w:rsidRPr="00A3575F">
          <w:rPr>
            <w:rFonts w:ascii="Times New Roman" w:hAnsi="Times New Roman"/>
            <w:noProof/>
          </w:rPr>
          <w:tab/>
        </w:r>
        <w:r w:rsidRPr="00A3575F">
          <w:rPr>
            <w:rStyle w:val="Hyperlink"/>
            <w:rFonts w:ascii="Times New Roman" w:hAnsi="Times New Roman"/>
            <w:i/>
            <w:noProof/>
          </w:rPr>
          <w:t>Descriptive analysis</w:t>
        </w:r>
        <w:r w:rsidRPr="00A3575F">
          <w:rPr>
            <w:rFonts w:ascii="Times New Roman" w:hAnsi="Times New Roman"/>
            <w:noProof/>
            <w:webHidden/>
          </w:rPr>
          <w:tab/>
          <w:t>48</w:t>
        </w:r>
      </w:hyperlink>
    </w:p>
    <w:p w:rsidR="00DC7B1E" w:rsidRPr="00A3575F" w:rsidRDefault="00DC7B1E">
      <w:pPr>
        <w:pStyle w:val="TOC3"/>
        <w:tabs>
          <w:tab w:val="left" w:pos="1320"/>
          <w:tab w:val="right" w:leader="dot" w:pos="9061"/>
        </w:tabs>
        <w:rPr>
          <w:rFonts w:ascii="Times New Roman" w:hAnsi="Times New Roman"/>
          <w:noProof/>
        </w:rPr>
      </w:pPr>
      <w:hyperlink w:anchor="_Toc234567989" w:history="1">
        <w:r w:rsidRPr="00A3575F">
          <w:rPr>
            <w:rStyle w:val="Hyperlink"/>
            <w:rFonts w:ascii="Times New Roman" w:hAnsi="Times New Roman"/>
            <w:i/>
            <w:noProof/>
          </w:rPr>
          <w:t>5.1.2</w:t>
        </w:r>
        <w:r w:rsidRPr="00A3575F">
          <w:rPr>
            <w:rFonts w:ascii="Times New Roman" w:hAnsi="Times New Roman"/>
            <w:noProof/>
          </w:rPr>
          <w:tab/>
        </w:r>
        <w:r w:rsidRPr="00A3575F">
          <w:rPr>
            <w:rStyle w:val="Hyperlink"/>
            <w:rFonts w:ascii="Times New Roman" w:hAnsi="Times New Roman"/>
            <w:i/>
            <w:noProof/>
          </w:rPr>
          <w:t>Univariate test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_Toc234567989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0" w:history="1">
        <w:r w:rsidRPr="00A3575F">
          <w:rPr>
            <w:rStyle w:val="Hyperlink"/>
            <w:rFonts w:ascii="Times New Roman" w:hAnsi="Times New Roman"/>
            <w:i/>
            <w:noProof/>
          </w:rPr>
          <w:t>5.1.3</w:t>
        </w:r>
        <w:r w:rsidRPr="00A3575F">
          <w:rPr>
            <w:rFonts w:ascii="Times New Roman" w:hAnsi="Times New Roman"/>
            <w:noProof/>
          </w:rPr>
          <w:tab/>
        </w:r>
        <w:r w:rsidRPr="00A3575F">
          <w:rPr>
            <w:rStyle w:val="Hyperlink"/>
            <w:rFonts w:ascii="Times New Roman" w:hAnsi="Times New Roman"/>
            <w:i/>
            <w:noProof/>
          </w:rPr>
          <w:t>Regression analysis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_Toc234567990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1" w:history="1">
        <w:r w:rsidRPr="00A3575F">
          <w:rPr>
            <w:rStyle w:val="Hyperlink"/>
            <w:rFonts w:ascii="Times New Roman" w:hAnsi="Times New Roman"/>
            <w:i/>
            <w:noProof/>
          </w:rPr>
          <w:t>5.1.4</w:t>
        </w:r>
        <w:r w:rsidRPr="00A3575F">
          <w:rPr>
            <w:rFonts w:ascii="Times New Roman" w:hAnsi="Times New Roman"/>
            <w:noProof/>
          </w:rPr>
          <w:tab/>
        </w:r>
        <w:r w:rsidRPr="00A3575F">
          <w:rPr>
            <w:rStyle w:val="Hyperlink"/>
            <w:rFonts w:ascii="Times New Roman" w:hAnsi="Times New Roman"/>
            <w:i/>
            <w:noProof/>
          </w:rPr>
          <w:t>Multicollinearity test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_Toc234567991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92" w:history="1">
        <w:r w:rsidRPr="00A3575F">
          <w:rPr>
            <w:rStyle w:val="Hyperlink"/>
            <w:rFonts w:ascii="Times New Roman" w:hAnsi="Times New Roman"/>
            <w:noProof/>
          </w:rPr>
          <w:t>5.2</w:t>
        </w:r>
        <w:r w:rsidRPr="00A3575F">
          <w:rPr>
            <w:rFonts w:ascii="Times New Roman" w:hAnsi="Times New Roman"/>
            <w:noProof/>
          </w:rPr>
          <w:tab/>
        </w:r>
        <w:r w:rsidRPr="00A3575F">
          <w:rPr>
            <w:rStyle w:val="Hyperlink"/>
            <w:rFonts w:ascii="Times New Roman" w:hAnsi="Times New Roman"/>
            <w:noProof/>
          </w:rPr>
          <w:t>Results vesting of executive stock options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_Toc234567992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3" w:history="1">
        <w:r w:rsidRPr="00A3575F">
          <w:rPr>
            <w:rStyle w:val="Hyperlink"/>
            <w:rFonts w:ascii="Times New Roman" w:hAnsi="Times New Roman"/>
            <w:i/>
            <w:noProof/>
          </w:rPr>
          <w:t>5.2.1</w:t>
        </w:r>
        <w:r w:rsidRPr="00A3575F">
          <w:rPr>
            <w:rFonts w:ascii="Times New Roman" w:hAnsi="Times New Roman"/>
            <w:noProof/>
          </w:rPr>
          <w:tab/>
        </w:r>
        <w:r w:rsidRPr="00A3575F">
          <w:rPr>
            <w:rStyle w:val="Hyperlink"/>
            <w:rFonts w:ascii="Times New Roman" w:hAnsi="Times New Roman"/>
            <w:i/>
            <w:noProof/>
          </w:rPr>
          <w:t>Descriptive analysis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_Toc234567993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4" w:history="1">
        <w:r w:rsidRPr="00A3575F">
          <w:rPr>
            <w:rStyle w:val="Hyperlink"/>
            <w:rFonts w:ascii="Times New Roman" w:hAnsi="Times New Roman"/>
            <w:i/>
            <w:noProof/>
          </w:rPr>
          <w:t>5.2.2</w:t>
        </w:r>
        <w:r w:rsidRPr="00A3575F">
          <w:rPr>
            <w:rFonts w:ascii="Times New Roman" w:hAnsi="Times New Roman"/>
            <w:noProof/>
          </w:rPr>
          <w:tab/>
        </w:r>
        <w:r w:rsidRPr="00A3575F">
          <w:rPr>
            <w:rStyle w:val="Hyperlink"/>
            <w:rFonts w:ascii="Times New Roman" w:hAnsi="Times New Roman"/>
            <w:i/>
            <w:noProof/>
          </w:rPr>
          <w:t>Univariate test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_Toc234567994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5" w:history="1">
        <w:r w:rsidRPr="00A3575F">
          <w:rPr>
            <w:rStyle w:val="Hyperlink"/>
            <w:rFonts w:ascii="Times New Roman" w:hAnsi="Times New Roman"/>
            <w:i/>
            <w:noProof/>
          </w:rPr>
          <w:t>5.2.3</w:t>
        </w:r>
        <w:r w:rsidRPr="00A3575F">
          <w:rPr>
            <w:rFonts w:ascii="Times New Roman" w:hAnsi="Times New Roman"/>
            <w:noProof/>
          </w:rPr>
          <w:tab/>
        </w:r>
        <w:r w:rsidRPr="00A3575F">
          <w:rPr>
            <w:rStyle w:val="Hyperlink"/>
            <w:rFonts w:ascii="Times New Roman" w:hAnsi="Times New Roman"/>
            <w:i/>
            <w:noProof/>
          </w:rPr>
          <w:t>Regression</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_Toc234567995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6" w:history="1">
        <w:r w:rsidRPr="00A3575F">
          <w:rPr>
            <w:rStyle w:val="Hyperlink"/>
            <w:rFonts w:ascii="Times New Roman" w:hAnsi="Times New Roman"/>
            <w:i/>
            <w:noProof/>
          </w:rPr>
          <w:t>5.2.4</w:t>
        </w:r>
        <w:r w:rsidRPr="00A3575F">
          <w:rPr>
            <w:rFonts w:ascii="Times New Roman" w:hAnsi="Times New Roman"/>
            <w:noProof/>
          </w:rPr>
          <w:tab/>
        </w:r>
        <w:r w:rsidRPr="00A3575F">
          <w:rPr>
            <w:rStyle w:val="Hyperlink"/>
            <w:rFonts w:ascii="Times New Roman" w:hAnsi="Times New Roman"/>
            <w:i/>
            <w:noProof/>
          </w:rPr>
          <w:t>Multicollinearity test</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_Toc234567996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7997" w:history="1">
        <w:r w:rsidRPr="00A3575F">
          <w:rPr>
            <w:rStyle w:val="Hyperlink"/>
            <w:rFonts w:ascii="Times New Roman" w:hAnsi="Times New Roman"/>
            <w:noProof/>
          </w:rPr>
          <w:t>5.3</w:t>
        </w:r>
        <w:r w:rsidRPr="00A3575F">
          <w:rPr>
            <w:rFonts w:ascii="Times New Roman" w:hAnsi="Times New Roman"/>
            <w:noProof/>
          </w:rPr>
          <w:tab/>
        </w:r>
        <w:r w:rsidRPr="00A3575F">
          <w:rPr>
            <w:rStyle w:val="Hyperlink"/>
            <w:rFonts w:ascii="Times New Roman" w:hAnsi="Times New Roman"/>
            <w:noProof/>
          </w:rPr>
          <w:t>Additional analyses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_Toc234567997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8" w:history="1">
        <w:r w:rsidRPr="00A3575F">
          <w:rPr>
            <w:rStyle w:val="Hyperlink"/>
            <w:rFonts w:ascii="Times New Roman" w:hAnsi="Times New Roman"/>
            <w:i/>
            <w:noProof/>
          </w:rPr>
          <w:t>5.3.1</w:t>
        </w:r>
        <w:r w:rsidRPr="00A3575F">
          <w:rPr>
            <w:rFonts w:ascii="Times New Roman" w:hAnsi="Times New Roman"/>
            <w:noProof/>
          </w:rPr>
          <w:tab/>
        </w:r>
        <w:r w:rsidRPr="00A3575F">
          <w:rPr>
            <w:rStyle w:val="Hyperlink"/>
            <w:rFonts w:ascii="Times New Roman" w:hAnsi="Times New Roman"/>
            <w:i/>
            <w:noProof/>
          </w:rPr>
          <w:t>Elimination of small control groups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_Toc234567998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7999" w:history="1">
        <w:r w:rsidRPr="00A3575F">
          <w:rPr>
            <w:rStyle w:val="Hyperlink"/>
            <w:rFonts w:ascii="Times New Roman" w:hAnsi="Times New Roman"/>
            <w:noProof/>
          </w:rPr>
          <w:t>5.3.2</w:t>
        </w:r>
        <w:r w:rsidRPr="00A3575F">
          <w:rPr>
            <w:rFonts w:ascii="Times New Roman" w:hAnsi="Times New Roman"/>
            <w:noProof/>
          </w:rPr>
          <w:tab/>
        </w:r>
        <w:r w:rsidRPr="00A3575F">
          <w:rPr>
            <w:rStyle w:val="Hyperlink"/>
            <w:rFonts w:ascii="Times New Roman" w:hAnsi="Times New Roman"/>
            <w:noProof/>
          </w:rPr>
          <w:t>Regressions based on the change</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_Toc234567999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1"/>
        <w:rPr>
          <w:rStyle w:val="Hyperlink"/>
          <w:rFonts w:ascii="Times New Roman" w:hAnsi="Times New Roman"/>
        </w:rPr>
      </w:pPr>
    </w:p>
    <w:p w:rsidR="00DC7B1E" w:rsidRPr="00A3575F" w:rsidRDefault="00DC7B1E">
      <w:pPr>
        <w:pStyle w:val="TOC1"/>
        <w:rPr>
          <w:rFonts w:ascii="Times New Roman" w:hAnsi="Times New Roman"/>
          <w:b w:val="0"/>
        </w:rPr>
      </w:pPr>
      <w:hyperlink w:anchor="_Toc234568000" w:history="1">
        <w:r w:rsidRPr="00A3575F">
          <w:rPr>
            <w:rStyle w:val="Hyperlink"/>
            <w:rFonts w:ascii="Times New Roman" w:hAnsi="Times New Roman"/>
          </w:rPr>
          <w:t>6</w:t>
        </w:r>
        <w:r w:rsidRPr="00A3575F">
          <w:rPr>
            <w:rFonts w:ascii="Times New Roman" w:hAnsi="Times New Roman"/>
            <w:b w:val="0"/>
          </w:rPr>
          <w:tab/>
        </w:r>
        <w:r w:rsidRPr="00A3575F">
          <w:rPr>
            <w:rStyle w:val="Hyperlink"/>
            <w:rFonts w:ascii="Times New Roman" w:hAnsi="Times New Roman"/>
          </w:rPr>
          <w:t>Conclusion</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_Toc234568000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8001" w:history="1">
        <w:r w:rsidRPr="00A3575F">
          <w:rPr>
            <w:rStyle w:val="Hyperlink"/>
            <w:rFonts w:ascii="Times New Roman" w:hAnsi="Times New Roman"/>
            <w:noProof/>
          </w:rPr>
          <w:t>6.1</w:t>
        </w:r>
        <w:r w:rsidRPr="00A3575F">
          <w:rPr>
            <w:rFonts w:ascii="Times New Roman" w:hAnsi="Times New Roman"/>
            <w:noProof/>
          </w:rPr>
          <w:tab/>
        </w:r>
        <w:r>
          <w:rPr>
            <w:rFonts w:ascii="Times New Roman" w:hAnsi="Times New Roman"/>
            <w:noProof/>
          </w:rPr>
          <w:t>Hypotheses answering</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_Toc234568001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8002" w:history="1">
        <w:r w:rsidRPr="00A3575F">
          <w:rPr>
            <w:rStyle w:val="Hyperlink"/>
            <w:rFonts w:ascii="Times New Roman" w:hAnsi="Times New Roman"/>
            <w:i/>
            <w:noProof/>
          </w:rPr>
          <w:t>6.1.1</w:t>
        </w:r>
        <w:r w:rsidRPr="00A3575F">
          <w:rPr>
            <w:rFonts w:ascii="Times New Roman" w:hAnsi="Times New Roman"/>
            <w:noProof/>
          </w:rPr>
          <w:tab/>
        </w:r>
        <w:r w:rsidRPr="00A3575F">
          <w:rPr>
            <w:rStyle w:val="Hyperlink"/>
            <w:rFonts w:ascii="Times New Roman" w:hAnsi="Times New Roman"/>
            <w:i/>
            <w:noProof/>
          </w:rPr>
          <w:t>Hypothesis 1</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_Toc234568002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8003" w:history="1">
        <w:r w:rsidRPr="00A3575F">
          <w:rPr>
            <w:rStyle w:val="Hyperlink"/>
            <w:rFonts w:ascii="Times New Roman" w:hAnsi="Times New Roman"/>
            <w:i/>
            <w:noProof/>
          </w:rPr>
          <w:t>6.1.2</w:t>
        </w:r>
        <w:r w:rsidRPr="00A3575F">
          <w:rPr>
            <w:rFonts w:ascii="Times New Roman" w:hAnsi="Times New Roman"/>
            <w:noProof/>
          </w:rPr>
          <w:tab/>
        </w:r>
        <w:r w:rsidRPr="00A3575F">
          <w:rPr>
            <w:rStyle w:val="Hyperlink"/>
            <w:rFonts w:ascii="Times New Roman" w:hAnsi="Times New Roman"/>
            <w:i/>
            <w:noProof/>
          </w:rPr>
          <w:t>Hypothesis 2</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_Toc234568003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8004" w:history="1">
        <w:r w:rsidRPr="00A3575F">
          <w:rPr>
            <w:rStyle w:val="Hyperlink"/>
            <w:rFonts w:ascii="Times New Roman" w:hAnsi="Times New Roman"/>
            <w:i/>
            <w:noProof/>
          </w:rPr>
          <w:t>6.1.3</w:t>
        </w:r>
        <w:r w:rsidRPr="00A3575F">
          <w:rPr>
            <w:rFonts w:ascii="Times New Roman" w:hAnsi="Times New Roman"/>
            <w:noProof/>
          </w:rPr>
          <w:tab/>
        </w:r>
        <w:r w:rsidRPr="00A3575F">
          <w:rPr>
            <w:rStyle w:val="Hyperlink"/>
            <w:rFonts w:ascii="Times New Roman" w:hAnsi="Times New Roman"/>
            <w:i/>
            <w:noProof/>
          </w:rPr>
          <w:t>Hypothesis 3</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_Toc234568004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8005" w:history="1">
        <w:r w:rsidRPr="00A3575F">
          <w:rPr>
            <w:rStyle w:val="Hyperlink"/>
            <w:rFonts w:ascii="Times New Roman" w:hAnsi="Times New Roman"/>
            <w:i/>
            <w:noProof/>
          </w:rPr>
          <w:t>6.1.4</w:t>
        </w:r>
        <w:r w:rsidRPr="00A3575F">
          <w:rPr>
            <w:rFonts w:ascii="Times New Roman" w:hAnsi="Times New Roman"/>
            <w:noProof/>
          </w:rPr>
          <w:tab/>
        </w:r>
        <w:r w:rsidRPr="00A3575F">
          <w:rPr>
            <w:rStyle w:val="Hyperlink"/>
            <w:rFonts w:ascii="Times New Roman" w:hAnsi="Times New Roman"/>
            <w:i/>
            <w:noProof/>
          </w:rPr>
          <w:t>Hypothesis 4</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_Toc234568005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3"/>
        <w:tabs>
          <w:tab w:val="left" w:pos="1320"/>
          <w:tab w:val="right" w:leader="dot" w:pos="9061"/>
        </w:tabs>
        <w:rPr>
          <w:rFonts w:ascii="Times New Roman" w:hAnsi="Times New Roman"/>
          <w:noProof/>
        </w:rPr>
      </w:pPr>
      <w:hyperlink w:anchor="_Toc234568006" w:history="1">
        <w:r w:rsidRPr="00A3575F">
          <w:rPr>
            <w:rStyle w:val="Hyperlink"/>
            <w:rFonts w:ascii="Times New Roman" w:hAnsi="Times New Roman"/>
            <w:i/>
            <w:noProof/>
          </w:rPr>
          <w:t>6.1.5</w:t>
        </w:r>
        <w:r w:rsidRPr="00A3575F">
          <w:rPr>
            <w:rFonts w:ascii="Times New Roman" w:hAnsi="Times New Roman"/>
            <w:noProof/>
          </w:rPr>
          <w:tab/>
        </w:r>
        <w:r w:rsidRPr="00A3575F">
          <w:rPr>
            <w:rStyle w:val="Hyperlink"/>
            <w:rFonts w:ascii="Times New Roman" w:hAnsi="Times New Roman"/>
            <w:i/>
            <w:noProof/>
          </w:rPr>
          <w:t>Hypothesis 5</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_Toc234568006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8007" w:history="1">
        <w:r w:rsidRPr="00A3575F">
          <w:rPr>
            <w:rStyle w:val="Hyperlink"/>
            <w:rFonts w:ascii="Times New Roman" w:hAnsi="Times New Roman"/>
            <w:noProof/>
          </w:rPr>
          <w:t xml:space="preserve">6.2 </w:t>
        </w:r>
        <w:r w:rsidRPr="00A3575F">
          <w:rPr>
            <w:rFonts w:ascii="Times New Roman" w:hAnsi="Times New Roman"/>
            <w:noProof/>
          </w:rPr>
          <w:tab/>
        </w:r>
        <w:r w:rsidRPr="00A3575F">
          <w:rPr>
            <w:rStyle w:val="Hyperlink"/>
            <w:rFonts w:ascii="Times New Roman" w:hAnsi="Times New Roman"/>
            <w:noProof/>
          </w:rPr>
          <w:t>Limitations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_Toc234568007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2"/>
        <w:tabs>
          <w:tab w:val="left" w:pos="880"/>
          <w:tab w:val="right" w:leader="dot" w:pos="9061"/>
        </w:tabs>
        <w:rPr>
          <w:rFonts w:ascii="Times New Roman" w:hAnsi="Times New Roman"/>
          <w:noProof/>
        </w:rPr>
      </w:pPr>
      <w:hyperlink w:anchor="_Toc234568008" w:history="1">
        <w:r w:rsidRPr="00A3575F">
          <w:rPr>
            <w:rStyle w:val="Hyperlink"/>
            <w:rFonts w:ascii="Times New Roman" w:hAnsi="Times New Roman"/>
            <w:noProof/>
          </w:rPr>
          <w:t>6.3</w:t>
        </w:r>
        <w:r w:rsidRPr="00A3575F">
          <w:rPr>
            <w:rFonts w:ascii="Times New Roman" w:hAnsi="Times New Roman"/>
            <w:noProof/>
          </w:rPr>
          <w:tab/>
        </w:r>
        <w:r w:rsidRPr="00A3575F">
          <w:rPr>
            <w:rStyle w:val="Hyperlink"/>
            <w:rFonts w:ascii="Times New Roman" w:hAnsi="Times New Roman"/>
            <w:noProof/>
          </w:rPr>
          <w:t>Recommendations</w:t>
        </w:r>
        <w:r w:rsidRPr="00A3575F">
          <w:rPr>
            <w:rFonts w:ascii="Times New Roman" w:hAnsi="Times New Roman"/>
            <w:noProof/>
            <w:webHidden/>
          </w:rPr>
          <w:tab/>
        </w:r>
        <w:r w:rsidRPr="00A3575F">
          <w:rPr>
            <w:rFonts w:ascii="Times New Roman" w:hAnsi="Times New Roman"/>
            <w:noProof/>
            <w:webHidden/>
          </w:rPr>
          <w:fldChar w:fldCharType="begin"/>
        </w:r>
        <w:r w:rsidRPr="00A3575F">
          <w:rPr>
            <w:rFonts w:ascii="Times New Roman" w:hAnsi="Times New Roman"/>
            <w:noProof/>
            <w:webHidden/>
          </w:rPr>
          <w:instrText xml:space="preserve"> PAGEREF _Toc234568008 \h </w:instrText>
        </w:r>
        <w:r w:rsidRPr="00600F4E">
          <w:rPr>
            <w:rFonts w:ascii="Times New Roman" w:hAnsi="Times New Roman"/>
            <w:noProof/>
          </w:rPr>
        </w:r>
        <w:r w:rsidRPr="00A3575F">
          <w:rPr>
            <w:rFonts w:ascii="Times New Roman" w:hAnsi="Times New Roman"/>
            <w:noProof/>
            <w:webHidden/>
          </w:rPr>
          <w:fldChar w:fldCharType="separate"/>
        </w:r>
        <w:r>
          <w:rPr>
            <w:rFonts w:ascii="Times New Roman" w:hAnsi="Times New Roman"/>
            <w:noProof/>
            <w:webHidden/>
          </w:rPr>
          <w:t>2</w:t>
        </w:r>
        <w:r w:rsidRPr="00A3575F">
          <w:rPr>
            <w:rFonts w:ascii="Times New Roman" w:hAnsi="Times New Roman"/>
            <w:noProof/>
            <w:webHidden/>
          </w:rPr>
          <w:fldChar w:fldCharType="end"/>
        </w:r>
      </w:hyperlink>
    </w:p>
    <w:p w:rsidR="00DC7B1E" w:rsidRPr="00A3575F" w:rsidRDefault="00DC7B1E">
      <w:pPr>
        <w:pStyle w:val="TOC1"/>
        <w:rPr>
          <w:rStyle w:val="Hyperlink"/>
          <w:rFonts w:ascii="Times New Roman" w:hAnsi="Times New Roman"/>
        </w:rPr>
      </w:pPr>
    </w:p>
    <w:p w:rsidR="00DC7B1E" w:rsidRPr="00A3575F" w:rsidRDefault="00DC7B1E">
      <w:pPr>
        <w:pStyle w:val="TOC1"/>
        <w:rPr>
          <w:rFonts w:ascii="Times New Roman" w:hAnsi="Times New Roman"/>
          <w:b w:val="0"/>
        </w:rPr>
      </w:pPr>
      <w:hyperlink w:anchor="_Toc234568009" w:history="1">
        <w:r w:rsidRPr="00A3575F">
          <w:rPr>
            <w:rStyle w:val="Hyperlink"/>
            <w:rFonts w:ascii="Times New Roman" w:hAnsi="Times New Roman"/>
          </w:rPr>
          <w:t>Bibliography</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_Toc234568009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Style w:val="Hyperlink"/>
          <w:rFonts w:ascii="Times New Roman" w:hAnsi="Times New Roman"/>
        </w:rPr>
      </w:pPr>
    </w:p>
    <w:p w:rsidR="00DC7B1E" w:rsidRPr="00A3575F" w:rsidRDefault="00DC7B1E">
      <w:pPr>
        <w:pStyle w:val="TOC1"/>
        <w:rPr>
          <w:rFonts w:ascii="Times New Roman" w:hAnsi="Times New Roman"/>
          <w:b w:val="0"/>
        </w:rPr>
      </w:pPr>
      <w:hyperlink w:anchor="_Toc234568010" w:history="1">
        <w:r w:rsidRPr="00A3575F">
          <w:rPr>
            <w:rStyle w:val="Hyperlink"/>
            <w:rFonts w:ascii="Times New Roman" w:hAnsi="Times New Roman"/>
          </w:rPr>
          <w:t>Appendix 1 Variables in Thomson One Banker</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_Toc234568010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1" w:history="1">
        <w:r w:rsidRPr="00A3575F">
          <w:rPr>
            <w:rStyle w:val="Hyperlink"/>
            <w:rFonts w:ascii="Times New Roman" w:hAnsi="Times New Roman"/>
          </w:rPr>
          <w:t>Appendix 2 Sample firms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_Toc234568011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2" w:history="1">
        <w:r w:rsidRPr="00A3575F">
          <w:rPr>
            <w:rStyle w:val="Hyperlink"/>
            <w:rFonts w:ascii="Times New Roman" w:hAnsi="Times New Roman"/>
          </w:rPr>
          <w:t>Appendix 3 Descriptive statistics stock option exercises with variable outliers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_Toc234568012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3" w:history="1">
        <w:r w:rsidRPr="00A3575F">
          <w:rPr>
            <w:rStyle w:val="Hyperlink"/>
            <w:rFonts w:ascii="Times New Roman" w:hAnsi="Times New Roman"/>
          </w:rPr>
          <w:t>Appendix 4 Bonferroni test function combinations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_Toc234568013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4" w:history="1">
        <w:r w:rsidRPr="00A3575F">
          <w:rPr>
            <w:rStyle w:val="Hyperlink"/>
            <w:rFonts w:ascii="Times New Roman" w:hAnsi="Times New Roman"/>
          </w:rPr>
          <w:t>Appendix 5 Pearson correlation exercise of executive stock option without variable outliers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_Toc234568014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5" w:history="1">
        <w:r w:rsidRPr="00A3575F">
          <w:rPr>
            <w:rStyle w:val="Hyperlink"/>
            <w:rFonts w:ascii="Times New Roman" w:hAnsi="Times New Roman"/>
          </w:rPr>
          <w:t>Appendix 6 Regression analysis exercise of executive stock option with regression outliers</w:t>
        </w:r>
        <w:r w:rsidRPr="00A3575F">
          <w:rPr>
            <w:rFonts w:ascii="Times New Roman" w:hAnsi="Times New Roman"/>
            <w:webHidden/>
          </w:rPr>
          <w:tab/>
          <w:t>89</w:t>
        </w:r>
      </w:hyperlink>
    </w:p>
    <w:p w:rsidR="00DC7B1E" w:rsidRPr="00A3575F" w:rsidRDefault="00DC7B1E">
      <w:pPr>
        <w:pStyle w:val="TOC1"/>
        <w:rPr>
          <w:rFonts w:ascii="Times New Roman" w:hAnsi="Times New Roman"/>
          <w:b w:val="0"/>
        </w:rPr>
      </w:pPr>
      <w:hyperlink w:anchor="_Toc234568016" w:history="1">
        <w:r w:rsidRPr="00A3575F">
          <w:rPr>
            <w:rStyle w:val="Hyperlink"/>
            <w:rFonts w:ascii="Times New Roman" w:hAnsi="Times New Roman"/>
          </w:rPr>
          <w:t>Appendix 7 Separated regressions of the exercise of executive stock options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_Toc234568016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7" w:history="1">
        <w:r w:rsidRPr="00A3575F">
          <w:rPr>
            <w:rStyle w:val="Hyperlink"/>
            <w:rFonts w:ascii="Times New Roman" w:hAnsi="Times New Roman"/>
          </w:rPr>
          <w:t>Appendix 8 Descriptive statistics vesting of executive stock options with variable outliers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_Toc234568017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8" w:history="1">
        <w:r w:rsidRPr="00A3575F">
          <w:rPr>
            <w:rStyle w:val="Hyperlink"/>
            <w:rFonts w:ascii="Times New Roman" w:hAnsi="Times New Roman"/>
          </w:rPr>
          <w:t>Appendix 9 Pearson correlations vesting of executive stock options without variable outliers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_Toc234568018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19" w:history="1">
        <w:r w:rsidRPr="00A3575F">
          <w:rPr>
            <w:rStyle w:val="Hyperlink"/>
            <w:rFonts w:ascii="Times New Roman" w:hAnsi="Times New Roman"/>
          </w:rPr>
          <w:t>Appendix 10 Regression vesting of executive stock options with regression outliers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_Toc234568019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20" w:history="1">
        <w:r w:rsidRPr="00A3575F">
          <w:rPr>
            <w:rStyle w:val="Hyperlink"/>
            <w:rFonts w:ascii="Times New Roman" w:hAnsi="Times New Roman"/>
          </w:rPr>
          <w:t>Appendix 11 Separated regression of the vesting of executive stock options</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_Toc234568020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21" w:history="1">
        <w:r w:rsidRPr="00A3575F">
          <w:rPr>
            <w:rStyle w:val="Hyperlink"/>
            <w:rFonts w:ascii="Times New Roman" w:hAnsi="Times New Roman"/>
          </w:rPr>
          <w:t>Appendix 12 Separated regression change of stock option exercise</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_Toc234568021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Pr="00A3575F" w:rsidRDefault="00DC7B1E">
      <w:pPr>
        <w:pStyle w:val="TOC1"/>
        <w:rPr>
          <w:rFonts w:ascii="Times New Roman" w:hAnsi="Times New Roman"/>
          <w:b w:val="0"/>
        </w:rPr>
      </w:pPr>
      <w:hyperlink w:anchor="_Toc234568022" w:history="1">
        <w:r w:rsidRPr="00A3575F">
          <w:rPr>
            <w:rStyle w:val="Hyperlink"/>
            <w:rFonts w:ascii="Times New Roman" w:hAnsi="Times New Roman"/>
          </w:rPr>
          <w:t>Appendix 13 Separated regression change of stock options vesting</w:t>
        </w:r>
        <w:r w:rsidRPr="00A3575F">
          <w:rPr>
            <w:rFonts w:ascii="Times New Roman" w:hAnsi="Times New Roman"/>
            <w:webHidden/>
          </w:rPr>
          <w:tab/>
        </w:r>
        <w:r w:rsidRPr="00A3575F">
          <w:rPr>
            <w:rFonts w:ascii="Times New Roman" w:hAnsi="Times New Roman"/>
            <w:webHidden/>
          </w:rPr>
          <w:fldChar w:fldCharType="begin"/>
        </w:r>
        <w:r w:rsidRPr="00A3575F">
          <w:rPr>
            <w:rFonts w:ascii="Times New Roman" w:hAnsi="Times New Roman"/>
            <w:webHidden/>
          </w:rPr>
          <w:instrText xml:space="preserve"> PAGEREF _Toc234568022 \h </w:instrText>
        </w:r>
        <w:r w:rsidRPr="00600F4E">
          <w:rPr>
            <w:rFonts w:ascii="Times New Roman" w:hAnsi="Times New Roman"/>
          </w:rPr>
        </w:r>
        <w:r w:rsidRPr="00A3575F">
          <w:rPr>
            <w:rFonts w:ascii="Times New Roman" w:hAnsi="Times New Roman"/>
            <w:webHidden/>
          </w:rPr>
          <w:fldChar w:fldCharType="separate"/>
        </w:r>
        <w:r>
          <w:rPr>
            <w:rFonts w:ascii="Times New Roman" w:hAnsi="Times New Roman"/>
            <w:webHidden/>
          </w:rPr>
          <w:t>2</w:t>
        </w:r>
        <w:r w:rsidRPr="00A3575F">
          <w:rPr>
            <w:rFonts w:ascii="Times New Roman" w:hAnsi="Times New Roman"/>
            <w:webHidden/>
          </w:rPr>
          <w:fldChar w:fldCharType="end"/>
        </w:r>
      </w:hyperlink>
    </w:p>
    <w:p w:rsidR="00DC7B1E" w:rsidRDefault="00DC7B1E" w:rsidP="0016643B">
      <w:pPr>
        <w:pStyle w:val="Heading1"/>
        <w:spacing w:before="0" w:after="120"/>
        <w:rPr>
          <w:rFonts w:ascii="Arial" w:hAnsi="Arial" w:cs="Arial"/>
          <w:sz w:val="22"/>
          <w:szCs w:val="22"/>
        </w:rPr>
      </w:pPr>
      <w:r w:rsidRPr="00B3741E">
        <w:rPr>
          <w:rFonts w:ascii="Times New Roman" w:hAnsi="Times New Roman"/>
        </w:rPr>
        <w:fldChar w:fldCharType="end"/>
      </w:r>
      <w:bookmarkStart w:id="3" w:name="_Toc224624701"/>
    </w:p>
    <w:p w:rsidR="00DC7B1E" w:rsidRDefault="00DC7B1E" w:rsidP="0016643B">
      <w:pPr>
        <w:pStyle w:val="Heading1"/>
        <w:spacing w:before="0" w:after="120"/>
        <w:rPr>
          <w:rFonts w:ascii="Arial" w:hAnsi="Arial" w:cs="Arial"/>
          <w:sz w:val="22"/>
          <w:szCs w:val="22"/>
        </w:rPr>
      </w:pPr>
    </w:p>
    <w:p w:rsidR="00DC7B1E" w:rsidRDefault="00DC7B1E" w:rsidP="0016643B">
      <w:pPr>
        <w:pStyle w:val="Heading1"/>
        <w:spacing w:before="0" w:after="120"/>
        <w:rPr>
          <w:rFonts w:ascii="Arial" w:hAnsi="Arial" w:cs="Arial"/>
          <w:sz w:val="22"/>
          <w:szCs w:val="22"/>
        </w:rPr>
      </w:pPr>
    </w:p>
    <w:p w:rsidR="00DC7B1E" w:rsidRDefault="00DC7B1E" w:rsidP="0016643B">
      <w:pPr>
        <w:pStyle w:val="Heading1"/>
        <w:spacing w:before="0" w:after="120"/>
        <w:rPr>
          <w:rFonts w:ascii="Arial" w:hAnsi="Arial" w:cs="Arial"/>
          <w:sz w:val="22"/>
          <w:szCs w:val="22"/>
        </w:rPr>
      </w:pPr>
    </w:p>
    <w:p w:rsidR="00DC7B1E" w:rsidRDefault="00DC7B1E" w:rsidP="00B3741E"/>
    <w:p w:rsidR="00DC7B1E" w:rsidRPr="00B3741E" w:rsidRDefault="00DC7B1E" w:rsidP="00B3741E"/>
    <w:p w:rsidR="00DC7B1E" w:rsidRDefault="00DC7B1E" w:rsidP="0016643B">
      <w:pPr>
        <w:pStyle w:val="Heading1"/>
        <w:spacing w:before="0" w:after="120"/>
        <w:rPr>
          <w:rFonts w:ascii="Arial" w:hAnsi="Arial" w:cs="Arial"/>
          <w:sz w:val="22"/>
          <w:szCs w:val="22"/>
        </w:rPr>
      </w:pPr>
    </w:p>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Default="00DC7B1E" w:rsidP="00832004"/>
    <w:p w:rsidR="00DC7B1E" w:rsidRPr="00236C8C" w:rsidRDefault="00DC7B1E" w:rsidP="00236C8C">
      <w:pPr>
        <w:pStyle w:val="Heading1"/>
        <w:spacing w:before="60" w:line="360" w:lineRule="auto"/>
        <w:contextualSpacing/>
        <w:rPr>
          <w:color w:val="2A62A6"/>
        </w:rPr>
      </w:pPr>
      <w:bookmarkStart w:id="4" w:name="_Toc234567958"/>
      <w:r w:rsidRPr="00236C8C">
        <w:rPr>
          <w:color w:val="2A62A6"/>
        </w:rPr>
        <w:t>1</w:t>
      </w:r>
      <w:r w:rsidRPr="00236C8C">
        <w:rPr>
          <w:color w:val="2A62A6"/>
        </w:rPr>
        <w:tab/>
        <w:t>Introduction</w:t>
      </w:r>
      <w:bookmarkEnd w:id="4"/>
    </w:p>
    <w:bookmarkEnd w:id="3"/>
    <w:p w:rsidR="00DC7B1E" w:rsidRPr="00832004" w:rsidRDefault="00DC7B1E" w:rsidP="00A94509">
      <w:pPr>
        <w:pStyle w:val="NoSpacing"/>
        <w:spacing w:line="360" w:lineRule="auto"/>
        <w:contextualSpacing/>
        <w:jc w:val="both"/>
        <w:rPr>
          <w:rFonts w:ascii="Times New Roman" w:hAnsi="Times New Roman"/>
          <w:i/>
        </w:rPr>
      </w:pPr>
      <w:r>
        <w:rPr>
          <w:noProof/>
        </w:rPr>
        <w:pict>
          <v:shape id="_x0000_s1030" type="#_x0000_t32" style="position:absolute;left:0;text-align:left;margin-left:1.5pt;margin-top:13.95pt;width:451.8pt;height:0;z-index:251651584" o:connectortype="straight"/>
        </w:pict>
      </w:r>
    </w:p>
    <w:p w:rsidR="00DC7B1E" w:rsidRPr="00832004" w:rsidRDefault="00DC7B1E" w:rsidP="00A94509">
      <w:pPr>
        <w:pStyle w:val="NoSpacing"/>
        <w:spacing w:line="360" w:lineRule="auto"/>
        <w:contextualSpacing/>
        <w:jc w:val="both"/>
        <w:rPr>
          <w:rFonts w:ascii="Times New Roman" w:hAnsi="Times New Roman"/>
          <w:i/>
        </w:rPr>
      </w:pPr>
    </w:p>
    <w:p w:rsidR="00DC7B1E" w:rsidRPr="00832004" w:rsidRDefault="00DC7B1E" w:rsidP="00A94509">
      <w:pPr>
        <w:pStyle w:val="NoSpacing"/>
        <w:spacing w:line="360" w:lineRule="auto"/>
        <w:contextualSpacing/>
        <w:jc w:val="both"/>
        <w:rPr>
          <w:rFonts w:ascii="Times New Roman" w:hAnsi="Times New Roman"/>
        </w:rPr>
      </w:pPr>
      <w:r w:rsidRPr="00832004">
        <w:rPr>
          <w:rFonts w:ascii="Times New Roman" w:hAnsi="Times New Roman"/>
          <w:i/>
        </w:rPr>
        <w:t xml:space="preserve">“In 1992, firms in the Standard &amp; Poor's 500 granted their employees options worth a total of $11 billion at the time of grant; by 2000, option grants in S&amp;P 500 firms increased to $119 billion. In 2002, option grants in the S&amp;P 500 fell to $71 billion, well below their peak, but still a six-fold increase from a decade earlier.” </w:t>
      </w:r>
      <w:r w:rsidRPr="00832004">
        <w:rPr>
          <w:rFonts w:ascii="Times New Roman" w:hAnsi="Times New Roman"/>
        </w:rPr>
        <w:t>(Hall, 2003)</w:t>
      </w:r>
      <w:r w:rsidRPr="00832004">
        <w:rPr>
          <w:rFonts w:ascii="Times New Roman" w:hAnsi="Times New Roman"/>
          <w:i/>
        </w:rPr>
        <w:t xml:space="preserve">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In addition, according to Coffee (2005), the executive compensation in the industrial companies in the United States that is composed of stock options, raised from 32% in 1992 to 66% in 2001. As both researchers illustrated, stock options as part of the executive’s compensation packages have become a real trend during the 1990s. As the expansion of the use of stock options appear in the 1990s, not only did  the structure of the executive compensation packages shift from cash based system to an equity based, also excessive increase in the total executive remuneration could be perceived (Coffee, 2005).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3C5602">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The increasing executive compensation already attracted massive attention in the media and academic literature, but the growth in the use of stock option as part of the executive remuneration has become increasingly controversial in the recent years. Proponents argue that stock option as bonus compensation is a method to solve the agency problems that exist between managers and shareholders (Haugen and Senbet, 1981). According to them, stock option as bonus compensation is an instrument to align the interest of executives with those of the shareholders. In other words, it is meant to create incentives to act in favor of the interest of shareholders by providing the executives a more attractive connection with the company. However, this method to encourage the executives has serious downsides and therefore it has been widely criticized in the media and academic literature. Opponents argue that stock options give executives incentives to engage in opportunistic behavior resulting in short term orientation and earnings manipulation in order to enhance the value of their stock options. </w:t>
      </w:r>
    </w:p>
    <w:p w:rsidR="00DC7B1E" w:rsidRDefault="00DC7B1E" w:rsidP="00AE0055">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The criticism concerning the negative impact of the stock options was enforced by the wave of corporate and accounting scandals in the United States in the beginning of the 21</w:t>
      </w:r>
      <w:r w:rsidRPr="00832004">
        <w:rPr>
          <w:rFonts w:ascii="Times New Roman" w:hAnsi="Times New Roman"/>
          <w:vertAlign w:val="superscript"/>
        </w:rPr>
        <w:t>rst</w:t>
      </w:r>
      <w:r w:rsidRPr="00832004">
        <w:rPr>
          <w:rFonts w:ascii="Times New Roman" w:hAnsi="Times New Roman"/>
        </w:rPr>
        <w:t xml:space="preserve"> century. According to several researchers, excessive stock options awarded to CEOs are even the cause of the corporate scandals (Coffee, 2005; Cools, 2005). In cases like Enron and WorldCom, managers received excessive stock option compensation which resulted in strong incentives to fraudulently manipulate earnings in order to ensure a high stock price at the time of stock option exercise (Denis et al., 2005; Holden, 2005). Additionally, take the recent financial crisis as another example. Excessive stock option grants to managers were again one of the causes of the financial crisis because it provided managers too many incentives to take excessive risks. Consequently, not only the value of the companies drops heavily but also the companies’ reputations. Therefore, the question rises whether executive stock options as compensation component are longer justified. </w:t>
      </w:r>
    </w:p>
    <w:p w:rsidR="00DC7B1E" w:rsidRPr="00832004" w:rsidRDefault="00DC7B1E" w:rsidP="00AE0055">
      <w:pPr>
        <w:autoSpaceDE w:val="0"/>
        <w:autoSpaceDN w:val="0"/>
        <w:adjustRightInd w:val="0"/>
        <w:spacing w:after="0" w:line="360" w:lineRule="auto"/>
        <w:contextualSpacing/>
        <w:jc w:val="both"/>
        <w:rPr>
          <w:rFonts w:ascii="Times New Roman" w:hAnsi="Times New Roman"/>
        </w:rPr>
      </w:pPr>
    </w:p>
    <w:p w:rsidR="00DC7B1E" w:rsidRPr="00834482" w:rsidRDefault="00DC7B1E" w:rsidP="00731266">
      <w:pPr>
        <w:pStyle w:val="Heading2"/>
        <w:spacing w:before="60" w:line="360" w:lineRule="auto"/>
        <w:contextualSpacing/>
        <w:rPr>
          <w:sz w:val="24"/>
          <w:szCs w:val="24"/>
        </w:rPr>
      </w:pPr>
      <w:bookmarkStart w:id="5" w:name="_Toc234567959"/>
      <w:r w:rsidRPr="00834482">
        <w:rPr>
          <w:sz w:val="24"/>
          <w:szCs w:val="24"/>
        </w:rPr>
        <w:t xml:space="preserve">1.1 </w:t>
      </w:r>
      <w:r w:rsidRPr="00834482">
        <w:rPr>
          <w:sz w:val="24"/>
          <w:szCs w:val="24"/>
        </w:rPr>
        <w:tab/>
        <w:t>Executive stock options and earnings management</w:t>
      </w:r>
      <w:bookmarkEnd w:id="5"/>
    </w:p>
    <w:p w:rsidR="00DC7B1E" w:rsidRDefault="00DC7B1E" w:rsidP="00E611F6">
      <w:pPr>
        <w:autoSpaceDE w:val="0"/>
        <w:autoSpaceDN w:val="0"/>
        <w:adjustRightInd w:val="0"/>
        <w:spacing w:after="0" w:line="360" w:lineRule="auto"/>
        <w:contextualSpacing/>
        <w:jc w:val="both"/>
        <w:rPr>
          <w:rFonts w:ascii="Times New Roman" w:hAnsi="Times New Roman"/>
        </w:rPr>
      </w:pPr>
    </w:p>
    <w:p w:rsidR="00DC7B1E" w:rsidRPr="00832004" w:rsidRDefault="00DC7B1E" w:rsidP="00E611F6">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Firms that grant their executives with stock options as part of executive compensation are usually call options. A call options gives the executives right to buy a specified amount of an underlying asset at a predetermined price (exercise price) during a specified future period. </w:t>
      </w:r>
    </w:p>
    <w:p w:rsidR="00DC7B1E" w:rsidRPr="00832004" w:rsidRDefault="00DC7B1E" w:rsidP="00E611F6">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The exercise price of an executive stock option is set on the date executives are granted stock options. The most profitable situation is when the market price at the exercise date is as high as possible whereas their exercise price is as low as possible. Therefore, executives strive to maximize the stock prices before they exercise their options to increase their options payout.</w:t>
      </w:r>
    </w:p>
    <w:p w:rsidR="00DC7B1E" w:rsidRPr="00832004" w:rsidRDefault="00DC7B1E" w:rsidP="00E611F6">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However, not all executive stock options are immediately exercisable after a firm grants them to the executives. Nowadays, firms often attach performance criteria to the executive stock options that executives have to fulfill before they are permitted to exercise them. The moment that the executive stock options become exercisable is called as the vesting of executive stock options.</w:t>
      </w:r>
      <w:r>
        <w:rPr>
          <w:rFonts w:ascii="Times New Roman" w:hAnsi="Times New Roman"/>
        </w:rPr>
        <w:t xml:space="preserve"> </w:t>
      </w:r>
      <w:r w:rsidRPr="00832004">
        <w:rPr>
          <w:rFonts w:ascii="Times New Roman" w:hAnsi="Times New Roman"/>
        </w:rPr>
        <w:t xml:space="preserve">When executives fail to meet the performance criteria, the stock options that were granted to them will lapse. Therefore, the pressure to reach those performance targets is high as executives wish to increase their compensation. </w:t>
      </w:r>
    </w:p>
    <w:p w:rsidR="00DC7B1E" w:rsidRPr="00832004" w:rsidRDefault="00DC7B1E" w:rsidP="00865F11">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Hence, there are two periods in which executives have strong incentives to strengthen the firm’s financial position: the period before executives intend to exercise their stock options and the period, especially at the end, in which the performance targets is tested to let their stock options vest. In order to realize those objectives, it is reasonable that executives engage in earnings management. </w:t>
      </w:r>
    </w:p>
    <w:p w:rsidR="00DC7B1E" w:rsidRPr="00832004" w:rsidRDefault="00DC7B1E" w:rsidP="00865F11">
      <w:pPr>
        <w:autoSpaceDE w:val="0"/>
        <w:autoSpaceDN w:val="0"/>
        <w:adjustRightInd w:val="0"/>
        <w:spacing w:after="0" w:line="360" w:lineRule="auto"/>
        <w:contextualSpacing/>
        <w:jc w:val="both"/>
        <w:rPr>
          <w:rFonts w:ascii="Times New Roman" w:hAnsi="Times New Roman"/>
        </w:rPr>
      </w:pPr>
    </w:p>
    <w:p w:rsidR="00DC7B1E" w:rsidRPr="00832004" w:rsidRDefault="00DC7B1E" w:rsidP="00C83EF3">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The accounting scandals as mentioned in the introduction are extreme examples of earnings manipulation in a fraudulent way while earnings management remains within the boundaries of the rules and regulations. This study focuses on the less extreme cases that are not easily visible for each person. Earnings management is hard to detect and therefore it is interesting to investigate. This phenomenon has become a hot issue among scientist during the recent decennia and it is referred as the situation that executives use several strategies in relation to financial reporting, transactions and/or investment decisions to manipulate the firm’s earnings in their desired way. </w:t>
      </w:r>
    </w:p>
    <w:p w:rsidR="00DC7B1E" w:rsidRPr="00832004" w:rsidRDefault="00DC7B1E" w:rsidP="00C83EF3">
      <w:pPr>
        <w:autoSpaceDE w:val="0"/>
        <w:autoSpaceDN w:val="0"/>
        <w:adjustRightInd w:val="0"/>
        <w:spacing w:after="0" w:line="360" w:lineRule="auto"/>
        <w:contextualSpacing/>
        <w:jc w:val="both"/>
        <w:rPr>
          <w:rFonts w:ascii="Times New Roman" w:hAnsi="Times New Roman"/>
        </w:rPr>
      </w:pPr>
    </w:p>
    <w:p w:rsidR="00DC7B1E" w:rsidRPr="00832004" w:rsidRDefault="00DC7B1E" w:rsidP="00AE4A5A">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If executives have intentions to exercise their stock options or the performance criteria will be tested in the near future, it is plausible that executives will manage the earnings upwards. In prior research there are lots of indications that executives influence their own compensation. For instance, Aboody and Kasnik (2000) found evidence that CEOs influence their compensation by rushing forward bad news before the stock option grants in order to depress the stock prices so that their exercise price will be set on a lower level. This increases their compensation when they exercise their stock options. A different study by Bergstresser and Philippon (200</w:t>
      </w:r>
      <w:r>
        <w:rPr>
          <w:rFonts w:ascii="Times New Roman" w:hAnsi="Times New Roman"/>
        </w:rPr>
        <w:t>6</w:t>
      </w:r>
      <w:r w:rsidRPr="00832004">
        <w:rPr>
          <w:rFonts w:ascii="Times New Roman" w:hAnsi="Times New Roman"/>
        </w:rPr>
        <w:t>) provides evidence that those firms, whose CEO exercise abnormally large number of stock options, are associated with higher level of earnings management. Additionally, in relation to the vesting of executive stock options, Kuang (200</w:t>
      </w:r>
      <w:r>
        <w:rPr>
          <w:rFonts w:ascii="Times New Roman" w:hAnsi="Times New Roman"/>
        </w:rPr>
        <w:t>7</w:t>
      </w:r>
      <w:r w:rsidRPr="00832004">
        <w:rPr>
          <w:rFonts w:ascii="Times New Roman" w:hAnsi="Times New Roman"/>
        </w:rPr>
        <w:t>) found that a higher level of earnings is observed in years wherein executives holds a larger portion of their compensation in performance vested stock options.</w:t>
      </w:r>
    </w:p>
    <w:p w:rsidR="00DC7B1E" w:rsidRPr="00832004" w:rsidRDefault="00DC7B1E" w:rsidP="00AE4A5A">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Although several studies already investigated the relationship between executive stock options and earnings management, they only focus on the CEO compensation. Therefore, I will extend the prior literature with a study that encompasses the stock options of all executives of a firm instead of focusing on the CEO’s stock options only. Additionally, the majority of the studies concerning the relationship between earnings management and executive stock options are based on a US sample. Therefore, this research will investigate the relation between executive stock options and earnings management in the UK.</w:t>
      </w:r>
    </w:p>
    <w:p w:rsidR="00DC7B1E" w:rsidRPr="00832004" w:rsidRDefault="00DC7B1E" w:rsidP="00A96C5F">
      <w:pPr>
        <w:autoSpaceDE w:val="0"/>
        <w:autoSpaceDN w:val="0"/>
        <w:adjustRightInd w:val="0"/>
        <w:spacing w:after="0" w:line="360" w:lineRule="auto"/>
        <w:jc w:val="both"/>
        <w:rPr>
          <w:rFonts w:ascii="Times New Roman" w:hAnsi="Times New Roman"/>
        </w:rPr>
      </w:pPr>
    </w:p>
    <w:p w:rsidR="00DC7B1E" w:rsidRPr="00731266" w:rsidRDefault="00DC7B1E" w:rsidP="00731266">
      <w:pPr>
        <w:pStyle w:val="Heading2"/>
        <w:spacing w:before="60" w:line="360" w:lineRule="auto"/>
        <w:rPr>
          <w:i w:val="0"/>
          <w:sz w:val="24"/>
          <w:szCs w:val="24"/>
        </w:rPr>
      </w:pPr>
      <w:bookmarkStart w:id="6" w:name="_Toc234567960"/>
      <w:r w:rsidRPr="00731266">
        <w:rPr>
          <w:i w:val="0"/>
          <w:sz w:val="24"/>
          <w:szCs w:val="24"/>
        </w:rPr>
        <w:t xml:space="preserve">1.2 </w:t>
      </w:r>
      <w:r w:rsidRPr="00731266">
        <w:rPr>
          <w:i w:val="0"/>
          <w:sz w:val="24"/>
          <w:szCs w:val="24"/>
        </w:rPr>
        <w:tab/>
        <w:t>Research question</w:t>
      </w:r>
      <w:bookmarkEnd w:id="6"/>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The purpose of this research is to gain insight in the opportunistic behavior of executives to increase their stock option compensation. More specifically, this research investigates whether executives engage in earnings management around the exercise and the vesting of executive stock options. Therefore, I formulated the following research question.</w:t>
      </w: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C83EF3">
      <w:pPr>
        <w:autoSpaceDE w:val="0"/>
        <w:autoSpaceDN w:val="0"/>
        <w:adjustRightInd w:val="0"/>
        <w:spacing w:after="0" w:line="360" w:lineRule="auto"/>
        <w:contextualSpacing/>
        <w:jc w:val="both"/>
        <w:rPr>
          <w:rFonts w:ascii="Times New Roman" w:hAnsi="Times New Roman"/>
          <w:i/>
        </w:rPr>
      </w:pPr>
      <w:r w:rsidRPr="00832004">
        <w:rPr>
          <w:rFonts w:ascii="Times New Roman" w:hAnsi="Times New Roman"/>
          <w:i/>
        </w:rPr>
        <w:t xml:space="preserve">Do executives manipulate earnings with the intent to increase their option payout and to ensure that their options will vest? </w:t>
      </w:r>
    </w:p>
    <w:p w:rsidR="00DC7B1E" w:rsidRPr="00832004" w:rsidRDefault="00DC7B1E" w:rsidP="00C83EF3">
      <w:pPr>
        <w:autoSpaceDE w:val="0"/>
        <w:autoSpaceDN w:val="0"/>
        <w:adjustRightInd w:val="0"/>
        <w:spacing w:after="0" w:line="360" w:lineRule="auto"/>
        <w:contextualSpacing/>
        <w:jc w:val="both"/>
        <w:rPr>
          <w:rFonts w:ascii="Times New Roman" w:hAnsi="Times New Roman"/>
          <w:i/>
        </w:rPr>
      </w:pPr>
    </w:p>
    <w:p w:rsidR="00DC7B1E" w:rsidRPr="00832004" w:rsidRDefault="00DC7B1E" w:rsidP="00C83EF3">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In order to provide a comprehensive answer to this research question, the following sub questions are formulated:</w:t>
      </w:r>
    </w:p>
    <w:p w:rsidR="00DC7B1E" w:rsidRPr="00832004" w:rsidRDefault="00DC7B1E" w:rsidP="00C83EF3">
      <w:pPr>
        <w:autoSpaceDE w:val="0"/>
        <w:autoSpaceDN w:val="0"/>
        <w:adjustRightInd w:val="0"/>
        <w:spacing w:after="0" w:line="360" w:lineRule="auto"/>
        <w:contextualSpacing/>
        <w:jc w:val="both"/>
        <w:rPr>
          <w:rFonts w:ascii="Times New Roman" w:hAnsi="Times New Roman"/>
        </w:rPr>
      </w:pPr>
    </w:p>
    <w:p w:rsidR="00DC7B1E" w:rsidRPr="00832004" w:rsidRDefault="00DC7B1E" w:rsidP="00C83EF3">
      <w:pPr>
        <w:numPr>
          <w:ilvl w:val="0"/>
          <w:numId w:val="17"/>
        </w:numPr>
        <w:autoSpaceDE w:val="0"/>
        <w:autoSpaceDN w:val="0"/>
        <w:adjustRightInd w:val="0"/>
        <w:spacing w:after="0" w:line="360" w:lineRule="auto"/>
        <w:ind w:left="357" w:hanging="357"/>
        <w:contextualSpacing/>
        <w:jc w:val="both"/>
        <w:rPr>
          <w:rFonts w:ascii="Times New Roman" w:hAnsi="Times New Roman"/>
          <w:i/>
        </w:rPr>
      </w:pPr>
      <w:r w:rsidRPr="00832004">
        <w:rPr>
          <w:rFonts w:ascii="Times New Roman" w:hAnsi="Times New Roman"/>
          <w:i/>
        </w:rPr>
        <w:t>What are executive stock options and what are the differences with regular stock options?</w:t>
      </w:r>
    </w:p>
    <w:p w:rsidR="00DC7B1E" w:rsidRPr="00832004" w:rsidRDefault="00DC7B1E" w:rsidP="00C83EF3">
      <w:pPr>
        <w:numPr>
          <w:ilvl w:val="0"/>
          <w:numId w:val="17"/>
        </w:numPr>
        <w:autoSpaceDE w:val="0"/>
        <w:autoSpaceDN w:val="0"/>
        <w:adjustRightInd w:val="0"/>
        <w:spacing w:after="0" w:line="360" w:lineRule="auto"/>
        <w:ind w:left="357" w:hanging="357"/>
        <w:contextualSpacing/>
        <w:jc w:val="both"/>
        <w:rPr>
          <w:rFonts w:ascii="Times New Roman" w:hAnsi="Times New Roman"/>
          <w:i/>
        </w:rPr>
      </w:pPr>
      <w:r w:rsidRPr="00832004">
        <w:rPr>
          <w:rFonts w:ascii="Times New Roman" w:hAnsi="Times New Roman"/>
          <w:i/>
        </w:rPr>
        <w:t>What is earnings management and how can executives manipulate earnings?</w:t>
      </w:r>
    </w:p>
    <w:p w:rsidR="00DC7B1E" w:rsidRPr="00832004" w:rsidRDefault="00DC7B1E" w:rsidP="00C83EF3">
      <w:pPr>
        <w:numPr>
          <w:ilvl w:val="0"/>
          <w:numId w:val="17"/>
        </w:numPr>
        <w:autoSpaceDE w:val="0"/>
        <w:autoSpaceDN w:val="0"/>
        <w:adjustRightInd w:val="0"/>
        <w:spacing w:after="0" w:line="360" w:lineRule="auto"/>
        <w:ind w:left="357" w:hanging="357"/>
        <w:contextualSpacing/>
        <w:jc w:val="both"/>
        <w:rPr>
          <w:rFonts w:ascii="Times New Roman" w:hAnsi="Times New Roman"/>
          <w:i/>
        </w:rPr>
      </w:pPr>
      <w:r w:rsidRPr="00832004">
        <w:rPr>
          <w:rFonts w:ascii="Times New Roman" w:hAnsi="Times New Roman"/>
          <w:i/>
        </w:rPr>
        <w:t>What does prior research suggest about the strategies that executives apply to increase their option payout and to ensure the vesting of their options?</w:t>
      </w:r>
    </w:p>
    <w:p w:rsidR="00DC7B1E" w:rsidRDefault="00DC7B1E" w:rsidP="00C83EF3">
      <w:pPr>
        <w:numPr>
          <w:ilvl w:val="0"/>
          <w:numId w:val="17"/>
        </w:numPr>
        <w:autoSpaceDE w:val="0"/>
        <w:autoSpaceDN w:val="0"/>
        <w:adjustRightInd w:val="0"/>
        <w:spacing w:after="0" w:line="360" w:lineRule="auto"/>
        <w:ind w:left="357" w:hanging="357"/>
        <w:contextualSpacing/>
        <w:jc w:val="both"/>
        <w:rPr>
          <w:rFonts w:ascii="Times New Roman" w:hAnsi="Times New Roman"/>
          <w:i/>
        </w:rPr>
      </w:pPr>
      <w:r w:rsidRPr="004055A4">
        <w:rPr>
          <w:rFonts w:ascii="Times New Roman" w:hAnsi="Times New Roman"/>
          <w:i/>
        </w:rPr>
        <w:t>Does the function(s) of the executive(s) that exercise(s) their stock options have an influence on the level of earnings management?</w:t>
      </w:r>
    </w:p>
    <w:p w:rsidR="00DC7B1E" w:rsidRPr="004055A4" w:rsidRDefault="00DC7B1E" w:rsidP="004055A4">
      <w:pPr>
        <w:autoSpaceDE w:val="0"/>
        <w:autoSpaceDN w:val="0"/>
        <w:adjustRightInd w:val="0"/>
        <w:spacing w:after="0" w:line="360" w:lineRule="auto"/>
        <w:contextualSpacing/>
        <w:jc w:val="both"/>
        <w:rPr>
          <w:rFonts w:ascii="Times New Roman" w:hAnsi="Times New Roman"/>
          <w:i/>
        </w:rPr>
      </w:pPr>
    </w:p>
    <w:p w:rsidR="00DC7B1E" w:rsidRPr="00731266" w:rsidRDefault="00DC7B1E" w:rsidP="00731266">
      <w:pPr>
        <w:pStyle w:val="Heading2"/>
        <w:spacing w:before="60" w:line="360" w:lineRule="auto"/>
        <w:contextualSpacing/>
        <w:rPr>
          <w:i w:val="0"/>
          <w:sz w:val="24"/>
          <w:szCs w:val="24"/>
        </w:rPr>
      </w:pPr>
      <w:bookmarkStart w:id="7" w:name="_Toc234567961"/>
      <w:r w:rsidRPr="00731266">
        <w:rPr>
          <w:i w:val="0"/>
          <w:sz w:val="24"/>
          <w:szCs w:val="24"/>
        </w:rPr>
        <w:t xml:space="preserve">1.3 </w:t>
      </w:r>
      <w:r w:rsidRPr="00731266">
        <w:rPr>
          <w:i w:val="0"/>
          <w:sz w:val="24"/>
          <w:szCs w:val="24"/>
        </w:rPr>
        <w:tab/>
        <w:t>Earnings management</w:t>
      </w:r>
      <w:bookmarkEnd w:id="7"/>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Since earnings management plays a central role in this research a more comprehensive explanation for this is required to understand this phenomenon. Although, this phenomenon has been a hot issue in the recent decennia, there is not an unambiguous definition of earnings management. This derives from the fact that many definitions of earnings management are given in the academic literature. In order to provide a clear and complete view of the phenomenon earnings management, some of these definitions will be presented below. </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spacing w:line="360" w:lineRule="auto"/>
        <w:contextualSpacing/>
        <w:jc w:val="both"/>
        <w:rPr>
          <w:rFonts w:ascii="Times New Roman" w:hAnsi="Times New Roman"/>
          <w:i/>
        </w:rPr>
      </w:pPr>
      <w:r w:rsidRPr="00832004">
        <w:rPr>
          <w:rFonts w:ascii="Times New Roman" w:hAnsi="Times New Roman"/>
          <w:i/>
        </w:rPr>
        <w:t>“Earnings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numbers.” (Healy &amp; Wahlen, 1999, p. 368)</w:t>
      </w:r>
    </w:p>
    <w:p w:rsidR="00DC7B1E" w:rsidRPr="00832004" w:rsidRDefault="00DC7B1E" w:rsidP="00B3197B">
      <w:pPr>
        <w:spacing w:line="360" w:lineRule="auto"/>
        <w:contextualSpacing/>
        <w:jc w:val="both"/>
        <w:rPr>
          <w:rFonts w:ascii="Times New Roman" w:hAnsi="Times New Roman"/>
          <w:i/>
        </w:rPr>
      </w:pPr>
    </w:p>
    <w:p w:rsidR="00DC7B1E" w:rsidRPr="00832004" w:rsidRDefault="00DC7B1E" w:rsidP="00B3197B">
      <w:pPr>
        <w:spacing w:line="360" w:lineRule="auto"/>
        <w:contextualSpacing/>
        <w:jc w:val="both"/>
        <w:rPr>
          <w:rFonts w:ascii="Times New Roman" w:hAnsi="Times New Roman"/>
          <w:i/>
        </w:rPr>
      </w:pPr>
      <w:r w:rsidRPr="00832004">
        <w:rPr>
          <w:rFonts w:ascii="Times New Roman" w:hAnsi="Times New Roman"/>
          <w:i/>
        </w:rPr>
        <w:t>“[…] a purposeful intervention in the external financial reporting process, with the intent of obtaining some private gain […]” (Schipper, 1989, p. 92</w:t>
      </w:r>
      <w:r>
        <w:rPr>
          <w:rFonts w:ascii="Times New Roman" w:hAnsi="Times New Roman"/>
          <w:i/>
        </w:rPr>
        <w:t>, citing Dechow and Skinner, 2000</w:t>
      </w:r>
      <w:r w:rsidRPr="00832004">
        <w:rPr>
          <w:rFonts w:ascii="Times New Roman" w:hAnsi="Times New Roman"/>
          <w:i/>
        </w:rPr>
        <w:t>)</w:t>
      </w:r>
    </w:p>
    <w:p w:rsidR="00DC7B1E" w:rsidRPr="00832004" w:rsidRDefault="00DC7B1E" w:rsidP="00B3197B">
      <w:pPr>
        <w:spacing w:line="360" w:lineRule="auto"/>
        <w:contextualSpacing/>
        <w:jc w:val="both"/>
        <w:rPr>
          <w:rFonts w:ascii="Times New Roman" w:hAnsi="Times New Roman"/>
          <w:i/>
        </w:rPr>
      </w:pPr>
    </w:p>
    <w:p w:rsidR="00DC7B1E" w:rsidRPr="00832004" w:rsidRDefault="00DC7B1E" w:rsidP="00B3197B">
      <w:pPr>
        <w:spacing w:line="360" w:lineRule="auto"/>
        <w:contextualSpacing/>
        <w:jc w:val="both"/>
        <w:rPr>
          <w:rFonts w:ascii="Times New Roman" w:hAnsi="Times New Roman"/>
          <w:i/>
        </w:rPr>
      </w:pPr>
      <w:r w:rsidRPr="00832004">
        <w:rPr>
          <w:rFonts w:ascii="Times New Roman" w:hAnsi="Times New Roman"/>
          <w:i/>
        </w:rPr>
        <w:t>“Earnings management occurs ‘when managers exercise their discretion over the accounting numbers with or without restrictions. Such discretion can be either firm value maximizing or opportunistic.” (Fields, Lys, and Vincent, 2001, p. 26, citing Ronen and Yaari, 2008)</w:t>
      </w:r>
    </w:p>
    <w:p w:rsidR="00DC7B1E" w:rsidRPr="00832004" w:rsidRDefault="00DC7B1E" w:rsidP="00B3197B">
      <w:pPr>
        <w:spacing w:line="360" w:lineRule="auto"/>
        <w:contextualSpacing/>
        <w:jc w:val="both"/>
        <w:rPr>
          <w:rFonts w:ascii="Times New Roman" w:hAnsi="Times New Roman"/>
          <w:i/>
        </w:rPr>
      </w:pPr>
    </w:p>
    <w:p w:rsidR="00DC7B1E" w:rsidRPr="00832004" w:rsidRDefault="00DC7B1E" w:rsidP="00B3197B">
      <w:pPr>
        <w:spacing w:line="360" w:lineRule="auto"/>
        <w:contextualSpacing/>
        <w:jc w:val="both"/>
        <w:rPr>
          <w:rFonts w:ascii="Times New Roman" w:hAnsi="Times New Roman"/>
          <w:i/>
        </w:rPr>
      </w:pPr>
      <w:r w:rsidRPr="00832004">
        <w:rPr>
          <w:rFonts w:ascii="Times New Roman" w:hAnsi="Times New Roman"/>
          <w:i/>
        </w:rPr>
        <w:t>“Earnings management is the choice by a manager of accounting policies so as to achieve specific objective.” (Scott, 2006)</w:t>
      </w:r>
    </w:p>
    <w:p w:rsidR="00DC7B1E" w:rsidRPr="00832004" w:rsidRDefault="00DC7B1E" w:rsidP="00B3197B">
      <w:pPr>
        <w:spacing w:line="360" w:lineRule="auto"/>
        <w:contextualSpacing/>
        <w:jc w:val="both"/>
        <w:rPr>
          <w:rFonts w:ascii="Times New Roman" w:hAnsi="Times New Roman"/>
          <w:i/>
        </w:rPr>
      </w:pPr>
    </w:p>
    <w:p w:rsidR="00DC7B1E" w:rsidRPr="00832004" w:rsidRDefault="00DC7B1E" w:rsidP="00B3197B">
      <w:pPr>
        <w:spacing w:line="360" w:lineRule="auto"/>
        <w:contextualSpacing/>
        <w:jc w:val="both"/>
        <w:rPr>
          <w:rFonts w:ascii="Times New Roman" w:hAnsi="Times New Roman"/>
          <w:i/>
        </w:rPr>
      </w:pPr>
      <w:r w:rsidRPr="00832004">
        <w:rPr>
          <w:rFonts w:ascii="Times New Roman" w:hAnsi="Times New Roman"/>
          <w:i/>
        </w:rPr>
        <w:t>“[…] a process of taking deliberate steps within the constraints of generally accepted accounting principles to bring about a desired level of reported earnings.” (Davidson et al., 1987)</w:t>
      </w:r>
    </w:p>
    <w:p w:rsidR="00DC7B1E" w:rsidRPr="00832004" w:rsidRDefault="00DC7B1E" w:rsidP="00B3197B">
      <w:pPr>
        <w:spacing w:line="360" w:lineRule="auto"/>
        <w:contextualSpacing/>
        <w:jc w:val="both"/>
        <w:rPr>
          <w:rFonts w:ascii="Times New Roman" w:hAnsi="Times New Roman"/>
        </w:rPr>
      </w:pPr>
    </w:p>
    <w:p w:rsidR="00DC7B1E" w:rsidRPr="00832004" w:rsidRDefault="00DC7B1E" w:rsidP="00B3197B">
      <w:pPr>
        <w:spacing w:line="360" w:lineRule="auto"/>
        <w:contextualSpacing/>
        <w:jc w:val="both"/>
        <w:rPr>
          <w:rFonts w:ascii="Times New Roman" w:hAnsi="Times New Roman"/>
          <w:i/>
        </w:rPr>
      </w:pPr>
      <w:r w:rsidRPr="00832004">
        <w:rPr>
          <w:rFonts w:ascii="Times New Roman" w:hAnsi="Times New Roman"/>
        </w:rPr>
        <w:t>EM is also defined as</w:t>
      </w:r>
      <w:r w:rsidRPr="00832004">
        <w:rPr>
          <w:rFonts w:ascii="Times New Roman" w:hAnsi="Times New Roman"/>
          <w:i/>
        </w:rPr>
        <w:t xml:space="preserve"> “an intentional structuring of reporting or production/investment decisions around the bottom line impact.” (Ayres, 1994, cited in Al-khabash and Al-Thuneibat, 2009)</w:t>
      </w:r>
    </w:p>
    <w:p w:rsidR="00DC7B1E" w:rsidRPr="00832004" w:rsidRDefault="00DC7B1E" w:rsidP="00B3197B">
      <w:pPr>
        <w:spacing w:line="360" w:lineRule="auto"/>
        <w:contextualSpacing/>
        <w:jc w:val="both"/>
        <w:rPr>
          <w:rFonts w:ascii="Times New Roman" w:hAnsi="Times New Roman"/>
          <w:i/>
        </w:rPr>
      </w:pPr>
    </w:p>
    <w:p w:rsidR="00DC7B1E" w:rsidRPr="00832004" w:rsidRDefault="00DC7B1E" w:rsidP="00B3197B">
      <w:pPr>
        <w:spacing w:line="360" w:lineRule="auto"/>
        <w:contextualSpacing/>
        <w:jc w:val="both"/>
        <w:rPr>
          <w:rFonts w:ascii="Times New Roman" w:hAnsi="Times New Roman"/>
        </w:rPr>
      </w:pPr>
      <w:r w:rsidRPr="00832004">
        <w:rPr>
          <w:rFonts w:ascii="Times New Roman" w:hAnsi="Times New Roman"/>
        </w:rPr>
        <w:t xml:space="preserve">Each of the above presented definitions has some point but it appears to be incomplete as a single definition or not clear enough. Therefore I define earnings management as a combination of the above mentioned definitions of earnings management:  </w:t>
      </w:r>
    </w:p>
    <w:p w:rsidR="00DC7B1E" w:rsidRDefault="00DC7B1E" w:rsidP="00B3197B">
      <w:pPr>
        <w:spacing w:line="360" w:lineRule="auto"/>
        <w:contextualSpacing/>
        <w:jc w:val="both"/>
        <w:rPr>
          <w:rFonts w:ascii="Times New Roman" w:hAnsi="Times New Roman"/>
        </w:rPr>
      </w:pPr>
    </w:p>
    <w:p w:rsidR="00DC7B1E" w:rsidRDefault="00DC7B1E" w:rsidP="00B3197B">
      <w:pPr>
        <w:spacing w:line="360" w:lineRule="auto"/>
        <w:contextualSpacing/>
        <w:jc w:val="both"/>
        <w:rPr>
          <w:rFonts w:ascii="Times New Roman" w:hAnsi="Times New Roman"/>
        </w:rPr>
      </w:pPr>
    </w:p>
    <w:p w:rsidR="00DC7B1E" w:rsidRPr="00832004" w:rsidRDefault="00DC7B1E" w:rsidP="00B3197B">
      <w:pPr>
        <w:spacing w:line="360" w:lineRule="auto"/>
        <w:contextualSpacing/>
        <w:jc w:val="both"/>
        <w:rPr>
          <w:rFonts w:ascii="Times New Roman" w:hAnsi="Times New Roman"/>
        </w:rPr>
      </w:pPr>
    </w:p>
    <w:p w:rsidR="00DC7B1E" w:rsidRPr="00832004" w:rsidRDefault="00DC7B1E" w:rsidP="00B3197B">
      <w:pPr>
        <w:spacing w:line="360" w:lineRule="auto"/>
        <w:contextualSpacing/>
        <w:jc w:val="both"/>
        <w:rPr>
          <w:rFonts w:ascii="Times New Roman" w:hAnsi="Times New Roman"/>
        </w:rPr>
      </w:pPr>
      <w:r>
        <w:rPr>
          <w:noProof/>
        </w:rPr>
        <w:pict>
          <v:shapetype id="_x0000_t202" coordsize="21600,21600" o:spt="202" path="m,l,21600r21600,l21600,xe">
            <v:stroke joinstyle="miter"/>
            <v:path gradientshapeok="t" o:connecttype="rect"/>
          </v:shapetype>
          <v:shape id="_x0000_s1031" type="#_x0000_t202" style="position:absolute;left:0;text-align:left;margin-left:-3.9pt;margin-top:5.85pt;width:463.5pt;height:98pt;z-index:251655680">
            <v:textbox style="mso-next-textbox:#_x0000_s1031">
              <w:txbxContent>
                <w:p w:rsidR="00DC7B1E" w:rsidRPr="00224643" w:rsidRDefault="00DC7B1E" w:rsidP="00B3197B">
                  <w:pPr>
                    <w:spacing w:line="360" w:lineRule="auto"/>
                    <w:jc w:val="both"/>
                    <w:rPr>
                      <w:rFonts w:ascii="Times New Roman" w:hAnsi="Times New Roman"/>
                    </w:rPr>
                  </w:pPr>
                  <w:r w:rsidRPr="00224643">
                    <w:rPr>
                      <w:rFonts w:ascii="Times New Roman" w:hAnsi="Times New Roman"/>
                    </w:rPr>
                    <w:t>“Earnings management occurs when managers, with the intent of achieving a specific objective (whether it is for some private gain or not), use judgment in financial reporting and in structuring transactions and production/investment decisions, within the constraints of the relevant accounting standard, to alter financial reports to influence contractual outcomes that depend on reported accounting numbers or to bring about a desired level of earnings.”</w:t>
                  </w:r>
                </w:p>
                <w:p w:rsidR="00DC7B1E" w:rsidRPr="002B2229" w:rsidRDefault="00DC7B1E" w:rsidP="00B3197B"/>
              </w:txbxContent>
            </v:textbox>
          </v:shape>
        </w:pict>
      </w:r>
    </w:p>
    <w:p w:rsidR="00DC7B1E" w:rsidRDefault="00DC7B1E" w:rsidP="00B3197B">
      <w:pPr>
        <w:spacing w:line="360" w:lineRule="auto"/>
        <w:contextualSpacing/>
        <w:jc w:val="both"/>
        <w:rPr>
          <w:rFonts w:ascii="Times New Roman" w:hAnsi="Times New Roman"/>
        </w:rPr>
      </w:pPr>
    </w:p>
    <w:p w:rsidR="00DC7B1E" w:rsidRDefault="00DC7B1E" w:rsidP="00B3197B">
      <w:pPr>
        <w:spacing w:line="360" w:lineRule="auto"/>
        <w:contextualSpacing/>
        <w:jc w:val="both"/>
        <w:rPr>
          <w:rFonts w:ascii="Times New Roman" w:hAnsi="Times New Roman"/>
        </w:rPr>
      </w:pPr>
    </w:p>
    <w:p w:rsidR="00DC7B1E" w:rsidRDefault="00DC7B1E" w:rsidP="00B3197B">
      <w:pPr>
        <w:spacing w:line="360" w:lineRule="auto"/>
        <w:contextualSpacing/>
        <w:jc w:val="both"/>
        <w:rPr>
          <w:rFonts w:ascii="Times New Roman" w:hAnsi="Times New Roman"/>
        </w:rPr>
      </w:pPr>
    </w:p>
    <w:p w:rsidR="00DC7B1E" w:rsidRDefault="00DC7B1E" w:rsidP="00B3197B">
      <w:pPr>
        <w:spacing w:line="360" w:lineRule="auto"/>
        <w:contextualSpacing/>
        <w:jc w:val="both"/>
        <w:rPr>
          <w:rFonts w:ascii="Times New Roman" w:hAnsi="Times New Roman"/>
        </w:rPr>
      </w:pPr>
    </w:p>
    <w:p w:rsidR="00DC7B1E" w:rsidRDefault="00DC7B1E" w:rsidP="00B3197B">
      <w:pPr>
        <w:spacing w:line="360" w:lineRule="auto"/>
        <w:contextualSpacing/>
        <w:jc w:val="both"/>
        <w:rPr>
          <w:rFonts w:ascii="Times New Roman" w:hAnsi="Times New Roman"/>
        </w:rPr>
      </w:pPr>
    </w:p>
    <w:p w:rsidR="00DC7B1E" w:rsidRDefault="00DC7B1E" w:rsidP="00B3197B">
      <w:pPr>
        <w:spacing w:line="360" w:lineRule="auto"/>
        <w:contextualSpacing/>
        <w:jc w:val="both"/>
        <w:rPr>
          <w:rFonts w:ascii="Times New Roman" w:hAnsi="Times New Roman"/>
        </w:rPr>
      </w:pPr>
    </w:p>
    <w:p w:rsidR="00DC7B1E" w:rsidRPr="00832004" w:rsidRDefault="00DC7B1E" w:rsidP="00B3197B">
      <w:pPr>
        <w:spacing w:line="360" w:lineRule="auto"/>
        <w:contextualSpacing/>
        <w:jc w:val="both"/>
        <w:rPr>
          <w:rFonts w:ascii="Times New Roman" w:hAnsi="Times New Roman"/>
        </w:rPr>
      </w:pPr>
      <w:r w:rsidRPr="00832004">
        <w:rPr>
          <w:rFonts w:ascii="Times New Roman" w:hAnsi="Times New Roman"/>
        </w:rPr>
        <w:t xml:space="preserve">This definition consists of the most details of the phenomenon earnings management and it is split into four parts. First, it captures the objectives both for the firm purposes and for the private gain of the manager. In this way, the manager engages in earnings management activities in the interest of the firm or for his own purpose, for example to manage his compensation. This is illustrated in the following part: </w:t>
      </w:r>
      <w:r w:rsidRPr="00832004">
        <w:rPr>
          <w:rFonts w:ascii="Times New Roman" w:hAnsi="Times New Roman"/>
          <w:i/>
        </w:rPr>
        <w:t>“</w:t>
      </w:r>
      <w:r>
        <w:rPr>
          <w:rFonts w:ascii="Times New Roman" w:hAnsi="Times New Roman"/>
          <w:i/>
        </w:rPr>
        <w:t>…</w:t>
      </w:r>
      <w:r w:rsidRPr="00832004">
        <w:rPr>
          <w:rFonts w:ascii="Times New Roman" w:hAnsi="Times New Roman"/>
          <w:i/>
        </w:rPr>
        <w:t>with the intent of achieving a specific objective (whether it is for some private gain or not).</w:t>
      </w:r>
      <w:r>
        <w:rPr>
          <w:rFonts w:ascii="Times New Roman" w:hAnsi="Times New Roman"/>
          <w:i/>
        </w:rPr>
        <w:t>.</w:t>
      </w:r>
      <w:r w:rsidRPr="00832004">
        <w:rPr>
          <w:rFonts w:ascii="Times New Roman" w:hAnsi="Times New Roman"/>
          <w:i/>
        </w:rPr>
        <w:t>.”</w:t>
      </w:r>
      <w:r w:rsidRPr="00832004">
        <w:rPr>
          <w:rFonts w:ascii="Times New Roman" w:hAnsi="Times New Roman"/>
        </w:rPr>
        <w:t xml:space="preserve"> </w:t>
      </w:r>
    </w:p>
    <w:p w:rsidR="00DC7B1E" w:rsidRPr="00832004" w:rsidRDefault="00DC7B1E" w:rsidP="00B3197B">
      <w:pPr>
        <w:spacing w:line="360" w:lineRule="auto"/>
        <w:contextualSpacing/>
        <w:jc w:val="both"/>
        <w:rPr>
          <w:rFonts w:ascii="Times New Roman" w:hAnsi="Times New Roman"/>
          <w:i/>
        </w:rPr>
      </w:pPr>
      <w:r w:rsidRPr="00832004">
        <w:rPr>
          <w:rFonts w:ascii="Times New Roman" w:hAnsi="Times New Roman"/>
        </w:rPr>
        <w:t>Secondly, it defines the way a manager manages earnings which is not always described in the definitions of earnings management</w:t>
      </w:r>
      <w:r>
        <w:rPr>
          <w:rFonts w:ascii="Times New Roman" w:hAnsi="Times New Roman"/>
        </w:rPr>
        <w:t>. This</w:t>
      </w:r>
      <w:r w:rsidRPr="00832004">
        <w:rPr>
          <w:rFonts w:ascii="Times New Roman" w:hAnsi="Times New Roman"/>
        </w:rPr>
        <w:t xml:space="preserve"> is exemplified as follows: </w:t>
      </w:r>
      <w:r w:rsidRPr="00832004">
        <w:rPr>
          <w:rFonts w:ascii="Times New Roman" w:hAnsi="Times New Roman"/>
          <w:i/>
        </w:rPr>
        <w:t>“.</w:t>
      </w:r>
      <w:r>
        <w:rPr>
          <w:rFonts w:ascii="Times New Roman" w:hAnsi="Times New Roman"/>
          <w:i/>
        </w:rPr>
        <w:t>.</w:t>
      </w:r>
      <w:r w:rsidRPr="00832004">
        <w:rPr>
          <w:rFonts w:ascii="Times New Roman" w:hAnsi="Times New Roman"/>
          <w:i/>
        </w:rPr>
        <w:t>.use judgment in financial reporting and in structuring transactions and production/investment decisions</w:t>
      </w:r>
      <w:r>
        <w:rPr>
          <w:rFonts w:ascii="Times New Roman" w:hAnsi="Times New Roman"/>
          <w:i/>
        </w:rPr>
        <w:t>…</w:t>
      </w:r>
      <w:r w:rsidRPr="00832004">
        <w:rPr>
          <w:rFonts w:ascii="Times New Roman" w:hAnsi="Times New Roman"/>
          <w:i/>
        </w:rPr>
        <w:t>”</w:t>
      </w:r>
    </w:p>
    <w:p w:rsidR="00DC7B1E" w:rsidRPr="00832004" w:rsidRDefault="00DC7B1E" w:rsidP="00B3197B">
      <w:pPr>
        <w:spacing w:line="360" w:lineRule="auto"/>
        <w:contextualSpacing/>
        <w:jc w:val="both"/>
        <w:rPr>
          <w:rFonts w:ascii="Times New Roman" w:hAnsi="Times New Roman"/>
        </w:rPr>
      </w:pPr>
      <w:r w:rsidRPr="00832004">
        <w:rPr>
          <w:rFonts w:ascii="Times New Roman" w:hAnsi="Times New Roman"/>
        </w:rPr>
        <w:t xml:space="preserve">Thirdly, earnings management has been often confused with fraud, especially after the corporate scandals of the beginning of the 21th century. By including the part </w:t>
      </w:r>
      <w:r w:rsidRPr="00832004">
        <w:rPr>
          <w:rFonts w:ascii="Times New Roman" w:hAnsi="Times New Roman"/>
          <w:i/>
        </w:rPr>
        <w:t>“.</w:t>
      </w:r>
      <w:r>
        <w:rPr>
          <w:rFonts w:ascii="Times New Roman" w:hAnsi="Times New Roman"/>
          <w:i/>
        </w:rPr>
        <w:t>.</w:t>
      </w:r>
      <w:r w:rsidRPr="00832004">
        <w:rPr>
          <w:rFonts w:ascii="Times New Roman" w:hAnsi="Times New Roman"/>
          <w:i/>
        </w:rPr>
        <w:t>.within the constraints of the relevant accounting standard.</w:t>
      </w:r>
      <w:r>
        <w:rPr>
          <w:rFonts w:ascii="Times New Roman" w:hAnsi="Times New Roman"/>
          <w:i/>
        </w:rPr>
        <w:t>.</w:t>
      </w:r>
      <w:r w:rsidRPr="00832004">
        <w:rPr>
          <w:rFonts w:ascii="Times New Roman" w:hAnsi="Times New Roman"/>
          <w:i/>
        </w:rPr>
        <w:t>.”</w:t>
      </w:r>
      <w:r w:rsidRPr="00832004">
        <w:rPr>
          <w:rFonts w:ascii="Times New Roman" w:hAnsi="Times New Roman"/>
        </w:rPr>
        <w:t xml:space="preserve"> in the definition of earnings management, it will eliminate the misunderstanding. The difference between earnings management and fraud will be further explained in paragraph 2.3.1. To be clear, this research will only focus on earnings management rather than fraud. </w:t>
      </w:r>
    </w:p>
    <w:p w:rsidR="00DC7B1E" w:rsidRPr="00832004" w:rsidRDefault="00DC7B1E" w:rsidP="00B3197B">
      <w:pPr>
        <w:spacing w:line="360" w:lineRule="auto"/>
        <w:contextualSpacing/>
        <w:jc w:val="both"/>
        <w:rPr>
          <w:rFonts w:ascii="Times New Roman" w:hAnsi="Times New Roman"/>
        </w:rPr>
      </w:pPr>
      <w:r w:rsidRPr="00832004">
        <w:rPr>
          <w:rFonts w:ascii="Times New Roman" w:hAnsi="Times New Roman"/>
        </w:rPr>
        <w:t xml:space="preserve">Fourthly and finally, it encompasses the goals of the earnings management activities in the following part: </w:t>
      </w:r>
      <w:r w:rsidRPr="00832004">
        <w:rPr>
          <w:rFonts w:ascii="Times New Roman" w:hAnsi="Times New Roman"/>
          <w:i/>
        </w:rPr>
        <w:t>“..to alter financial reports to influence contractual outcomes that depend on reported accounting numbers or to bring about a desired level of earnings.”</w:t>
      </w:r>
    </w:p>
    <w:p w:rsidR="00DC7B1E" w:rsidRPr="00832004" w:rsidRDefault="00DC7B1E" w:rsidP="00A96C5F">
      <w:pPr>
        <w:autoSpaceDE w:val="0"/>
        <w:autoSpaceDN w:val="0"/>
        <w:adjustRightInd w:val="0"/>
        <w:spacing w:after="0" w:line="360" w:lineRule="auto"/>
        <w:jc w:val="both"/>
        <w:rPr>
          <w:rFonts w:ascii="Times New Roman" w:hAnsi="Times New Roman"/>
        </w:rPr>
      </w:pPr>
    </w:p>
    <w:p w:rsidR="00DC7B1E" w:rsidRPr="00731266" w:rsidRDefault="00DC7B1E" w:rsidP="00731266">
      <w:pPr>
        <w:pStyle w:val="Heading2"/>
        <w:spacing w:before="60" w:line="360" w:lineRule="auto"/>
        <w:contextualSpacing/>
        <w:rPr>
          <w:i w:val="0"/>
          <w:sz w:val="24"/>
          <w:szCs w:val="24"/>
        </w:rPr>
      </w:pPr>
      <w:bookmarkStart w:id="8" w:name="_Toc234567962"/>
      <w:r w:rsidRPr="00731266">
        <w:rPr>
          <w:i w:val="0"/>
          <w:sz w:val="24"/>
          <w:szCs w:val="24"/>
        </w:rPr>
        <w:t xml:space="preserve">1.4 </w:t>
      </w:r>
      <w:r w:rsidRPr="00731266">
        <w:rPr>
          <w:i w:val="0"/>
          <w:sz w:val="24"/>
          <w:szCs w:val="24"/>
        </w:rPr>
        <w:tab/>
        <w:t>Relevance</w:t>
      </w:r>
      <w:bookmarkEnd w:id="8"/>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Although a broad array of studies have been conducted concerning the relation between stock options and earnings management, those researches are usually based on an US sample. The first contribution this research will make is to extend the existing literature </w:t>
      </w:r>
      <w:r>
        <w:rPr>
          <w:rFonts w:ascii="Times New Roman" w:hAnsi="Times New Roman"/>
        </w:rPr>
        <w:t>regarding</w:t>
      </w:r>
      <w:r w:rsidRPr="00832004">
        <w:rPr>
          <w:rFonts w:ascii="Times New Roman" w:hAnsi="Times New Roman"/>
        </w:rPr>
        <w:t xml:space="preserve"> this subject is by focusing on UK companies listed on the FTSE 350. </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This research also contributes by examining whether the level of earnings management is influenced by the </w:t>
      </w:r>
      <w:r>
        <w:rPr>
          <w:rFonts w:ascii="Times New Roman" w:hAnsi="Times New Roman"/>
        </w:rPr>
        <w:t xml:space="preserve">function of the </w:t>
      </w:r>
      <w:r w:rsidRPr="00832004">
        <w:rPr>
          <w:rFonts w:ascii="Times New Roman" w:hAnsi="Times New Roman"/>
        </w:rPr>
        <w:t>executive that exercise</w:t>
      </w:r>
      <w:r>
        <w:rPr>
          <w:rFonts w:ascii="Times New Roman" w:hAnsi="Times New Roman"/>
        </w:rPr>
        <w:t>s</w:t>
      </w:r>
      <w:r w:rsidRPr="00832004">
        <w:rPr>
          <w:rFonts w:ascii="Times New Roman" w:hAnsi="Times New Roman"/>
        </w:rPr>
        <w:t xml:space="preserve"> executive stock options</w:t>
      </w:r>
      <w:r>
        <w:rPr>
          <w:rFonts w:ascii="Times New Roman" w:hAnsi="Times New Roman"/>
        </w:rPr>
        <w:t>. Some studies</w:t>
      </w:r>
      <w:r w:rsidRPr="00832004">
        <w:rPr>
          <w:rFonts w:ascii="Times New Roman" w:hAnsi="Times New Roman"/>
        </w:rPr>
        <w:t xml:space="preserve"> showed that especially CEOs have the power to manipulate earnings because of his position. However, no research has focused on other executives such as the CFO, COO and so on while those executives are granted stock options too. Besides, those executives </w:t>
      </w:r>
      <w:r>
        <w:rPr>
          <w:rFonts w:ascii="Times New Roman" w:hAnsi="Times New Roman"/>
        </w:rPr>
        <w:t xml:space="preserve">could also have incentives and the ability to manipulate earnings, especially </w:t>
      </w:r>
      <w:r w:rsidRPr="00832004">
        <w:rPr>
          <w:rFonts w:ascii="Times New Roman" w:hAnsi="Times New Roman"/>
        </w:rPr>
        <w:t xml:space="preserve">the CFO because of his specific financial knowledge of the company. Therefore, the influence of the exercising executive’s function on the level earnings management will also be reflected on in this research. Instead of only focusing on the CEO, this study investigates all executives of a firm. By investigating this, it will provide insight in the power of </w:t>
      </w:r>
      <w:r>
        <w:rPr>
          <w:rFonts w:ascii="Times New Roman" w:hAnsi="Times New Roman"/>
        </w:rPr>
        <w:t xml:space="preserve">the </w:t>
      </w:r>
      <w:r w:rsidRPr="00832004">
        <w:rPr>
          <w:rFonts w:ascii="Times New Roman" w:hAnsi="Times New Roman"/>
        </w:rPr>
        <w:t xml:space="preserve">other executives to manipulate earnings. </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Ultimately this research is relevant for the practice as well. For shareholders, investors, creditors, financial analysts, board of directors, legislators, advisors, and accountants and so on, it is relevant to know whether executives manipulate earnings. When it turns out that executives induce such practices, it is a signal to those parties to be more careful in analyzing financial statements for their decision making. For example, for creditors it is important that the information on earnings and cash flows are reliable to assess the risk of lending money to the firm, and with respect to shareholders and investors the reliability of earnings is crucial to evaluate their investments (in the firm’s shares). With respect to a company’s board of directors, it is important to know whether the remuneration’s composition they set up for the executives of their company, encourages managers to engage in earnings management. With such information they could consider to change the composition of executives’ remuneration in the future. For legislators it is relevant to know whether and in what level earnings management practices are still present and if additional measures are necessary to take in order to improve the transparency of financial disclosures and to prevent executives inducing in further earnings manipulation in an unacceptable way. </w:t>
      </w:r>
    </w:p>
    <w:p w:rsidR="00DC7B1E" w:rsidRPr="00832004" w:rsidRDefault="00DC7B1E" w:rsidP="00B3197B">
      <w:pPr>
        <w:autoSpaceDE w:val="0"/>
        <w:autoSpaceDN w:val="0"/>
        <w:adjustRightInd w:val="0"/>
        <w:spacing w:after="0" w:line="360" w:lineRule="auto"/>
        <w:jc w:val="both"/>
        <w:rPr>
          <w:rFonts w:ascii="Times New Roman" w:hAnsi="Times New Roman"/>
        </w:rPr>
      </w:pPr>
    </w:p>
    <w:p w:rsidR="00DC7B1E" w:rsidRPr="00731266" w:rsidRDefault="00DC7B1E" w:rsidP="00731266">
      <w:pPr>
        <w:pStyle w:val="Heading2"/>
        <w:spacing w:before="60" w:line="360" w:lineRule="auto"/>
        <w:contextualSpacing/>
        <w:rPr>
          <w:i w:val="0"/>
          <w:sz w:val="24"/>
          <w:szCs w:val="24"/>
        </w:rPr>
      </w:pPr>
      <w:bookmarkStart w:id="9" w:name="_Toc224624708"/>
      <w:bookmarkStart w:id="10" w:name="_Toc234567963"/>
      <w:r w:rsidRPr="00731266">
        <w:rPr>
          <w:i w:val="0"/>
          <w:sz w:val="24"/>
          <w:szCs w:val="24"/>
        </w:rPr>
        <w:t xml:space="preserve">1.5 </w:t>
      </w:r>
      <w:r w:rsidRPr="00731266">
        <w:rPr>
          <w:i w:val="0"/>
          <w:sz w:val="24"/>
          <w:szCs w:val="24"/>
        </w:rPr>
        <w:tab/>
        <w:t>Structure</w:t>
      </w:r>
      <w:bookmarkEnd w:id="9"/>
      <w:bookmarkEnd w:id="10"/>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The structure of this thesis is as follows:</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i/>
        </w:rPr>
      </w:pPr>
      <w:r w:rsidRPr="00832004">
        <w:rPr>
          <w:rFonts w:ascii="Times New Roman" w:hAnsi="Times New Roman"/>
          <w:i/>
        </w:rPr>
        <w:t>Chapter 2</w:t>
      </w:r>
      <w:r w:rsidRPr="00832004">
        <w:rPr>
          <w:rFonts w:ascii="Times New Roman" w:hAnsi="Times New Roman"/>
          <w:i/>
        </w:rPr>
        <w:tab/>
        <w:t>Literature review</w:t>
      </w:r>
    </w:p>
    <w:p w:rsidR="00DC7B1E"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This chapter provides theoretical concepts and an overview of relevant prior research in order to answer the research question. Before examining the relationship between executive stock options and earnings management, first it is important to draw a background of the agency theory which plays an important role in executive pay. Thereafter, executive stock options and the phenomenon earnings management will be discussed in more detail. Additionally, this chapter will provide an overview of previous academic research concerning the relationship between executive stock options and earnings management. </w:t>
      </w:r>
    </w:p>
    <w:p w:rsidR="00DC7B1E"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Chapter 3</w:t>
      </w:r>
      <w:r w:rsidRPr="00832004">
        <w:rPr>
          <w:rFonts w:ascii="Times New Roman" w:hAnsi="Times New Roman"/>
        </w:rPr>
        <w:tab/>
        <w:t>Hypotheses</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On the basis of the relevant literature, this chapter will develop hypotheses that will be tested in order to seek an answer to the research question. </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i/>
        </w:rPr>
      </w:pPr>
      <w:r w:rsidRPr="00832004">
        <w:rPr>
          <w:rFonts w:ascii="Times New Roman" w:hAnsi="Times New Roman"/>
          <w:i/>
        </w:rPr>
        <w:t>Chapter 4</w:t>
      </w:r>
      <w:r w:rsidRPr="00832004">
        <w:rPr>
          <w:rFonts w:ascii="Times New Roman" w:hAnsi="Times New Roman"/>
          <w:i/>
        </w:rPr>
        <w:tab/>
        <w:t>Methodology</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This chapter describes the sample selection, research period and the methods the hypotheses will be tested, including the dependent and independent variables. It also provides the motivation for the chosen methodology. </w:t>
      </w:r>
    </w:p>
    <w:p w:rsidR="00DC7B1E" w:rsidRPr="00832004" w:rsidRDefault="00DC7B1E" w:rsidP="00B3197B">
      <w:pPr>
        <w:autoSpaceDE w:val="0"/>
        <w:autoSpaceDN w:val="0"/>
        <w:adjustRightInd w:val="0"/>
        <w:spacing w:after="0" w:line="360" w:lineRule="auto"/>
        <w:contextualSpacing/>
        <w:jc w:val="both"/>
        <w:rPr>
          <w:rFonts w:ascii="Times New Roman" w:hAnsi="Times New Roman"/>
          <w:i/>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i/>
        </w:rPr>
      </w:pPr>
      <w:r w:rsidRPr="00832004">
        <w:rPr>
          <w:rFonts w:ascii="Times New Roman" w:hAnsi="Times New Roman"/>
          <w:i/>
        </w:rPr>
        <w:t>Chapter 5</w:t>
      </w:r>
      <w:r w:rsidRPr="00832004">
        <w:rPr>
          <w:rFonts w:ascii="Times New Roman" w:hAnsi="Times New Roman"/>
          <w:i/>
        </w:rPr>
        <w:tab/>
        <w:t>Research results</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This chapter presents the findings of the empirical results. It discusses whether the hypotheses must be rejected or approved. </w:t>
      </w:r>
    </w:p>
    <w:p w:rsidR="00DC7B1E" w:rsidRPr="00832004" w:rsidRDefault="00DC7B1E" w:rsidP="00B3197B">
      <w:pPr>
        <w:autoSpaceDE w:val="0"/>
        <w:autoSpaceDN w:val="0"/>
        <w:adjustRightInd w:val="0"/>
        <w:spacing w:after="0" w:line="360" w:lineRule="auto"/>
        <w:contextualSpacing/>
        <w:jc w:val="both"/>
        <w:rPr>
          <w:rFonts w:ascii="Times New Roman" w:hAnsi="Times New Roman"/>
          <w:i/>
        </w:rPr>
      </w:pPr>
    </w:p>
    <w:p w:rsidR="00DC7B1E" w:rsidRPr="00832004" w:rsidRDefault="00DC7B1E" w:rsidP="00B3197B">
      <w:pPr>
        <w:autoSpaceDE w:val="0"/>
        <w:autoSpaceDN w:val="0"/>
        <w:adjustRightInd w:val="0"/>
        <w:spacing w:after="0" w:line="360" w:lineRule="auto"/>
        <w:contextualSpacing/>
        <w:jc w:val="both"/>
        <w:rPr>
          <w:rFonts w:ascii="Times New Roman" w:hAnsi="Times New Roman"/>
          <w:i/>
        </w:rPr>
      </w:pPr>
      <w:r w:rsidRPr="00832004">
        <w:rPr>
          <w:rFonts w:ascii="Times New Roman" w:hAnsi="Times New Roman"/>
          <w:i/>
        </w:rPr>
        <w:t>Chapter 6</w:t>
      </w:r>
      <w:r w:rsidRPr="00832004">
        <w:rPr>
          <w:rFonts w:ascii="Times New Roman" w:hAnsi="Times New Roman"/>
          <w:i/>
        </w:rPr>
        <w:tab/>
        <w:t>Conclusions</w:t>
      </w:r>
    </w:p>
    <w:p w:rsidR="00DC7B1E" w:rsidRPr="00832004" w:rsidRDefault="00DC7B1E" w:rsidP="00B3197B">
      <w:pPr>
        <w:autoSpaceDE w:val="0"/>
        <w:autoSpaceDN w:val="0"/>
        <w:adjustRightInd w:val="0"/>
        <w:spacing w:after="0" w:line="360" w:lineRule="auto"/>
        <w:contextualSpacing/>
        <w:jc w:val="both"/>
        <w:rPr>
          <w:rFonts w:ascii="Times New Roman" w:hAnsi="Times New Roman"/>
        </w:rPr>
      </w:pPr>
      <w:r>
        <w:rPr>
          <w:rFonts w:ascii="Times New Roman" w:hAnsi="Times New Roman"/>
        </w:rPr>
        <w:t xml:space="preserve">In this chapter conclusions of this research will be drawn. </w:t>
      </w:r>
      <w:r w:rsidRPr="00832004">
        <w:rPr>
          <w:rFonts w:ascii="Times New Roman" w:hAnsi="Times New Roman"/>
        </w:rPr>
        <w:t xml:space="preserve">It also discusses the limitations of this research and it provides recommendations for future research. </w:t>
      </w: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contextualSpacing/>
        <w:jc w:val="both"/>
        <w:rPr>
          <w:rFonts w:ascii="Times New Roman" w:hAnsi="Times New Roman"/>
        </w:rPr>
      </w:pPr>
    </w:p>
    <w:p w:rsidR="00DC7B1E" w:rsidRPr="00832004" w:rsidRDefault="00DC7B1E" w:rsidP="00A96C5F">
      <w:pPr>
        <w:autoSpaceDE w:val="0"/>
        <w:autoSpaceDN w:val="0"/>
        <w:adjustRightInd w:val="0"/>
        <w:spacing w:after="0" w:line="360" w:lineRule="auto"/>
        <w:jc w:val="both"/>
        <w:rPr>
          <w:rFonts w:ascii="Times New Roman" w:hAnsi="Times New Roman"/>
        </w:rPr>
      </w:pPr>
    </w:p>
    <w:p w:rsidR="00DC7B1E" w:rsidRPr="00236C8C" w:rsidRDefault="00DC7B1E" w:rsidP="00236C8C">
      <w:pPr>
        <w:pStyle w:val="Heading1"/>
        <w:spacing w:before="60" w:line="360" w:lineRule="auto"/>
        <w:contextualSpacing/>
        <w:rPr>
          <w:color w:val="2A62A6"/>
        </w:rPr>
      </w:pPr>
      <w:bookmarkStart w:id="11" w:name="_Toc234567964"/>
      <w:bookmarkStart w:id="12" w:name="_Toc224624709"/>
      <w:r w:rsidRPr="00236C8C">
        <w:rPr>
          <w:color w:val="2A62A6"/>
        </w:rPr>
        <w:t>2</w:t>
      </w:r>
      <w:r w:rsidRPr="00236C8C">
        <w:rPr>
          <w:color w:val="2A62A6"/>
        </w:rPr>
        <w:tab/>
        <w:t>Literature review</w:t>
      </w:r>
      <w:bookmarkEnd w:id="11"/>
    </w:p>
    <w:bookmarkEnd w:id="12"/>
    <w:p w:rsidR="00DC7B1E" w:rsidRDefault="00DC7B1E" w:rsidP="00A94509">
      <w:pPr>
        <w:spacing w:line="360" w:lineRule="auto"/>
        <w:contextualSpacing/>
        <w:jc w:val="both"/>
        <w:rPr>
          <w:rFonts w:ascii="Times New Roman" w:hAnsi="Times New Roman"/>
        </w:rPr>
      </w:pPr>
      <w:r>
        <w:rPr>
          <w:noProof/>
        </w:rPr>
        <w:pict>
          <v:shape id="_x0000_s1032" type="#_x0000_t32" style="position:absolute;left:0;text-align:left;margin-left:1.5pt;margin-top:11pt;width:451.8pt;height:0;z-index:251656704" o:connectortype="straight"/>
        </w:pict>
      </w:r>
    </w:p>
    <w:p w:rsidR="00DC7B1E" w:rsidRPr="00832004" w:rsidRDefault="00DC7B1E" w:rsidP="00A94509">
      <w:pPr>
        <w:spacing w:line="360" w:lineRule="auto"/>
        <w:contextualSpacing/>
        <w:jc w:val="both"/>
        <w:rPr>
          <w:rFonts w:ascii="Times New Roman" w:hAnsi="Times New Roman"/>
        </w:rPr>
      </w:pPr>
    </w:p>
    <w:p w:rsidR="00DC7B1E" w:rsidRDefault="00DC7B1E" w:rsidP="00A94509">
      <w:pPr>
        <w:spacing w:line="360" w:lineRule="auto"/>
        <w:contextualSpacing/>
        <w:jc w:val="both"/>
        <w:rPr>
          <w:rFonts w:ascii="Times New Roman" w:hAnsi="Times New Roman"/>
        </w:rPr>
      </w:pPr>
      <w:r w:rsidRPr="00832004">
        <w:rPr>
          <w:rFonts w:ascii="Times New Roman" w:hAnsi="Times New Roman"/>
        </w:rPr>
        <w:t xml:space="preserve">As indicated in the previous chapter, the objective of this research is to investigate the relationship between executive stock options and earnings management. Before examining this, it is important to have knowledge about the agency problem that exists between the executives and shareholders which plays a central role in executive pay. Therefore, the first paragraph of this chapter will focus on the agency theory. This will be followed by the explanation and discussion of executive stock options as compensation in paragraph 2.2. The phenomenon earnings management which will be related to executive stock option will be discussed in paragraph 2.3. It will treat various incentives of executives to manage earnings and the methods they use </w:t>
      </w:r>
      <w:r>
        <w:rPr>
          <w:rFonts w:ascii="Times New Roman" w:hAnsi="Times New Roman"/>
        </w:rPr>
        <w:t xml:space="preserve">to </w:t>
      </w:r>
      <w:r w:rsidRPr="00832004">
        <w:rPr>
          <w:rFonts w:ascii="Times New Roman" w:hAnsi="Times New Roman"/>
        </w:rPr>
        <w:t xml:space="preserve">manage earnings. Finally, a literature review of the association between executive stock options and earnings management will be given in paragraph 2.4. </w:t>
      </w:r>
    </w:p>
    <w:p w:rsidR="00DC7B1E" w:rsidRPr="00832004" w:rsidRDefault="00DC7B1E" w:rsidP="00A94509">
      <w:pPr>
        <w:spacing w:line="360" w:lineRule="auto"/>
        <w:contextualSpacing/>
        <w:jc w:val="both"/>
        <w:rPr>
          <w:rFonts w:ascii="Times New Roman" w:hAnsi="Times New Roman"/>
        </w:rPr>
      </w:pPr>
    </w:p>
    <w:p w:rsidR="00DC7B1E" w:rsidRPr="00834482" w:rsidRDefault="00DC7B1E" w:rsidP="00731266">
      <w:pPr>
        <w:pStyle w:val="Heading2"/>
        <w:spacing w:before="60" w:line="360" w:lineRule="auto"/>
        <w:contextualSpacing/>
        <w:rPr>
          <w:i w:val="0"/>
          <w:sz w:val="24"/>
          <w:szCs w:val="24"/>
        </w:rPr>
      </w:pPr>
      <w:bookmarkStart w:id="13" w:name="_Toc224624710"/>
      <w:bookmarkStart w:id="14" w:name="_Toc234567965"/>
      <w:r w:rsidRPr="00834482">
        <w:rPr>
          <w:i w:val="0"/>
          <w:sz w:val="24"/>
          <w:szCs w:val="24"/>
        </w:rPr>
        <w:t>2.1</w:t>
      </w:r>
      <w:r w:rsidRPr="00834482">
        <w:rPr>
          <w:i w:val="0"/>
          <w:sz w:val="24"/>
          <w:szCs w:val="24"/>
        </w:rPr>
        <w:tab/>
        <w:t>Agency theory</w:t>
      </w:r>
      <w:bookmarkEnd w:id="13"/>
      <w:bookmarkEnd w:id="14"/>
    </w:p>
    <w:p w:rsidR="00DC7B1E" w:rsidRPr="00AC7CE7" w:rsidRDefault="00DC7B1E" w:rsidP="00A94509">
      <w:pPr>
        <w:spacing w:line="360" w:lineRule="auto"/>
        <w:contextualSpacing/>
        <w:jc w:val="both"/>
        <w:rPr>
          <w:rFonts w:ascii="Arial" w:hAnsi="Arial" w:cs="Arial"/>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During the 1960s and 1970s, economists explored the risk sharing problem among individuals or groups (Arrow, 1971; Wilson, 1968). This risk sharing problem arises when cooperating parties have different attitudes towards risk. The agency theory broadened this risk sharing literature with the so called agency problem that occurs when cooperating parties have different goals and division of labor (Jensen and Meckling, 1976; Ross, 1973). Jensen and Meckling, the founders of the agency theory, defined the agency relationship as:</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i/>
        </w:rPr>
        <w:t>“a contract under which one or more persons (the principal(s)) engage</w:t>
      </w:r>
      <w:r>
        <w:rPr>
          <w:rFonts w:ascii="Times New Roman" w:hAnsi="Times New Roman"/>
          <w:i/>
        </w:rPr>
        <w:t>(s)</w:t>
      </w:r>
      <w:r w:rsidRPr="00832004">
        <w:rPr>
          <w:rFonts w:ascii="Times New Roman" w:hAnsi="Times New Roman"/>
          <w:i/>
        </w:rPr>
        <w:t xml:space="preserve"> another person (the agent) to perform some service on behalf which involves delegating some decision making authority to the agent.”</w:t>
      </w:r>
    </w:p>
    <w:p w:rsidR="00DC7B1E"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The principal hires and delegates an agent to perform work. In this principal agent relationship, two main problems can occur which are the agency problem and the risk sharing problem.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The agency problem arises when there is a conflict of interest between the principal and agent, and the principal cannot determine whether the agent behave appropriately. If both parties have different objectives, it is likely that the agent act in its self interest instead of acting in the best interest of the principal. The fact that the agent can behave differently than it is required of him is due to the information asymmetry that exist between both parties. The agent is the one that performs work and therefore has the most information. As the agent’s interest differs from th</w:t>
      </w:r>
      <w:r>
        <w:rPr>
          <w:rFonts w:ascii="Times New Roman" w:hAnsi="Times New Roman"/>
        </w:rPr>
        <w:t>at</w:t>
      </w:r>
      <w:r w:rsidRPr="00832004">
        <w:rPr>
          <w:rFonts w:ascii="Times New Roman" w:hAnsi="Times New Roman"/>
        </w:rPr>
        <w:t xml:space="preserve"> of the principal and wants to act in his self interest, the agent could hide some information. Therefore, it is difficult for the principal to verify if the actions of the agent are appropriately and whether the contract has been </w:t>
      </w:r>
      <w:r w:rsidRPr="00832004">
        <w:rPr>
          <w:rFonts w:ascii="Times New Roman" w:hAnsi="Times New Roman"/>
          <w:color w:val="000000"/>
        </w:rPr>
        <w:t>satisfied. For example, if a firm hires an employee, the firm wants him or her to work hard but it is difficult to observe whether he or she sometimes shirks. This is a situation of hidden action, whenever one party takes actions that the other party cannot observe. Close to this are the phenomena moral hazard and adverse selection where information asymmetry also plays a role. Moral hazard arises because the agent does not bear the consequences and therefore behave differently than if he is fully exposed to the risk. In this case, it refers to the lack of effort or the less careful attitude on the side of the agent. In the previous example where the employer is the principal and the employee is the agent, this is when the employee shirks and do not adhere to the agreed effort.</w:t>
      </w:r>
      <w:r w:rsidRPr="00832004">
        <w:rPr>
          <w:rFonts w:ascii="Times New Roman" w:hAnsi="Times New Roman"/>
        </w:rPr>
        <w:t xml:space="preserve"> Adverse selection concerns the misrepresentation of ability by the agent (Eisenhardt, 1989). For instance, adverse selection takes place if the agent claims to own certain abilities or skills when the agent is hired while the principal cannot determine whether the agent do have such abilities at the time of hiring or while the agent is working. </w:t>
      </w:r>
    </w:p>
    <w:p w:rsidR="00DC7B1E" w:rsidRPr="00832004" w:rsidRDefault="00DC7B1E" w:rsidP="00A94509">
      <w:pPr>
        <w:spacing w:line="360" w:lineRule="auto"/>
        <w:contextualSpacing/>
        <w:jc w:val="both"/>
        <w:rPr>
          <w:rFonts w:ascii="Times New Roman" w:hAnsi="Times New Roman"/>
          <w:color w:val="000000"/>
        </w:rPr>
      </w:pPr>
    </w:p>
    <w:p w:rsidR="00DC7B1E" w:rsidRPr="00832004" w:rsidRDefault="00DC7B1E" w:rsidP="00A94509">
      <w:pPr>
        <w:spacing w:line="360" w:lineRule="auto"/>
        <w:contextualSpacing/>
        <w:jc w:val="both"/>
        <w:rPr>
          <w:rFonts w:ascii="Times New Roman" w:hAnsi="Times New Roman"/>
          <w:color w:val="000000"/>
        </w:rPr>
      </w:pPr>
      <w:r w:rsidRPr="00832004">
        <w:rPr>
          <w:rFonts w:ascii="Times New Roman" w:hAnsi="Times New Roman"/>
          <w:color w:val="000000"/>
        </w:rPr>
        <w:t>The risk sharing problem arises when the principal and agent have different attitudes towards risk. The problem is that they prefer different actions because of their different risk preferences. As a result, the agent could take more or less risks than the principal is actually willing to accept. This phenomenon is closely related to moral hazard. The agent behaves differently than if he bears all the consequences of his actions. In the employer and employee relationship, the employee could prefer less risks if he is afraid to fail and to lose his reputation. However, since the agent is not fully exposed of the risks, the agent could also even take more risks than it is justified. Both cases could create problems: in the first case, the firm could generate less firm value than it is possible and in the second case, the firm could lose capital if risky investments become unsuccessful.</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According to Jensen and Meckling (1976), the principal (the stockholder) incurs agency costs to prevent the agent (executive) acting in his or her self interest and to motivate the agent. Those costs are composed of three components: monitoring, bonding and residual loss. Monitoring costs involve the costs incurred by the principal to limit aberrant activities of the agent by monitoring the agent’s behavior which include the measuring, observing and controlling activities. Examples are internal and mandatory external audit costs, investments in governance structures such as having more independent outside directors on the board, formal procedures, information systems, and other oversight processes that help curb opportunistic behavior by the agent (Hoque, 2006). The costs incurred to ensure that the agent will not take certain actions that could harm the principal or to ensure that the principal will be compensated if the agent does take such actions, are referred as bonding costs (Jensen and Meckling, 1976). It also relates to initiatives that help to align the interest of the agent with those of the principal including private contracting, for instance through bonus incentive schemes or reward structures that minimize loss through underperformance or opportunistic behavior (Hoque, 2006). The residual loss represents the cash value of any loss suffered by the principal due to the self interested behavior of the agent despite the monitoring and bonding activities which were meant to create appropriate incentives for the agent and to align the interests of the agent with those of the principal (Jensen and Meckling, 1976).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b/>
        </w:rPr>
      </w:pPr>
      <w:r w:rsidRPr="00832004">
        <w:rPr>
          <w:rFonts w:ascii="Times New Roman" w:hAnsi="Times New Roman"/>
          <w:b/>
        </w:rPr>
        <w:t xml:space="preserve">Application of the principal agent relationship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color w:val="000000"/>
        </w:rPr>
      </w:pPr>
      <w:r w:rsidRPr="00832004">
        <w:rPr>
          <w:rFonts w:ascii="Times New Roman" w:hAnsi="Times New Roman"/>
        </w:rPr>
        <w:t>According to Eisenhardt (1989), the agency theory is applicable in a variety of settings, ranging from macro level issues such as regulatory policy to micro level matters such as blame, lying and other expression of self interest. Examples of the principal agent relationship include voters and their elected representatives, patients and physicians, client and lawyer, buyer and supplier, employers and employees and so on. In the context of this research, the principal agent relationship concerns the relationship between the stockholders of a publicly owned company and the executives that are hired to perform work. The problem here is that the executives that are hired for their expertise and management talent and do not own the company, would take other actions than when they own 100 percent of the firm (Jensen, Murphy and Wruck, 2004). If a manager of a firm holds 100 percent of the firm’s shares, there would be no worry that the decisions made have the purpose to maximize the long run shareholders’ value. Additional incentive plans would not be necessary. In a situation of separation of ownership and control, information asymmetry exists between both parties. Therefore, shareholders could only observe the result of their actions in the form of stock prices, ROA, earnings and so on, but a complete observation concerning investment opportunities and the processes of the actions the executives took, are not in the ability of the shareholders. As a result, shareholders do not know whether executives took decisions that are in the best interest of the shareholders and whether they over consume non-pecuniary items such as leisure, attractive working conditions or not invest sufficient time and effort to increase shareholder wealth (Kaplan and Atkinson, 1998).</w:t>
      </w:r>
      <w:r w:rsidRPr="00832004">
        <w:rPr>
          <w:rFonts w:ascii="Times New Roman" w:hAnsi="Times New Roman"/>
        </w:rPr>
        <w:br/>
        <w:t xml:space="preserve">Additionally, a second problem exists within the principal agent relationship which involves the risk attitude of both parties. Executives tend to be more risk averse than shareholders (Eisenhardt, 1989; Jensen and Meckling, 1976; Jensen, Murphy and Wruck, 2004; Kaplan and Atkinson, 1998). Executives fear to suffer their managerial reputation when the firm performs poorly resulting in limited outside job offers and slower rate of compensation increases within the firm (Kaplan and Atkinson, 1998). On the contrary, shareholders are less risk averse and therefore risk neutral since they can diversify their risk through ownership of different firms. This leads to different preferences of actions due to the different attitude towards risk between both parties. The problem here is that executives tend to avoid risky investment projects and decisions, even those with high expected </w:t>
      </w:r>
      <w:r w:rsidRPr="00832004">
        <w:rPr>
          <w:rFonts w:ascii="Times New Roman" w:hAnsi="Times New Roman"/>
          <w:color w:val="000000"/>
        </w:rPr>
        <w:t>returns. However, it turns out that the practice could show different results as we take the corporate scandals of the beginning of the 21th century and the recent financial crisis in mind. Those were the result of executives in the United States that took excessive risks with the incentive to maximize their own compensation.</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3C5602">
      <w:pPr>
        <w:spacing w:line="360" w:lineRule="auto"/>
        <w:contextualSpacing/>
        <w:jc w:val="both"/>
        <w:rPr>
          <w:rFonts w:ascii="Times New Roman" w:hAnsi="Times New Roman"/>
        </w:rPr>
      </w:pPr>
      <w:r w:rsidRPr="00832004">
        <w:rPr>
          <w:rFonts w:ascii="Times New Roman" w:hAnsi="Times New Roman"/>
        </w:rPr>
        <w:t xml:space="preserve">To solve the agency problem between the shareholders and executives, it is assumed that executive </w:t>
      </w:r>
      <w:r w:rsidRPr="00832004">
        <w:rPr>
          <w:rFonts w:ascii="Times New Roman" w:hAnsi="Times New Roman"/>
          <w:color w:val="000000"/>
        </w:rPr>
        <w:t>compensation can provide a solution. Jensen and Murphy (1990) argue that executive remuneration package is a tool to create appropriate incentives for the executives to increase shareholders’ value. However, the pay-performance relationship is not clear. While some studies showed a positive relationship between executive pay and firm performance, others did not find any correlation. According to Jensen and Murphy (1990), it’s not about how much executives get rewarded but the way firms</w:t>
      </w:r>
      <w:r w:rsidRPr="00832004">
        <w:rPr>
          <w:rFonts w:ascii="Times New Roman" w:hAnsi="Times New Roman"/>
        </w:rPr>
        <w:t xml:space="preserve"> pay their executives that matters. According to Jensen and Murphy (1990a) and Jensen et al. (2004), the composition of the executive remuneration package plays a crucial role in creating the correct incentives to encourage executives. They argue that equity based rather than cash compensation gives executives the correct incentives to maximize firm value. Jensen and Murphy (1990a) suggest and found that many mechanisms in the compensation policy that can provide value increasing incentives are such as performance based bonus schemes and salary provisions, stock options. Mehran (1995) confirmed this by his study of which the results showed that firm performance is positively related to the percentage of equity held by managers and the percentage of executive compensation that is equity based. And Hanlon (2002) found a positive correlation between executive stock options grants and future earnings. </w:t>
      </w:r>
    </w:p>
    <w:p w:rsidR="00DC7B1E" w:rsidRPr="00832004" w:rsidRDefault="00DC7B1E" w:rsidP="00822675">
      <w:pPr>
        <w:spacing w:line="360" w:lineRule="auto"/>
        <w:contextualSpacing/>
        <w:jc w:val="both"/>
        <w:rPr>
          <w:rFonts w:ascii="Times New Roman" w:hAnsi="Times New Roman"/>
          <w:color w:val="FF0000"/>
        </w:rPr>
      </w:pPr>
      <w:r>
        <w:rPr>
          <w:rFonts w:ascii="Times New Roman" w:hAnsi="Times New Roman"/>
        </w:rPr>
        <w:t>Also a</w:t>
      </w:r>
      <w:r w:rsidRPr="00832004">
        <w:rPr>
          <w:rFonts w:ascii="Times New Roman" w:hAnsi="Times New Roman"/>
        </w:rPr>
        <w:t xml:space="preserve">ccording to Haugen and Senbet (1981), stock options alleviate the agency problem and align executive’s interest with those of shareholders. The advantage of stock option compensation for executives is the fact that they do not suffer from share price drops and benefit unlimitedly from share price accretion. If share prices drops below their exercise price, executives have the possibility not to exercise their options. This non-negative asymmetric payoff could provide executives with incentives to become less risk averse in their project and strategy selection and take on more risky investments with higher expected </w:t>
      </w:r>
      <w:r w:rsidRPr="00832004">
        <w:rPr>
          <w:rFonts w:ascii="Times New Roman" w:hAnsi="Times New Roman"/>
          <w:color w:val="000000"/>
        </w:rPr>
        <w:t>return. This could mitigate the difference in risk preference between the executives and shareholders.</w:t>
      </w:r>
      <w:r w:rsidRPr="00832004">
        <w:rPr>
          <w:rFonts w:ascii="Times New Roman" w:hAnsi="Times New Roman"/>
          <w:color w:val="548DD4"/>
        </w:rPr>
        <w:t xml:space="preserve"> </w:t>
      </w:r>
    </w:p>
    <w:p w:rsidR="00DC7B1E" w:rsidRPr="00832004" w:rsidRDefault="00DC7B1E" w:rsidP="00822675">
      <w:pPr>
        <w:spacing w:line="360" w:lineRule="auto"/>
        <w:contextualSpacing/>
        <w:jc w:val="both"/>
        <w:rPr>
          <w:rFonts w:ascii="Times New Roman" w:hAnsi="Times New Roman"/>
        </w:rPr>
      </w:pPr>
    </w:p>
    <w:p w:rsidR="00DC7B1E" w:rsidRPr="00832004" w:rsidRDefault="00DC7B1E" w:rsidP="00822675">
      <w:pPr>
        <w:spacing w:line="360" w:lineRule="auto"/>
        <w:contextualSpacing/>
        <w:jc w:val="both"/>
        <w:rPr>
          <w:rFonts w:ascii="Times New Roman" w:hAnsi="Times New Roman"/>
        </w:rPr>
      </w:pPr>
      <w:r w:rsidRPr="00832004">
        <w:rPr>
          <w:rFonts w:ascii="Times New Roman" w:hAnsi="Times New Roman"/>
        </w:rPr>
        <w:t xml:space="preserve">Although several researchers assert that stock option grants to executives could solve the agency problem, the use of stock option as part of executive compensation received increasing criticism since the mid 1990s. More and more evidences exist concerning the dubious behavior the stock options bring about. Studies showed that excessive stock option grants induce executives in earnings management and fraud. For instance, Efendi et al. (2004, citing Coffee, 2005) found that the likelihood that firms restate their financial statements increases greatly when the CEO has very sizable holdings </w:t>
      </w:r>
      <w:r w:rsidRPr="00832004">
        <w:rPr>
          <w:rFonts w:ascii="Times New Roman" w:hAnsi="Times New Roman"/>
          <w:color w:val="000000"/>
        </w:rPr>
        <w:t>of in-the-money stock options</w:t>
      </w:r>
      <w:r w:rsidRPr="00832004">
        <w:rPr>
          <w:rFonts w:ascii="Times New Roman" w:hAnsi="Times New Roman"/>
        </w:rPr>
        <w:t xml:space="preserve">. Such restatement caused a firm loose an average of 10 per cent of its market capitalization over a 3 day trading period surrounding the date of the announcement (GAO, 2002, citing Coffee, 2005). Additionally, Denis et al. (2005) found a significant positive association between the likelihood of security fraud allegations and the use of stock option based compensation. It appears that executives that are involved in the recent accounting scandals like Enron and WorldCom engaged in excessive risk taking and an excessive fixation on share prices (Hall and Murphy, 2003). They tend to have a short term orientation and strive to maximize their option value by driving up the share price rather than maximizing the long run shareholders’ value. Although accounting scandals do not often occur, it does not mean that shareholders do not engage in such practices but in a less extreme and not fraudulent way. There are many evidences that stock options induce executives to take certain actions to manipulate earnings in order to influence their option value. It seems that stock option grants fail to provide executives with appropriate incentives and align the interest of executives with those of the shareholders. Although the non-negative asymmetric payoff reduce the risk averse behavior of executives in the agency theory, in practice the stock option grants seem to provide executives with strong incentives to take on more risk than it is actually meant. An appropriate example of this is the excessive risk taking of managers in the United States by approving risky mortgages and loans which was one of the main causes of the current financial crisis. Probably, this lies in the non-negative asymmetric payoff that the executives receive. They benefit infinitely from share price accretion but they do not suffer if share prices drop below their exercise price while shareholders do loose capital. This is a misalignment of risk attitude. The question arises if stock option grant is an appropriate method to compensate executives and whether executives in the UK also engage in earnings management due to the option grants although the portion of stock options as compensation in the UK is much lower in comparison with those in the US. </w:t>
      </w:r>
    </w:p>
    <w:p w:rsidR="00DC7B1E" w:rsidRPr="00832004" w:rsidRDefault="00DC7B1E" w:rsidP="00822675">
      <w:pPr>
        <w:spacing w:line="360" w:lineRule="auto"/>
        <w:contextualSpacing/>
        <w:jc w:val="both"/>
        <w:rPr>
          <w:rFonts w:ascii="Times New Roman" w:hAnsi="Times New Roman"/>
        </w:rPr>
      </w:pPr>
    </w:p>
    <w:p w:rsidR="00DC7B1E" w:rsidRPr="00834482" w:rsidRDefault="00DC7B1E" w:rsidP="00834482">
      <w:pPr>
        <w:pStyle w:val="Heading2"/>
        <w:spacing w:before="60" w:line="360" w:lineRule="auto"/>
        <w:contextualSpacing/>
        <w:rPr>
          <w:i w:val="0"/>
          <w:sz w:val="24"/>
          <w:szCs w:val="24"/>
        </w:rPr>
      </w:pPr>
      <w:bookmarkStart w:id="15" w:name="_Toc224624711"/>
      <w:bookmarkStart w:id="16" w:name="_Toc234567966"/>
      <w:r w:rsidRPr="00834482">
        <w:rPr>
          <w:i w:val="0"/>
          <w:sz w:val="24"/>
          <w:szCs w:val="24"/>
        </w:rPr>
        <w:t xml:space="preserve">2.2 </w:t>
      </w:r>
      <w:r w:rsidRPr="00834482">
        <w:rPr>
          <w:i w:val="0"/>
          <w:sz w:val="24"/>
          <w:szCs w:val="24"/>
        </w:rPr>
        <w:tab/>
        <w:t>Stock Options</w:t>
      </w:r>
      <w:bookmarkEnd w:id="15"/>
      <w:bookmarkEnd w:id="16"/>
    </w:p>
    <w:p w:rsidR="00DC7B1E" w:rsidRPr="00834482" w:rsidRDefault="00DC7B1E" w:rsidP="00A94509">
      <w:pPr>
        <w:autoSpaceDE w:val="0"/>
        <w:autoSpaceDN w:val="0"/>
        <w:adjustRightInd w:val="0"/>
        <w:spacing w:after="0" w:line="360" w:lineRule="auto"/>
        <w:contextualSpacing/>
        <w:jc w:val="both"/>
        <w:rPr>
          <w:rFonts w:ascii="Times New Roman" w:hAnsi="Times New Roman"/>
        </w:rPr>
      </w:pPr>
    </w:p>
    <w:p w:rsidR="00DC7B1E" w:rsidRPr="00834482" w:rsidRDefault="00DC7B1E" w:rsidP="00834482">
      <w:pPr>
        <w:pStyle w:val="Heading3"/>
        <w:spacing w:before="60" w:line="360" w:lineRule="auto"/>
        <w:contextualSpacing/>
        <w:rPr>
          <w:i/>
          <w:sz w:val="22"/>
          <w:szCs w:val="22"/>
        </w:rPr>
      </w:pPr>
      <w:bookmarkStart w:id="17" w:name="_Toc234567967"/>
      <w:r w:rsidRPr="00834482">
        <w:rPr>
          <w:i/>
          <w:sz w:val="22"/>
          <w:szCs w:val="22"/>
        </w:rPr>
        <w:t xml:space="preserve">2.2.1 </w:t>
      </w:r>
      <w:r w:rsidRPr="00834482">
        <w:rPr>
          <w:i/>
          <w:sz w:val="22"/>
          <w:szCs w:val="22"/>
        </w:rPr>
        <w:tab/>
        <w:t>Developments</w:t>
      </w:r>
      <w:bookmarkEnd w:id="17"/>
      <w:r w:rsidRPr="00834482">
        <w:rPr>
          <w:i/>
          <w:sz w:val="22"/>
          <w:szCs w:val="22"/>
        </w:rPr>
        <w:t xml:space="preserve"> </w:t>
      </w:r>
    </w:p>
    <w:p w:rsidR="00DC7B1E" w:rsidRPr="00832004" w:rsidRDefault="00DC7B1E" w:rsidP="00CC4A41">
      <w:pPr>
        <w:autoSpaceDE w:val="0"/>
        <w:autoSpaceDN w:val="0"/>
        <w:adjustRightInd w:val="0"/>
        <w:spacing w:after="0" w:line="360" w:lineRule="auto"/>
        <w:contextualSpacing/>
        <w:jc w:val="both"/>
        <w:rPr>
          <w:rFonts w:ascii="Times New Roman" w:hAnsi="Times New Roman"/>
        </w:rPr>
      </w:pPr>
    </w:p>
    <w:p w:rsidR="00DC7B1E" w:rsidRPr="00832004" w:rsidRDefault="00DC7B1E" w:rsidP="00CC4A41">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As a result of the corporate scandals, we have witnessed several legislative developments in the recent years. In order to restore the public confidence and to strengthen the corporate accounting controls, the Sarbanes Oxley Act enacted quickly after the scandals in 2002. The Security and Exchange Commission regulations became stricter as well. All those actions have the purpose to mandate companies to provide more disclosure and transparency in their financial statements. The most influential development was the change in treatment of options in the financial statements that have been established by the FASB and IASB. Since, companies are mandatory to expense executive stock option. Formerly, companies were not required to correct their earnings for the costs of executive stock options. Proponents of this measure argue that the treatment of executive stock options as an expense on company financial statements will generate more informative financial statements and improve the credibility of reported earnings (Hall, 2003).</w:t>
      </w:r>
    </w:p>
    <w:p w:rsidR="00DC7B1E" w:rsidRPr="006D5D3C" w:rsidRDefault="00DC7B1E" w:rsidP="004055A4">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Aside from those developments, corporate governance already received a lot of attention in the UK. Several influential reports in relation to the remuneration have been issued such as the Cadbury Report (1992), Greenbury Report (1995), Hampel Report (1998) and Directors Remuneration Report Regulations (2002). All those reports contain regulations in relation to the disclosure of executives’ remuneration in the financial statements. Those reports describe what details of the compensation components should be </w:t>
      </w:r>
      <w:r w:rsidRPr="006D5D3C">
        <w:rPr>
          <w:rFonts w:ascii="Times New Roman" w:hAnsi="Times New Roman"/>
        </w:rPr>
        <w:t xml:space="preserve">reported and they provide various recommendations. One of the most important recommendations by the Greenbury Report (1995) was the attachment of challenging performance criteria to the executive stock options. </w:t>
      </w:r>
      <w:r>
        <w:rPr>
          <w:rFonts w:ascii="Times New Roman" w:hAnsi="Times New Roman"/>
        </w:rPr>
        <w:t>A</w:t>
      </w:r>
      <w:r w:rsidRPr="006D5D3C">
        <w:rPr>
          <w:rFonts w:ascii="Times New Roman" w:hAnsi="Times New Roman"/>
        </w:rPr>
        <w:t>s a result, almost 60% of the 200 largest UK</w:t>
      </w:r>
      <w:r>
        <w:rPr>
          <w:rFonts w:ascii="Times New Roman" w:hAnsi="Times New Roman"/>
        </w:rPr>
        <w:t xml:space="preserve"> </w:t>
      </w:r>
      <w:r w:rsidRPr="006D5D3C">
        <w:rPr>
          <w:rFonts w:ascii="Times New Roman" w:hAnsi="Times New Roman"/>
        </w:rPr>
        <w:t>firms</w:t>
      </w:r>
      <w:r>
        <w:rPr>
          <w:rFonts w:ascii="Times New Roman" w:hAnsi="Times New Roman"/>
        </w:rPr>
        <w:t>’</w:t>
      </w:r>
      <w:r w:rsidRPr="006D5D3C">
        <w:rPr>
          <w:rFonts w:ascii="Times New Roman" w:hAnsi="Times New Roman"/>
        </w:rPr>
        <w:t xml:space="preserve"> stock option compensation schemes </w:t>
      </w:r>
      <w:r>
        <w:rPr>
          <w:rFonts w:ascii="Times New Roman" w:hAnsi="Times New Roman"/>
        </w:rPr>
        <w:t>in 1997 had performance criteria (Conyon et al., 2000, cited in Kuang, 2007, 2). This number increased to 90% of the FTSE 250 non-financials (Kuang and Suijs, 2006, cited in Kuang, 2007, 2).</w:t>
      </w:r>
      <w:r w:rsidRPr="006D5D3C">
        <w:rPr>
          <w:rFonts w:ascii="Times New Roman" w:hAnsi="Times New Roman"/>
        </w:rPr>
        <w:t xml:space="preserve"> </w:t>
      </w:r>
    </w:p>
    <w:p w:rsidR="00DC7B1E" w:rsidRPr="006D5D3C" w:rsidRDefault="00DC7B1E" w:rsidP="00A94509">
      <w:pPr>
        <w:autoSpaceDE w:val="0"/>
        <w:autoSpaceDN w:val="0"/>
        <w:adjustRightInd w:val="0"/>
        <w:spacing w:after="0" w:line="360" w:lineRule="auto"/>
        <w:jc w:val="both"/>
        <w:rPr>
          <w:rFonts w:ascii="Times New Roman" w:hAnsi="Times New Roman"/>
        </w:rPr>
      </w:pPr>
    </w:p>
    <w:p w:rsidR="00DC7B1E" w:rsidRPr="00834482" w:rsidRDefault="00DC7B1E" w:rsidP="00834482">
      <w:pPr>
        <w:pStyle w:val="Heading3"/>
        <w:spacing w:before="60" w:line="360" w:lineRule="auto"/>
        <w:contextualSpacing/>
        <w:rPr>
          <w:i/>
          <w:sz w:val="22"/>
          <w:szCs w:val="22"/>
        </w:rPr>
      </w:pPr>
      <w:bookmarkStart w:id="18" w:name="_Toc234567968"/>
      <w:r w:rsidRPr="00834482">
        <w:rPr>
          <w:i/>
          <w:sz w:val="22"/>
          <w:szCs w:val="22"/>
        </w:rPr>
        <w:t xml:space="preserve">2.2.2 </w:t>
      </w:r>
      <w:r w:rsidRPr="00834482">
        <w:rPr>
          <w:i/>
          <w:sz w:val="22"/>
          <w:szCs w:val="22"/>
        </w:rPr>
        <w:tab/>
        <w:t>Regular stock options</w:t>
      </w:r>
      <w:bookmarkEnd w:id="18"/>
    </w:p>
    <w:p w:rsidR="00DC7B1E" w:rsidRPr="00832004" w:rsidRDefault="00DC7B1E" w:rsidP="00E23275">
      <w:pPr>
        <w:autoSpaceDE w:val="0"/>
        <w:autoSpaceDN w:val="0"/>
        <w:adjustRightInd w:val="0"/>
        <w:spacing w:after="0" w:line="360" w:lineRule="auto"/>
        <w:contextualSpacing/>
        <w:jc w:val="both"/>
        <w:rPr>
          <w:rFonts w:ascii="Times New Roman" w:hAnsi="Times New Roman"/>
          <w:color w:val="000000"/>
        </w:rPr>
      </w:pPr>
    </w:p>
    <w:p w:rsidR="00DC7B1E" w:rsidRPr="00832004" w:rsidRDefault="00DC7B1E" w:rsidP="00E23275">
      <w:pPr>
        <w:autoSpaceDE w:val="0"/>
        <w:autoSpaceDN w:val="0"/>
        <w:adjustRightInd w:val="0"/>
        <w:spacing w:after="0" w:line="360" w:lineRule="auto"/>
        <w:contextualSpacing/>
        <w:jc w:val="both"/>
        <w:rPr>
          <w:rFonts w:ascii="Times New Roman" w:hAnsi="Times New Roman"/>
          <w:color w:val="000000"/>
        </w:rPr>
      </w:pPr>
      <w:r w:rsidRPr="00832004">
        <w:rPr>
          <w:rFonts w:ascii="Times New Roman" w:hAnsi="Times New Roman"/>
          <w:color w:val="000000"/>
        </w:rPr>
        <w:t xml:space="preserve">An option gives the holder the right to buy or sell a specified amount of an underlying asset at a predetermined price, which is called the exercise price, at a specified future date or during a specified future period (Levy and Post, 2005). In the case of stock options, the underlying asset concerns a company’s stock. The most familiar types of options are call options and put options. A call option gives the holder the right to buy a specific amount of the underlying asset within a certain period or on a specific date, which is called the expiration date. To illustrate this, if a person holds a call option on the common stock of Royal Dutch Shell and the option expires in three months with a predetermined exercise price at €500, the holder has the right to buy Royal Dutch Shell stock for €500 within three months, regardless of the market price at that moment. Suppose that the market value of Royal Dutch Shell stock at the exercise date is worth €600, the gain of the exercise of the call option is equal to €100. On the contrary, the exercise of a put option will result in a loss of €100. This could be explained by the fact that a put option gives the holder the right to </w:t>
      </w:r>
      <w:r w:rsidRPr="00832004">
        <w:rPr>
          <w:rFonts w:ascii="Times New Roman" w:hAnsi="Times New Roman"/>
          <w:i/>
          <w:color w:val="000000"/>
        </w:rPr>
        <w:t>sell</w:t>
      </w:r>
      <w:r w:rsidRPr="00832004">
        <w:rPr>
          <w:rFonts w:ascii="Times New Roman" w:hAnsi="Times New Roman"/>
          <w:color w:val="000000"/>
        </w:rPr>
        <w:t xml:space="preserve"> a specified amount of the underlying asset within a certain period or on a specific date at a predetermined exercise price. Thus, holders of call options benefit when the stock prices are higher than the exercise price while holders of put options prefer stock prices lower than their exercise price.</w:t>
      </w:r>
    </w:p>
    <w:p w:rsidR="00DC7B1E" w:rsidRPr="00832004" w:rsidRDefault="00DC7B1E" w:rsidP="00E23275">
      <w:pPr>
        <w:autoSpaceDE w:val="0"/>
        <w:autoSpaceDN w:val="0"/>
        <w:adjustRightInd w:val="0"/>
        <w:spacing w:after="0" w:line="360" w:lineRule="auto"/>
        <w:jc w:val="both"/>
        <w:rPr>
          <w:rFonts w:ascii="Times New Roman" w:hAnsi="Times New Roman"/>
          <w:color w:val="000000"/>
        </w:rPr>
      </w:pPr>
    </w:p>
    <w:p w:rsidR="00DC7B1E" w:rsidRPr="00834482" w:rsidRDefault="00DC7B1E" w:rsidP="00834482">
      <w:pPr>
        <w:pStyle w:val="Heading3"/>
        <w:spacing w:before="60" w:line="360" w:lineRule="auto"/>
        <w:contextualSpacing/>
        <w:rPr>
          <w:i/>
          <w:sz w:val="22"/>
          <w:szCs w:val="22"/>
        </w:rPr>
      </w:pPr>
      <w:bookmarkStart w:id="19" w:name="_Toc224624712"/>
      <w:bookmarkStart w:id="20" w:name="_Toc234567969"/>
      <w:r w:rsidRPr="00834482">
        <w:rPr>
          <w:i/>
          <w:sz w:val="22"/>
          <w:szCs w:val="22"/>
        </w:rPr>
        <w:t>2.2.3</w:t>
      </w:r>
      <w:r w:rsidRPr="00834482">
        <w:rPr>
          <w:i/>
          <w:sz w:val="22"/>
          <w:szCs w:val="22"/>
        </w:rPr>
        <w:tab/>
        <w:t>Executive stock options</w:t>
      </w:r>
      <w:bookmarkEnd w:id="19"/>
      <w:bookmarkEnd w:id="20"/>
    </w:p>
    <w:p w:rsidR="00DC7B1E" w:rsidRPr="00832004" w:rsidRDefault="00DC7B1E" w:rsidP="00A94509">
      <w:pPr>
        <w:autoSpaceDE w:val="0"/>
        <w:autoSpaceDN w:val="0"/>
        <w:adjustRightInd w:val="0"/>
        <w:spacing w:after="0" w:line="360" w:lineRule="auto"/>
        <w:contextualSpacing/>
        <w:jc w:val="both"/>
        <w:rPr>
          <w:rFonts w:ascii="Times New Roman" w:hAnsi="Times New Roman"/>
          <w:color w:val="000000"/>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color w:val="000000"/>
        </w:rPr>
      </w:pPr>
      <w:r w:rsidRPr="00832004">
        <w:rPr>
          <w:rFonts w:ascii="Times New Roman" w:hAnsi="Times New Roman"/>
          <w:color w:val="000000"/>
        </w:rPr>
        <w:t xml:space="preserve">Stock options that executives receive as compensation are usually call options with the firm’s stocks as the underlying asset. Executive stock options are almost similar as the regular options with some exceptions. One of the main differences of executive stock options with respect to regular stock options is the non-tradable </w:t>
      </w:r>
      <w:r>
        <w:rPr>
          <w:rFonts w:ascii="Times New Roman" w:hAnsi="Times New Roman"/>
          <w:color w:val="000000"/>
        </w:rPr>
        <w:t xml:space="preserve">feature </w:t>
      </w:r>
      <w:r w:rsidRPr="00832004">
        <w:rPr>
          <w:rFonts w:ascii="Times New Roman" w:hAnsi="Times New Roman"/>
          <w:color w:val="000000"/>
        </w:rPr>
        <w:t xml:space="preserve">and an executive stock option has a longer expiration date than a regular stock option traded on the market, which could mature in a year or less. </w:t>
      </w:r>
    </w:p>
    <w:p w:rsidR="00DC7B1E" w:rsidRPr="00832004" w:rsidRDefault="00DC7B1E" w:rsidP="00567E9D">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color w:val="000000"/>
        </w:rPr>
        <w:t xml:space="preserve">An additional difference with regular stock options is that executives are not allowed to exercise his options immediately. Executive stock options could only be exercised over time, when the options become ‘vested’. This vesting period covers at least a period of three years from the grant date. To the vesting of the executive stock options companies often attach performance conditions nowadays because traditional stock options (without performance conditions) have been widely criticized. Consequently, executives can only exercise their stock options after at least three years after the stock option grant and under the condition that the performance criteria are fulfilled. However, some companies also have the possibilities of retest in the fourth and/or fifth year after the grant date if the performance criteria are not met on the first performance test in the third year after the grant date. </w:t>
      </w:r>
      <w:r w:rsidRPr="00832004">
        <w:rPr>
          <w:rFonts w:ascii="Times New Roman" w:hAnsi="Times New Roman"/>
        </w:rPr>
        <w:t xml:space="preserve">Usually the stock options are valid for a period of 10 years from the grant date which means that executives have 7 year left to exercise their stock options after the executive stock options are vested. Though, some companies </w:t>
      </w:r>
      <w:r>
        <w:rPr>
          <w:rFonts w:ascii="Times New Roman" w:hAnsi="Times New Roman"/>
        </w:rPr>
        <w:t>apply a shorter</w:t>
      </w:r>
      <w:r w:rsidRPr="00832004">
        <w:rPr>
          <w:rFonts w:ascii="Times New Roman" w:hAnsi="Times New Roman"/>
        </w:rPr>
        <w:t xml:space="preserve"> period in which executive</w:t>
      </w:r>
      <w:r>
        <w:rPr>
          <w:rFonts w:ascii="Times New Roman" w:hAnsi="Times New Roman"/>
        </w:rPr>
        <w:t>s</w:t>
      </w:r>
      <w:r w:rsidRPr="00832004">
        <w:rPr>
          <w:rFonts w:ascii="Times New Roman" w:hAnsi="Times New Roman"/>
        </w:rPr>
        <w:t xml:space="preserve"> can exercise their stock options. </w:t>
      </w:r>
    </w:p>
    <w:p w:rsidR="00DC7B1E" w:rsidRPr="00832004" w:rsidRDefault="00DC7B1E" w:rsidP="00567E9D">
      <w:pPr>
        <w:autoSpaceDE w:val="0"/>
        <w:autoSpaceDN w:val="0"/>
        <w:adjustRightInd w:val="0"/>
        <w:spacing w:after="0" w:line="360" w:lineRule="auto"/>
        <w:contextualSpacing/>
        <w:jc w:val="both"/>
        <w:rPr>
          <w:rFonts w:ascii="Times New Roman" w:hAnsi="Times New Roman"/>
          <w:color w:val="000000"/>
        </w:rPr>
      </w:pPr>
    </w:p>
    <w:p w:rsidR="00DC7B1E" w:rsidRDefault="00DC7B1E" w:rsidP="00567E9D">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color w:val="000000"/>
        </w:rPr>
        <w:t>The exercise price of the executive stock options is determined on the date of option grants. In the case that the share price</w:t>
      </w:r>
      <w:r w:rsidRPr="00832004">
        <w:rPr>
          <w:rFonts w:ascii="Times New Roman" w:hAnsi="Times New Roman"/>
        </w:rPr>
        <w:t xml:space="preserve"> exceeds the exercise price, the options are in-the-money which means that the options are worth money and result in profit if the executive exercises their stock options, while out-of-the-money stock options refer to the opposite. In that case, the stock price is below the exercise price. So, since executives obtain call options, executives benefit the most if the exercise price is determined as low as possible and the firm’s share price increases as much as possible. This is for the reason that their benefit is the difference between the exercise price and the share price at the date on which the executive sells the obtained shares, times the number of shares. If an executive exercises stock options, the company delivers the shares at the exercise price which is determined at the moment of stock option grant. The executive has the possibility to sell the acquired shares and receive the cash immediately or to hold the shares as a long term investment. </w:t>
      </w:r>
    </w:p>
    <w:p w:rsidR="00DC7B1E" w:rsidRPr="00832004" w:rsidRDefault="00DC7B1E" w:rsidP="00567E9D">
      <w:pPr>
        <w:autoSpaceDE w:val="0"/>
        <w:autoSpaceDN w:val="0"/>
        <w:adjustRightInd w:val="0"/>
        <w:spacing w:after="0" w:line="360" w:lineRule="auto"/>
        <w:contextualSpacing/>
        <w:jc w:val="both"/>
        <w:rPr>
          <w:rFonts w:ascii="Times New Roman" w:hAnsi="Times New Roman"/>
        </w:rPr>
      </w:pPr>
    </w:p>
    <w:p w:rsidR="00DC7B1E" w:rsidRPr="00E33772" w:rsidRDefault="00DC7B1E" w:rsidP="00834482">
      <w:pPr>
        <w:pStyle w:val="Heading3"/>
        <w:spacing w:before="60" w:line="360" w:lineRule="auto"/>
        <w:contextualSpacing/>
        <w:rPr>
          <w:i/>
          <w:sz w:val="22"/>
          <w:szCs w:val="22"/>
        </w:rPr>
      </w:pPr>
      <w:bookmarkStart w:id="21" w:name="_Toc224624714"/>
      <w:bookmarkStart w:id="22" w:name="_Toc234567970"/>
      <w:r w:rsidRPr="00E33772">
        <w:rPr>
          <w:i/>
          <w:sz w:val="22"/>
          <w:szCs w:val="22"/>
        </w:rPr>
        <w:t xml:space="preserve">2.2.4 </w:t>
      </w:r>
      <w:r w:rsidRPr="00E33772">
        <w:rPr>
          <w:i/>
          <w:sz w:val="22"/>
          <w:szCs w:val="22"/>
        </w:rPr>
        <w:tab/>
        <w:t>Advantages of executive stock option grants</w:t>
      </w:r>
      <w:bookmarkEnd w:id="21"/>
      <w:bookmarkEnd w:id="22"/>
    </w:p>
    <w:p w:rsidR="00DC7B1E" w:rsidRPr="00832004" w:rsidRDefault="00DC7B1E" w:rsidP="00A94509">
      <w:pPr>
        <w:pStyle w:val="ListParagraph"/>
        <w:autoSpaceDE w:val="0"/>
        <w:autoSpaceDN w:val="0"/>
        <w:adjustRightInd w:val="0"/>
        <w:spacing w:after="0" w:line="360" w:lineRule="auto"/>
        <w:ind w:left="0"/>
        <w:jc w:val="both"/>
        <w:rPr>
          <w:rFonts w:ascii="Times New Roman" w:hAnsi="Times New Roman" w:cs="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As indicated in the section concerning the agency theory, proponents of stock options think that stock options mitigate the agency problem since it aligns the executive’s interest with those of the shareholders. The advantage of stock option compensation for executives is the fact that they do not suffer from share price drops as opposed to shareholders and benefit unlimitedly from share price accretion. If share prices drops below their exercise price, executives have the possibility not to exercise their options. This non-negative asymmetric payoff could provide executives with incentives to become less risk averse in their project and strategy selection and take on more risky investments with higher expected return. This could mitigate the difference in risk preference between the executives and shareholders. However, the non-negative asymmetry payoff could also provide disadvantages. Those will be described in the next paragraph. </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The second advantage of stock option grants is that it could contribute to the overall motivation of executives. It encourages them to work harder and they will be recognized and rewarded for their effort if they achieve unusual favorable performances. If employees are recognized for their effort, they are more motivated than employees which are not.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The third advantages involves the solution that stock options in the employee compensation can provide for firms that face financial constraints since stock option grants do not require cash outflows because the firm does not pay the labor costs until the options are exercised (Tzioumis, 2005).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The fourth advantage of stock options is the accounting treatment of stock options which was one of the main reasons for the increasing stock option grants during the 1990s. Before the SFAS123 ‘Accounting for stock-based compensation’ and IFRS 2 ‘Share-based payments’ became effective, share-based payments, including stock options involved no accounting charges. Those expenses did not have to be recognized on the balance sheet. This made it a cheap way to compensate executives. However, this advantage is not valid anymore and the SFAS 123 and IFRS 2 oblige companies to expense stock options.  </w:t>
      </w:r>
    </w:p>
    <w:p w:rsidR="00DC7B1E"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The fifth and final advantage of stock options as executive compensation is that it encourages disclosure of corporate information. Nagar et al. (2002) found evidence that firms’ disclosures, measured both by management earnings forecast frequency and analysts’ subjective ratings of overall disclosures quality, are positively related to the proportion of CEO compensation affected by stock price and the value of shares held by the CEO. </w:t>
      </w:r>
    </w:p>
    <w:p w:rsidR="00DC7B1E" w:rsidRDefault="00DC7B1E" w:rsidP="00A94509">
      <w:pPr>
        <w:autoSpaceDE w:val="0"/>
        <w:autoSpaceDN w:val="0"/>
        <w:adjustRightInd w:val="0"/>
        <w:spacing w:after="0" w:line="360" w:lineRule="auto"/>
        <w:contextualSpacing/>
        <w:jc w:val="both"/>
        <w:rPr>
          <w:rFonts w:ascii="Times New Roman" w:hAnsi="Times New Roman"/>
        </w:rPr>
      </w:pPr>
    </w:p>
    <w:p w:rsidR="00DC7B1E" w:rsidRPr="00834482" w:rsidRDefault="00DC7B1E" w:rsidP="00834482">
      <w:pPr>
        <w:pStyle w:val="Heading3"/>
        <w:spacing w:before="60" w:line="360" w:lineRule="auto"/>
        <w:contextualSpacing/>
        <w:rPr>
          <w:i/>
          <w:sz w:val="22"/>
          <w:szCs w:val="22"/>
        </w:rPr>
      </w:pPr>
      <w:bookmarkStart w:id="23" w:name="_Toc224624715"/>
      <w:bookmarkStart w:id="24" w:name="_Toc234567971"/>
      <w:r w:rsidRPr="00834482">
        <w:rPr>
          <w:i/>
          <w:sz w:val="22"/>
          <w:szCs w:val="22"/>
        </w:rPr>
        <w:t>2.2.5</w:t>
      </w:r>
      <w:r w:rsidRPr="00834482">
        <w:rPr>
          <w:i/>
          <w:sz w:val="22"/>
          <w:szCs w:val="22"/>
        </w:rPr>
        <w:tab/>
        <w:t>Drawbacks of executive stock options</w:t>
      </w:r>
      <w:bookmarkEnd w:id="23"/>
      <w:bookmarkEnd w:id="24"/>
    </w:p>
    <w:p w:rsidR="00DC7B1E" w:rsidRDefault="00DC7B1E" w:rsidP="008F1235">
      <w:pPr>
        <w:pStyle w:val="ListParagraph"/>
        <w:autoSpaceDE w:val="0"/>
        <w:autoSpaceDN w:val="0"/>
        <w:adjustRightInd w:val="0"/>
        <w:spacing w:after="0" w:line="360" w:lineRule="auto"/>
        <w:ind w:left="0"/>
        <w:jc w:val="both"/>
        <w:rPr>
          <w:rFonts w:ascii="Times New Roman" w:hAnsi="Times New Roman" w:cs="Times New Roman"/>
        </w:rPr>
      </w:pPr>
    </w:p>
    <w:p w:rsidR="00DC7B1E" w:rsidRPr="00832004" w:rsidRDefault="00DC7B1E" w:rsidP="008F1235">
      <w:pPr>
        <w:pStyle w:val="ListParagraph"/>
        <w:autoSpaceDE w:val="0"/>
        <w:autoSpaceDN w:val="0"/>
        <w:adjustRightInd w:val="0"/>
        <w:spacing w:after="0" w:line="360" w:lineRule="auto"/>
        <w:ind w:left="0"/>
        <w:jc w:val="both"/>
        <w:rPr>
          <w:rFonts w:ascii="Times New Roman" w:hAnsi="Times New Roman" w:cs="Times New Roman"/>
          <w:color w:val="000000"/>
        </w:rPr>
      </w:pPr>
      <w:r w:rsidRPr="00832004">
        <w:rPr>
          <w:rFonts w:ascii="Times New Roman" w:hAnsi="Times New Roman" w:cs="Times New Roman"/>
        </w:rPr>
        <w:t xml:space="preserve">As earlier noted, the first advantage mentioned in the previous paragraph could also been as a drawback. The non-negative asymmetry payoff of options that is assumed to be a solution to the risk </w:t>
      </w:r>
      <w:r>
        <w:rPr>
          <w:rFonts w:ascii="Times New Roman" w:hAnsi="Times New Roman" w:cs="Times New Roman"/>
        </w:rPr>
        <w:t>a</w:t>
      </w:r>
      <w:r w:rsidRPr="00832004">
        <w:rPr>
          <w:rFonts w:ascii="Times New Roman" w:hAnsi="Times New Roman" w:cs="Times New Roman"/>
        </w:rPr>
        <w:t>verse behavior of executives is just the theory. In practice, lots of problems arise with stock options awards to executives. Since executives do not suffer from share price drops, executive stock options provide executives with incentives to take on more risks than it is justified. By taking overly risky investments they could drive up stock prices temporarily and increase their option payout. However, taking overly risky investments have the disadvantage that such investments have the possibility to fail and therefore ultimately destroy the value of the firm and in some cases even the reputation of the firm. Take Xerox for example; its executives manipulated reported income during the 1990s. It appears that Xerox’s executives exercised large numbers of options and sold large amounts of the acquired shares during this period. Xerox is not the only example of companies whose executives that are awarded excessive stock options, manipulated reported earnings. Also Enron and other scandals in the beginning of the 21</w:t>
      </w:r>
      <w:r w:rsidRPr="00832004">
        <w:rPr>
          <w:rFonts w:ascii="Times New Roman" w:hAnsi="Times New Roman" w:cs="Times New Roman"/>
          <w:vertAlign w:val="superscript"/>
        </w:rPr>
        <w:t>st</w:t>
      </w:r>
      <w:r w:rsidRPr="00832004">
        <w:rPr>
          <w:rFonts w:ascii="Times New Roman" w:hAnsi="Times New Roman" w:cs="Times New Roman"/>
        </w:rPr>
        <w:t xml:space="preserve"> century are guilty of such practice. Those executives were awarded with excessive stock options </w:t>
      </w:r>
      <w:r w:rsidRPr="00832004">
        <w:rPr>
          <w:rFonts w:ascii="Times New Roman" w:hAnsi="Times New Roman" w:cs="Times New Roman"/>
          <w:color w:val="000000"/>
        </w:rPr>
        <w:t xml:space="preserve">which create too many incentives to manipulate earnings in order to maximize their option payout. Therefore, executive stock options are also widely criticized about the short term orientation it brings about. </w:t>
      </w:r>
    </w:p>
    <w:p w:rsidR="00DC7B1E" w:rsidRDefault="00DC7B1E" w:rsidP="003F017E">
      <w:pPr>
        <w:autoSpaceDE w:val="0"/>
        <w:autoSpaceDN w:val="0"/>
        <w:adjustRightInd w:val="0"/>
        <w:spacing w:after="0" w:line="360" w:lineRule="auto"/>
        <w:contextualSpacing/>
        <w:jc w:val="both"/>
        <w:rPr>
          <w:rFonts w:ascii="Times New Roman" w:hAnsi="Times New Roman"/>
          <w:color w:val="000000"/>
        </w:rPr>
      </w:pPr>
      <w:r w:rsidRPr="00832004">
        <w:rPr>
          <w:rFonts w:ascii="Times New Roman" w:hAnsi="Times New Roman"/>
          <w:color w:val="000000"/>
        </w:rPr>
        <w:t>Additionally, executives are also criticized that they receive stock options without reaching extraordinary performances. The underlying reason is the fact that companies usually did not attach performance conditions to the stock options in the past. Because of this criticism companies require executives to reach predetermined performance conditions before they are allowed to exercise their options. Although this seems the perfect solution, by attaching the wrong performance criteria to the stock options, undesired behavior could be generated that does not meet the shareholders’ interest (Jensen, Murphy and Wruck, 2004). The most frequent performance criteria that are attached to executive stock options in the UK are Earnings per share (EPS) and Total shareholders return (TSR) (Conyon and Murphy (2002</w:t>
      </w:r>
      <w:r>
        <w:rPr>
          <w:rFonts w:ascii="Times New Roman" w:hAnsi="Times New Roman"/>
          <w:color w:val="000000"/>
        </w:rPr>
        <w:t>, cited in Duffhues, Kabir and Mertens, 2003</w:t>
      </w:r>
      <w:r w:rsidRPr="00832004">
        <w:rPr>
          <w:rFonts w:ascii="Times New Roman" w:hAnsi="Times New Roman"/>
          <w:color w:val="000000"/>
        </w:rPr>
        <w:t>). However, according to Duffhues (2003) and Jensen, Murphy and Wruck (2004), EPS and TSR are easily to influence. Executives can easily increase the EPS by repurchasing stocks and withholding dividends because dividends dilute the per share value of stock. For instance, Jolls (1998) found evidence that firms which rely heavily on stock option based compensation are significantly more likely to repurchase firm’s stock</w:t>
      </w:r>
      <w:r>
        <w:rPr>
          <w:rFonts w:ascii="Times New Roman" w:hAnsi="Times New Roman"/>
          <w:color w:val="000000"/>
        </w:rPr>
        <w:t>s</w:t>
      </w:r>
      <w:r w:rsidRPr="00832004">
        <w:rPr>
          <w:rFonts w:ascii="Times New Roman" w:hAnsi="Times New Roman"/>
          <w:color w:val="000000"/>
        </w:rPr>
        <w:t xml:space="preserve"> than firms </w:t>
      </w:r>
      <w:r>
        <w:rPr>
          <w:rFonts w:ascii="Times New Roman" w:hAnsi="Times New Roman"/>
          <w:color w:val="000000"/>
        </w:rPr>
        <w:t>that</w:t>
      </w:r>
      <w:r w:rsidRPr="00832004">
        <w:rPr>
          <w:rFonts w:ascii="Times New Roman" w:hAnsi="Times New Roman"/>
          <w:color w:val="000000"/>
        </w:rPr>
        <w:t xml:space="preserve"> grant less stock options to their executives. In case of TSR, this performance measure includes factors that are not under executives’ control such as the global market trend, competitor’s actions, political actions, changes in laws and regulations, and so on. Therefore it does not fully reflect the executives’ performance. In fact, there is a lack of direct causal relationship between executives’ actions and stock market performance (Kaplan and Atkinson, 1998, 679). Hence, executives could benefit strongly if the stock price increases unexpectedly because of these uncontrollable factors. Therefore, it is widely criticized that executives benefit in periods of good global market trends without particular executives’ contribution. However, it should be noted that if the stock price drops heavily the executives suffer a significant loss in expected income. But in spite of the non-controllable feature of stock prices, executives are still more or less able to influence stock prices. If they have objectives to reach their target, they could, for instance, hide or delay bad news to prevent a share price drop or make favorable announcements in the period leading up to the measurement of the performance target in order to drive up the share price.</w:t>
      </w:r>
    </w:p>
    <w:p w:rsidR="00DC7B1E" w:rsidRDefault="00DC7B1E" w:rsidP="003F017E">
      <w:pPr>
        <w:autoSpaceDE w:val="0"/>
        <w:autoSpaceDN w:val="0"/>
        <w:adjustRightInd w:val="0"/>
        <w:spacing w:after="0" w:line="360" w:lineRule="auto"/>
        <w:contextualSpacing/>
        <w:jc w:val="both"/>
        <w:rPr>
          <w:rFonts w:ascii="Times New Roman" w:hAnsi="Times New Roman"/>
          <w:color w:val="000000"/>
        </w:rPr>
      </w:pPr>
    </w:p>
    <w:p w:rsidR="00DC7B1E" w:rsidRDefault="00DC7B1E" w:rsidP="003F017E">
      <w:pPr>
        <w:autoSpaceDE w:val="0"/>
        <w:autoSpaceDN w:val="0"/>
        <w:adjustRightInd w:val="0"/>
        <w:spacing w:after="0" w:line="360" w:lineRule="auto"/>
        <w:contextualSpacing/>
        <w:jc w:val="both"/>
        <w:rPr>
          <w:rFonts w:ascii="Times New Roman" w:hAnsi="Times New Roman"/>
          <w:color w:val="000000"/>
        </w:rPr>
      </w:pPr>
    </w:p>
    <w:p w:rsidR="00DC7B1E" w:rsidRDefault="00DC7B1E" w:rsidP="003F017E">
      <w:pPr>
        <w:autoSpaceDE w:val="0"/>
        <w:autoSpaceDN w:val="0"/>
        <w:adjustRightInd w:val="0"/>
        <w:spacing w:after="0" w:line="360" w:lineRule="auto"/>
        <w:contextualSpacing/>
        <w:jc w:val="both"/>
        <w:rPr>
          <w:rFonts w:ascii="Times New Roman" w:hAnsi="Times New Roman"/>
          <w:color w:val="000000"/>
        </w:rPr>
      </w:pPr>
    </w:p>
    <w:p w:rsidR="00DC7B1E" w:rsidRDefault="00DC7B1E" w:rsidP="003F017E">
      <w:pPr>
        <w:autoSpaceDE w:val="0"/>
        <w:autoSpaceDN w:val="0"/>
        <w:adjustRightInd w:val="0"/>
        <w:spacing w:after="0" w:line="360" w:lineRule="auto"/>
        <w:contextualSpacing/>
        <w:jc w:val="both"/>
        <w:rPr>
          <w:rFonts w:ascii="Times New Roman" w:hAnsi="Times New Roman"/>
          <w:color w:val="000000"/>
        </w:rPr>
      </w:pPr>
    </w:p>
    <w:p w:rsidR="00DC7B1E" w:rsidRDefault="00DC7B1E" w:rsidP="003F017E">
      <w:pPr>
        <w:autoSpaceDE w:val="0"/>
        <w:autoSpaceDN w:val="0"/>
        <w:adjustRightInd w:val="0"/>
        <w:spacing w:after="0" w:line="360" w:lineRule="auto"/>
        <w:contextualSpacing/>
        <w:jc w:val="both"/>
        <w:rPr>
          <w:rFonts w:ascii="Times New Roman" w:hAnsi="Times New Roman"/>
          <w:color w:val="000000"/>
        </w:rPr>
      </w:pPr>
    </w:p>
    <w:p w:rsidR="00DC7B1E" w:rsidRPr="00834482" w:rsidRDefault="00DC7B1E" w:rsidP="00834482">
      <w:pPr>
        <w:pStyle w:val="Heading2"/>
        <w:spacing w:before="60" w:line="360" w:lineRule="auto"/>
        <w:contextualSpacing/>
        <w:rPr>
          <w:i w:val="0"/>
          <w:sz w:val="24"/>
          <w:szCs w:val="24"/>
        </w:rPr>
      </w:pPr>
      <w:bookmarkStart w:id="25" w:name="_Toc224624717"/>
      <w:bookmarkStart w:id="26" w:name="_Toc234567972"/>
      <w:r w:rsidRPr="00834482">
        <w:rPr>
          <w:i w:val="0"/>
          <w:sz w:val="24"/>
          <w:szCs w:val="24"/>
        </w:rPr>
        <w:t>2.3</w:t>
      </w:r>
      <w:r w:rsidRPr="00834482">
        <w:rPr>
          <w:i w:val="0"/>
          <w:sz w:val="24"/>
          <w:szCs w:val="24"/>
        </w:rPr>
        <w:tab/>
        <w:t>Earnings Management</w:t>
      </w:r>
      <w:bookmarkEnd w:id="25"/>
      <w:bookmarkEnd w:id="26"/>
    </w:p>
    <w:p w:rsidR="00DC7B1E" w:rsidRPr="00834482" w:rsidRDefault="00DC7B1E" w:rsidP="00834482">
      <w:pPr>
        <w:spacing w:after="0" w:line="360" w:lineRule="auto"/>
        <w:contextualSpacing/>
        <w:rPr>
          <w:rFonts w:ascii="Times New Roman" w:hAnsi="Times New Roman"/>
        </w:rPr>
      </w:pPr>
      <w:bookmarkStart w:id="27" w:name="_Toc224624718"/>
    </w:p>
    <w:p w:rsidR="00DC7B1E" w:rsidRPr="00834482" w:rsidRDefault="00DC7B1E" w:rsidP="00834482">
      <w:pPr>
        <w:pStyle w:val="Heading3"/>
        <w:spacing w:before="60" w:line="360" w:lineRule="auto"/>
        <w:contextualSpacing/>
        <w:rPr>
          <w:i/>
          <w:sz w:val="22"/>
          <w:szCs w:val="22"/>
        </w:rPr>
      </w:pPr>
      <w:bookmarkStart w:id="28" w:name="_Toc234567973"/>
      <w:r w:rsidRPr="00834482">
        <w:rPr>
          <w:i/>
          <w:sz w:val="22"/>
          <w:szCs w:val="22"/>
        </w:rPr>
        <w:t>2.3.1</w:t>
      </w:r>
      <w:r w:rsidRPr="00834482">
        <w:rPr>
          <w:i/>
          <w:sz w:val="22"/>
          <w:szCs w:val="22"/>
        </w:rPr>
        <w:tab/>
        <w:t>Earnings management versus fraud</w:t>
      </w:r>
      <w:bookmarkEnd w:id="27"/>
      <w:bookmarkEnd w:id="28"/>
    </w:p>
    <w:p w:rsidR="00DC7B1E"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To many people the difference between earnings management and fraud may not be clear although there is a significant difference. Fraud occurs when somebody commits an illegal act. In terms of fraudulent financial reporting, fraud involves any intentional act that results in materially misleading financial statements. Examples of those fraudulent actions are falsifying or altering documents, deleting transactions from records, recording forged transactions or concealing significant information (Stlowy and Breton, 2004, 11). The main difference between earnings management and fraud is that earnings management remains within the boundaries of an accounting standard while fraud is outside these limits and hence is in violation with the accounting standard.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lang w:eastAsia="nl-NL"/>
        </w:rPr>
      </w:pPr>
      <w:r w:rsidRPr="00832004">
        <w:rPr>
          <w:rFonts w:ascii="Times New Roman" w:hAnsi="Times New Roman"/>
        </w:rPr>
        <w:t xml:space="preserve">Within the boundaries of an accounting standard, the management has a range of alternatives in accounting treatment to the same transaction or event. Consequently the management can take advantage of the flexibility in the choice of methods in computing earnings and other financial measures. </w:t>
      </w:r>
      <w:r w:rsidRPr="00832004">
        <w:rPr>
          <w:rFonts w:ascii="Times New Roman" w:hAnsi="Times New Roman"/>
          <w:lang w:eastAsia="nl-NL"/>
        </w:rPr>
        <w:t>In this way</w:t>
      </w:r>
      <w:r>
        <w:rPr>
          <w:rFonts w:ascii="Times New Roman" w:hAnsi="Times New Roman"/>
          <w:lang w:eastAsia="nl-NL"/>
        </w:rPr>
        <w:t>,</w:t>
      </w:r>
      <w:r w:rsidRPr="00832004">
        <w:rPr>
          <w:rFonts w:ascii="Times New Roman" w:hAnsi="Times New Roman"/>
          <w:lang w:eastAsia="nl-NL"/>
        </w:rPr>
        <w:t xml:space="preserve"> the management can lower the transparency of the financial statements without being involved with fraud or falsification of records. For instance, influence earnings in the desired direction </w:t>
      </w:r>
      <w:r w:rsidRPr="00832004">
        <w:rPr>
          <w:rFonts w:ascii="Times New Roman" w:hAnsi="Times New Roman"/>
        </w:rPr>
        <w:t>(</w:t>
      </w:r>
      <w:r w:rsidRPr="00832004">
        <w:rPr>
          <w:rFonts w:ascii="Times New Roman" w:hAnsi="Times New Roman"/>
          <w:lang w:eastAsia="nl-NL"/>
        </w:rPr>
        <w:t xml:space="preserve">Al-khabash and Al-Thuneibat, 2009, 59). Although such manipulative actions affect the transparency of the financial statements, in the case of earnings management they do not cause a material misstatement in the financial statements. At this point earnings management differs from fraud. However, if the management of a firm engages in earnings management it is probable that the financial statements do not have a </w:t>
      </w:r>
      <w:r>
        <w:rPr>
          <w:rFonts w:ascii="Times New Roman" w:hAnsi="Times New Roman"/>
          <w:lang w:eastAsia="nl-NL"/>
        </w:rPr>
        <w:t xml:space="preserve">totally </w:t>
      </w:r>
      <w:r w:rsidRPr="00832004">
        <w:rPr>
          <w:rFonts w:ascii="Times New Roman" w:hAnsi="Times New Roman"/>
          <w:lang w:eastAsia="nl-NL"/>
        </w:rPr>
        <w:t>fair presentation of the financial position of the firm but this is not the same as fraud. Dechow and Skinner (2000) distinguishes this issue in table</w:t>
      </w:r>
      <w:r>
        <w:rPr>
          <w:rFonts w:ascii="Times New Roman" w:hAnsi="Times New Roman"/>
          <w:lang w:eastAsia="nl-NL"/>
        </w:rPr>
        <w:t xml:space="preserve"> 1</w:t>
      </w:r>
      <w:r w:rsidRPr="00832004">
        <w:rPr>
          <w:rFonts w:ascii="Times New Roman" w:hAnsi="Times New Roman"/>
          <w:lang w:eastAsia="nl-NL"/>
        </w:rPr>
        <w:t>.</w:t>
      </w: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Default="00DC7B1E" w:rsidP="00A94509">
      <w:pPr>
        <w:spacing w:line="360" w:lineRule="auto"/>
        <w:contextualSpacing/>
        <w:jc w:val="both"/>
        <w:rPr>
          <w:rFonts w:ascii="Times New Roman" w:hAnsi="Times New Roman"/>
          <w:lang w:eastAsia="nl-NL"/>
        </w:rPr>
      </w:pPr>
    </w:p>
    <w:p w:rsidR="00DC7B1E" w:rsidRPr="00832004" w:rsidRDefault="00DC7B1E" w:rsidP="00A94509">
      <w:pPr>
        <w:spacing w:line="360" w:lineRule="auto"/>
        <w:contextualSpacing/>
        <w:jc w:val="both"/>
        <w:rPr>
          <w:rFonts w:ascii="Times New Roman" w:hAnsi="Times New Roman"/>
          <w:lang w:eastAsia="nl-NL"/>
        </w:rPr>
      </w:pPr>
    </w:p>
    <w:p w:rsidR="00DC7B1E" w:rsidRPr="007F437B" w:rsidRDefault="00DC7B1E" w:rsidP="00A94509">
      <w:pPr>
        <w:spacing w:line="360" w:lineRule="auto"/>
        <w:contextualSpacing/>
        <w:jc w:val="both"/>
        <w:rPr>
          <w:b/>
          <w:lang w:eastAsia="nl-NL"/>
        </w:rPr>
      </w:pPr>
      <w:r w:rsidRPr="007F437B">
        <w:rPr>
          <w:b/>
          <w:lang w:eastAsia="nl-NL"/>
        </w:rPr>
        <w:t>Table 1: Earnings management versus fraud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86"/>
        <w:gridCol w:w="3658"/>
        <w:gridCol w:w="3243"/>
      </w:tblGrid>
      <w:tr w:rsidR="00DC7B1E" w:rsidRPr="00832004" w:rsidTr="00C7611A">
        <w:trPr>
          <w:trHeight w:val="138"/>
        </w:trPr>
        <w:tc>
          <w:tcPr>
            <w:tcW w:w="2399" w:type="dxa"/>
          </w:tcPr>
          <w:p w:rsidR="00DC7B1E" w:rsidRPr="00FC4C2F" w:rsidRDefault="00DC7B1E" w:rsidP="00C7611A">
            <w:pPr>
              <w:spacing w:before="120" w:line="240" w:lineRule="auto"/>
              <w:contextualSpacing/>
              <w:jc w:val="both"/>
              <w:rPr>
                <w:b/>
                <w:lang w:eastAsia="nl-NL"/>
              </w:rPr>
            </w:pPr>
            <w:r w:rsidRPr="00FC4C2F">
              <w:rPr>
                <w:b/>
                <w:lang w:eastAsia="nl-NL"/>
              </w:rPr>
              <w:t>Reporting Type</w:t>
            </w:r>
          </w:p>
        </w:tc>
        <w:tc>
          <w:tcPr>
            <w:tcW w:w="3682" w:type="dxa"/>
          </w:tcPr>
          <w:p w:rsidR="00DC7B1E" w:rsidRPr="00FC4C2F" w:rsidRDefault="00DC7B1E" w:rsidP="00C7611A">
            <w:pPr>
              <w:spacing w:before="120" w:line="240" w:lineRule="auto"/>
              <w:contextualSpacing/>
              <w:jc w:val="both"/>
              <w:rPr>
                <w:b/>
                <w:lang w:eastAsia="nl-NL"/>
              </w:rPr>
            </w:pPr>
            <w:r w:rsidRPr="00FC4C2F">
              <w:rPr>
                <w:b/>
                <w:lang w:eastAsia="nl-NL"/>
              </w:rPr>
              <w:t>Accounting Choices</w:t>
            </w:r>
          </w:p>
        </w:tc>
        <w:tc>
          <w:tcPr>
            <w:tcW w:w="3266" w:type="dxa"/>
          </w:tcPr>
          <w:p w:rsidR="00DC7B1E" w:rsidRPr="00FC4C2F" w:rsidRDefault="00DC7B1E" w:rsidP="00C7611A">
            <w:pPr>
              <w:spacing w:before="120" w:line="240" w:lineRule="auto"/>
              <w:contextualSpacing/>
              <w:jc w:val="both"/>
              <w:rPr>
                <w:b/>
                <w:lang w:eastAsia="nl-NL"/>
              </w:rPr>
            </w:pPr>
            <w:r w:rsidRPr="00FC4C2F">
              <w:rPr>
                <w:b/>
                <w:lang w:eastAsia="nl-NL"/>
              </w:rPr>
              <w:t>“Real” Cash Flow Choices</w:t>
            </w:r>
          </w:p>
        </w:tc>
      </w:tr>
      <w:tr w:rsidR="00DC7B1E" w:rsidRPr="00832004" w:rsidTr="00C7611A">
        <w:trPr>
          <w:trHeight w:val="138"/>
        </w:trPr>
        <w:tc>
          <w:tcPr>
            <w:tcW w:w="9347" w:type="dxa"/>
            <w:gridSpan w:val="3"/>
            <w:tcBorders>
              <w:right w:val="single" w:sz="4" w:space="0" w:color="auto"/>
            </w:tcBorders>
          </w:tcPr>
          <w:p w:rsidR="00DC7B1E" w:rsidRPr="00FC4C2F" w:rsidRDefault="00DC7B1E" w:rsidP="00C7611A">
            <w:pPr>
              <w:spacing w:before="120" w:line="240" w:lineRule="auto"/>
              <w:contextualSpacing/>
              <w:jc w:val="center"/>
              <w:rPr>
                <w:b/>
                <w:lang w:eastAsia="nl-NL"/>
              </w:rPr>
            </w:pPr>
            <w:r w:rsidRPr="00FC4C2F">
              <w:rPr>
                <w:b/>
                <w:lang w:eastAsia="nl-NL"/>
              </w:rPr>
              <w:t>Within GAAP</w:t>
            </w:r>
          </w:p>
        </w:tc>
      </w:tr>
      <w:tr w:rsidR="00DC7B1E" w:rsidRPr="00832004" w:rsidTr="00C7611A">
        <w:trPr>
          <w:trHeight w:val="1408"/>
        </w:trPr>
        <w:tc>
          <w:tcPr>
            <w:tcW w:w="2399" w:type="dxa"/>
          </w:tcPr>
          <w:p w:rsidR="00DC7B1E" w:rsidRPr="00FC4C2F" w:rsidRDefault="00DC7B1E" w:rsidP="00C7611A">
            <w:pPr>
              <w:spacing w:before="120" w:line="240" w:lineRule="auto"/>
              <w:contextualSpacing/>
              <w:rPr>
                <w:b/>
                <w:lang w:eastAsia="nl-NL"/>
              </w:rPr>
            </w:pPr>
            <w:r w:rsidRPr="00FC4C2F">
              <w:rPr>
                <w:b/>
                <w:lang w:eastAsia="nl-NL"/>
              </w:rPr>
              <w:t>“Conservative Accounting”</w:t>
            </w:r>
          </w:p>
        </w:tc>
        <w:tc>
          <w:tcPr>
            <w:tcW w:w="3682" w:type="dxa"/>
          </w:tcPr>
          <w:p w:rsidR="00DC7B1E" w:rsidRPr="00FC4C2F" w:rsidRDefault="00DC7B1E" w:rsidP="00ED2C7B">
            <w:pPr>
              <w:numPr>
                <w:ilvl w:val="0"/>
                <w:numId w:val="4"/>
              </w:numPr>
              <w:spacing w:before="120" w:line="240" w:lineRule="auto"/>
              <w:ind w:left="357" w:hanging="357"/>
              <w:contextualSpacing/>
              <w:rPr>
                <w:lang w:eastAsia="nl-NL"/>
              </w:rPr>
            </w:pPr>
            <w:r w:rsidRPr="00FC4C2F">
              <w:rPr>
                <w:lang w:eastAsia="nl-NL"/>
              </w:rPr>
              <w:t>Overly aggressive recognition of provisions or reserves</w:t>
            </w:r>
          </w:p>
          <w:p w:rsidR="00DC7B1E" w:rsidRPr="00FC4C2F" w:rsidRDefault="00DC7B1E" w:rsidP="00ED2C7B">
            <w:pPr>
              <w:numPr>
                <w:ilvl w:val="0"/>
                <w:numId w:val="4"/>
              </w:numPr>
              <w:spacing w:before="120" w:line="240" w:lineRule="auto"/>
              <w:ind w:left="357" w:hanging="357"/>
              <w:contextualSpacing/>
              <w:rPr>
                <w:lang w:eastAsia="nl-NL"/>
              </w:rPr>
            </w:pPr>
            <w:r w:rsidRPr="00FC4C2F">
              <w:rPr>
                <w:lang w:eastAsia="nl-NL"/>
              </w:rPr>
              <w:t>Overstatement of restructuring charges and asset write-offs</w:t>
            </w:r>
          </w:p>
        </w:tc>
        <w:tc>
          <w:tcPr>
            <w:tcW w:w="3266" w:type="dxa"/>
          </w:tcPr>
          <w:p w:rsidR="00DC7B1E" w:rsidRPr="00FC4C2F" w:rsidRDefault="00DC7B1E" w:rsidP="00ED2C7B">
            <w:pPr>
              <w:numPr>
                <w:ilvl w:val="0"/>
                <w:numId w:val="4"/>
              </w:numPr>
              <w:spacing w:before="120" w:line="240" w:lineRule="auto"/>
              <w:ind w:left="357" w:hanging="357"/>
              <w:contextualSpacing/>
              <w:rPr>
                <w:lang w:eastAsia="nl-NL"/>
              </w:rPr>
            </w:pPr>
            <w:r w:rsidRPr="00FC4C2F">
              <w:rPr>
                <w:lang w:eastAsia="nl-NL"/>
              </w:rPr>
              <w:t>Delaying sales</w:t>
            </w:r>
          </w:p>
          <w:p w:rsidR="00DC7B1E" w:rsidRPr="00FC4C2F" w:rsidRDefault="00DC7B1E" w:rsidP="00ED2C7B">
            <w:pPr>
              <w:numPr>
                <w:ilvl w:val="0"/>
                <w:numId w:val="4"/>
              </w:numPr>
              <w:spacing w:before="120" w:line="240" w:lineRule="auto"/>
              <w:ind w:left="357" w:hanging="357"/>
              <w:contextualSpacing/>
              <w:rPr>
                <w:lang w:eastAsia="nl-NL"/>
              </w:rPr>
            </w:pPr>
            <w:r w:rsidRPr="00FC4C2F">
              <w:rPr>
                <w:lang w:eastAsia="nl-NL"/>
              </w:rPr>
              <w:t>Accelerating R&amp;D or advertising expenditures</w:t>
            </w:r>
          </w:p>
        </w:tc>
      </w:tr>
      <w:tr w:rsidR="00DC7B1E" w:rsidRPr="00832004" w:rsidTr="00C7611A">
        <w:trPr>
          <w:trHeight w:val="1387"/>
        </w:trPr>
        <w:tc>
          <w:tcPr>
            <w:tcW w:w="2399" w:type="dxa"/>
          </w:tcPr>
          <w:p w:rsidR="00DC7B1E" w:rsidRPr="00FC4C2F" w:rsidRDefault="00DC7B1E" w:rsidP="00C7611A">
            <w:pPr>
              <w:spacing w:before="120" w:line="240" w:lineRule="auto"/>
              <w:contextualSpacing/>
              <w:rPr>
                <w:b/>
                <w:lang w:eastAsia="nl-NL"/>
              </w:rPr>
            </w:pPr>
            <w:r w:rsidRPr="00FC4C2F">
              <w:rPr>
                <w:b/>
                <w:lang w:eastAsia="nl-NL"/>
              </w:rPr>
              <w:t>“Neutral Accounting”</w:t>
            </w:r>
          </w:p>
          <w:p w:rsidR="00DC7B1E" w:rsidRPr="00FC4C2F" w:rsidRDefault="00DC7B1E" w:rsidP="00C7611A">
            <w:pPr>
              <w:spacing w:before="120" w:line="240" w:lineRule="auto"/>
              <w:contextualSpacing/>
              <w:rPr>
                <w:lang w:eastAsia="nl-NL"/>
              </w:rPr>
            </w:pPr>
            <w:r w:rsidRPr="00FC4C2F">
              <w:rPr>
                <w:lang w:eastAsia="nl-NL"/>
              </w:rPr>
              <w:t>(not earnings management)</w:t>
            </w:r>
          </w:p>
        </w:tc>
        <w:tc>
          <w:tcPr>
            <w:tcW w:w="3682" w:type="dxa"/>
          </w:tcPr>
          <w:p w:rsidR="00DC7B1E" w:rsidRPr="00FC4C2F" w:rsidRDefault="00DC7B1E" w:rsidP="00ED2C7B">
            <w:pPr>
              <w:numPr>
                <w:ilvl w:val="0"/>
                <w:numId w:val="5"/>
              </w:numPr>
              <w:spacing w:before="120" w:line="240" w:lineRule="auto"/>
              <w:ind w:left="357" w:hanging="357"/>
              <w:contextualSpacing/>
              <w:rPr>
                <w:lang w:eastAsia="nl-NL"/>
              </w:rPr>
            </w:pPr>
            <w:r w:rsidRPr="00FC4C2F">
              <w:rPr>
                <w:lang w:eastAsia="nl-NL"/>
              </w:rPr>
              <w:t>Earnings that result from neutral operations</w:t>
            </w:r>
          </w:p>
        </w:tc>
        <w:tc>
          <w:tcPr>
            <w:tcW w:w="3266" w:type="dxa"/>
          </w:tcPr>
          <w:p w:rsidR="00DC7B1E" w:rsidRPr="00FC4C2F" w:rsidRDefault="00DC7B1E" w:rsidP="00C7611A">
            <w:pPr>
              <w:spacing w:before="120" w:line="240" w:lineRule="auto"/>
              <w:ind w:left="567"/>
              <w:contextualSpacing/>
              <w:rPr>
                <w:lang w:eastAsia="nl-NL"/>
              </w:rPr>
            </w:pPr>
          </w:p>
        </w:tc>
      </w:tr>
      <w:tr w:rsidR="00DC7B1E" w:rsidRPr="00832004" w:rsidTr="00C7611A">
        <w:trPr>
          <w:trHeight w:val="1864"/>
        </w:trPr>
        <w:tc>
          <w:tcPr>
            <w:tcW w:w="2399" w:type="dxa"/>
          </w:tcPr>
          <w:p w:rsidR="00DC7B1E" w:rsidRPr="00FC4C2F" w:rsidRDefault="00DC7B1E" w:rsidP="00C7611A">
            <w:pPr>
              <w:spacing w:before="120" w:line="240" w:lineRule="auto"/>
              <w:contextualSpacing/>
              <w:rPr>
                <w:b/>
                <w:lang w:eastAsia="nl-NL"/>
              </w:rPr>
            </w:pPr>
            <w:r w:rsidRPr="00FC4C2F">
              <w:rPr>
                <w:b/>
                <w:lang w:eastAsia="nl-NL"/>
              </w:rPr>
              <w:t>“Aggressive Accounting”</w:t>
            </w:r>
          </w:p>
        </w:tc>
        <w:tc>
          <w:tcPr>
            <w:tcW w:w="3682" w:type="dxa"/>
          </w:tcPr>
          <w:p w:rsidR="00DC7B1E" w:rsidRPr="00FC4C2F" w:rsidRDefault="00DC7B1E" w:rsidP="00ED2C7B">
            <w:pPr>
              <w:numPr>
                <w:ilvl w:val="0"/>
                <w:numId w:val="5"/>
              </w:numPr>
              <w:spacing w:before="120" w:line="240" w:lineRule="auto"/>
              <w:ind w:left="357" w:hanging="357"/>
              <w:contextualSpacing/>
              <w:rPr>
                <w:lang w:eastAsia="nl-NL"/>
              </w:rPr>
            </w:pPr>
            <w:r w:rsidRPr="00FC4C2F">
              <w:rPr>
                <w:lang w:eastAsia="nl-NL"/>
              </w:rPr>
              <w:t>Understatement of the provision for bad debts</w:t>
            </w:r>
          </w:p>
          <w:p w:rsidR="00DC7B1E" w:rsidRPr="00FC4C2F" w:rsidRDefault="00DC7B1E" w:rsidP="00ED2C7B">
            <w:pPr>
              <w:numPr>
                <w:ilvl w:val="0"/>
                <w:numId w:val="5"/>
              </w:numPr>
              <w:spacing w:before="120" w:line="240" w:lineRule="auto"/>
              <w:ind w:left="357" w:hanging="357"/>
              <w:contextualSpacing/>
              <w:rPr>
                <w:lang w:eastAsia="nl-NL"/>
              </w:rPr>
            </w:pPr>
            <w:r w:rsidRPr="00FC4C2F">
              <w:rPr>
                <w:lang w:eastAsia="nl-NL"/>
              </w:rPr>
              <w:t>Drawing down provisions or reserves in an overly aggressive manner</w:t>
            </w:r>
          </w:p>
        </w:tc>
        <w:tc>
          <w:tcPr>
            <w:tcW w:w="3266" w:type="dxa"/>
          </w:tcPr>
          <w:p w:rsidR="00DC7B1E" w:rsidRPr="00FC4C2F" w:rsidRDefault="00DC7B1E" w:rsidP="00ED2C7B">
            <w:pPr>
              <w:numPr>
                <w:ilvl w:val="0"/>
                <w:numId w:val="5"/>
              </w:numPr>
              <w:spacing w:before="120" w:line="240" w:lineRule="auto"/>
              <w:ind w:left="357" w:hanging="357"/>
              <w:contextualSpacing/>
              <w:rPr>
                <w:lang w:eastAsia="nl-NL"/>
              </w:rPr>
            </w:pPr>
            <w:r w:rsidRPr="00FC4C2F">
              <w:rPr>
                <w:lang w:eastAsia="nl-NL"/>
              </w:rPr>
              <w:t>Postponing R&amp;D or advertising expenditures</w:t>
            </w:r>
          </w:p>
          <w:p w:rsidR="00DC7B1E" w:rsidRPr="00FC4C2F" w:rsidRDefault="00DC7B1E" w:rsidP="00ED2C7B">
            <w:pPr>
              <w:numPr>
                <w:ilvl w:val="0"/>
                <w:numId w:val="5"/>
              </w:numPr>
              <w:spacing w:before="120" w:line="240" w:lineRule="auto"/>
              <w:ind w:left="357" w:hanging="357"/>
              <w:contextualSpacing/>
              <w:rPr>
                <w:lang w:eastAsia="nl-NL"/>
              </w:rPr>
            </w:pPr>
            <w:r w:rsidRPr="00FC4C2F">
              <w:rPr>
                <w:lang w:eastAsia="nl-NL"/>
              </w:rPr>
              <w:t>Accelerating sales</w:t>
            </w:r>
          </w:p>
        </w:tc>
      </w:tr>
      <w:tr w:rsidR="00DC7B1E" w:rsidRPr="00832004" w:rsidTr="00FC4C2F">
        <w:trPr>
          <w:trHeight w:val="558"/>
        </w:trPr>
        <w:tc>
          <w:tcPr>
            <w:tcW w:w="9347" w:type="dxa"/>
            <w:gridSpan w:val="3"/>
          </w:tcPr>
          <w:p w:rsidR="00DC7B1E" w:rsidRPr="00FC4C2F" w:rsidRDefault="00DC7B1E" w:rsidP="00C7611A">
            <w:pPr>
              <w:spacing w:before="120" w:line="240" w:lineRule="auto"/>
              <w:contextualSpacing/>
              <w:jc w:val="center"/>
              <w:rPr>
                <w:b/>
                <w:lang w:eastAsia="nl-NL"/>
              </w:rPr>
            </w:pPr>
            <w:r w:rsidRPr="00FC4C2F">
              <w:rPr>
                <w:b/>
                <w:lang w:eastAsia="nl-NL"/>
              </w:rPr>
              <w:t>Violates GAAP</w:t>
            </w:r>
          </w:p>
        </w:tc>
      </w:tr>
      <w:tr w:rsidR="00DC7B1E" w:rsidRPr="00832004" w:rsidTr="00C7611A">
        <w:trPr>
          <w:trHeight w:val="1591"/>
        </w:trPr>
        <w:tc>
          <w:tcPr>
            <w:tcW w:w="2399" w:type="dxa"/>
          </w:tcPr>
          <w:p w:rsidR="00DC7B1E" w:rsidRPr="00FC4C2F" w:rsidRDefault="00DC7B1E" w:rsidP="00C7611A">
            <w:pPr>
              <w:spacing w:before="120" w:line="240" w:lineRule="auto"/>
              <w:contextualSpacing/>
              <w:jc w:val="both"/>
              <w:rPr>
                <w:b/>
                <w:lang w:eastAsia="nl-NL"/>
              </w:rPr>
            </w:pPr>
            <w:r w:rsidRPr="00FC4C2F">
              <w:rPr>
                <w:b/>
                <w:lang w:eastAsia="nl-NL"/>
              </w:rPr>
              <w:t>“Fraud”</w:t>
            </w:r>
          </w:p>
        </w:tc>
        <w:tc>
          <w:tcPr>
            <w:tcW w:w="3682" w:type="dxa"/>
          </w:tcPr>
          <w:p w:rsidR="00DC7B1E" w:rsidRPr="00FC4C2F" w:rsidRDefault="00DC7B1E" w:rsidP="00ED2C7B">
            <w:pPr>
              <w:numPr>
                <w:ilvl w:val="0"/>
                <w:numId w:val="6"/>
              </w:numPr>
              <w:spacing w:before="120" w:line="240" w:lineRule="auto"/>
              <w:ind w:left="357" w:hanging="357"/>
              <w:contextualSpacing/>
              <w:jc w:val="both"/>
              <w:rPr>
                <w:lang w:eastAsia="nl-NL"/>
              </w:rPr>
            </w:pPr>
            <w:r w:rsidRPr="00FC4C2F">
              <w:rPr>
                <w:lang w:eastAsia="nl-NL"/>
              </w:rPr>
              <w:t>Recording sales before they are “realizable”</w:t>
            </w:r>
          </w:p>
          <w:p w:rsidR="00DC7B1E" w:rsidRPr="00FC4C2F" w:rsidRDefault="00DC7B1E" w:rsidP="00ED2C7B">
            <w:pPr>
              <w:numPr>
                <w:ilvl w:val="0"/>
                <w:numId w:val="6"/>
              </w:numPr>
              <w:spacing w:before="120" w:line="240" w:lineRule="auto"/>
              <w:ind w:left="357" w:hanging="357"/>
              <w:contextualSpacing/>
              <w:jc w:val="both"/>
              <w:rPr>
                <w:lang w:eastAsia="nl-NL"/>
              </w:rPr>
            </w:pPr>
            <w:r w:rsidRPr="00FC4C2F">
              <w:rPr>
                <w:lang w:eastAsia="nl-NL"/>
              </w:rPr>
              <w:t>Overstating inventory by recording fictitious inventory</w:t>
            </w:r>
          </w:p>
        </w:tc>
        <w:tc>
          <w:tcPr>
            <w:tcW w:w="3266" w:type="dxa"/>
          </w:tcPr>
          <w:p w:rsidR="00DC7B1E" w:rsidRPr="00FC4C2F" w:rsidRDefault="00DC7B1E" w:rsidP="00C7611A">
            <w:pPr>
              <w:spacing w:before="120" w:line="240" w:lineRule="auto"/>
              <w:ind w:left="720"/>
              <w:contextualSpacing/>
              <w:jc w:val="both"/>
              <w:rPr>
                <w:lang w:eastAsia="nl-NL"/>
              </w:rPr>
            </w:pPr>
          </w:p>
        </w:tc>
      </w:tr>
    </w:tbl>
    <w:p w:rsidR="00DC7B1E" w:rsidRPr="00832004" w:rsidRDefault="00DC7B1E" w:rsidP="00A94509">
      <w:pPr>
        <w:pStyle w:val="ListParagraph"/>
        <w:autoSpaceDE w:val="0"/>
        <w:autoSpaceDN w:val="0"/>
        <w:adjustRightInd w:val="0"/>
        <w:spacing w:after="0" w:line="360" w:lineRule="auto"/>
        <w:ind w:left="0"/>
        <w:jc w:val="both"/>
        <w:rPr>
          <w:rFonts w:ascii="Times New Roman" w:hAnsi="Times New Roman" w:cs="Times New Roman"/>
          <w:b/>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Inside GAAP Dechow and Skinner (2000) distinguish three categories: Conservative Accounting, Neutral Accounting and Aggressive Accounting. As earnings in the case of neutral accounting results from neutral operations, manipulation is not present here. In this case, the financial statements give a fair view of the financial position of the company. Consequently, this could be seen as the white area. When the management applies conservative accounting or aggressive accounting, the management manipulates the financial statements in an acceptable way while fraud involves actions that are in violation with GAAP. As a result, conservative accounting and aggressive accounting belong to the grey area while fraud falls to the black since fraudulent actions results in materially misleading financial statements.</w:t>
      </w:r>
    </w:p>
    <w:p w:rsidR="00DC7B1E" w:rsidRDefault="00DC7B1E" w:rsidP="00A94509">
      <w:pPr>
        <w:spacing w:line="360" w:lineRule="auto"/>
        <w:jc w:val="both"/>
        <w:rPr>
          <w:rFonts w:ascii="Times New Roman" w:hAnsi="Times New Roman"/>
        </w:rPr>
      </w:pPr>
    </w:p>
    <w:p w:rsidR="00DC7B1E" w:rsidRDefault="00DC7B1E" w:rsidP="00A94509">
      <w:pPr>
        <w:spacing w:line="360" w:lineRule="auto"/>
        <w:jc w:val="both"/>
        <w:rPr>
          <w:rFonts w:ascii="Times New Roman" w:hAnsi="Times New Roman"/>
        </w:rPr>
      </w:pPr>
    </w:p>
    <w:p w:rsidR="00DC7B1E" w:rsidRPr="00834482" w:rsidRDefault="00DC7B1E" w:rsidP="00834482">
      <w:pPr>
        <w:pStyle w:val="Heading3"/>
        <w:spacing w:before="60" w:line="360" w:lineRule="auto"/>
        <w:contextualSpacing/>
        <w:rPr>
          <w:i/>
          <w:sz w:val="22"/>
          <w:szCs w:val="22"/>
        </w:rPr>
      </w:pPr>
      <w:bookmarkStart w:id="29" w:name="_Toc224624719"/>
      <w:bookmarkStart w:id="30" w:name="_Toc234567974"/>
      <w:r w:rsidRPr="00834482">
        <w:rPr>
          <w:i/>
          <w:sz w:val="22"/>
          <w:szCs w:val="22"/>
        </w:rPr>
        <w:t>2.3.</w:t>
      </w:r>
      <w:r>
        <w:rPr>
          <w:i/>
          <w:sz w:val="22"/>
          <w:szCs w:val="22"/>
        </w:rPr>
        <w:t>2</w:t>
      </w:r>
      <w:r w:rsidRPr="00834482">
        <w:rPr>
          <w:i/>
          <w:sz w:val="22"/>
          <w:szCs w:val="22"/>
        </w:rPr>
        <w:tab/>
        <w:t>Incentives for earnings management</w:t>
      </w:r>
      <w:bookmarkEnd w:id="29"/>
      <w:bookmarkEnd w:id="30"/>
    </w:p>
    <w:p w:rsidR="00DC7B1E" w:rsidRPr="00832004" w:rsidRDefault="00DC7B1E" w:rsidP="00A94509">
      <w:pPr>
        <w:pStyle w:val="ListParagraph"/>
        <w:autoSpaceDE w:val="0"/>
        <w:autoSpaceDN w:val="0"/>
        <w:adjustRightInd w:val="0"/>
        <w:spacing w:after="0" w:line="360" w:lineRule="auto"/>
        <w:ind w:left="0"/>
        <w:jc w:val="both"/>
        <w:rPr>
          <w:rFonts w:ascii="Times New Roman" w:hAnsi="Times New Roman" w:cs="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Under the accrual based accounting earnings are the summary measure of firm performance. Moreover, this measure of firm performance is used by a wide range of users. This creates incentives to manipulate earnings in order to reflect the financial position of the firm in a better perspective. According to Kellog and Kellog (1991, cited in Stlowy and Breton, 2004) the two main motivations for earnings management is to encourage investors to buy a company’s stocks and to increase the firm’s market value. Next to those motives, various other incentives to manipulate earnings are present:</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b/>
        </w:rPr>
      </w:pPr>
      <w:r w:rsidRPr="00832004">
        <w:rPr>
          <w:rFonts w:ascii="Times New Roman" w:hAnsi="Times New Roman"/>
          <w:b/>
        </w:rPr>
        <w:t>Debt covenants</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As the existence of the principal agent problem between the manager and shareholders, also the principal agent problem applies to the relationship between lenders (such as bondholders) and banks on one side and the firm manager on the other side. To control this problem, especially long term contracts contain covenants to protect against action by managers that are against the best interest of the lenders and banks, such as excessive dividend payments and additional borrowings. Since lenders and banks fear the inability of the firm to pay off its debts, they set up requirements concerning dividend payments to shareholders, debt/equity ratio, and liquidity or solvability ratios. Since violation of these covenants can impose heavy costs, managers have incentives to avoid them by engaging in earning management activities. This is possible because debt contracts depend on accounting variables that could be manipulated in various ways. DeFond and Jiambalvo (1994) found evidence that firms that are close to debt covenant violation use discretionary accruals to increase reported income in the year prior to and, to a lesser extent in the year of the violation (cited in Scott, 2004, 353).</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Before managers undertake a lending agreement they tend to engage in earnings management as well. This motive derives from the fact that the financial position and results of the firm are of importance in the determination of the borrowing rate. The rule is the better the financial position of the firm (the ability to pay off its debt), the lower the borrowing rate is, and vice versa. The possibility exist that managers manipulate earnings period before they request a lending agreement in order to reduce the borrowing rate.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b/>
        </w:rPr>
      </w:pPr>
      <w:r w:rsidRPr="00832004">
        <w:rPr>
          <w:rFonts w:ascii="Times New Roman" w:hAnsi="Times New Roman"/>
          <w:b/>
        </w:rPr>
        <w:t>Implicit contracts</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Earnings management could also derive from implicit contracts (relational contracts). These involve not formal contracts but arise from continuing relationships between the firm and stakeholders such as suppliers, lenders, employees and customers (Scott, 2004, 354). Whether such stakeholders continue their relationship depend more or less on the financial results of a company. For instance, if the company shows volatile earnings or low earnings, suppliers and lenders will worry about respectively whether the company is able to pay for the delivered goods or services and repay its debt, while employees and customers will be concerned about respectively their job perspectives and whether the company is able to provide services if they buy the company’s products. The desire to guarantee the relationship with stakeholders provides the managers with incentives to manipulate earnings.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b/>
        </w:rPr>
      </w:pPr>
      <w:r w:rsidRPr="00832004">
        <w:rPr>
          <w:rFonts w:ascii="Times New Roman" w:hAnsi="Times New Roman"/>
          <w:b/>
        </w:rPr>
        <w:t>Management compensation</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The manager’s compensation is composed of several components such as a fixed base salary, bonuses and stock options. Since bonuses and the grant of stock options are conditional on achieving a performance target, the manager will act in his self interest by engaging in earnings management activities with the intent to increase his compensation. </w:t>
      </w:r>
      <w:r>
        <w:rPr>
          <w:rFonts w:ascii="Times New Roman" w:hAnsi="Times New Roman"/>
        </w:rPr>
        <w:t xml:space="preserve">More details concerning the relation between stock options and earnings management </w:t>
      </w:r>
      <w:r w:rsidRPr="00832004">
        <w:rPr>
          <w:rFonts w:ascii="Times New Roman" w:hAnsi="Times New Roman"/>
        </w:rPr>
        <w:t xml:space="preserve">will be </w:t>
      </w:r>
      <w:r>
        <w:rPr>
          <w:rFonts w:ascii="Times New Roman" w:hAnsi="Times New Roman"/>
        </w:rPr>
        <w:t xml:space="preserve">provided </w:t>
      </w:r>
      <w:r w:rsidRPr="00832004">
        <w:rPr>
          <w:rFonts w:ascii="Times New Roman" w:hAnsi="Times New Roman"/>
        </w:rPr>
        <w:t>in section 2.</w:t>
      </w:r>
      <w:r>
        <w:rPr>
          <w:rFonts w:ascii="Times New Roman" w:hAnsi="Times New Roman"/>
        </w:rPr>
        <w:t>4</w:t>
      </w:r>
      <w:r w:rsidRPr="00832004">
        <w:rPr>
          <w:rFonts w:ascii="Times New Roman" w:hAnsi="Times New Roman"/>
        </w:rPr>
        <w:t xml:space="preserve">.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b/>
        </w:rPr>
      </w:pPr>
      <w:r w:rsidRPr="00832004">
        <w:rPr>
          <w:rFonts w:ascii="Times New Roman" w:hAnsi="Times New Roman"/>
          <w:b/>
        </w:rPr>
        <w:t>Analysts’ earnings forecasts</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Studies of earnings management for capital reasons showed that earnings are managed to meet financial analysts’ forecasts. For example, Burgstahler and Eames (1998, cited in Healy and Wahlen, 1999, 371) proved that managers take actions to drive up earnings to avoid reporting earnings lower than analysts’ expectations. The reason for meeting the analysts’ consensus forecasts proceed from the simply reason not to disappoint the market because they represent the market expectations. Another explanation for the pressure to meet analysts’ forecasts lies in the stock price behavior. Firms that report earnings greater than expected benefit a significant share price increase whereas firms that fail to meet the market expectations suffer a significant share price decrease. Skinner and Sloan (2002, cited in Scott, 2006, 353) found evidence that the negative share returns for firms that fail to meet earnings expectation are even significantly greater in magnitude than the positive returns for firms that exceeded the market expectations.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b/>
        </w:rPr>
      </w:pPr>
      <w:r w:rsidRPr="00832004">
        <w:rPr>
          <w:rFonts w:ascii="Times New Roman" w:hAnsi="Times New Roman"/>
          <w:b/>
        </w:rPr>
        <w:t>Meeting or beating a benchmark</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i/>
        </w:rPr>
      </w:pPr>
      <w:r w:rsidRPr="00832004">
        <w:rPr>
          <w:rFonts w:ascii="Times New Roman" w:hAnsi="Times New Roman"/>
          <w:i/>
        </w:rPr>
        <w:t>Zero earnings level</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Firms prefer to avoid reporting losses because of the psychological reason that investors like to observe positive earnings rather than losses. Therefore, many firms intend to manage earnings upward to avoid reporting losses, but also reporting earnings decreases. A study by Burgstahler and Dichev (1997) showed that firms report unusually low frequencies of small decreases in earnings and small losses, and unusually high frequencies of small increases in earnings and small positive income. To achieve this, they found evidence that managers manipulate cash flow</w:t>
      </w:r>
      <w:r>
        <w:rPr>
          <w:rFonts w:ascii="Times New Roman" w:hAnsi="Times New Roman"/>
        </w:rPr>
        <w:t xml:space="preserve"> </w:t>
      </w:r>
      <w:r w:rsidRPr="00832004">
        <w:rPr>
          <w:rFonts w:ascii="Times New Roman" w:hAnsi="Times New Roman"/>
        </w:rPr>
        <w:t>from operations</w:t>
      </w:r>
      <w:r w:rsidRPr="00832004">
        <w:rPr>
          <w:rStyle w:val="FootnoteReference"/>
          <w:rFonts w:ascii="Times New Roman" w:hAnsi="Times New Roman"/>
        </w:rPr>
        <w:footnoteReference w:id="2"/>
      </w:r>
      <w:r w:rsidRPr="00832004">
        <w:rPr>
          <w:rFonts w:ascii="Times New Roman" w:hAnsi="Times New Roman"/>
        </w:rPr>
        <w:t xml:space="preserve">  and changes in working capital</w:t>
      </w:r>
      <w:r w:rsidRPr="00832004">
        <w:rPr>
          <w:rStyle w:val="FootnoteReference"/>
          <w:rFonts w:ascii="Times New Roman" w:hAnsi="Times New Roman"/>
        </w:rPr>
        <w:footnoteReference w:id="3"/>
      </w:r>
      <w:r w:rsidRPr="00832004">
        <w:rPr>
          <w:rFonts w:ascii="Times New Roman" w:hAnsi="Times New Roman"/>
        </w:rPr>
        <w:t xml:space="preserve"> to move from small losses to small positive earnings. In a more recent study by Burgstahler and Eames (2006), they provide evidence that managers not only manage earnings upward in order to achieve zero earnings and small earnings surprises, but in achieving these objectives managers also manage analysts’ forecasts downward. They suggest that managers drive up earning by both ‘real’ operating activities (reflected in cash from operations) and action of a ‘bookkeeping’ nature (reflected in discretionary accruals).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i/>
        </w:rPr>
      </w:pPr>
      <w:r w:rsidRPr="00832004">
        <w:rPr>
          <w:rFonts w:ascii="Times New Roman" w:hAnsi="Times New Roman"/>
          <w:i/>
        </w:rPr>
        <w:t>Earnings changes between parallel periods</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Managers prefer to avoid reporting earnings decreases relative to the earnings announced in the same quarter in the previous year. Moreover, they prefer to report a string of earnings increases and the pressure is thus stronger for firms that have profits than for firms with losses (Scott, 2006, 137).</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i/>
        </w:rPr>
      </w:pPr>
      <w:r w:rsidRPr="00832004">
        <w:rPr>
          <w:rFonts w:ascii="Times New Roman" w:hAnsi="Times New Roman"/>
          <w:i/>
        </w:rPr>
        <w:t>Management expectations</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Another motive for earnings manipulation is the manager’s drive to meet his earnings expectations announced in public. If he fails to meet his earnings forecasts the possibility exists that he fear</w:t>
      </w:r>
      <w:r>
        <w:rPr>
          <w:rFonts w:ascii="Times New Roman" w:hAnsi="Times New Roman"/>
        </w:rPr>
        <w:t>s</w:t>
      </w:r>
      <w:r w:rsidRPr="00832004">
        <w:rPr>
          <w:rFonts w:ascii="Times New Roman" w:hAnsi="Times New Roman"/>
        </w:rPr>
        <w:t xml:space="preserve"> to lose his reputation or job. This provides the manager with incentives to manipulate earning upward.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b/>
        </w:rPr>
      </w:pPr>
      <w:r w:rsidRPr="00832004">
        <w:rPr>
          <w:rFonts w:ascii="Times New Roman" w:hAnsi="Times New Roman"/>
          <w:b/>
        </w:rPr>
        <w:t>Initial Public Offerings (IPO’s)</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An Initial Public Offering is when a private company issues common stock or shares to the public for the first time in exchange for a large sum of cash. The price at which the common stock or shares will be issued is based on the company’s earnings. Since the executives want to maximize the pay out for the company they have incentives to manipulate earnings in the period before the IPO. For example, Friedlan (1994) found evidence that issuers of IPOs make income increasing discretionary accruals in the most current financial statements before going public. This is also confirmed by Teoh, Welch and Wong (1998), Teoh, Wong and Rao (1998) and Roosenboom et al. (2003). They all found evidence that firms use discretionary accruals to manage earnings in the IPO year. However, Teoh, Welch and Wong (1998) and Roosenboom et al. (2003) also provide evidence that IPO firms with unusually high accruals in the IPO year experience poor stock return performance in the three years thereafter. This may explain the evidence of reversals of abnormal accruals after the IPOs [Teoh, Wong and Rao (1998) and Roosenboom et al. (2003)]. In a sample of 64 Dutch IPOs, Roosenboom et al. (2003) found evidence that managers of IPO firms reduce provisions in post IPO years in an attempt to mitigate the negative effect of the accruals on reported net income.</w:t>
      </w:r>
    </w:p>
    <w:p w:rsidR="00DC7B1E" w:rsidRPr="00CD1324" w:rsidRDefault="00DC7B1E" w:rsidP="00834482">
      <w:pPr>
        <w:pStyle w:val="Heading3"/>
        <w:spacing w:before="60" w:line="360" w:lineRule="auto"/>
        <w:contextualSpacing/>
        <w:rPr>
          <w:i/>
          <w:sz w:val="22"/>
          <w:szCs w:val="22"/>
        </w:rPr>
      </w:pPr>
      <w:bookmarkStart w:id="31" w:name="_Toc224624720"/>
      <w:bookmarkStart w:id="32" w:name="_Toc234567975"/>
      <w:r>
        <w:rPr>
          <w:i/>
          <w:sz w:val="22"/>
          <w:szCs w:val="22"/>
        </w:rPr>
        <w:t>2.3.3</w:t>
      </w:r>
      <w:r>
        <w:rPr>
          <w:i/>
          <w:sz w:val="22"/>
          <w:szCs w:val="22"/>
        </w:rPr>
        <w:tab/>
      </w:r>
      <w:r w:rsidRPr="00CD1324">
        <w:rPr>
          <w:i/>
          <w:sz w:val="22"/>
          <w:szCs w:val="22"/>
        </w:rPr>
        <w:t>Methods to manage earnings</w:t>
      </w:r>
      <w:bookmarkEnd w:id="31"/>
      <w:bookmarkEnd w:id="32"/>
    </w:p>
    <w:p w:rsidR="00DC7B1E" w:rsidRPr="00832004" w:rsidRDefault="00DC7B1E" w:rsidP="00A94509">
      <w:pPr>
        <w:pStyle w:val="ListParagraph"/>
        <w:autoSpaceDE w:val="0"/>
        <w:autoSpaceDN w:val="0"/>
        <w:adjustRightInd w:val="0"/>
        <w:spacing w:after="0" w:line="360" w:lineRule="auto"/>
        <w:ind w:left="0"/>
        <w:jc w:val="both"/>
        <w:rPr>
          <w:rFonts w:ascii="Times New Roman" w:hAnsi="Times New Roman" w:cs="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Within the boundaries of GAAP there are various ways in which executives can manage earnings. Methods that managers can use to manage earnings </w:t>
      </w:r>
      <w:r>
        <w:rPr>
          <w:rFonts w:ascii="Times New Roman" w:hAnsi="Times New Roman"/>
        </w:rPr>
        <w:t xml:space="preserve">are as follows </w:t>
      </w:r>
      <w:r w:rsidRPr="00832004">
        <w:rPr>
          <w:rFonts w:ascii="Times New Roman" w:hAnsi="Times New Roman"/>
        </w:rPr>
        <w:t>(Ronen and Yaari, 2008, 31-33):</w:t>
      </w:r>
    </w:p>
    <w:p w:rsidR="00DC7B1E" w:rsidRPr="00832004" w:rsidRDefault="00DC7B1E" w:rsidP="00A94509">
      <w:pPr>
        <w:pStyle w:val="ListParagraph"/>
        <w:numPr>
          <w:ilvl w:val="0"/>
          <w:numId w:val="7"/>
        </w:numPr>
        <w:spacing w:line="360" w:lineRule="auto"/>
        <w:jc w:val="both"/>
        <w:rPr>
          <w:rFonts w:ascii="Times New Roman" w:hAnsi="Times New Roman" w:cs="Times New Roman"/>
        </w:rPr>
      </w:pPr>
      <w:r w:rsidRPr="00832004">
        <w:rPr>
          <w:rFonts w:ascii="Times New Roman" w:hAnsi="Times New Roman" w:cs="Times New Roman"/>
        </w:rPr>
        <w:t xml:space="preserve">A choice from a menu of treatments that are accepted under GAAP, such as LIFO versus FIFO for inventory valuation, the full cost method versus the successful effort method in the oil and gas industry, accelerated versus straight line depreciation method, and revenue recognition policy. </w:t>
      </w:r>
    </w:p>
    <w:p w:rsidR="00DC7B1E" w:rsidRPr="00832004" w:rsidRDefault="00DC7B1E" w:rsidP="00A94509">
      <w:pPr>
        <w:pStyle w:val="ListParagraph"/>
        <w:numPr>
          <w:ilvl w:val="0"/>
          <w:numId w:val="7"/>
        </w:numPr>
        <w:spacing w:line="360" w:lineRule="auto"/>
        <w:jc w:val="both"/>
        <w:rPr>
          <w:rFonts w:ascii="Times New Roman" w:hAnsi="Times New Roman" w:cs="Times New Roman"/>
        </w:rPr>
      </w:pPr>
      <w:r w:rsidRPr="00832004">
        <w:rPr>
          <w:rFonts w:ascii="Times New Roman" w:hAnsi="Times New Roman" w:cs="Times New Roman"/>
        </w:rPr>
        <w:t xml:space="preserve">A judgement call when GAAP requires estimates, such as depreciation, assets valuation, asset write-offs and impairments. For example, when a manager has incentives to drive up earnings, he could lower his estimations concerning the depreciation of a tangible asset or asset write-offs. </w:t>
      </w:r>
    </w:p>
    <w:p w:rsidR="00DC7B1E" w:rsidRPr="00832004" w:rsidRDefault="00DC7B1E" w:rsidP="00A94509">
      <w:pPr>
        <w:pStyle w:val="ListParagraph"/>
        <w:numPr>
          <w:ilvl w:val="0"/>
          <w:numId w:val="7"/>
        </w:numPr>
        <w:spacing w:line="360" w:lineRule="auto"/>
        <w:ind w:left="714" w:hanging="357"/>
        <w:jc w:val="both"/>
        <w:rPr>
          <w:rFonts w:ascii="Times New Roman" w:hAnsi="Times New Roman" w:cs="Times New Roman"/>
        </w:rPr>
      </w:pPr>
      <w:r w:rsidRPr="00832004">
        <w:rPr>
          <w:rFonts w:ascii="Times New Roman" w:hAnsi="Times New Roman" w:cs="Times New Roman"/>
        </w:rPr>
        <w:t>Structuring transactions to achieve desired accounting outcomes. For instance, selling off assets whose market value is well in excess of book value (Kaplan and Atkinson, 1998, 680) or purchases of inventory (in the case of application of LIFO) (Goncharov, 2005).</w:t>
      </w:r>
    </w:p>
    <w:p w:rsidR="00DC7B1E" w:rsidRPr="00832004" w:rsidRDefault="00DC7B1E" w:rsidP="00A94509">
      <w:pPr>
        <w:pStyle w:val="ListParagraph"/>
        <w:numPr>
          <w:ilvl w:val="0"/>
          <w:numId w:val="7"/>
        </w:numPr>
        <w:spacing w:line="360" w:lineRule="auto"/>
        <w:ind w:left="714" w:hanging="357"/>
        <w:jc w:val="both"/>
        <w:rPr>
          <w:rFonts w:ascii="Times New Roman" w:hAnsi="Times New Roman" w:cs="Times New Roman"/>
        </w:rPr>
      </w:pPr>
      <w:r w:rsidRPr="00832004">
        <w:rPr>
          <w:rFonts w:ascii="Times New Roman" w:hAnsi="Times New Roman" w:cs="Times New Roman"/>
        </w:rPr>
        <w:t>Timing the recognition of revenues and expenses through, for example, timing the sales of assets in order to smooth earnings and deciding whether to capitalize expenses, such as brand name costs.</w:t>
      </w:r>
    </w:p>
    <w:p w:rsidR="00DC7B1E" w:rsidRPr="00832004" w:rsidRDefault="00DC7B1E" w:rsidP="00A94509">
      <w:pPr>
        <w:pStyle w:val="ListParagraph"/>
        <w:numPr>
          <w:ilvl w:val="0"/>
          <w:numId w:val="7"/>
        </w:numPr>
        <w:spacing w:line="360" w:lineRule="auto"/>
        <w:jc w:val="both"/>
        <w:rPr>
          <w:rFonts w:ascii="Times New Roman" w:hAnsi="Times New Roman" w:cs="Times New Roman"/>
        </w:rPr>
      </w:pPr>
      <w:r w:rsidRPr="00832004">
        <w:rPr>
          <w:rFonts w:ascii="Times New Roman" w:hAnsi="Times New Roman" w:cs="Times New Roman"/>
        </w:rPr>
        <w:t xml:space="preserve">A real production and investment decision, such as reducing research and development expenditures and affecting selling and administrative expenses. Or producing goods in excess of demand in order to absorb fixed costs into inventory and thereby increase reported income in the current period (Kaplan and Atkinson, 1998, 680). </w:t>
      </w:r>
    </w:p>
    <w:p w:rsidR="00DC7B1E" w:rsidRPr="00832004" w:rsidRDefault="00DC7B1E" w:rsidP="00A94509">
      <w:pPr>
        <w:pStyle w:val="ListParagraph"/>
        <w:numPr>
          <w:ilvl w:val="0"/>
          <w:numId w:val="7"/>
        </w:numPr>
        <w:spacing w:line="360" w:lineRule="auto"/>
        <w:jc w:val="both"/>
        <w:rPr>
          <w:rFonts w:ascii="Times New Roman" w:hAnsi="Times New Roman" w:cs="Times New Roman"/>
        </w:rPr>
      </w:pPr>
      <w:r w:rsidRPr="00832004">
        <w:rPr>
          <w:rFonts w:ascii="Times New Roman" w:hAnsi="Times New Roman" w:cs="Times New Roman"/>
        </w:rPr>
        <w:t>A decision on the timing of the adoption of a new standard, a decision whether to write the transition effect of a new standard on the income statement or as a retroactive adjustment to stockholders’ equity on the balance sheet, and a decision not to implement a new standard on the grounds of immateriality.</w:t>
      </w:r>
    </w:p>
    <w:p w:rsidR="00DC7B1E" w:rsidRPr="00832004" w:rsidRDefault="00DC7B1E" w:rsidP="00A94509">
      <w:pPr>
        <w:pStyle w:val="ListParagraph"/>
        <w:numPr>
          <w:ilvl w:val="0"/>
          <w:numId w:val="7"/>
        </w:numPr>
        <w:spacing w:line="360" w:lineRule="auto"/>
        <w:jc w:val="both"/>
        <w:rPr>
          <w:rFonts w:ascii="Times New Roman" w:hAnsi="Times New Roman" w:cs="Times New Roman"/>
        </w:rPr>
      </w:pPr>
      <w:r w:rsidRPr="00832004">
        <w:rPr>
          <w:rFonts w:ascii="Times New Roman" w:hAnsi="Times New Roman" w:cs="Times New Roman"/>
        </w:rPr>
        <w:t xml:space="preserve">Managing the transparency of the presentation. For instance, presenting special items in a footnote instead of in a separate line in the income statement. </w:t>
      </w:r>
    </w:p>
    <w:p w:rsidR="00DC7B1E" w:rsidRPr="00832004" w:rsidRDefault="00DC7B1E" w:rsidP="00A94509">
      <w:pPr>
        <w:pStyle w:val="ListParagraph"/>
        <w:spacing w:line="360" w:lineRule="auto"/>
        <w:ind w:left="0"/>
        <w:jc w:val="both"/>
        <w:rPr>
          <w:rFonts w:ascii="Times New Roman" w:hAnsi="Times New Roman" w:cs="Times New Roman"/>
        </w:rPr>
      </w:pPr>
    </w:p>
    <w:p w:rsidR="00DC7B1E" w:rsidRPr="00832004" w:rsidRDefault="00DC7B1E" w:rsidP="00A94509">
      <w:pPr>
        <w:pStyle w:val="ListParagraph"/>
        <w:spacing w:line="360" w:lineRule="auto"/>
        <w:ind w:left="0"/>
        <w:jc w:val="both"/>
        <w:rPr>
          <w:rFonts w:ascii="Times New Roman" w:hAnsi="Times New Roman" w:cs="Times New Roman"/>
        </w:rPr>
      </w:pPr>
      <w:r w:rsidRPr="00832004">
        <w:rPr>
          <w:rFonts w:ascii="Times New Roman" w:hAnsi="Times New Roman" w:cs="Times New Roman"/>
        </w:rPr>
        <w:t xml:space="preserve">According to Ronen and Yaari (2008), the most frequent method that firms use to manage earnings seems to be related to revenue recognition which is confirmed by several researches. For instance, Coffee (2005) documents that the SEC investigated all its enforcement proceedings in the period from 1997 till 2002 to determine what kinds of financial and accounting irregularities were the most common. In that study, it turns out that 126 (55 per cent) of the 227 enforcement matters involve ‘improper revenue recognitions’. Besides, the United States General Accounting Office (GAO) find that revenue recognition, with a percentage of 37.9, is the most frequent reason for financial statement restatements in the period from 1997 till 2002, followed by cost and expense accounting (15.7%) (GAO, 2002, 30). </w:t>
      </w:r>
    </w:p>
    <w:p w:rsidR="00DC7B1E" w:rsidRDefault="00DC7B1E" w:rsidP="00A94509">
      <w:pPr>
        <w:pStyle w:val="ListParagraph"/>
        <w:spacing w:line="360" w:lineRule="auto"/>
        <w:ind w:left="0"/>
        <w:jc w:val="both"/>
        <w:rPr>
          <w:rFonts w:ascii="Times New Roman" w:hAnsi="Times New Roman" w:cs="Times New Roman"/>
        </w:rPr>
      </w:pPr>
      <w:r w:rsidRPr="00832004">
        <w:rPr>
          <w:rFonts w:ascii="Times New Roman" w:hAnsi="Times New Roman" w:cs="Times New Roman"/>
        </w:rPr>
        <w:t>Another interesting study to mention is the one by Nelson, Elliott and Tarpley (2003</w:t>
      </w:r>
      <w:r>
        <w:rPr>
          <w:rFonts w:ascii="Times New Roman" w:hAnsi="Times New Roman" w:cs="Times New Roman"/>
        </w:rPr>
        <w:t>, cited in Ronen and Yaari, 2008</w:t>
      </w:r>
      <w:r w:rsidRPr="00832004">
        <w:rPr>
          <w:rFonts w:ascii="Times New Roman" w:hAnsi="Times New Roman" w:cs="Times New Roman"/>
        </w:rPr>
        <w:t xml:space="preserve">) which investigates how managers attempt to manage earnings, based on a sample of 515 earnings management attempts that are obtained from a survey of 253 experienced auditors. They find that out of the 515 attempts, 272 (53%) increase current year income, 159 (31%) decrease current year income and 84 (16%) have no clear current year income effect. They concluded that the most frequent attempts to manage earnings are related to expenses (269 of 515), followed by revenues (114 of 515) and then business combinations (67 of 515). </w:t>
      </w:r>
    </w:p>
    <w:p w:rsidR="00DC7B1E" w:rsidRPr="00832004" w:rsidRDefault="00DC7B1E" w:rsidP="00A94509">
      <w:pPr>
        <w:pStyle w:val="ListParagraph"/>
        <w:spacing w:line="360" w:lineRule="auto"/>
        <w:ind w:left="0"/>
        <w:jc w:val="both"/>
        <w:rPr>
          <w:rFonts w:ascii="Times New Roman" w:hAnsi="Times New Roman" w:cs="Times New Roman"/>
        </w:rPr>
      </w:pPr>
    </w:p>
    <w:p w:rsidR="00DC7B1E" w:rsidRPr="00834482" w:rsidRDefault="00DC7B1E" w:rsidP="00834482">
      <w:pPr>
        <w:pStyle w:val="Heading3"/>
        <w:spacing w:before="60" w:line="360" w:lineRule="auto"/>
        <w:contextualSpacing/>
        <w:rPr>
          <w:i/>
          <w:sz w:val="22"/>
          <w:szCs w:val="22"/>
        </w:rPr>
      </w:pPr>
      <w:bookmarkStart w:id="33" w:name="_Toc224624721"/>
      <w:bookmarkStart w:id="34" w:name="_Toc234567976"/>
      <w:r w:rsidRPr="00834482">
        <w:rPr>
          <w:i/>
          <w:sz w:val="22"/>
          <w:szCs w:val="22"/>
        </w:rPr>
        <w:t>2.3.</w:t>
      </w:r>
      <w:r>
        <w:rPr>
          <w:i/>
          <w:sz w:val="22"/>
          <w:szCs w:val="22"/>
        </w:rPr>
        <w:t>4</w:t>
      </w:r>
      <w:r w:rsidRPr="00834482">
        <w:rPr>
          <w:i/>
          <w:sz w:val="22"/>
          <w:szCs w:val="22"/>
        </w:rPr>
        <w:tab/>
        <w:t>Accrual accounting</w:t>
      </w:r>
      <w:bookmarkEnd w:id="33"/>
      <w:bookmarkEnd w:id="34"/>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color w:val="000000"/>
        </w:rPr>
      </w:pPr>
      <w:r w:rsidRPr="00832004">
        <w:rPr>
          <w:rFonts w:ascii="Times New Roman" w:hAnsi="Times New Roman"/>
        </w:rPr>
        <w:t xml:space="preserve">In the academic literature accruals are the most commonly used proxy to detect earnings management. Accruals arise as a result of the accounting process, of which accrual accounting is the most commonly used. Accrual accounting measures the company’s performance by recognizing economic events regardless of when cash transactions occur. In other words, revenues and expenses are recorded in the period when they are incurred, as opposed to cash based accounting where revenues and expenses are reported when cash are received or paid. Accruals arise when the economic event and the cash flow differs in timing. For example, a company recognizes revenues when goods or services are delivered but that have not yet been billed or paid for. Thus, over </w:t>
      </w:r>
      <w:r w:rsidRPr="00832004">
        <w:rPr>
          <w:rFonts w:ascii="Times New Roman" w:hAnsi="Times New Roman"/>
          <w:color w:val="000000"/>
        </w:rPr>
        <w:t xml:space="preserve">a company’s lifetime reported revenues and cash flow must be equal and accruals must be zero. This principle also applies to a company’s expenses. Accruals also arise when expenses are recognized but that have not yet been paid for. </w:t>
      </w:r>
    </w:p>
    <w:p w:rsidR="00DC7B1E" w:rsidRDefault="00DC7B1E" w:rsidP="00A94509">
      <w:pPr>
        <w:spacing w:line="360" w:lineRule="auto"/>
        <w:contextualSpacing/>
        <w:jc w:val="both"/>
        <w:rPr>
          <w:rFonts w:ascii="Times New Roman" w:hAnsi="Times New Roman"/>
        </w:rPr>
      </w:pPr>
      <w:r w:rsidRPr="00832004">
        <w:rPr>
          <w:rFonts w:ascii="Times New Roman" w:hAnsi="Times New Roman"/>
          <w:color w:val="000000"/>
        </w:rPr>
        <w:t>Accruals can be determined by taking the difference between earnings and operating cash flows. The result of this represents a company’s total accruals. Total</w:t>
      </w:r>
      <w:r w:rsidRPr="00832004">
        <w:rPr>
          <w:rFonts w:ascii="Times New Roman" w:hAnsi="Times New Roman"/>
        </w:rPr>
        <w:t xml:space="preserve"> accruals could be separated in discretionary and non-discretionary accruals. Non-discretionary accruals are accruals that arise from transactions made in the current period that are normal for the firm given its performance level </w:t>
      </w:r>
      <w:r w:rsidRPr="00832004">
        <w:rPr>
          <w:rFonts w:ascii="Times New Roman" w:hAnsi="Times New Roman"/>
          <w:color w:val="000000"/>
        </w:rPr>
        <w:t>and business strategy, industry conventions, macro-economic events and other economic factors. On the contrary, discretionary accruals arise from transactions made and accounting treatments chosen in order to manage earnings (Ronen and Yaari, 2008, 372). For example, a truck that should deliver goods on 31</w:t>
      </w:r>
      <w:r w:rsidRPr="00FD2159">
        <w:rPr>
          <w:rFonts w:ascii="Times New Roman" w:hAnsi="Times New Roman"/>
          <w:color w:val="000000"/>
          <w:vertAlign w:val="superscript"/>
        </w:rPr>
        <w:t>th</w:t>
      </w:r>
      <w:r w:rsidRPr="00832004">
        <w:rPr>
          <w:rFonts w:ascii="Times New Roman" w:hAnsi="Times New Roman"/>
          <w:color w:val="000000"/>
        </w:rPr>
        <w:t xml:space="preserve"> December but because of weather circumstances the truck did not depart from the warehouse. To manage earnings upwards, the company recognizes it as revenues although this is not allowed according to accrual accounting. This is an example of discretionary accrual where the time recognition of revenues is managed. Thus</w:t>
      </w:r>
      <w:r w:rsidRPr="00832004">
        <w:rPr>
          <w:rFonts w:ascii="Times New Roman" w:hAnsi="Times New Roman"/>
        </w:rPr>
        <w:t xml:space="preserve"> in short, non-discretionary accruals are unmanaged accruals while discretionary accruals represent managed accruals. In this study, discretionary accruals will be used as measure to detect earnings management. </w:t>
      </w:r>
    </w:p>
    <w:p w:rsidR="00DC7B1E" w:rsidRPr="00834482" w:rsidRDefault="00DC7B1E" w:rsidP="00834482">
      <w:pPr>
        <w:pStyle w:val="Heading2"/>
        <w:spacing w:before="60" w:line="360" w:lineRule="auto"/>
        <w:contextualSpacing/>
        <w:rPr>
          <w:i w:val="0"/>
          <w:sz w:val="24"/>
          <w:szCs w:val="24"/>
        </w:rPr>
      </w:pPr>
      <w:bookmarkStart w:id="35" w:name="_Toc224624722"/>
      <w:bookmarkStart w:id="36" w:name="_Toc234567977"/>
      <w:r w:rsidRPr="00834482">
        <w:rPr>
          <w:i w:val="0"/>
          <w:sz w:val="24"/>
          <w:szCs w:val="24"/>
        </w:rPr>
        <w:t>2.4</w:t>
      </w:r>
      <w:r w:rsidRPr="00834482">
        <w:rPr>
          <w:i w:val="0"/>
          <w:sz w:val="24"/>
          <w:szCs w:val="24"/>
        </w:rPr>
        <w:tab/>
        <w:t>Stock options and earnings management</w:t>
      </w:r>
      <w:bookmarkEnd w:id="35"/>
      <w:bookmarkEnd w:id="36"/>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In the literature many studies have been conducted concerning the association between stock options granted to executives and earnings management. Many of those studies indicate that executive stock options induce managers to engage in earnings management. For instance, Gao and Shrieves (2002) </w:t>
      </w:r>
      <w:r>
        <w:rPr>
          <w:rFonts w:ascii="Times New Roman" w:hAnsi="Times New Roman"/>
        </w:rPr>
        <w:t>that</w:t>
      </w:r>
      <w:r w:rsidRPr="00832004">
        <w:rPr>
          <w:rFonts w:ascii="Times New Roman" w:hAnsi="Times New Roman"/>
        </w:rPr>
        <w:t xml:space="preserve"> examine the components of executive compensation in relation with the level of earnings management, find that the amount of stock options are indeed positively associated with the level of earnings management, measured by the absolute value of current discretionary accruals scaled by lagged assets</w:t>
      </w:r>
      <w:r w:rsidRPr="00832004">
        <w:rPr>
          <w:rStyle w:val="FootnoteReference"/>
          <w:rFonts w:ascii="Times New Roman" w:hAnsi="Times New Roman"/>
        </w:rPr>
        <w:footnoteReference w:id="4"/>
      </w:r>
      <w:r w:rsidRPr="00832004">
        <w:rPr>
          <w:rFonts w:ascii="Times New Roman" w:hAnsi="Times New Roman"/>
        </w:rPr>
        <w:t xml:space="preserve">. Other studies show that executives whose compensation includes stock options have several methods to maximize their option pay out. Recall that executive stock options are call options. The most favorable situation is when the exercise price is set at as low as possible at the grant date and the stock price is as high as possible at the date of exercise. By exercising stock options executives obtain their firm’s shares. Executives have the option to hold those shares for a longer period or sell them immediately to convert it into cash. However, based on a US sample during the 1999s Ofek and Yermack (2000) found evidence that the executives sell nearly the total of shares obtained once they exercise options. This paragraph will discuss the methods executives apply to manipulate reported earnings in order to maximize their pay out.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Balsam et al. (2003) examine earnings management prior to stock option grants from 1995 to 2001. Since the gain of executive stock options is the difference between the exercise price on the option award date and the stock price at the exercise date times the number of stock options, executives have incentives to depress the stock prices temporarily prior option awards in order to maximize their option pay out. Therefore, Balsam et al. (2003) expect that executives engage in earnings management in order to decrease their firm’s stock price temporarily prior to stock option grants. In their research they use discretionary accruals as a measure for earnings management. Thus more specifically, Balsam et al. (2003) investigate whether firms will use income decreasing accruals prior to stock option grants. Using the cross-sectional version of the Jones (1995) model as in DeFond and Jiambalvo (1994), they find that a negative association between discretionary accruals and subsequent. This supports their prediction that executives use earnings management to reduce stock prices before stock option grants.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Baker et al. (2003) investigate the association between executive stock options and earnings management, measured by discretionary accruals, in advance of option grants as well. Although Baker et al. (2003) use a different sample and model to test this relation their findings are consistent with Balsam et al. (2003). In contrast with Balsam et al. (2003), they develop two hypotheses to investigate whether discretionary accruals are used prior to option grants. Firstly, they hypothesize that discretionary </w:t>
      </w:r>
      <w:r w:rsidRPr="00832004">
        <w:rPr>
          <w:rFonts w:ascii="Times New Roman" w:hAnsi="Times New Roman"/>
          <w:iCs/>
        </w:rPr>
        <w:t>accruals will be negatively related to the magnitude of stock option compensation relative to other forms of pay. And secondly, they hypothesize that the negative effect of relative stock option compensation on discretionary accruals will be stronger when firms issue public announcements prior to stock option award dates.</w:t>
      </w:r>
      <w:r w:rsidRPr="00832004">
        <w:rPr>
          <w:rFonts w:ascii="Times New Roman" w:hAnsi="Times New Roman"/>
        </w:rPr>
        <w:t xml:space="preserve"> </w:t>
      </w:r>
      <w:r w:rsidRPr="00832004">
        <w:rPr>
          <w:rFonts w:ascii="Times New Roman" w:hAnsi="Times New Roman"/>
          <w:iCs/>
        </w:rPr>
        <w:t xml:space="preserve">To test these hypotheses, they develop a model where discretionary accruals is a function of the relative stock option compensation and control variables for </w:t>
      </w:r>
      <w:r w:rsidRPr="00832004">
        <w:rPr>
          <w:rFonts w:ascii="Times New Roman" w:hAnsi="Times New Roman"/>
        </w:rPr>
        <w:t xml:space="preserve">smoothing pressure, debt constraints, firm size, CEO’s stock ownership level and compensation structure, and whether the executive is serving his/her first year as CEO. </w:t>
      </w:r>
      <w:r w:rsidRPr="00832004">
        <w:rPr>
          <w:rFonts w:ascii="Times New Roman" w:hAnsi="Times New Roman"/>
          <w:iCs/>
        </w:rPr>
        <w:t xml:space="preserve">Hereby, the relative stock option compensation relative to other forms of pay is measured as stock option compensation </w:t>
      </w:r>
      <w:r w:rsidRPr="00832004">
        <w:rPr>
          <w:rFonts w:ascii="Times New Roman" w:hAnsi="Times New Roman"/>
        </w:rPr>
        <w:t xml:space="preserve">scaled by salary, bonus and stock option exercises. Using </w:t>
      </w:r>
      <w:r w:rsidRPr="00832004">
        <w:rPr>
          <w:rFonts w:ascii="Times New Roman" w:hAnsi="Times New Roman"/>
          <w:iCs/>
        </w:rPr>
        <w:t xml:space="preserve">the cross-sectional version of the modified Jones (1995) model based on a sample of 168 firms in the period of 1992 to 1998, Baker et al. (2003) find that </w:t>
      </w:r>
      <w:r w:rsidRPr="00832004">
        <w:rPr>
          <w:rFonts w:ascii="Times New Roman" w:hAnsi="Times New Roman"/>
        </w:rPr>
        <w:t xml:space="preserve">that managers who received large option awards relative to other forms of pay indeed make use of income decreasing accruals with the purpose of decreasing the exercise price. Moreover, Baker et al. (2003) also provide evidence that this association is stronger when managers are able to publicly announce earnings prior to the option award date.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Yermack (1997) and Aboody and Kasznik (2000) did researches that focuses especially on earnings announcements and stock prices around stock option grants. Instead of measuring discretionary accruals in the relation between executive stock option grants and managers’ opportunistic behavior, they examine these two factors. Hereby, they do not examine the direct link with earnings management but it does give indications of opportunistic behavior of executives.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Yermack (1997) investigate whether CEOs influence the terms of their own compensation by timing the CEO stock option awards. Since the exercise price equals the stock price at the option award date, he believes that opportunistic timing of stock option awards around news announcements could benefit the CEOs with lower exercise prices. Therefore, he expects that CEOs receive stock option grants shortly in advance of favorable news that drive up their company’s stock prices. Based on a sample of 620 stock option awards to CEOs of US companies between 1992 and 1994, he finds that the timing of option awards coincides with favorable movements in company stock prices. Abnormal stock returns turn to be more favorable in the period after the option awards than before. This pattern could be explained by the news announcement strategy CEOs employ. Consistent with the stock returns, earnings announcements after stock option awards are more favorable than those in advance of stock option awards. In addition, large positive earnings surprises are more likely to occur than large negative earnings surprises when earnings are announced after CEOs receive stock options, while the opposite occurs when announcements are made in advance of stock option awards. Accordingly, the evidence is consistent with the prediction that CEOs opportunistically time their option awards around news announcements in order to maximize their option value.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Aboody and Kasnik (2000) investigate whether CEOs manage the timing of their voluntary disclosures around scheduled stock option awards. This is in contrast with Yermack that analyzes options without a scheduled option award. Since CEOs have incentives to depress stock prices in advance of option awards, Aboody and Kasznik predict that CEOs manage investor’s expectations around option award dates by delaying good news and rushing forward bad news. Using a sample of 2039 CEO option awards by 572 US firms with fixed award schedules, they analyze earnings forecasts</w:t>
      </w:r>
      <w:r w:rsidRPr="00832004">
        <w:rPr>
          <w:rStyle w:val="FootnoteReference"/>
          <w:rFonts w:ascii="Times New Roman" w:hAnsi="Times New Roman"/>
        </w:rPr>
        <w:footnoteReference w:id="5"/>
      </w:r>
      <w:r w:rsidRPr="00832004">
        <w:rPr>
          <w:rFonts w:ascii="Times New Roman" w:hAnsi="Times New Roman"/>
        </w:rPr>
        <w:t xml:space="preserve"> and stock prices around the option award dates. Consistent with their prediction, they find evidence that CEOs manage investors’ expectations downward prior to scheduled awards. Forecasts during the three months prior to scheduled awards are significantly less optimistically than forecasts issued for the same firms during other months. Additionally, they find a significant difference in the share price movement between 30 trading days before and after the option award date. Before the award dates they observed insignificant negative abnormal returns and significant positive abnormal returns after the award dates. These findings support the expectations that CEOs opportunistically manage information disclosures by delaying good news and rushing forward bad news in order to depress the stock prices before the option award dates. These findings apply to options with a fixed award schedule. To complement the analysis, Aboody and Kasznik also compare the results with options with a variable award schedule. However, in contrast with the results of options with a fixed award schedule but consistent with Yermack’s findings, they find evidence for opportunistic timing of awards around news announcements for firm with variable awards schedule.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A more recent study by McAnally, Srivastava and Weaver (2008) is the first study that examines whether stock option grants to executives explain missed earnings targets, including reported losses, earnings declines, and missed analysts’ forecasts. While prior studies determine that firms meet or beat earnings targets on purpose, this is the first study that investigate whether firms intentionally miss earnings targets. Because managers believe that missing earnings will deflate stock prices (Graham et al., 2006, cited in McAnally et al., 2008), they expect that stock option grants provide executives with strong incentives to seek for missing earnings targets to obtain a lower exercise price at their option grant. To investigate this they use quarterly and annual data from 1992 to 2005 for fixed date options granted after firms announce they have missed earnings targets.</w:t>
      </w:r>
      <w:r w:rsidRPr="00832004">
        <w:rPr>
          <w:rStyle w:val="FootnoteReference"/>
          <w:rFonts w:ascii="Times New Roman" w:hAnsi="Times New Roman"/>
        </w:rPr>
        <w:footnoteReference w:id="6"/>
      </w:r>
      <w:r w:rsidRPr="00832004">
        <w:rPr>
          <w:rFonts w:ascii="Times New Roman" w:hAnsi="Times New Roman"/>
        </w:rPr>
        <w:t xml:space="preserve"> They find firms that miss earnings targets have larger and more valuable subsequent option grants. Moreover, they find that large fixed date stock option grants increase the likelihood that CEOs manage earnings downward and miss earnings targets.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 xml:space="preserve">Cheng and Warfield (2005) examine the relation between manager’s equity incentives, arising from stock-based compensation and stock ownership, and earnings management. They hypothesize that managers with high equity incentives are more likely to sell shares in the future and this provide managers with incentives to engage in earnings management to increase the value of the shares sold. In their research they focus on the following equity incentives elements: option grants in the current period, unexercisable options (excluding option grants in the current period), exercisable options, restricted stock options and stock ownership. In contrast with other studies, Cheng and Warfield use as a proxy for earnings management meeting or just beating analysts’ forecasts instead of discretionary accruals. Using stock based compensation and stock ownership data from 1993 to 2000 of US firms they find results that support their expectations. High equity incentives are significant positive correlated with future trading, measured by net sales. This suggests that managers with high equity incentives are more likely to sell their shares in the future. They even find a significant association of equity incentives of managers with net sales in the year after earnings announcements. Additionally, they find that mangers that have high equity incentives report significantly more earnings that just meet or beat analysts’ forecasts. Moreover, managers that consistently have high equity incentives are less likely to report large positive earnings surprises. Cheng and Warfield interpret this as an explanation for income smoothing by reserving earnings in years with good performance. In this way managers could increase earnings in the future if needed and avoid negative earnings surprises.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Furthermore, Bergstresser and Philippon (2006) provide evidence that those firms, whose CEOs potential compensation is more closely linked to the value of stock and option holdings, are associated with a higher level of earnings management. Those firms make more use of discretionary accruals to manipulate reported earnings. In addition, they provide evidence that CEOs exercise abnormally large number of options in years wherein high accruals are observed. Those high accruals years are also accompanied by large insider sales of shares. Moreover, they find that those periods with high accruals are followed by low reported earnings and stock returns. This is also found by Bartov and Mohanram (2004) that investigate the decision by top-level executives of more than 1200 US public corporations to exercise a large number of stock option awards in the period 1992 to 2001. They find evidence of reversals in stock return, earnings performance and discretionary accruals around the year in which top-level executives exercise abnormally large number of stock options. Specifically, they find that the stock price changes and discretionary accruals are abnormally high in the period before top-level executives exercise abnormally large </w:t>
      </w:r>
      <w:r>
        <w:rPr>
          <w:rFonts w:ascii="Times New Roman" w:hAnsi="Times New Roman"/>
        </w:rPr>
        <w:t xml:space="preserve">number of </w:t>
      </w:r>
      <w:r w:rsidRPr="00832004">
        <w:rPr>
          <w:rFonts w:ascii="Times New Roman" w:hAnsi="Times New Roman"/>
        </w:rPr>
        <w:t xml:space="preserve">stock options while in the post-exercise period the stock price changes and discretionary accruals are abnormally negative. Besides, abnormally positive earnings performance in the pre-exercise period turns to be abnormally negative after the option exercise. Bartov and Mohanram interpret the evidence of the reversal of stock price changes and earnings performance around the year of abnormally exercises as an indication that top-level executives use private information about future earnings to time abnormally large exercises. Collectively, the findings indicate that top-level executives time stock option exercises by using private information to boost up the stock prices in the pre-exercise period in order to maximize their cash payout of exercises. </w:t>
      </w: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p>
    <w:p w:rsidR="00DC7B1E" w:rsidRPr="00832004" w:rsidRDefault="00DC7B1E" w:rsidP="00A94509">
      <w:pPr>
        <w:autoSpaceDE w:val="0"/>
        <w:autoSpaceDN w:val="0"/>
        <w:adjustRightInd w:val="0"/>
        <w:spacing w:after="0" w:line="360" w:lineRule="auto"/>
        <w:contextualSpacing/>
        <w:jc w:val="both"/>
        <w:rPr>
          <w:rFonts w:ascii="Times New Roman" w:hAnsi="Times New Roman"/>
        </w:rPr>
      </w:pPr>
      <w:r w:rsidRPr="00832004">
        <w:rPr>
          <w:rFonts w:ascii="Times New Roman" w:hAnsi="Times New Roman"/>
        </w:rPr>
        <w:t>The previous studies with different measures showed that evidences exist for the opportunistic behavior of executives, expressing in depressing stock prices before option grants and inflating stock prices before option exercises. Another timing moment is the period around the vesting of executive stock options, which is referred as the moment when executive stock options become exercisable. The following study by Kuang (2007) examines the effect of performance vested stock options (PVSOs) on the extent that managers engage in earnings management. Since PVSOs only vest if executives reach predetermined targets, she asserts that PVSOs create incentives for executives to manage earnings in order to achieve those targets. Using compensation data of 244 UK</w:t>
      </w:r>
      <w:r>
        <w:rPr>
          <w:rFonts w:ascii="Times New Roman" w:hAnsi="Times New Roman"/>
        </w:rPr>
        <w:t xml:space="preserve"> </w:t>
      </w:r>
      <w:r w:rsidRPr="00832004">
        <w:rPr>
          <w:rFonts w:ascii="Times New Roman" w:hAnsi="Times New Roman"/>
        </w:rPr>
        <w:t xml:space="preserve">firms from 1997 to 2004, she provides evidence that PVSOs are positively related with the level of earnings management, which is measured by abnormal accruals, book-tax income difference and deferred tax income. In addition, by analyzing the return earnings she finds that the presence of PVSOs is associated with less informative reported earnings, indicating the opportunistic behavior of managers. All those results indicate that managers engage more in earnings management when they hold a larger portion of their compensation in PVSOs. Moreover, the results show that managers who possess a larger portion of PVSOs are more likely to manage earnings upward.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Also Kadan and Yang (2006) examine the level of earnings management in vesting years. They investigate the effect of the grants of executive stock options and restricted stock on earnings management and insider trading during the vesting years of these grants. They hypothesize that the moneyness of the options in the vesting year, the number of option grants and the cumulative stock return between the grant date and the vesting date are positively correlated with earnings management and insider trading in the vesting years. Using an US sample in the period 1993 to 2004 and discretionary accruals as proxy for earnings management, they find that earnings management and insider trading are more positive in the vesting year if the executives’ options are more deeply in the money. Consistent with this result, earnings management and insider trading is positively associated with the cumulative stock returns in the period between the grant year and the vesting year. This suggests that earnings management and insider sales especially occur if stock prices are high in the vesting year of the options. The last determinant, the number of option grant, is also positively but weaker correlated with earnings management and insider trading. The overall results suggest that executives drive up stock prices by managing earnings upward in vesting years. According to me, this can be interpreted as a tool for achieving the predetermined performance targets, if present, to avoid options will lapse and/or to exercise options since they become exercisable. </w:t>
      </w:r>
    </w:p>
    <w:p w:rsidR="00DC7B1E" w:rsidRDefault="00DC7B1E" w:rsidP="00A94509">
      <w:pPr>
        <w:autoSpaceDE w:val="0"/>
        <w:autoSpaceDN w:val="0"/>
        <w:adjustRightInd w:val="0"/>
        <w:spacing w:after="0" w:line="360" w:lineRule="auto"/>
        <w:contextualSpacing/>
        <w:jc w:val="both"/>
        <w:rPr>
          <w:rFonts w:ascii="Times New Roman" w:hAnsi="Times New Roman"/>
          <w:i/>
        </w:rPr>
      </w:pPr>
    </w:p>
    <w:p w:rsidR="00DC7B1E" w:rsidRPr="00236C8C" w:rsidRDefault="00DC7B1E" w:rsidP="00236C8C">
      <w:pPr>
        <w:pStyle w:val="Heading1"/>
        <w:spacing w:before="60" w:line="360" w:lineRule="auto"/>
        <w:contextualSpacing/>
        <w:rPr>
          <w:color w:val="2A62A6"/>
        </w:rPr>
      </w:pPr>
      <w:bookmarkStart w:id="37" w:name="_Toc234567978"/>
      <w:bookmarkStart w:id="38" w:name="_Toc224624723"/>
      <w:r w:rsidRPr="00236C8C">
        <w:rPr>
          <w:color w:val="2A62A6"/>
        </w:rPr>
        <w:t>3</w:t>
      </w:r>
      <w:r w:rsidRPr="00236C8C">
        <w:rPr>
          <w:color w:val="2A62A6"/>
        </w:rPr>
        <w:tab/>
        <w:t>Hypothesis development</w:t>
      </w:r>
      <w:bookmarkEnd w:id="37"/>
    </w:p>
    <w:p w:rsidR="00DC7B1E" w:rsidRDefault="00DC7B1E" w:rsidP="00832004">
      <w:pPr>
        <w:spacing w:line="360" w:lineRule="auto"/>
        <w:contextualSpacing/>
        <w:rPr>
          <w:rFonts w:ascii="Times New Roman" w:hAnsi="Times New Roman"/>
        </w:rPr>
      </w:pPr>
      <w:r>
        <w:rPr>
          <w:noProof/>
        </w:rPr>
        <w:pict>
          <v:shape id="_x0000_s1033" type="#_x0000_t32" style="position:absolute;margin-left:1.25pt;margin-top:11.5pt;width:452.05pt;height:0;z-index:251659776" o:connectortype="straight"/>
        </w:pict>
      </w: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As in the previous chapter appears, much evidences exist for the association between executive stock options and earnings management. Despite of this, there are still areas left to investigate within the field of this subject. Based on the existing literature concerning this association, I will develop and test several hypotheses that contribute to the existing literature. </w:t>
      </w:r>
    </w:p>
    <w:p w:rsidR="00DC7B1E" w:rsidRPr="00832004" w:rsidRDefault="00DC7B1E" w:rsidP="00832004">
      <w:pPr>
        <w:spacing w:line="360" w:lineRule="auto"/>
        <w:contextualSpacing/>
        <w:jc w:val="both"/>
        <w:rPr>
          <w:rFonts w:ascii="Times New Roman" w:hAnsi="Times New Roman"/>
        </w:rPr>
      </w:pPr>
    </w:p>
    <w:p w:rsidR="00DC7B1E" w:rsidRDefault="00DC7B1E" w:rsidP="00832004">
      <w:pPr>
        <w:spacing w:line="360" w:lineRule="auto"/>
        <w:contextualSpacing/>
        <w:jc w:val="both"/>
        <w:rPr>
          <w:rFonts w:ascii="Times New Roman" w:hAnsi="Times New Roman"/>
        </w:rPr>
      </w:pPr>
      <w:r w:rsidRPr="00832004">
        <w:rPr>
          <w:rFonts w:ascii="Times New Roman" w:hAnsi="Times New Roman"/>
        </w:rPr>
        <w:t xml:space="preserve">Most studies concerning the relation between executive stock options and earnings management as described in paragraph 2.4, focus on the CEO compensation only. However, the CEO is not the only executive of a firm. Firms consist of more executives and similar to the CEO, those executives are often granted stock options too.  </w:t>
      </w:r>
      <w:r>
        <w:rPr>
          <w:rFonts w:ascii="Times New Roman" w:hAnsi="Times New Roman"/>
        </w:rPr>
        <w:t>For instance, s</w:t>
      </w:r>
      <w:r w:rsidRPr="00832004">
        <w:rPr>
          <w:rFonts w:ascii="Times New Roman" w:hAnsi="Times New Roman"/>
        </w:rPr>
        <w:t>ome firms consist of five executives and the CEO’s option package is just a fraction of the whole option package of the five executives. By excluding th</w:t>
      </w:r>
      <w:r>
        <w:rPr>
          <w:rFonts w:ascii="Times New Roman" w:hAnsi="Times New Roman"/>
        </w:rPr>
        <w:t>e</w:t>
      </w:r>
      <w:r w:rsidRPr="00832004">
        <w:rPr>
          <w:rFonts w:ascii="Times New Roman" w:hAnsi="Times New Roman"/>
        </w:rPr>
        <w:t xml:space="preserve"> executives other than the CEO in the studies, researchers implicitly assume that </w:t>
      </w:r>
      <w:r>
        <w:rPr>
          <w:rFonts w:ascii="Times New Roman" w:hAnsi="Times New Roman"/>
        </w:rPr>
        <w:t xml:space="preserve">only </w:t>
      </w:r>
      <w:r w:rsidRPr="00832004">
        <w:rPr>
          <w:rFonts w:ascii="Times New Roman" w:hAnsi="Times New Roman"/>
        </w:rPr>
        <w:t xml:space="preserve">the CEO </w:t>
      </w:r>
      <w:r>
        <w:rPr>
          <w:rFonts w:ascii="Times New Roman" w:hAnsi="Times New Roman"/>
        </w:rPr>
        <w:t xml:space="preserve">has the ability and incentives to manage earnings. </w:t>
      </w:r>
      <w:r w:rsidRPr="00832004">
        <w:rPr>
          <w:rFonts w:ascii="Times New Roman" w:hAnsi="Times New Roman"/>
        </w:rPr>
        <w:t>Therefore, they could miss important information.</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Each of those executives has different responsibilities and therefore different powers within a company. The CEO ranked the highest position of a firm and has the overall responsibility of the actions and performance of the firm. In addition, the CEO has the final say in the company and in this position the CEO has the ability to manage earnings. The second most important role in a company is practiced by the CFO who has the financial oversight of the company. The CFO is responsible for the financial reporting and managing the financial risks. According to Zorn (2004), the CFO holds even the responsibility </w:t>
      </w:r>
      <w:r>
        <w:rPr>
          <w:rFonts w:ascii="Times New Roman" w:hAnsi="Times New Roman"/>
        </w:rPr>
        <w:t>“</w:t>
      </w:r>
      <w:r w:rsidRPr="00832004">
        <w:rPr>
          <w:rFonts w:ascii="Times New Roman" w:hAnsi="Times New Roman"/>
        </w:rPr>
        <w:t>to manage relationship with shareholders, market expectations and the firm’s stock prices</w:t>
      </w:r>
      <w:r>
        <w:rPr>
          <w:rFonts w:ascii="Times New Roman" w:hAnsi="Times New Roman"/>
        </w:rPr>
        <w:t>”</w:t>
      </w:r>
      <w:r w:rsidRPr="00832004">
        <w:rPr>
          <w:rFonts w:ascii="Times New Roman" w:hAnsi="Times New Roman"/>
        </w:rPr>
        <w:t xml:space="preserve"> (cited in Alvarez and Svejenova, 2005, 95). Although the CFO’s actions are monitored by </w:t>
      </w:r>
      <w:r>
        <w:rPr>
          <w:rFonts w:ascii="Times New Roman" w:hAnsi="Times New Roman"/>
        </w:rPr>
        <w:t>auditors</w:t>
      </w:r>
      <w:r w:rsidRPr="00832004">
        <w:rPr>
          <w:rFonts w:ascii="Times New Roman" w:hAnsi="Times New Roman"/>
        </w:rPr>
        <w:t xml:space="preserve"> and the board of directors there is still a reason to believe that the CFO could be able to influence his option value because of his specific financial knowledge and financial oversight of the company. For that reason, the possibility even exist that the CFO has more ability to manage earnings although the CEO has the final say in an organization. Hence, </w:t>
      </w:r>
      <w:r>
        <w:rPr>
          <w:rFonts w:ascii="Times New Roman" w:hAnsi="Times New Roman"/>
        </w:rPr>
        <w:t>it is important not to exclude the CFO from the analysis since</w:t>
      </w:r>
      <w:r w:rsidRPr="00832004">
        <w:rPr>
          <w:rFonts w:ascii="Times New Roman" w:hAnsi="Times New Roman"/>
        </w:rPr>
        <w:t xml:space="preserve"> CFOs are usually granted stock options too. </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The CEO and CFO as executives are present in each company. Some companies also include other executives such CEOs of a division in a different country, Chief Operation Officer (COO; responsible for the daily internal operations of a company), Chief Marketing Officer (CMO) and Chief Technical Officer (CTO) and so on, and also award them with executive stock options. Since each executive has different specific knowledge of the company, the likelihood exist</w:t>
      </w:r>
      <w:r>
        <w:rPr>
          <w:rFonts w:ascii="Times New Roman" w:hAnsi="Times New Roman"/>
        </w:rPr>
        <w:t>s</w:t>
      </w:r>
      <w:r w:rsidRPr="00832004">
        <w:rPr>
          <w:rFonts w:ascii="Times New Roman" w:hAnsi="Times New Roman"/>
        </w:rPr>
        <w:t xml:space="preserve"> that each of them has different abilities to manage earnings although I expect the abilit</w:t>
      </w:r>
      <w:r>
        <w:rPr>
          <w:rFonts w:ascii="Times New Roman" w:hAnsi="Times New Roman"/>
        </w:rPr>
        <w:t>ies</w:t>
      </w:r>
      <w:r w:rsidRPr="00832004">
        <w:rPr>
          <w:rFonts w:ascii="Times New Roman" w:hAnsi="Times New Roman"/>
        </w:rPr>
        <w:t xml:space="preserve"> of the last mentioned executives </w:t>
      </w:r>
      <w:r>
        <w:rPr>
          <w:rFonts w:ascii="Times New Roman" w:hAnsi="Times New Roman"/>
        </w:rPr>
        <w:t>are</w:t>
      </w:r>
      <w:r w:rsidRPr="00832004">
        <w:rPr>
          <w:rFonts w:ascii="Times New Roman" w:hAnsi="Times New Roman"/>
        </w:rPr>
        <w:t xml:space="preserve"> relative less than th</w:t>
      </w:r>
      <w:r>
        <w:rPr>
          <w:rFonts w:ascii="Times New Roman" w:hAnsi="Times New Roman"/>
        </w:rPr>
        <w:t>ose</w:t>
      </w:r>
      <w:r w:rsidRPr="00832004">
        <w:rPr>
          <w:rFonts w:ascii="Times New Roman" w:hAnsi="Times New Roman"/>
        </w:rPr>
        <w:t xml:space="preserve"> of the CEO and CFO, except for CEOs of a division in a different country. Despite of this, it is still valuable to include those executives in the analysis since their executive compensation often consists of executive stock options too. By including those executives makes it possible to explore whether and to what extent those executives are also able to manage earnings. Therefore, I will base this study on all executives of a firm instead of focusing on the CEO only.</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In prior research concerning the relation between executive stock options and earnings management, it appears that much evidence support the association between earnings management and option exercises by executives. By opportunistically managing earnings upwards, executives strive to maximize their option payout. Because most studies focus on the CEO only, I will explore this relationship with making distinction in the function(s) of the exercising executive(s). Therefore, I developed the following hypothesis.</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i/>
        </w:rPr>
      </w:pPr>
      <w:r w:rsidRPr="00832004">
        <w:rPr>
          <w:rFonts w:ascii="Times New Roman" w:hAnsi="Times New Roman"/>
          <w:i/>
        </w:rPr>
        <w:t xml:space="preserve">H1: Earnings management is associated with the function(s) of the exercising executive(s).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Since all executives of a firm will be included in the analysis, the number of executives that exercise option increases </w:t>
      </w:r>
      <w:r>
        <w:rPr>
          <w:rFonts w:ascii="Times New Roman" w:hAnsi="Times New Roman"/>
        </w:rPr>
        <w:t xml:space="preserve">and therefore </w:t>
      </w:r>
      <w:r w:rsidRPr="00832004">
        <w:rPr>
          <w:rFonts w:ascii="Times New Roman" w:hAnsi="Times New Roman"/>
        </w:rPr>
        <w:t xml:space="preserve">also the number of exercised options. Bergstresser and Philippon showed that high accruals are observed in years wherein CEOs exercise abnormally large number of options. As executives intend to exercise options, they have incentives to inflate earnings and share prices in order to maximize their option payout. Therefore, it is expected that discretionary accruals will be more positive for firms whose executives exercise a large number of executive stock options. In contrast with other studies that only examine the </w:t>
      </w:r>
      <w:r>
        <w:rPr>
          <w:rFonts w:ascii="Times New Roman" w:hAnsi="Times New Roman"/>
        </w:rPr>
        <w:t>option exercises</w:t>
      </w:r>
      <w:r w:rsidRPr="00832004">
        <w:rPr>
          <w:rFonts w:ascii="Times New Roman" w:hAnsi="Times New Roman"/>
        </w:rPr>
        <w:t xml:space="preserve"> by only the CEO, I will use the aggregate number of stock options exercised by all executives of a firm.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i/>
        </w:rPr>
      </w:pPr>
      <w:r w:rsidRPr="00832004">
        <w:rPr>
          <w:rFonts w:ascii="Times New Roman" w:hAnsi="Times New Roman"/>
          <w:i/>
        </w:rPr>
        <w:t xml:space="preserve">H2: Earnings management is positively correlated with the number of options exercised by all executives during the year.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Although the number of exercised options is often used by researchers to investigate the relationship between this variable and earnings management, the number of options exercised does not represent the value of the options exercised precisely. Although it is realistic that the gain from exercise is accompanied with the number of options exercised, the number of options that are exercised by executives does not mean that the amount that executives cashed from the option exercise is high. Therefore, it is also interesting to explore whether a correlation exist between the gain from exercise and earnings management. The incentive of executives is to maximize their option payout and the more executives are able to inflate share prices by engaging in earnings management, the higher the gain they will generate. Therefore, I expect that a positive relationship between earnings management and the gain of the option exercises by executives.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i/>
        </w:rPr>
      </w:pPr>
      <w:r w:rsidRPr="00832004">
        <w:rPr>
          <w:rFonts w:ascii="Times New Roman" w:hAnsi="Times New Roman"/>
          <w:i/>
        </w:rPr>
        <w:t>H3: Earnings management is positively correlated with the aggregate gain resulting from the option exercises by all executives during the year.</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As in prior research appear, another favorite period in which executives engage in earnings management is the period before the vesting of executive stock options. This is explained by the fact that the vesting of executive stock options depends on whether executives reach the attached performance criteria. To ensure that their options become exercisable, incentives are present to engage in earnings management. As those performance criteria often involve EPS and/or TSR growth, executives have incentives to manipulate earnings upwards and/or inflate stock prices. However, the incentives to do so must be strong enough. One of the driving factor that is supported by K</w:t>
      </w:r>
      <w:r>
        <w:rPr>
          <w:rFonts w:ascii="Times New Roman" w:hAnsi="Times New Roman"/>
        </w:rPr>
        <w:t>u</w:t>
      </w:r>
      <w:r w:rsidRPr="00832004">
        <w:rPr>
          <w:rFonts w:ascii="Times New Roman" w:hAnsi="Times New Roman"/>
        </w:rPr>
        <w:t>ang (2007) is the portion of stock options that become exercisable during the vesting year. As a large portion of the executive stock options will vest, executives have incentives to manipulate earnings upwards to guarantee their stock options becoming exercisable. In the opposite, if only a small portion of their stock options will vest, it is expected that executives put less energy to manipulate earnings. Based on this, the following hypothesis is developed.</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i/>
        </w:rPr>
      </w:pPr>
      <w:r w:rsidRPr="00832004">
        <w:rPr>
          <w:rFonts w:ascii="Times New Roman" w:hAnsi="Times New Roman"/>
          <w:i/>
        </w:rPr>
        <w:t xml:space="preserve">H4: Earnings management in vesting years is positively related with the number of executive stock options that become exercisable (vest) relative to the total number of executive stock options that executives hold at the beginning of the vesting year. </w:t>
      </w:r>
    </w:p>
    <w:p w:rsidR="00DC7B1E" w:rsidRPr="00832004" w:rsidRDefault="00DC7B1E" w:rsidP="00832004">
      <w:pPr>
        <w:spacing w:line="360" w:lineRule="auto"/>
        <w:contextualSpacing/>
        <w:jc w:val="both"/>
        <w:rPr>
          <w:rFonts w:ascii="Times New Roman" w:hAnsi="Times New Roman"/>
          <w:i/>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Another factor that could explain earnings management in vesting years is the moneyness of stock options that become exercisable. If executives hold in-the-money stock options in the vesting year, they have incentives to achieve the predetermined performance criteria at the date of performance measurement to avoid the valuable in-the-money stock options being lapsed. Kadan and Yang (2006) already provided evidence of this association. Therefore, I expect that earnings management in vesting years will be more positive for firms whose executives hold deeply in-the-money stock options.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i/>
        </w:rPr>
      </w:pPr>
      <w:r w:rsidRPr="00832004">
        <w:rPr>
          <w:rFonts w:ascii="Times New Roman" w:hAnsi="Times New Roman"/>
          <w:i/>
        </w:rPr>
        <w:t xml:space="preserve">H5: Earnings management in vesting years is positively associated with the moneyness of the executive stock options. </w:t>
      </w: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p>
    <w:p w:rsidR="00DC7B1E" w:rsidRPr="00421BFC" w:rsidRDefault="00DC7B1E" w:rsidP="00421BFC">
      <w:pPr>
        <w:pStyle w:val="Heading1"/>
        <w:spacing w:before="60" w:line="360" w:lineRule="auto"/>
        <w:contextualSpacing/>
        <w:rPr>
          <w:color w:val="2A62A6"/>
        </w:rPr>
      </w:pPr>
      <w:bookmarkStart w:id="39" w:name="_Toc234567979"/>
      <w:bookmarkEnd w:id="38"/>
      <w:r w:rsidRPr="00421BFC">
        <w:rPr>
          <w:color w:val="2A62A6"/>
        </w:rPr>
        <w:t>4</w:t>
      </w:r>
      <w:r w:rsidRPr="00421BFC">
        <w:rPr>
          <w:color w:val="2A62A6"/>
        </w:rPr>
        <w:tab/>
        <w:t>Methodology</w:t>
      </w:r>
      <w:bookmarkEnd w:id="39"/>
    </w:p>
    <w:p w:rsidR="00DC7B1E" w:rsidRDefault="00DC7B1E" w:rsidP="008625AF">
      <w:pPr>
        <w:autoSpaceDE w:val="0"/>
        <w:autoSpaceDN w:val="0"/>
        <w:adjustRightInd w:val="0"/>
        <w:spacing w:beforeLines="60" w:afterLines="60" w:line="360" w:lineRule="auto"/>
        <w:contextualSpacing/>
        <w:jc w:val="both"/>
        <w:rPr>
          <w:rFonts w:ascii="Arial" w:hAnsi="Arial" w:cs="Arial"/>
        </w:rPr>
      </w:pPr>
      <w:r>
        <w:rPr>
          <w:noProof/>
        </w:rPr>
        <w:pict>
          <v:shape id="_x0000_s1034" type="#_x0000_t32" style="position:absolute;left:0;text-align:left;margin-left:.35pt;margin-top:17.95pt;width:451.8pt;height:0;z-index:251657728" o:connectortype="straight"/>
        </w:pict>
      </w:r>
    </w:p>
    <w:p w:rsidR="00DC7B1E" w:rsidRPr="00AC7CE7" w:rsidRDefault="00DC7B1E" w:rsidP="008625AF">
      <w:pPr>
        <w:autoSpaceDE w:val="0"/>
        <w:autoSpaceDN w:val="0"/>
        <w:adjustRightInd w:val="0"/>
        <w:spacing w:beforeLines="60" w:afterLines="60" w:line="360" w:lineRule="auto"/>
        <w:contextualSpacing/>
        <w:jc w:val="both"/>
        <w:rPr>
          <w:rFonts w:ascii="Arial" w:hAnsi="Arial" w:cs="Arial"/>
        </w:rPr>
      </w:pPr>
    </w:p>
    <w:p w:rsidR="00DC7B1E" w:rsidRPr="00834482" w:rsidRDefault="00DC7B1E" w:rsidP="00834482">
      <w:pPr>
        <w:pStyle w:val="Heading2"/>
        <w:spacing w:before="60" w:line="360" w:lineRule="auto"/>
        <w:contextualSpacing/>
        <w:rPr>
          <w:i w:val="0"/>
          <w:sz w:val="24"/>
          <w:szCs w:val="24"/>
        </w:rPr>
      </w:pPr>
      <w:bookmarkStart w:id="40" w:name="_Toc234567980"/>
      <w:r w:rsidRPr="00834482">
        <w:rPr>
          <w:i w:val="0"/>
          <w:sz w:val="24"/>
          <w:szCs w:val="24"/>
        </w:rPr>
        <w:t>4.1</w:t>
      </w:r>
      <w:r w:rsidRPr="00834482">
        <w:rPr>
          <w:i w:val="0"/>
          <w:sz w:val="24"/>
          <w:szCs w:val="24"/>
        </w:rPr>
        <w:tab/>
        <w:t>Measuring discretionary accruals</w:t>
      </w:r>
      <w:bookmarkEnd w:id="40"/>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A lot of models have been constructed over the years to detect discretionary accruals as proxy for earnings management. A study by Dechow et al. (1995)</w:t>
      </w:r>
      <w:r w:rsidRPr="00832004">
        <w:rPr>
          <w:rStyle w:val="FootnoteReference"/>
          <w:rFonts w:ascii="Times New Roman" w:hAnsi="Times New Roman"/>
        </w:rPr>
        <w:footnoteReference w:id="7"/>
      </w:r>
      <w:r w:rsidRPr="00832004">
        <w:rPr>
          <w:rFonts w:ascii="Times New Roman" w:hAnsi="Times New Roman"/>
        </w:rPr>
        <w:t xml:space="preserve"> evaluated five accrual based models resulting in the conclusion that the Jones (1990) Model and the modified version of the Jones Model (Dechow et al., 1995) are the most powerful method to detect earnings management. Also Peasnell et al. (2000) did a research in the ability of three models to detect earnings management. They conclude that the Jones Model and the modified Jones Model are the most powerful for revenue and bad debt manipulation. Through the years several other models are developed to detect earnings management. In spite of that, the modified Jones Model is still the most used method by scientist in earnings management studies. The fact that the modified Jones Model is more often used than the original Jones Model is due to its improvements to the Jones Model which will be explained further in this paragraph. For that reason and in the interest of the comparability with other studies, especially since I will analyze all executives in contrast with other studies that only examine the CEO compensation I will adopt the modified Jones model in measuring discretionary accruals as indicator for earnings management.</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As in paragraph 2.3.5 noted, discretionary accruals (DA) is the residual of the total accruals (TA) and the non-discretionary accruals (NDA) in the current year whereby the latter represents the normal (unmanaged) accruals. In this way, the part of accruals that results from earnings management activities by executives can be found.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vertAlign w:val="subscript"/>
        </w:rPr>
      </w:pPr>
      <w:r w:rsidRPr="00832004">
        <w:rPr>
          <w:rFonts w:ascii="Times New Roman" w:hAnsi="Times New Roman"/>
        </w:rPr>
        <w:t>DA</w:t>
      </w:r>
      <w:r w:rsidRPr="00832004">
        <w:rPr>
          <w:rFonts w:ascii="Times New Roman" w:hAnsi="Times New Roman"/>
          <w:vertAlign w:val="subscript"/>
        </w:rPr>
        <w:t>τ</w:t>
      </w:r>
      <w:r w:rsidRPr="00832004">
        <w:rPr>
          <w:rFonts w:ascii="Times New Roman" w:hAnsi="Times New Roman"/>
        </w:rPr>
        <w:t xml:space="preserve"> = TA</w:t>
      </w:r>
      <w:r w:rsidRPr="00832004">
        <w:rPr>
          <w:rFonts w:ascii="Times New Roman" w:hAnsi="Times New Roman"/>
          <w:vertAlign w:val="subscript"/>
        </w:rPr>
        <w:t>τ</w:t>
      </w:r>
      <w:r w:rsidRPr="00832004">
        <w:rPr>
          <w:rFonts w:ascii="Times New Roman" w:hAnsi="Times New Roman"/>
        </w:rPr>
        <w:t>– NDA</w:t>
      </w:r>
      <w:r w:rsidRPr="00832004">
        <w:rPr>
          <w:rFonts w:ascii="Times New Roman" w:hAnsi="Times New Roman"/>
          <w:vertAlign w:val="subscript"/>
        </w:rPr>
        <w:t>τ</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Following Dechow et al. (1995) total accruals are calculated as below. The needed variables to determine the discretionary accruals according to the modified Jones Model and their descriptions are presented in Appendix 1.</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ind w:left="1440" w:hanging="1440"/>
        <w:contextualSpacing/>
        <w:jc w:val="both"/>
        <w:rPr>
          <w:rFonts w:ascii="Times New Roman" w:hAnsi="Times New Roman"/>
        </w:rPr>
      </w:pPr>
      <w:r w:rsidRPr="00832004">
        <w:rPr>
          <w:rFonts w:ascii="Times New Roman" w:hAnsi="Times New Roman"/>
        </w:rPr>
        <w:t>TA</w:t>
      </w:r>
      <w:r w:rsidRPr="00832004">
        <w:rPr>
          <w:rFonts w:ascii="Times New Roman" w:hAnsi="Times New Roman"/>
          <w:vertAlign w:val="subscript"/>
        </w:rPr>
        <w:t>τ</w:t>
      </w:r>
      <w:r w:rsidRPr="00832004">
        <w:rPr>
          <w:rFonts w:ascii="Times New Roman" w:hAnsi="Times New Roman"/>
        </w:rPr>
        <w:t xml:space="preserve"> = (ΔCA</w:t>
      </w:r>
      <w:r w:rsidRPr="00832004">
        <w:rPr>
          <w:rFonts w:ascii="Times New Roman" w:hAnsi="Times New Roman"/>
          <w:vertAlign w:val="subscript"/>
        </w:rPr>
        <w:t>τ</w:t>
      </w:r>
      <w:r w:rsidRPr="00832004">
        <w:rPr>
          <w:rFonts w:ascii="Times New Roman" w:hAnsi="Times New Roman"/>
        </w:rPr>
        <w:t xml:space="preserve"> – ΔCL</w:t>
      </w:r>
      <w:r w:rsidRPr="00832004">
        <w:rPr>
          <w:rFonts w:ascii="Times New Roman" w:hAnsi="Times New Roman"/>
          <w:vertAlign w:val="subscript"/>
        </w:rPr>
        <w:t>τ</w:t>
      </w:r>
      <w:r w:rsidRPr="00832004">
        <w:rPr>
          <w:rFonts w:ascii="Times New Roman" w:hAnsi="Times New Roman"/>
        </w:rPr>
        <w:t xml:space="preserve"> – ΔCash</w:t>
      </w:r>
      <w:r w:rsidRPr="00832004">
        <w:rPr>
          <w:rFonts w:ascii="Times New Roman" w:hAnsi="Times New Roman"/>
          <w:vertAlign w:val="subscript"/>
        </w:rPr>
        <w:t>τ</w:t>
      </w:r>
      <w:r w:rsidRPr="00832004">
        <w:rPr>
          <w:rFonts w:ascii="Times New Roman" w:hAnsi="Times New Roman"/>
        </w:rPr>
        <w:t xml:space="preserve"> + ΔSTD</w:t>
      </w:r>
      <w:r w:rsidRPr="00832004">
        <w:rPr>
          <w:rFonts w:ascii="Times New Roman" w:hAnsi="Times New Roman"/>
          <w:vertAlign w:val="subscript"/>
        </w:rPr>
        <w:t>τ</w:t>
      </w:r>
      <w:r w:rsidRPr="00832004">
        <w:rPr>
          <w:rFonts w:ascii="Times New Roman" w:hAnsi="Times New Roman"/>
        </w:rPr>
        <w:t xml:space="preserve"> -Dep</w:t>
      </w:r>
      <w:r w:rsidRPr="00832004">
        <w:rPr>
          <w:rFonts w:ascii="Times New Roman" w:hAnsi="Times New Roman"/>
          <w:vertAlign w:val="subscript"/>
        </w:rPr>
        <w:t>τ</w:t>
      </w:r>
      <w:r w:rsidRPr="00832004">
        <w:rPr>
          <w:rFonts w:ascii="Times New Roman" w:hAnsi="Times New Roman"/>
        </w:rPr>
        <w:t>)/(A</w:t>
      </w:r>
      <w:r w:rsidRPr="00832004">
        <w:rPr>
          <w:rFonts w:ascii="Times New Roman" w:hAnsi="Times New Roman"/>
          <w:vertAlign w:val="subscript"/>
        </w:rPr>
        <w:t>τ-1</w:t>
      </w:r>
      <w:r w:rsidRPr="00832004">
        <w:rPr>
          <w:rFonts w:ascii="Times New Roman" w:hAnsi="Times New Roman"/>
        </w:rPr>
        <w:t>)</w:t>
      </w:r>
    </w:p>
    <w:p w:rsidR="00DC7B1E" w:rsidRPr="00832004" w:rsidRDefault="00DC7B1E" w:rsidP="00A94509">
      <w:pPr>
        <w:spacing w:line="360" w:lineRule="auto"/>
        <w:contextualSpacing/>
        <w:jc w:val="both"/>
        <w:rPr>
          <w:rFonts w:ascii="Times New Roman" w:hAnsi="Times New Roman"/>
        </w:rPr>
      </w:pPr>
    </w:p>
    <w:p w:rsidR="00DC7B1E" w:rsidRDefault="00DC7B1E" w:rsidP="00A94509">
      <w:pPr>
        <w:spacing w:line="360" w:lineRule="auto"/>
        <w:contextualSpacing/>
        <w:jc w:val="both"/>
        <w:rPr>
          <w:rFonts w:ascii="Times New Roman" w:hAnsi="Times New Roman"/>
        </w:rPr>
      </w:pPr>
      <w:r w:rsidRPr="00832004">
        <w:rPr>
          <w:rFonts w:ascii="Times New Roman" w:hAnsi="Times New Roman"/>
        </w:rPr>
        <w:t xml:space="preserve">Where: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TA</w:t>
      </w:r>
      <w:r w:rsidRPr="00832004">
        <w:rPr>
          <w:rFonts w:ascii="Times New Roman" w:hAnsi="Times New Roman"/>
          <w:vertAlign w:val="subscript"/>
        </w:rPr>
        <w:t>τ</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total accruals of firm in year τ</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ΔCA</w:t>
      </w:r>
      <w:r w:rsidRPr="00832004">
        <w:rPr>
          <w:rFonts w:ascii="Times New Roman" w:hAnsi="Times New Roman"/>
          <w:vertAlign w:val="subscript"/>
        </w:rPr>
        <w:t>τ</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change in currents assets in year τ</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ΔCL</w:t>
      </w:r>
      <w:r w:rsidRPr="00832004">
        <w:rPr>
          <w:rFonts w:ascii="Times New Roman" w:hAnsi="Times New Roman"/>
          <w:vertAlign w:val="subscript"/>
        </w:rPr>
        <w:t>τ</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change in current liabilities in year τ</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ΔCash</w:t>
      </w:r>
      <w:r w:rsidRPr="00832004">
        <w:rPr>
          <w:rFonts w:ascii="Times New Roman" w:hAnsi="Times New Roman"/>
          <w:vertAlign w:val="subscript"/>
        </w:rPr>
        <w:t xml:space="preserve">τ </w:t>
      </w:r>
      <w:r w:rsidRPr="00832004">
        <w:rPr>
          <w:rFonts w:ascii="Times New Roman" w:hAnsi="Times New Roman"/>
        </w:rPr>
        <w:tab/>
      </w:r>
      <w:r>
        <w:rPr>
          <w:rFonts w:ascii="Times New Roman" w:hAnsi="Times New Roman"/>
        </w:rPr>
        <w:tab/>
      </w:r>
      <w:r w:rsidRPr="00832004">
        <w:rPr>
          <w:rFonts w:ascii="Times New Roman" w:hAnsi="Times New Roman"/>
        </w:rPr>
        <w:t xml:space="preserve">= </w:t>
      </w:r>
      <w:r w:rsidRPr="00832004">
        <w:rPr>
          <w:rFonts w:ascii="Times New Roman" w:hAnsi="Times New Roman"/>
        </w:rPr>
        <w:tab/>
        <w:t>change in cash and cash equivalents in year τ</w:t>
      </w:r>
    </w:p>
    <w:p w:rsidR="00DC7B1E" w:rsidRPr="00832004" w:rsidRDefault="00DC7B1E" w:rsidP="00A94509">
      <w:pPr>
        <w:spacing w:line="360" w:lineRule="auto"/>
        <w:ind w:left="720" w:hanging="720"/>
        <w:contextualSpacing/>
        <w:jc w:val="both"/>
        <w:rPr>
          <w:rFonts w:ascii="Times New Roman" w:hAnsi="Times New Roman"/>
        </w:rPr>
      </w:pPr>
      <w:r w:rsidRPr="00832004">
        <w:rPr>
          <w:rFonts w:ascii="Times New Roman" w:hAnsi="Times New Roman"/>
        </w:rPr>
        <w:t>ΔSTD</w:t>
      </w:r>
      <w:r w:rsidRPr="00832004">
        <w:rPr>
          <w:rFonts w:ascii="Times New Roman" w:hAnsi="Times New Roman"/>
          <w:vertAlign w:val="subscript"/>
        </w:rPr>
        <w:t>τ</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 xml:space="preserve">portion of debt included in current liabilities in year τ. This represents the </w:t>
      </w:r>
    </w:p>
    <w:p w:rsidR="00DC7B1E" w:rsidRPr="00832004" w:rsidRDefault="00DC7B1E" w:rsidP="00A94509">
      <w:pPr>
        <w:spacing w:line="360" w:lineRule="auto"/>
        <w:ind w:left="1440" w:firstLine="720"/>
        <w:contextualSpacing/>
        <w:jc w:val="both"/>
        <w:rPr>
          <w:rFonts w:ascii="Times New Roman" w:hAnsi="Times New Roman"/>
        </w:rPr>
      </w:pPr>
      <w:r w:rsidRPr="00832004">
        <w:rPr>
          <w:rFonts w:ascii="Times New Roman" w:hAnsi="Times New Roman"/>
        </w:rPr>
        <w:t xml:space="preserve">portion of debt that matures in the current year. </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Dep</w:t>
      </w:r>
      <w:r w:rsidRPr="00832004">
        <w:rPr>
          <w:rFonts w:ascii="Times New Roman" w:hAnsi="Times New Roman"/>
          <w:vertAlign w:val="subscript"/>
        </w:rPr>
        <w:t>τ</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depreciation and amortization expense in year τ</w:t>
      </w: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A</w:t>
      </w:r>
      <w:r w:rsidRPr="00832004">
        <w:rPr>
          <w:rFonts w:ascii="Times New Roman" w:hAnsi="Times New Roman"/>
          <w:vertAlign w:val="subscript"/>
        </w:rPr>
        <w:t>τ-1</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total assets in year τ-1</w:t>
      </w:r>
    </w:p>
    <w:p w:rsidR="00DC7B1E" w:rsidRPr="00832004" w:rsidRDefault="00DC7B1E" w:rsidP="00A94509">
      <w:pPr>
        <w:spacing w:line="360" w:lineRule="auto"/>
        <w:ind w:left="720" w:hanging="720"/>
        <w:contextualSpacing/>
        <w:jc w:val="both"/>
        <w:rPr>
          <w:rFonts w:ascii="Times New Roman" w:hAnsi="Times New Roman"/>
        </w:rPr>
      </w:pPr>
      <w:r w:rsidRPr="00832004">
        <w:rPr>
          <w:rFonts w:ascii="Times New Roman" w:hAnsi="Times New Roman"/>
        </w:rPr>
        <w:t xml:space="preserve">  </w:t>
      </w:r>
    </w:p>
    <w:p w:rsidR="00DC7B1E" w:rsidRPr="00832004" w:rsidRDefault="00DC7B1E" w:rsidP="00557B2F">
      <w:pPr>
        <w:spacing w:line="360" w:lineRule="auto"/>
        <w:contextualSpacing/>
        <w:jc w:val="both"/>
        <w:rPr>
          <w:rFonts w:ascii="Times New Roman" w:hAnsi="Times New Roman"/>
        </w:rPr>
      </w:pPr>
      <w:r w:rsidRPr="00832004">
        <w:rPr>
          <w:rFonts w:ascii="Times New Roman" w:hAnsi="Times New Roman"/>
        </w:rPr>
        <w:t xml:space="preserve">In determining the non-discretionary accruals there are two stages: the estimation stage and the event stage. The purpose of the estimation stage is to control for the effect of changes in a firm’s economic circumstances on non-discretionary accruals (Dechow et al., 1995). In other words, it controls for the change in the characteristics of a firm. Therefore, property, plant and equipment and the change in revenues are included in the estimation model. </w:t>
      </w:r>
      <w:r>
        <w:rPr>
          <w:rFonts w:ascii="Times New Roman" w:hAnsi="Times New Roman"/>
        </w:rPr>
        <w:t>“</w:t>
      </w:r>
      <w:r w:rsidRPr="00832004">
        <w:rPr>
          <w:rFonts w:ascii="Times New Roman" w:hAnsi="Times New Roman"/>
        </w:rPr>
        <w:t>Revenues are used to control for economic environment of the firm because they are an objective measure of the firms’ operations before managers’ manipulations</w:t>
      </w:r>
      <w:r>
        <w:rPr>
          <w:rFonts w:ascii="Times New Roman" w:hAnsi="Times New Roman"/>
        </w:rPr>
        <w:t>” (Jones, 1991, 211)</w:t>
      </w:r>
      <w:r w:rsidRPr="00832004">
        <w:rPr>
          <w:rFonts w:ascii="Times New Roman" w:hAnsi="Times New Roman"/>
        </w:rPr>
        <w:t>. And gross property, plant and equipment are included in the estimation model to control for the portion of total accruals related to non-discretionary depreciation expense (Jones, 1991, 211)</w:t>
      </w:r>
      <w:r>
        <w:rPr>
          <w:rFonts w:ascii="Times New Roman" w:hAnsi="Times New Roman"/>
        </w:rPr>
        <w:t>.</w:t>
      </w:r>
      <w:r w:rsidRPr="00832004">
        <w:rPr>
          <w:rStyle w:val="FootnoteReference"/>
          <w:rFonts w:ascii="Times New Roman" w:hAnsi="Times New Roman"/>
        </w:rPr>
        <w:footnoteReference w:id="8"/>
      </w:r>
      <w:r w:rsidRPr="00832004">
        <w:rPr>
          <w:rFonts w:ascii="Times New Roman" w:hAnsi="Times New Roman"/>
        </w:rPr>
        <w:t xml:space="preserve"> </w:t>
      </w:r>
    </w:p>
    <w:p w:rsidR="00DC7B1E" w:rsidRPr="00832004" w:rsidRDefault="00DC7B1E" w:rsidP="006E7030">
      <w:pPr>
        <w:spacing w:line="360" w:lineRule="auto"/>
        <w:contextualSpacing/>
        <w:jc w:val="both"/>
        <w:rPr>
          <w:rFonts w:ascii="Times New Roman" w:hAnsi="Times New Roman"/>
        </w:rPr>
      </w:pPr>
      <w:r w:rsidRPr="00832004">
        <w:rPr>
          <w:rFonts w:ascii="Times New Roman" w:hAnsi="Times New Roman"/>
        </w:rPr>
        <w:t>Additionally, the modified Jones Model assumes that earnings management does not take place before the event, thus in the estimation stage.</w:t>
      </w:r>
      <w:r w:rsidRPr="00832004">
        <w:rPr>
          <w:rStyle w:val="FootnoteReference"/>
          <w:rFonts w:ascii="Times New Roman" w:hAnsi="Times New Roman"/>
        </w:rPr>
        <w:footnoteReference w:id="9"/>
      </w:r>
      <w:r w:rsidRPr="00832004">
        <w:rPr>
          <w:rFonts w:ascii="Times New Roman" w:hAnsi="Times New Roman"/>
        </w:rPr>
        <w:t xml:space="preserve"> It assumes that non-discretionary accruals are constant from period to period and therefore that earnings management is recognized as the change in discretionary accruals. </w:t>
      </w:r>
    </w:p>
    <w:p w:rsidR="00DC7B1E" w:rsidRPr="00832004" w:rsidRDefault="00DC7B1E" w:rsidP="006E7030">
      <w:pPr>
        <w:spacing w:line="360" w:lineRule="auto"/>
        <w:contextualSpacing/>
        <w:jc w:val="both"/>
        <w:rPr>
          <w:rFonts w:ascii="Times New Roman" w:hAnsi="Times New Roman"/>
        </w:rPr>
      </w:pPr>
    </w:p>
    <w:p w:rsidR="00DC7B1E" w:rsidRPr="00832004" w:rsidRDefault="00DC7B1E" w:rsidP="006E7030">
      <w:pPr>
        <w:spacing w:line="360" w:lineRule="auto"/>
        <w:contextualSpacing/>
        <w:jc w:val="both"/>
        <w:rPr>
          <w:rFonts w:ascii="Times New Roman" w:hAnsi="Times New Roman"/>
        </w:rPr>
      </w:pPr>
      <w:r w:rsidRPr="00832004">
        <w:rPr>
          <w:rFonts w:ascii="Times New Roman" w:hAnsi="Times New Roman"/>
        </w:rPr>
        <w:t>The equation of the estimation stage is defined as below. Herein, a</w:t>
      </w:r>
      <w:r w:rsidRPr="00832004">
        <w:rPr>
          <w:rFonts w:ascii="Times New Roman" w:hAnsi="Times New Roman"/>
          <w:vertAlign w:val="subscript"/>
        </w:rPr>
        <w:t>1</w:t>
      </w:r>
      <w:r w:rsidRPr="00832004">
        <w:rPr>
          <w:rFonts w:ascii="Times New Roman" w:hAnsi="Times New Roman"/>
        </w:rPr>
        <w:t>, a</w:t>
      </w:r>
      <w:r w:rsidRPr="00832004">
        <w:rPr>
          <w:rFonts w:ascii="Times New Roman" w:hAnsi="Times New Roman"/>
          <w:vertAlign w:val="subscript"/>
        </w:rPr>
        <w:t>2</w:t>
      </w:r>
      <w:r w:rsidRPr="00832004">
        <w:rPr>
          <w:rFonts w:ascii="Times New Roman" w:hAnsi="Times New Roman"/>
        </w:rPr>
        <w:t xml:space="preserve"> and a</w:t>
      </w:r>
      <w:r w:rsidRPr="00832004">
        <w:rPr>
          <w:rFonts w:ascii="Times New Roman" w:hAnsi="Times New Roman"/>
          <w:vertAlign w:val="subscript"/>
        </w:rPr>
        <w:t>3</w:t>
      </w:r>
      <w:r w:rsidRPr="00832004">
        <w:rPr>
          <w:rFonts w:ascii="Times New Roman" w:hAnsi="Times New Roman"/>
        </w:rPr>
        <w:t xml:space="preserve"> are the estimates of industry specific parameters which will be used in the event stage to calculate the non-discretionary accruals. All variables in the model are scaled by lagged assets in order to reduce heroscedasticity (Jones [1991]; Baker et al. [2003]; Ronen and Yaari [2008]).</w:t>
      </w:r>
    </w:p>
    <w:p w:rsidR="00DC7B1E" w:rsidRPr="00832004" w:rsidRDefault="00DC7B1E" w:rsidP="00634820">
      <w:pPr>
        <w:spacing w:before="240" w:line="360" w:lineRule="auto"/>
        <w:contextualSpacing/>
        <w:jc w:val="both"/>
        <w:rPr>
          <w:rFonts w:ascii="Times New Roman" w:hAnsi="Times New Roman"/>
        </w:rPr>
      </w:pPr>
    </w:p>
    <w:p w:rsidR="00DC7B1E" w:rsidRPr="00832004" w:rsidRDefault="00DC7B1E" w:rsidP="00634820">
      <w:pPr>
        <w:spacing w:before="240" w:line="360" w:lineRule="auto"/>
        <w:contextualSpacing/>
        <w:jc w:val="both"/>
        <w:rPr>
          <w:rFonts w:ascii="Times New Roman" w:hAnsi="Times New Roman"/>
        </w:rPr>
      </w:pPr>
      <w:r w:rsidRPr="00832004">
        <w:rPr>
          <w:rFonts w:ascii="Times New Roman" w:hAnsi="Times New Roman"/>
        </w:rPr>
        <w:t>TA</w:t>
      </w:r>
      <w:r w:rsidRPr="00832004">
        <w:rPr>
          <w:rFonts w:ascii="Times New Roman" w:hAnsi="Times New Roman"/>
          <w:vertAlign w:val="subscript"/>
        </w:rPr>
        <w:t>τ</w:t>
      </w:r>
      <w:r w:rsidRPr="00832004">
        <w:rPr>
          <w:rFonts w:ascii="Times New Roman" w:hAnsi="Times New Roman"/>
        </w:rPr>
        <w:t xml:space="preserve"> = a</w:t>
      </w:r>
      <w:r w:rsidRPr="00832004">
        <w:rPr>
          <w:rFonts w:ascii="Times New Roman" w:hAnsi="Times New Roman"/>
          <w:vertAlign w:val="subscript"/>
        </w:rPr>
        <w:t>1</w:t>
      </w:r>
      <w:r w:rsidRPr="00832004">
        <w:rPr>
          <w:rFonts w:ascii="Times New Roman" w:hAnsi="Times New Roman"/>
        </w:rPr>
        <w:t>(1/A</w:t>
      </w:r>
      <w:r w:rsidRPr="00832004">
        <w:rPr>
          <w:rFonts w:ascii="Times New Roman" w:hAnsi="Times New Roman"/>
          <w:vertAlign w:val="subscript"/>
        </w:rPr>
        <w:t>τ-1</w:t>
      </w:r>
      <w:r w:rsidRPr="00832004">
        <w:rPr>
          <w:rFonts w:ascii="Times New Roman" w:hAnsi="Times New Roman"/>
        </w:rPr>
        <w:t>) + a</w:t>
      </w:r>
      <w:r w:rsidRPr="00832004">
        <w:rPr>
          <w:rFonts w:ascii="Times New Roman" w:hAnsi="Times New Roman"/>
          <w:vertAlign w:val="subscript"/>
        </w:rPr>
        <w:t>2</w:t>
      </w:r>
      <w:r w:rsidRPr="00832004">
        <w:rPr>
          <w:rFonts w:ascii="Times New Roman" w:hAnsi="Times New Roman"/>
        </w:rPr>
        <w:t>[(ΔREV</w:t>
      </w:r>
      <w:r w:rsidRPr="00832004">
        <w:rPr>
          <w:rFonts w:ascii="Times New Roman" w:hAnsi="Times New Roman"/>
          <w:vertAlign w:val="subscript"/>
        </w:rPr>
        <w:t>τ</w:t>
      </w:r>
      <w:r w:rsidRPr="00832004">
        <w:rPr>
          <w:rFonts w:ascii="Times New Roman" w:hAnsi="Times New Roman"/>
        </w:rPr>
        <w:t xml:space="preserve"> - ΔREC</w:t>
      </w:r>
      <w:r w:rsidRPr="00832004">
        <w:rPr>
          <w:rFonts w:ascii="Times New Roman" w:hAnsi="Times New Roman"/>
          <w:vertAlign w:val="subscript"/>
        </w:rPr>
        <w:t>τ</w:t>
      </w:r>
      <w:r w:rsidRPr="00832004">
        <w:rPr>
          <w:rFonts w:ascii="Times New Roman" w:hAnsi="Times New Roman"/>
        </w:rPr>
        <w:t>)/A</w:t>
      </w:r>
      <w:r w:rsidRPr="00832004">
        <w:rPr>
          <w:rFonts w:ascii="Times New Roman" w:hAnsi="Times New Roman"/>
          <w:vertAlign w:val="subscript"/>
        </w:rPr>
        <w:t>τ-1</w:t>
      </w:r>
      <w:r w:rsidRPr="00832004">
        <w:rPr>
          <w:rFonts w:ascii="Times New Roman" w:hAnsi="Times New Roman"/>
        </w:rPr>
        <w:t>] + a</w:t>
      </w:r>
      <w:r w:rsidRPr="00832004">
        <w:rPr>
          <w:rFonts w:ascii="Times New Roman" w:hAnsi="Times New Roman"/>
          <w:vertAlign w:val="subscript"/>
        </w:rPr>
        <w:t>3</w:t>
      </w:r>
      <w:r w:rsidRPr="00832004">
        <w:rPr>
          <w:rFonts w:ascii="Times New Roman" w:hAnsi="Times New Roman"/>
        </w:rPr>
        <w:t>(PPE</w:t>
      </w:r>
      <w:r w:rsidRPr="00832004">
        <w:rPr>
          <w:rFonts w:ascii="Times New Roman" w:hAnsi="Times New Roman"/>
          <w:vertAlign w:val="subscript"/>
        </w:rPr>
        <w:t>τ</w:t>
      </w:r>
      <w:r w:rsidRPr="00832004">
        <w:rPr>
          <w:rFonts w:ascii="Times New Roman" w:hAnsi="Times New Roman"/>
        </w:rPr>
        <w:t>/A</w:t>
      </w:r>
      <w:r w:rsidRPr="00832004">
        <w:rPr>
          <w:rFonts w:ascii="Times New Roman" w:hAnsi="Times New Roman"/>
          <w:vertAlign w:val="subscript"/>
        </w:rPr>
        <w:t>τ-1</w:t>
      </w:r>
      <w:r w:rsidRPr="00832004">
        <w:rPr>
          <w:rFonts w:ascii="Times New Roman" w:hAnsi="Times New Roman"/>
        </w:rPr>
        <w:t xml:space="preserve">) + </w:t>
      </w:r>
      <w:r w:rsidRPr="00832004">
        <w:rPr>
          <w:rFonts w:ascii="Times New Roman" w:eastAsia="Times New Roman" w:hAnsi="Cambria Math"/>
        </w:rPr>
        <w:t>ϵ</w:t>
      </w:r>
      <w:r w:rsidRPr="00832004">
        <w:rPr>
          <w:rFonts w:ascii="Times New Roman" w:hAnsi="Times New Roman"/>
          <w:vertAlign w:val="subscript"/>
        </w:rPr>
        <w:t>τ</w:t>
      </w:r>
      <w:r w:rsidRPr="00832004">
        <w:rPr>
          <w:rFonts w:ascii="Times New Roman" w:hAnsi="Times New Roman"/>
        </w:rPr>
        <w:t xml:space="preserve"> </w:t>
      </w:r>
    </w:p>
    <w:p w:rsidR="00DC7B1E" w:rsidRDefault="00DC7B1E" w:rsidP="00021716">
      <w:pPr>
        <w:spacing w:before="240" w:line="360" w:lineRule="auto"/>
        <w:contextualSpacing/>
        <w:jc w:val="both"/>
        <w:rPr>
          <w:rFonts w:ascii="Times New Roman" w:hAnsi="Times New Roman"/>
        </w:rPr>
      </w:pPr>
      <w:r w:rsidRPr="00832004">
        <w:rPr>
          <w:rFonts w:ascii="Times New Roman" w:hAnsi="Times New Roman"/>
        </w:rPr>
        <w:t>Where:</w:t>
      </w:r>
    </w:p>
    <w:p w:rsidR="00DC7B1E" w:rsidRPr="00832004" w:rsidRDefault="00DC7B1E" w:rsidP="00021716">
      <w:pPr>
        <w:spacing w:before="240" w:line="360" w:lineRule="auto"/>
        <w:contextualSpacing/>
        <w:jc w:val="both"/>
        <w:rPr>
          <w:rFonts w:ascii="Times New Roman" w:hAnsi="Times New Roman"/>
        </w:rPr>
      </w:pPr>
    </w:p>
    <w:p w:rsidR="00DC7B1E" w:rsidRPr="00832004" w:rsidRDefault="00DC7B1E" w:rsidP="00021716">
      <w:pPr>
        <w:spacing w:before="240" w:line="360" w:lineRule="auto"/>
        <w:contextualSpacing/>
        <w:jc w:val="both"/>
        <w:rPr>
          <w:rFonts w:ascii="Times New Roman" w:hAnsi="Times New Roman"/>
        </w:rPr>
      </w:pPr>
      <w:r w:rsidRPr="00832004">
        <w:rPr>
          <w:rFonts w:ascii="Times New Roman" w:hAnsi="Times New Roman"/>
        </w:rPr>
        <w:t>A</w:t>
      </w:r>
      <w:r w:rsidRPr="00832004">
        <w:rPr>
          <w:rFonts w:ascii="Times New Roman" w:hAnsi="Times New Roman"/>
          <w:vertAlign w:val="subscript"/>
        </w:rPr>
        <w:t>τ-1</w:t>
      </w:r>
      <w:r w:rsidRPr="00832004">
        <w:rPr>
          <w:rFonts w:ascii="Times New Roman" w:hAnsi="Times New Roman"/>
        </w:rPr>
        <w:t xml:space="preserve"> </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total assets at τ-1</w:t>
      </w:r>
    </w:p>
    <w:p w:rsidR="00DC7B1E" w:rsidRPr="00832004" w:rsidRDefault="00DC7B1E" w:rsidP="00021716">
      <w:pPr>
        <w:spacing w:before="240" w:line="360" w:lineRule="auto"/>
        <w:contextualSpacing/>
        <w:jc w:val="both"/>
        <w:rPr>
          <w:rFonts w:ascii="Times New Roman" w:hAnsi="Times New Roman"/>
        </w:rPr>
      </w:pPr>
      <w:r w:rsidRPr="00832004">
        <w:rPr>
          <w:rFonts w:ascii="Times New Roman" w:hAnsi="Times New Roman"/>
        </w:rPr>
        <w:t>ΔREV</w:t>
      </w:r>
      <w:r w:rsidRPr="00832004">
        <w:rPr>
          <w:rFonts w:ascii="Times New Roman" w:hAnsi="Times New Roman"/>
          <w:vertAlign w:val="subscript"/>
        </w:rPr>
        <w:t>τ</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 xml:space="preserve">revenues in year τ less revenues in year τ-1 </w:t>
      </w:r>
    </w:p>
    <w:p w:rsidR="00DC7B1E" w:rsidRPr="00832004" w:rsidRDefault="00DC7B1E" w:rsidP="00021716">
      <w:pPr>
        <w:spacing w:before="240" w:line="360" w:lineRule="auto"/>
        <w:ind w:left="1440" w:hanging="1440"/>
        <w:contextualSpacing/>
        <w:jc w:val="both"/>
        <w:rPr>
          <w:rFonts w:ascii="Times New Roman" w:hAnsi="Times New Roman"/>
        </w:rPr>
      </w:pPr>
      <w:r w:rsidRPr="00832004">
        <w:rPr>
          <w:rFonts w:ascii="Times New Roman" w:hAnsi="Times New Roman"/>
        </w:rPr>
        <w:t>ΔREC</w:t>
      </w:r>
      <w:r w:rsidRPr="00832004">
        <w:rPr>
          <w:rFonts w:ascii="Times New Roman" w:hAnsi="Times New Roman"/>
          <w:vertAlign w:val="subscript"/>
        </w:rPr>
        <w:t>τ</w:t>
      </w:r>
      <w:r w:rsidRPr="00832004">
        <w:rPr>
          <w:rFonts w:ascii="Times New Roman" w:hAnsi="Times New Roman"/>
        </w:rPr>
        <w:t xml:space="preserve"> </w:t>
      </w:r>
      <w:r w:rsidRPr="00832004">
        <w:rPr>
          <w:rFonts w:ascii="Times New Roman" w:hAnsi="Times New Roman"/>
        </w:rPr>
        <w:tab/>
        <w:t xml:space="preserve">= </w:t>
      </w:r>
      <w:r w:rsidRPr="00832004">
        <w:rPr>
          <w:rFonts w:ascii="Times New Roman" w:hAnsi="Times New Roman"/>
        </w:rPr>
        <w:tab/>
        <w:t xml:space="preserve">net receivables in year τ less net receivables in year τ-1 </w:t>
      </w:r>
    </w:p>
    <w:p w:rsidR="00DC7B1E" w:rsidRPr="00832004" w:rsidRDefault="00DC7B1E" w:rsidP="00021716">
      <w:pPr>
        <w:spacing w:before="240" w:line="360" w:lineRule="auto"/>
        <w:contextualSpacing/>
        <w:jc w:val="both"/>
        <w:rPr>
          <w:rFonts w:ascii="Times New Roman" w:hAnsi="Times New Roman"/>
        </w:rPr>
      </w:pPr>
      <w:r w:rsidRPr="00832004">
        <w:rPr>
          <w:rFonts w:ascii="Times New Roman" w:hAnsi="Times New Roman"/>
        </w:rPr>
        <w:t>PPE</w:t>
      </w:r>
      <w:r w:rsidRPr="00832004">
        <w:rPr>
          <w:rFonts w:ascii="Times New Roman" w:hAnsi="Times New Roman"/>
          <w:vertAlign w:val="subscript"/>
        </w:rPr>
        <w:t>τ</w:t>
      </w:r>
      <w:r w:rsidRPr="00832004">
        <w:rPr>
          <w:rFonts w:ascii="Times New Roman" w:hAnsi="Times New Roman"/>
        </w:rPr>
        <w:tab/>
      </w:r>
      <w:r w:rsidRPr="00832004">
        <w:rPr>
          <w:rFonts w:ascii="Times New Roman" w:hAnsi="Times New Roman"/>
        </w:rPr>
        <w:tab/>
        <w:t xml:space="preserve">= </w:t>
      </w:r>
      <w:r w:rsidRPr="00832004">
        <w:rPr>
          <w:rFonts w:ascii="Times New Roman" w:hAnsi="Times New Roman"/>
        </w:rPr>
        <w:tab/>
        <w:t xml:space="preserve">gross property, plant and equipment in year τ </w:t>
      </w:r>
    </w:p>
    <w:p w:rsidR="00DC7B1E" w:rsidRPr="00832004" w:rsidRDefault="00DC7B1E" w:rsidP="00021716">
      <w:pPr>
        <w:spacing w:before="240" w:line="360" w:lineRule="auto"/>
        <w:contextualSpacing/>
        <w:jc w:val="both"/>
        <w:rPr>
          <w:rFonts w:ascii="Times New Roman" w:hAnsi="Times New Roman"/>
        </w:rPr>
      </w:pPr>
      <w:r w:rsidRPr="00832004">
        <w:rPr>
          <w:rFonts w:ascii="Times New Roman" w:hAnsi="Times New Roman"/>
        </w:rPr>
        <w:t>a</w:t>
      </w:r>
      <w:r w:rsidRPr="00832004">
        <w:rPr>
          <w:rFonts w:ascii="Times New Roman" w:hAnsi="Times New Roman"/>
          <w:vertAlign w:val="subscript"/>
        </w:rPr>
        <w:t>1</w:t>
      </w:r>
      <w:r w:rsidRPr="00832004">
        <w:rPr>
          <w:rFonts w:ascii="Times New Roman" w:hAnsi="Times New Roman"/>
        </w:rPr>
        <w:t>, a</w:t>
      </w:r>
      <w:r w:rsidRPr="00832004">
        <w:rPr>
          <w:rFonts w:ascii="Times New Roman" w:hAnsi="Times New Roman"/>
          <w:vertAlign w:val="subscript"/>
        </w:rPr>
        <w:t>2</w:t>
      </w:r>
      <w:r w:rsidRPr="00832004">
        <w:rPr>
          <w:rFonts w:ascii="Times New Roman" w:hAnsi="Times New Roman"/>
        </w:rPr>
        <w:t xml:space="preserve"> and a</w:t>
      </w:r>
      <w:r w:rsidRPr="00832004">
        <w:rPr>
          <w:rFonts w:ascii="Times New Roman" w:hAnsi="Times New Roman"/>
          <w:vertAlign w:val="subscript"/>
        </w:rPr>
        <w:t>3</w:t>
      </w:r>
      <w:r w:rsidRPr="00832004">
        <w:rPr>
          <w:rFonts w:ascii="Times New Roman" w:hAnsi="Times New Roman"/>
        </w:rPr>
        <w:tab/>
        <w:t>=</w:t>
      </w:r>
      <w:r w:rsidRPr="00832004">
        <w:rPr>
          <w:rFonts w:ascii="Times New Roman" w:hAnsi="Times New Roman"/>
        </w:rPr>
        <w:tab/>
        <w:t>industry specific parameters</w:t>
      </w:r>
      <w:r w:rsidRPr="00832004">
        <w:rPr>
          <w:rStyle w:val="FootnoteReference"/>
          <w:rFonts w:ascii="Times New Roman" w:hAnsi="Times New Roman"/>
        </w:rPr>
        <w:footnoteReference w:id="10"/>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line="360" w:lineRule="auto"/>
        <w:contextualSpacing/>
        <w:jc w:val="both"/>
        <w:rPr>
          <w:rFonts w:ascii="Times New Roman" w:hAnsi="Times New Roman"/>
        </w:rPr>
      </w:pPr>
      <w:r w:rsidRPr="00832004">
        <w:rPr>
          <w:rFonts w:ascii="Times New Roman" w:hAnsi="Times New Roman"/>
        </w:rPr>
        <w:t xml:space="preserve">After the parameters are estimated, the next step is to determine the non-discretionary accruals in the event stage of which the equation is defined as below.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before="240" w:line="360" w:lineRule="auto"/>
        <w:contextualSpacing/>
        <w:jc w:val="both"/>
        <w:rPr>
          <w:rFonts w:ascii="Times New Roman" w:hAnsi="Times New Roman"/>
        </w:rPr>
      </w:pPr>
      <w:r w:rsidRPr="00832004">
        <w:rPr>
          <w:rFonts w:ascii="Times New Roman" w:hAnsi="Times New Roman"/>
        </w:rPr>
        <w:t>NDA</w:t>
      </w:r>
      <w:r w:rsidRPr="00832004">
        <w:rPr>
          <w:rFonts w:ascii="Times New Roman" w:hAnsi="Times New Roman"/>
          <w:vertAlign w:val="subscript"/>
        </w:rPr>
        <w:t>τ</w:t>
      </w:r>
      <w:r w:rsidRPr="00832004">
        <w:rPr>
          <w:rFonts w:ascii="Times New Roman" w:hAnsi="Times New Roman"/>
        </w:rPr>
        <w:t>/A</w:t>
      </w:r>
      <w:r w:rsidRPr="00832004">
        <w:rPr>
          <w:rFonts w:ascii="Times New Roman" w:hAnsi="Times New Roman"/>
          <w:vertAlign w:val="subscript"/>
        </w:rPr>
        <w:t>τ-1</w:t>
      </w:r>
      <w:r w:rsidRPr="00832004">
        <w:rPr>
          <w:rFonts w:ascii="Times New Roman" w:hAnsi="Times New Roman"/>
        </w:rPr>
        <w:t xml:space="preserve"> = α</w:t>
      </w:r>
      <w:r w:rsidRPr="00832004">
        <w:rPr>
          <w:rFonts w:ascii="Times New Roman" w:hAnsi="Times New Roman"/>
          <w:vertAlign w:val="subscript"/>
        </w:rPr>
        <w:t>1</w:t>
      </w:r>
      <w:r w:rsidRPr="00832004">
        <w:rPr>
          <w:rFonts w:ascii="Times New Roman" w:hAnsi="Times New Roman"/>
        </w:rPr>
        <w:t>(1/A</w:t>
      </w:r>
      <w:r w:rsidRPr="00832004">
        <w:rPr>
          <w:rFonts w:ascii="Times New Roman" w:hAnsi="Times New Roman"/>
          <w:vertAlign w:val="subscript"/>
        </w:rPr>
        <w:t>τ-1</w:t>
      </w:r>
      <w:r w:rsidRPr="00832004">
        <w:rPr>
          <w:rFonts w:ascii="Times New Roman" w:hAnsi="Times New Roman"/>
        </w:rPr>
        <w:t>) + α</w:t>
      </w:r>
      <w:r w:rsidRPr="00832004">
        <w:rPr>
          <w:rFonts w:ascii="Times New Roman" w:hAnsi="Times New Roman"/>
          <w:vertAlign w:val="subscript"/>
        </w:rPr>
        <w:t>2</w:t>
      </w:r>
      <w:r w:rsidRPr="00832004">
        <w:rPr>
          <w:rFonts w:ascii="Times New Roman" w:hAnsi="Times New Roman"/>
        </w:rPr>
        <w:t>(ΔREV</w:t>
      </w:r>
      <w:r w:rsidRPr="00832004">
        <w:rPr>
          <w:rFonts w:ascii="Times New Roman" w:hAnsi="Times New Roman"/>
          <w:vertAlign w:val="subscript"/>
        </w:rPr>
        <w:t xml:space="preserve">τ </w:t>
      </w:r>
      <w:r w:rsidRPr="00832004">
        <w:rPr>
          <w:rFonts w:ascii="Times New Roman" w:hAnsi="Times New Roman"/>
        </w:rPr>
        <w:t>- ΔREC</w:t>
      </w:r>
      <w:r w:rsidRPr="00832004">
        <w:rPr>
          <w:rFonts w:ascii="Times New Roman" w:hAnsi="Times New Roman"/>
          <w:vertAlign w:val="subscript"/>
        </w:rPr>
        <w:t>τ</w:t>
      </w:r>
      <w:r w:rsidRPr="00832004">
        <w:rPr>
          <w:rFonts w:ascii="Times New Roman" w:hAnsi="Times New Roman"/>
        </w:rPr>
        <w:t>)/A</w:t>
      </w:r>
      <w:r w:rsidRPr="00832004">
        <w:rPr>
          <w:rFonts w:ascii="Times New Roman" w:hAnsi="Times New Roman"/>
          <w:vertAlign w:val="subscript"/>
        </w:rPr>
        <w:t>τ-1</w:t>
      </w:r>
      <w:r w:rsidRPr="00832004">
        <w:rPr>
          <w:rFonts w:ascii="Times New Roman" w:hAnsi="Times New Roman"/>
        </w:rPr>
        <w:t xml:space="preserve"> +  α</w:t>
      </w:r>
      <w:r w:rsidRPr="00832004">
        <w:rPr>
          <w:rFonts w:ascii="Times New Roman" w:hAnsi="Times New Roman"/>
          <w:vertAlign w:val="subscript"/>
        </w:rPr>
        <w:t>3</w:t>
      </w:r>
      <w:r w:rsidRPr="00832004">
        <w:rPr>
          <w:rFonts w:ascii="Times New Roman" w:hAnsi="Times New Roman"/>
        </w:rPr>
        <w:t>(PPE</w:t>
      </w:r>
      <w:r w:rsidRPr="00832004">
        <w:rPr>
          <w:rFonts w:ascii="Times New Roman" w:hAnsi="Times New Roman"/>
          <w:vertAlign w:val="subscript"/>
        </w:rPr>
        <w:t>τ</w:t>
      </w:r>
      <w:r w:rsidRPr="00832004">
        <w:rPr>
          <w:rFonts w:ascii="Times New Roman" w:hAnsi="Times New Roman"/>
        </w:rPr>
        <w:t>)/A</w:t>
      </w:r>
      <w:r w:rsidRPr="00832004">
        <w:rPr>
          <w:rFonts w:ascii="Times New Roman" w:hAnsi="Times New Roman"/>
          <w:vertAlign w:val="subscript"/>
        </w:rPr>
        <w:t>τ-1</w:t>
      </w:r>
    </w:p>
    <w:p w:rsidR="00DC7B1E" w:rsidRPr="00832004" w:rsidRDefault="00DC7B1E" w:rsidP="00A94509">
      <w:pPr>
        <w:spacing w:before="240" w:line="360" w:lineRule="auto"/>
        <w:contextualSpacing/>
        <w:jc w:val="both"/>
        <w:rPr>
          <w:rFonts w:ascii="Times New Roman" w:hAnsi="Times New Roman"/>
        </w:rPr>
      </w:pPr>
    </w:p>
    <w:p w:rsidR="00DC7B1E" w:rsidRPr="00832004" w:rsidRDefault="00DC7B1E" w:rsidP="002B5045">
      <w:pPr>
        <w:spacing w:line="360" w:lineRule="auto"/>
        <w:contextualSpacing/>
        <w:jc w:val="both"/>
        <w:rPr>
          <w:rFonts w:ascii="Times New Roman" w:hAnsi="Times New Roman"/>
        </w:rPr>
      </w:pPr>
      <w:r w:rsidRPr="00832004">
        <w:rPr>
          <w:rFonts w:ascii="Times New Roman" w:hAnsi="Times New Roman"/>
        </w:rPr>
        <w:t xml:space="preserve">To derive at discretionary accruals, the non-discretionary accruals in the event stage are subtracted from the total accruals. </w:t>
      </w:r>
    </w:p>
    <w:p w:rsidR="00DC7B1E" w:rsidRPr="00832004" w:rsidRDefault="00DC7B1E" w:rsidP="00A94509">
      <w:pPr>
        <w:spacing w:line="360" w:lineRule="auto"/>
        <w:contextualSpacing/>
        <w:jc w:val="both"/>
        <w:rPr>
          <w:rFonts w:ascii="Times New Roman" w:hAnsi="Times New Roman"/>
        </w:rPr>
      </w:pPr>
    </w:p>
    <w:p w:rsidR="00DC7B1E" w:rsidRPr="00832004" w:rsidRDefault="00DC7B1E" w:rsidP="00A94509">
      <w:pPr>
        <w:spacing w:before="240" w:line="360" w:lineRule="auto"/>
        <w:contextualSpacing/>
        <w:jc w:val="both"/>
        <w:rPr>
          <w:rFonts w:ascii="Times New Roman" w:hAnsi="Times New Roman"/>
        </w:rPr>
      </w:pPr>
      <w:r w:rsidRPr="00832004">
        <w:rPr>
          <w:rFonts w:ascii="Times New Roman" w:hAnsi="Times New Roman"/>
        </w:rPr>
        <w:t>In the original Jones Model, the change in receivables (ΔREC</w:t>
      </w:r>
      <w:r w:rsidRPr="00832004">
        <w:rPr>
          <w:rFonts w:ascii="Times New Roman" w:hAnsi="Times New Roman"/>
          <w:vertAlign w:val="subscript"/>
        </w:rPr>
        <w:t>τ</w:t>
      </w:r>
      <w:r w:rsidRPr="00832004">
        <w:rPr>
          <w:rFonts w:ascii="Times New Roman" w:hAnsi="Times New Roman"/>
        </w:rPr>
        <w:t xml:space="preserve">) is not included in the estimation stage as well in the event stage. Jones (1991) includes only the change in revenues and gross property, plant and equipment in the estimation equation to control for changes in non-discretionary accruals caused by changing conditions (Jones, 1990). Dechow et al. (1995) control the change in revenues for the change in receivables in the event stage. By doing so, the modified Jones Model implicitly assumes that sales (revenues) are unmanaged in the estimation stage and that all changes in credit sales in the event year result from earnings management. Dechow et al. (1995) give as reason that “it is easier to manage earnings by exercising discretion over the recognition of revenue on credit sales than it is to manage earnings by exercising discretion over the recognition of revenue on cash sales”. By this adjustment the estimate of earnings management will no longer be biased toward zero in samples where earnings management has taken place through the management of revenues (Dechow et al., 1995, 199). </w:t>
      </w:r>
    </w:p>
    <w:p w:rsidR="00DC7B1E" w:rsidRPr="00832004" w:rsidRDefault="00DC7B1E" w:rsidP="00A94509">
      <w:pPr>
        <w:spacing w:before="240" w:line="360" w:lineRule="auto"/>
        <w:contextualSpacing/>
        <w:jc w:val="both"/>
        <w:rPr>
          <w:rFonts w:ascii="Times New Roman" w:hAnsi="Times New Roman"/>
        </w:rPr>
      </w:pPr>
    </w:p>
    <w:p w:rsidR="00DC7B1E" w:rsidRPr="00832004" w:rsidRDefault="00DC7B1E" w:rsidP="00FF2798">
      <w:pPr>
        <w:spacing w:before="240" w:line="360" w:lineRule="auto"/>
        <w:contextualSpacing/>
        <w:jc w:val="both"/>
        <w:rPr>
          <w:rFonts w:ascii="Times New Roman" w:hAnsi="Times New Roman"/>
        </w:rPr>
      </w:pPr>
      <w:r w:rsidRPr="00832004">
        <w:rPr>
          <w:rFonts w:ascii="Times New Roman" w:hAnsi="Times New Roman"/>
        </w:rPr>
        <w:t>Because Dechow, et al. (1995) only include the change in receivables (ΔREC</w:t>
      </w:r>
      <w:r w:rsidRPr="00832004">
        <w:rPr>
          <w:rFonts w:ascii="Times New Roman" w:hAnsi="Times New Roman"/>
          <w:vertAlign w:val="subscript"/>
        </w:rPr>
        <w:t>τ</w:t>
      </w:r>
      <w:r w:rsidRPr="00832004">
        <w:rPr>
          <w:rFonts w:ascii="Times New Roman" w:hAnsi="Times New Roman"/>
        </w:rPr>
        <w:t xml:space="preserve">) in the event stage, the equation to estimate the firm specific parameters remains the same as in the Jones Model. In this way, the modified Jones Model seems to be inconsistent. Therefore, concerns rose about whether the credit sales bias the estimated normal accruals in the event period. When a firm experiences extreme growth in the event period compared to the estimation period, it is likely that a large estimated discretionary accrual will be generated by this approach (Kothari et al., 2005). For this reason and because there is no ‘pre-event’ period (because parameters will be estimated by using the cross sectional approach which will be explained further in this paragraph) where it can be assumed that changes in accounts receivable are unmanaged, the remedy for this lack is to adjust the change in revenues for the change in receivables in the estimation stage too (Kothari et al., 2005, 174; Ronen and Yaari, 2008, 434). The model will be estimated as if all changes in accounts receivable arise from earnings management. Since several studies already adopted this estimation method such as DeFond and Park (1997), Subramanyan (1996), Guidry et al. (1999) and Kothari (2005), this study will also apply this adjustment in the estimation stage which is already processed in the equation above. </w:t>
      </w:r>
    </w:p>
    <w:p w:rsidR="00DC7B1E" w:rsidRPr="00832004" w:rsidRDefault="00DC7B1E" w:rsidP="00A94509">
      <w:pPr>
        <w:spacing w:before="240" w:line="360" w:lineRule="auto"/>
        <w:contextualSpacing/>
        <w:jc w:val="both"/>
        <w:rPr>
          <w:rFonts w:ascii="Times New Roman" w:hAnsi="Times New Roman"/>
        </w:rPr>
      </w:pPr>
    </w:p>
    <w:p w:rsidR="00DC7B1E" w:rsidRPr="00832004" w:rsidRDefault="00DC7B1E" w:rsidP="00A94509">
      <w:pPr>
        <w:spacing w:before="240" w:line="360" w:lineRule="auto"/>
        <w:contextualSpacing/>
        <w:jc w:val="both"/>
        <w:rPr>
          <w:rFonts w:ascii="Times New Roman" w:hAnsi="Times New Roman"/>
        </w:rPr>
      </w:pPr>
      <w:r w:rsidRPr="00832004">
        <w:rPr>
          <w:rFonts w:ascii="Times New Roman" w:hAnsi="Times New Roman"/>
        </w:rPr>
        <w:t>In estimating the firm specific parameters there are two methods present: the time series approach and the cross sectional approach. The time series approach is an event study that estimates the firm specific parameters of each firm in the period preceding the event period, which is called the estimation period (estimation stage). The cross sectional approach estimates the parameters in the event period of comparable firms. More specific, the parameters according to the cross sectional approach, are estimated with firms that are in the same industry as the firms in the sample. Hence, this approach estimates industry specific parameters instead of firm specific parameters. In order to estimate those parameters reliably, a large control group is necessary. It could be argued that this approach has the disadvantage that the parameters for each industry, estimated in the control group, does not automatically apply to each firm in the sample. For example, the firms in the control group could differ in size and therefore the estimated parameters could be biased. However, in prior research the cross sectional approach is proven to perform better than the time series approach. Bartov et al. (2001), for example, compared the ability of the time series with the cross sectional approach of the original Jones model and the modified Jones model to detect earnings management and conclude that only the cross sectional models are consistently able to detect earnings management. An additional advantage of the cross sectional approach is that it yields a larger sample size compared with the time series approach because the time series approach requires the firm</w:t>
      </w:r>
      <w:r>
        <w:rPr>
          <w:rFonts w:ascii="Times New Roman" w:hAnsi="Times New Roman"/>
        </w:rPr>
        <w:t>s</w:t>
      </w:r>
      <w:r w:rsidRPr="00832004">
        <w:rPr>
          <w:rFonts w:ascii="Times New Roman" w:hAnsi="Times New Roman"/>
        </w:rPr>
        <w:t xml:space="preserve"> to have a long series of observations. Firms are not only required to exist during the whole event period but also in the preceding estimation period that requires at least an observation of six years. Nevertheless, most studies take observations of ten years for the estimation period. As a result, firms that have a short history must be excluded from the sample. Besides, the cross sectional approach also overcomes the criticism that the time series approach has stationary character of the coefficients. The firm specific parameters in the times series approach are estimated only once per firm in the pre-event period and these parameters are applied to the same firm in each year in the event period to calculate the discretionary accruals. Since the time series requires a long pre-event period, the business of the firm or accounting standards could differ during the years. As a result, the firm specific parameters could be biased. In contrast with the time series approach, the cross sectional approach estimates the parameters for each year per industry. Therefore, the industry specific parameters are different in each year and this approach overcomes the problem of the static firm specific parameters. Because of the above mentioned advantages above the time series approach, the most researchers employ the cross sectional approach in estimating the parameters. Therefore, this study also adopts the cross sectional approach. </w:t>
      </w:r>
    </w:p>
    <w:p w:rsidR="00DC7B1E" w:rsidRPr="00832004" w:rsidRDefault="00DC7B1E" w:rsidP="00834482">
      <w:pPr>
        <w:spacing w:line="360" w:lineRule="auto"/>
        <w:contextualSpacing/>
        <w:jc w:val="both"/>
        <w:rPr>
          <w:rFonts w:ascii="Times New Roman" w:hAnsi="Times New Roman"/>
        </w:rPr>
      </w:pPr>
    </w:p>
    <w:p w:rsidR="00DC7B1E" w:rsidRPr="00A84A74" w:rsidRDefault="00DC7B1E" w:rsidP="00834482">
      <w:pPr>
        <w:pStyle w:val="Heading2"/>
        <w:spacing w:before="60" w:line="360" w:lineRule="auto"/>
        <w:contextualSpacing/>
        <w:rPr>
          <w:i w:val="0"/>
          <w:sz w:val="24"/>
          <w:szCs w:val="24"/>
        </w:rPr>
      </w:pPr>
      <w:bookmarkStart w:id="41" w:name="_Toc234567981"/>
      <w:r w:rsidRPr="00A84A74">
        <w:rPr>
          <w:i w:val="0"/>
          <w:sz w:val="24"/>
          <w:szCs w:val="24"/>
        </w:rPr>
        <w:t>4.2</w:t>
      </w:r>
      <w:r w:rsidRPr="00A84A74">
        <w:rPr>
          <w:i w:val="0"/>
          <w:sz w:val="24"/>
          <w:szCs w:val="24"/>
        </w:rPr>
        <w:tab/>
        <w:t>Empirical models</w:t>
      </w:r>
      <w:bookmarkEnd w:id="41"/>
      <w:r w:rsidRPr="00A84A74">
        <w:rPr>
          <w:i w:val="0"/>
          <w:sz w:val="24"/>
          <w:szCs w:val="24"/>
        </w:rPr>
        <w:t xml:space="preserve"> </w:t>
      </w:r>
    </w:p>
    <w:p w:rsidR="00DC7B1E" w:rsidRPr="00832004" w:rsidRDefault="00DC7B1E" w:rsidP="00834482">
      <w:pPr>
        <w:spacing w:after="0" w:line="360" w:lineRule="auto"/>
        <w:contextualSpacing/>
        <w:rPr>
          <w:rFonts w:ascii="Times New Roman" w:hAnsi="Times New Roman"/>
        </w:rPr>
      </w:pPr>
    </w:p>
    <w:p w:rsidR="00DC7B1E" w:rsidRPr="00834482" w:rsidRDefault="00DC7B1E" w:rsidP="00A84A74">
      <w:pPr>
        <w:pStyle w:val="Heading3"/>
        <w:spacing w:before="60" w:line="360" w:lineRule="auto"/>
        <w:contextualSpacing/>
        <w:rPr>
          <w:i/>
          <w:sz w:val="22"/>
          <w:szCs w:val="22"/>
        </w:rPr>
      </w:pPr>
      <w:bookmarkStart w:id="42" w:name="_Toc234567982"/>
      <w:r w:rsidRPr="00834482">
        <w:rPr>
          <w:i/>
          <w:sz w:val="22"/>
          <w:szCs w:val="22"/>
        </w:rPr>
        <w:t>4.2.1</w:t>
      </w:r>
      <w:r w:rsidRPr="00834482">
        <w:rPr>
          <w:i/>
          <w:sz w:val="22"/>
          <w:szCs w:val="22"/>
        </w:rPr>
        <w:tab/>
        <w:t>Empirical model for H1, H2 and H3</w:t>
      </w:r>
      <w:bookmarkEnd w:id="42"/>
      <w:r w:rsidRPr="00834482">
        <w:rPr>
          <w:i/>
          <w:sz w:val="22"/>
          <w:szCs w:val="22"/>
        </w:rPr>
        <w:t xml:space="preserve">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Before setting up an empirical model for H1, it is important to remark that more executives can exercise stock options during the year and therefore different combinations of the function(s) of the exercising executives are possible. For instance, in some firms only the CFO exercise options while other firms both the CEO and the COO exercise options. Therefore, I will categorize the combination of functions of the exercising executives. </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As in chapter 3 already mentioned, only the CEO and CFO as executive are always present in each firm in contrast with executives other than the CEO and CFO. The function of the executives other than the CEO and CFO varies with each firm. For this reason and because these executives (other than the CEO and CFO) might have less power to manage earnings as explained in chapter 3, I will categorize these executives in one group named “Other”. Although CEOs of a division in another country might have more power than the executives other than the CEO and CFO, they are also categorized in the group ‘Other’ because otherwise the empirical model would be too complex by the high number of function combinations it will generate. Therefore, I choose to only employ three groups of executive’s function, which results in the following eight combinations of executives that exercised options during the year: [CEO], [CFO], [Other], [CEO and CFO], [CEO and Other], [CFO and Other], [CEO, CFO and Other], and [NONE] when no options are exercised by the executives during a year. By distinguishing the combination of executives that exercise options, it is possible to examine which combination of exercising executive(s) engage more in earnings management to maximize their option payout.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To measure the relationship between discretionary accruals and the function(s) of the exercising executive(s) (H1), the number of options exercised by all executives during the year (H2), and the aggregate gain of the stock option exercises during the year (H3), the following regression model is developed. </w:t>
      </w:r>
    </w:p>
    <w:p w:rsidR="00DC7B1E" w:rsidRPr="00832004" w:rsidRDefault="00DC7B1E" w:rsidP="00832004">
      <w:pPr>
        <w:spacing w:line="360" w:lineRule="auto"/>
        <w:contextualSpacing/>
        <w:jc w:val="both"/>
        <w:rPr>
          <w:rFonts w:ascii="Times New Roman" w:hAnsi="Times New Roman"/>
        </w:rPr>
      </w:pPr>
    </w:p>
    <w:p w:rsidR="00DC7B1E" w:rsidRDefault="00DC7B1E" w:rsidP="00832004">
      <w:pPr>
        <w:spacing w:line="360" w:lineRule="auto"/>
        <w:contextualSpacing/>
        <w:rPr>
          <w:rFonts w:ascii="Times New Roman" w:hAnsi="Times New Roman"/>
        </w:rPr>
      </w:pPr>
      <w:r w:rsidRPr="00832004">
        <w:rPr>
          <w:rFonts w:ascii="Times New Roman" w:hAnsi="Times New Roman"/>
        </w:rPr>
        <w:t>DA = a</w:t>
      </w:r>
      <w:r w:rsidRPr="00832004">
        <w:rPr>
          <w:rFonts w:ascii="Times New Roman" w:hAnsi="Times New Roman"/>
          <w:vertAlign w:val="subscript"/>
        </w:rPr>
        <w:t>1</w:t>
      </w:r>
      <w:r w:rsidRPr="00832004">
        <w:rPr>
          <w:rFonts w:ascii="Times New Roman" w:hAnsi="Times New Roman"/>
        </w:rPr>
        <w:t>*Dummies_FUNCTION + a</w:t>
      </w:r>
      <w:r w:rsidRPr="00832004">
        <w:rPr>
          <w:rFonts w:ascii="Times New Roman" w:hAnsi="Times New Roman"/>
          <w:vertAlign w:val="subscript"/>
        </w:rPr>
        <w:t>2</w:t>
      </w:r>
      <w:r w:rsidRPr="00832004">
        <w:rPr>
          <w:rFonts w:ascii="Times New Roman" w:hAnsi="Times New Roman"/>
        </w:rPr>
        <w:t>* OPTIONS + a</w:t>
      </w:r>
      <w:r w:rsidRPr="00832004">
        <w:rPr>
          <w:rFonts w:ascii="Times New Roman" w:hAnsi="Times New Roman"/>
          <w:vertAlign w:val="subscript"/>
        </w:rPr>
        <w:t>3</w:t>
      </w:r>
      <w:r w:rsidRPr="00832004">
        <w:rPr>
          <w:rFonts w:ascii="Times New Roman" w:hAnsi="Times New Roman"/>
        </w:rPr>
        <w:t>* GAIN + a</w:t>
      </w:r>
      <w:r w:rsidRPr="00832004">
        <w:rPr>
          <w:rFonts w:ascii="Times New Roman" w:hAnsi="Times New Roman"/>
          <w:vertAlign w:val="subscript"/>
        </w:rPr>
        <w:t>4</w:t>
      </w:r>
      <w:r w:rsidRPr="00832004">
        <w:rPr>
          <w:rFonts w:ascii="Times New Roman" w:hAnsi="Times New Roman"/>
        </w:rPr>
        <w:t>* D_LEAVING + a</w:t>
      </w:r>
      <w:r w:rsidRPr="00832004">
        <w:rPr>
          <w:rFonts w:ascii="Times New Roman" w:hAnsi="Times New Roman"/>
          <w:vertAlign w:val="subscript"/>
        </w:rPr>
        <w:t>5</w:t>
      </w:r>
      <w:r w:rsidRPr="00832004">
        <w:rPr>
          <w:rFonts w:ascii="Times New Roman" w:hAnsi="Times New Roman"/>
        </w:rPr>
        <w:t>* SIZE + a</w:t>
      </w:r>
      <w:r w:rsidRPr="00832004">
        <w:rPr>
          <w:rFonts w:ascii="Times New Roman" w:hAnsi="Times New Roman"/>
          <w:vertAlign w:val="subscript"/>
        </w:rPr>
        <w:t>6</w:t>
      </w:r>
      <w:r w:rsidRPr="00832004">
        <w:rPr>
          <w:rFonts w:ascii="Times New Roman" w:hAnsi="Times New Roman"/>
        </w:rPr>
        <w:t>* GROWTH + a</w:t>
      </w:r>
      <w:r w:rsidRPr="00832004">
        <w:rPr>
          <w:rFonts w:ascii="Times New Roman" w:hAnsi="Times New Roman"/>
          <w:vertAlign w:val="subscript"/>
        </w:rPr>
        <w:t>7</w:t>
      </w:r>
      <w:r w:rsidRPr="00832004">
        <w:rPr>
          <w:rFonts w:ascii="Times New Roman" w:hAnsi="Times New Roman"/>
        </w:rPr>
        <w:t>*LEV + a</w:t>
      </w:r>
      <w:r w:rsidRPr="00832004">
        <w:rPr>
          <w:rFonts w:ascii="Times New Roman" w:hAnsi="Times New Roman"/>
          <w:vertAlign w:val="subscript"/>
        </w:rPr>
        <w:t>8</w:t>
      </w:r>
      <w:r w:rsidRPr="00832004">
        <w:rPr>
          <w:rFonts w:ascii="Times New Roman" w:hAnsi="Times New Roman"/>
        </w:rPr>
        <w:t>*MTBV + a</w:t>
      </w:r>
      <w:r w:rsidRPr="00832004">
        <w:rPr>
          <w:rFonts w:ascii="Times New Roman" w:hAnsi="Times New Roman"/>
          <w:vertAlign w:val="subscript"/>
        </w:rPr>
        <w:t>9</w:t>
      </w:r>
      <w:r w:rsidRPr="00832004">
        <w:rPr>
          <w:rFonts w:ascii="Times New Roman" w:hAnsi="Times New Roman"/>
        </w:rPr>
        <w:t xml:space="preserve">* Dummies_YEAR </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Where: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b/>
          <w:i/>
        </w:rPr>
      </w:pPr>
      <w:r w:rsidRPr="00832004">
        <w:rPr>
          <w:rFonts w:ascii="Times New Roman" w:hAnsi="Times New Roman"/>
          <w:b/>
          <w:i/>
        </w:rPr>
        <w:t>Test variables</w:t>
      </w:r>
    </w:p>
    <w:p w:rsidR="00DC7B1E" w:rsidRPr="00832004" w:rsidRDefault="00DC7B1E" w:rsidP="00832004">
      <w:pPr>
        <w:spacing w:line="360" w:lineRule="auto"/>
        <w:ind w:left="2880" w:hanging="2880"/>
        <w:contextualSpacing/>
        <w:jc w:val="both"/>
        <w:rPr>
          <w:rFonts w:ascii="Times New Roman" w:hAnsi="Times New Roman"/>
        </w:rPr>
      </w:pPr>
    </w:p>
    <w:p w:rsidR="00DC7B1E" w:rsidRPr="00832004" w:rsidRDefault="00DC7B1E" w:rsidP="00832004">
      <w:pPr>
        <w:spacing w:line="360" w:lineRule="auto"/>
        <w:ind w:left="2880" w:hanging="2880"/>
        <w:contextualSpacing/>
        <w:jc w:val="both"/>
        <w:rPr>
          <w:rFonts w:ascii="Times New Roman" w:hAnsi="Times New Roman"/>
        </w:rPr>
      </w:pPr>
      <w:r w:rsidRPr="00832004">
        <w:rPr>
          <w:rFonts w:ascii="Times New Roman" w:hAnsi="Times New Roman"/>
        </w:rPr>
        <w:t xml:space="preserve">Dummies_FUNCTION </w:t>
      </w:r>
      <w:r w:rsidRPr="00832004">
        <w:rPr>
          <w:rFonts w:ascii="Times New Roman" w:hAnsi="Times New Roman"/>
        </w:rPr>
        <w:tab/>
        <w:t>= 7 dummy variables for combination of the function of executive(s) since it concerns a nominal variable.</w:t>
      </w:r>
    </w:p>
    <w:p w:rsidR="00DC7B1E" w:rsidRPr="00832004" w:rsidRDefault="00DC7B1E" w:rsidP="00832004">
      <w:pPr>
        <w:spacing w:line="360" w:lineRule="auto"/>
        <w:contextualSpacing/>
        <w:rPr>
          <w:rFonts w:ascii="Times New Roman" w:hAnsi="Times New Roman"/>
        </w:rPr>
      </w:pPr>
      <w:r w:rsidRPr="00832004">
        <w:rPr>
          <w:rFonts w:ascii="Times New Roman" w:hAnsi="Times New Roman"/>
        </w:rPr>
        <w:t xml:space="preserve">OPTIONS </w:t>
      </w:r>
      <w:r w:rsidRPr="00832004">
        <w:rPr>
          <w:rFonts w:ascii="Times New Roman" w:hAnsi="Times New Roman"/>
        </w:rPr>
        <w:tab/>
      </w:r>
      <w:r w:rsidRPr="00832004">
        <w:rPr>
          <w:rFonts w:ascii="Times New Roman" w:hAnsi="Times New Roman"/>
        </w:rPr>
        <w:tab/>
      </w:r>
      <w:r w:rsidRPr="00832004">
        <w:rPr>
          <w:rFonts w:ascii="Times New Roman" w:hAnsi="Times New Roman"/>
        </w:rPr>
        <w:tab/>
        <w:t>= the total of options exercised by all executives</w:t>
      </w:r>
    </w:p>
    <w:p w:rsidR="00DC7B1E" w:rsidRPr="00832004" w:rsidRDefault="00DC7B1E" w:rsidP="00832004">
      <w:pPr>
        <w:spacing w:line="360" w:lineRule="auto"/>
        <w:contextualSpacing/>
        <w:rPr>
          <w:rFonts w:ascii="Times New Roman" w:hAnsi="Times New Roman"/>
        </w:rPr>
      </w:pPr>
      <w:r w:rsidRPr="00832004">
        <w:rPr>
          <w:rFonts w:ascii="Times New Roman" w:hAnsi="Times New Roman"/>
        </w:rPr>
        <w:t xml:space="preserve">GAIN </w:t>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t>= the aggregate gain of option exercises by all executives</w:t>
      </w: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rPr>
      </w:pPr>
      <w:r w:rsidRPr="00832004">
        <w:rPr>
          <w:rFonts w:ascii="Times New Roman" w:hAnsi="Times New Roman"/>
        </w:rPr>
        <w:t>Dummies_FUNCTION</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Since the variable function is categorized in eight combinations of exercising executives, it is necessary to convert the nominal variable into a numerical variable to be able to perform a regression analysis. Therefore, seven dummy variables are created for the regression models while the remained category will serve as the base category against which other dummy variables are assessed. The exclusion of one dummy variable is necessary because otherwise it will cause multicollinearity. The category that forms the basis category in the regression is [NONE] and the following dummy variables are created for the regression models: [D_CEO], [D_CFO], [D_OTHER], [D_CEO+CFO], [D_CEO+OTHER], [D_CFO+OTHER] and [D_CEO+CFO+OTHER]. If a firm’s executive(s) exercise(s) options, only one of the seven possibilities is valid for each firm for each for each year. For that possibility “1” must be assigned to that dummy variable, while “0” is assigned to the other dummy variables. </w:t>
      </w: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rPr>
          <w:rFonts w:ascii="Times New Roman" w:hAnsi="Times New Roman"/>
          <w:b/>
          <w:i/>
        </w:rPr>
      </w:pPr>
      <w:r w:rsidRPr="00832004">
        <w:rPr>
          <w:rFonts w:ascii="Times New Roman" w:hAnsi="Times New Roman"/>
          <w:b/>
          <w:i/>
        </w:rPr>
        <w:t>Control variables</w:t>
      </w:r>
    </w:p>
    <w:p w:rsidR="00DC7B1E" w:rsidRPr="00832004" w:rsidRDefault="00DC7B1E" w:rsidP="00832004">
      <w:pPr>
        <w:spacing w:line="360" w:lineRule="auto"/>
        <w:contextualSpacing/>
        <w:rPr>
          <w:rFonts w:ascii="Times New Roman" w:hAnsi="Times New Roman"/>
        </w:rPr>
      </w:pPr>
    </w:p>
    <w:p w:rsidR="00DC7B1E" w:rsidRPr="00832004" w:rsidRDefault="00DC7B1E" w:rsidP="00832004">
      <w:pPr>
        <w:spacing w:line="360" w:lineRule="auto"/>
        <w:ind w:left="2880" w:hanging="2880"/>
        <w:contextualSpacing/>
        <w:rPr>
          <w:rFonts w:ascii="Times New Roman" w:hAnsi="Times New Roman"/>
        </w:rPr>
      </w:pPr>
      <w:r w:rsidRPr="00832004">
        <w:rPr>
          <w:rFonts w:ascii="Times New Roman" w:hAnsi="Times New Roman"/>
        </w:rPr>
        <w:t>D_LEAVING</w:t>
      </w:r>
      <w:r w:rsidRPr="00832004">
        <w:rPr>
          <w:rFonts w:ascii="Times New Roman" w:hAnsi="Times New Roman"/>
        </w:rPr>
        <w:tab/>
        <w:t>= [0 = non leaving executive and 1=leaving executive during current year]</w:t>
      </w:r>
    </w:p>
    <w:p w:rsidR="00DC7B1E" w:rsidRPr="00832004" w:rsidRDefault="00DC7B1E" w:rsidP="00832004">
      <w:pPr>
        <w:spacing w:line="360" w:lineRule="auto"/>
        <w:ind w:left="2880" w:hanging="2880"/>
        <w:contextualSpacing/>
        <w:rPr>
          <w:rFonts w:ascii="Times New Roman" w:hAnsi="Times New Roman"/>
        </w:rPr>
      </w:pPr>
      <w:r w:rsidRPr="00832004">
        <w:rPr>
          <w:rFonts w:ascii="Times New Roman" w:hAnsi="Times New Roman"/>
        </w:rPr>
        <w:t>SIZE</w:t>
      </w:r>
      <w:r w:rsidRPr="00832004">
        <w:rPr>
          <w:rFonts w:ascii="Times New Roman" w:hAnsi="Times New Roman"/>
        </w:rPr>
        <w:tab/>
        <w:t>= natural logarithm of total assets</w:t>
      </w:r>
    </w:p>
    <w:p w:rsidR="00DC7B1E" w:rsidRPr="00832004" w:rsidRDefault="00DC7B1E" w:rsidP="00832004">
      <w:pPr>
        <w:spacing w:line="360" w:lineRule="auto"/>
        <w:ind w:left="2880" w:hanging="2880"/>
        <w:contextualSpacing/>
        <w:rPr>
          <w:rFonts w:ascii="Times New Roman" w:hAnsi="Times New Roman"/>
        </w:rPr>
      </w:pPr>
      <w:r w:rsidRPr="00832004">
        <w:rPr>
          <w:rFonts w:ascii="Times New Roman" w:hAnsi="Times New Roman"/>
        </w:rPr>
        <w:t>GROWTH</w:t>
      </w:r>
      <w:r w:rsidRPr="00832004">
        <w:rPr>
          <w:rFonts w:ascii="Times New Roman" w:hAnsi="Times New Roman"/>
        </w:rPr>
        <w:tab/>
        <w:t>= sales growth of current year</w:t>
      </w:r>
    </w:p>
    <w:p w:rsidR="00DC7B1E" w:rsidRPr="00832004" w:rsidRDefault="00DC7B1E" w:rsidP="00832004">
      <w:pPr>
        <w:spacing w:line="360" w:lineRule="auto"/>
        <w:ind w:left="2880" w:hanging="2880"/>
        <w:contextualSpacing/>
        <w:rPr>
          <w:rFonts w:ascii="Times New Roman" w:hAnsi="Times New Roman"/>
        </w:rPr>
      </w:pPr>
      <w:r w:rsidRPr="00832004">
        <w:rPr>
          <w:rFonts w:ascii="Times New Roman" w:hAnsi="Times New Roman"/>
        </w:rPr>
        <w:t>LEV</w:t>
      </w:r>
      <w:r w:rsidRPr="00832004">
        <w:rPr>
          <w:rFonts w:ascii="Times New Roman" w:hAnsi="Times New Roman"/>
        </w:rPr>
        <w:tab/>
        <w:t>= total debt scaled by total assets</w:t>
      </w:r>
    </w:p>
    <w:p w:rsidR="00DC7B1E" w:rsidRPr="00832004" w:rsidRDefault="00DC7B1E" w:rsidP="00832004">
      <w:pPr>
        <w:spacing w:line="360" w:lineRule="auto"/>
        <w:ind w:left="2880" w:hanging="2880"/>
        <w:contextualSpacing/>
        <w:rPr>
          <w:rFonts w:ascii="Times New Roman" w:hAnsi="Times New Roman"/>
        </w:rPr>
      </w:pPr>
      <w:r w:rsidRPr="00832004">
        <w:rPr>
          <w:rFonts w:ascii="Times New Roman" w:hAnsi="Times New Roman"/>
        </w:rPr>
        <w:t>MTBV</w:t>
      </w:r>
      <w:r w:rsidRPr="00832004">
        <w:rPr>
          <w:rFonts w:ascii="Times New Roman" w:hAnsi="Times New Roman"/>
        </w:rPr>
        <w:tab/>
        <w:t>= book value of equity scaled by market value of equity</w:t>
      </w:r>
    </w:p>
    <w:p w:rsidR="00DC7B1E" w:rsidRPr="00832004" w:rsidRDefault="00DC7B1E" w:rsidP="00832004">
      <w:pPr>
        <w:spacing w:line="360" w:lineRule="auto"/>
        <w:ind w:left="2880" w:hanging="2880"/>
        <w:contextualSpacing/>
        <w:rPr>
          <w:rFonts w:ascii="Times New Roman" w:hAnsi="Times New Roman"/>
        </w:rPr>
      </w:pPr>
      <w:r w:rsidRPr="00832004">
        <w:rPr>
          <w:rFonts w:ascii="Times New Roman" w:hAnsi="Times New Roman"/>
        </w:rPr>
        <w:t>Dummies_YEAR</w:t>
      </w:r>
      <w:r w:rsidRPr="00832004">
        <w:rPr>
          <w:rFonts w:ascii="Times New Roman" w:hAnsi="Times New Roman"/>
        </w:rPr>
        <w:tab/>
        <w:t>= 4 dummy variables for the year in which the executive(s) exercise options</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The control variable D_LEAVING represents whether a firm consists of an executive that exercised option and is leaving during the current year. This variable is included in the empirical model because prior research showed that the extent of earnings management is higher when a firm consists of an executive that hold option compensation and leave the firm in the current year. Although the stock options of a leaving executive do not always lapse after the executive’s leaving, it is the last year in which the executive is able to control his own stock option compensation. Therefore, it is expected that the correlation between discretionary accruals and leaving executive in current year will be positive.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The remaining variables in the regression models above are control variables that are often used in earnings management studies to exclude the possibility that the effect on discretionary accruals is driven by other factors. These variables control for the firm size, sales growth, leverage and market-to-book and those will be discussed below.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rPr>
          <w:rFonts w:ascii="Times New Roman" w:hAnsi="Times New Roman"/>
        </w:rPr>
      </w:pPr>
      <w:r w:rsidRPr="00832004">
        <w:rPr>
          <w:rFonts w:ascii="Times New Roman" w:hAnsi="Times New Roman"/>
        </w:rPr>
        <w:t>SIZE</w:t>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The variable SIZE controls for the firm size. It is expected that firm size has a negative association with earnings management since previous research indicates that larger firms tend to defer earnings to future periods because of political costs [Watts and Zimmerman, 1986; cited </w:t>
      </w:r>
      <w:r>
        <w:rPr>
          <w:rFonts w:ascii="Times New Roman" w:hAnsi="Times New Roman"/>
        </w:rPr>
        <w:t>in</w:t>
      </w:r>
      <w:r w:rsidRPr="00832004">
        <w:rPr>
          <w:rFonts w:ascii="Times New Roman" w:hAnsi="Times New Roman"/>
        </w:rPr>
        <w:t xml:space="preserve">Baker (2003)]. According to the political costs theory, managers of larger companies have more incentives to manage earnings downwards in order to avoid political attention because accounting numbers (specifically reported earnings) of especially larger companies that are more visible influence the actions of regulatory agencies (Chao et al., 2004). For this reason and consistent with the results of Baker (2003), Balsam (2003), Bartov (2001), Cheng and Warfield (2005) and Kadan and Yang (2006), I predict that firm size is negatively correlated with discretionary accruals. </w:t>
      </w:r>
    </w:p>
    <w:p w:rsidR="00DC7B1E" w:rsidRPr="00832004" w:rsidRDefault="00DC7B1E" w:rsidP="00832004">
      <w:pPr>
        <w:spacing w:line="360" w:lineRule="auto"/>
        <w:contextualSpacing/>
        <w:jc w:val="both"/>
        <w:rPr>
          <w:rFonts w:ascii="Times New Roman" w:hAnsi="Times New Roman"/>
          <w:lang w:val="en-GB"/>
        </w:rPr>
      </w:pPr>
    </w:p>
    <w:p w:rsidR="00DC7B1E" w:rsidRPr="00832004" w:rsidRDefault="00DC7B1E" w:rsidP="00832004">
      <w:pPr>
        <w:spacing w:line="360" w:lineRule="auto"/>
        <w:contextualSpacing/>
        <w:rPr>
          <w:rFonts w:ascii="Times New Roman" w:hAnsi="Times New Roman"/>
        </w:rPr>
      </w:pPr>
      <w:r w:rsidRPr="00832004">
        <w:rPr>
          <w:rFonts w:ascii="Times New Roman" w:hAnsi="Times New Roman"/>
        </w:rPr>
        <w:t>GROWTH and MTBV</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Many studies include the sales growth and the market-to-book ratio as control variable in their regression analysis. However, there are differences in the purpose for including those variables. While, for instance, Kuang (2007) control those variables for growth firms, Bergstresser and Philippon (2005) control for the volatile operation environment of firms. Because those variables are often used in studies concerning the relationship between earnings management and executive stock options, this study will adopt those variables in the empirical model. </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It is expected that the market to book value will be negatively related with earnings management. The underlying idea is that a decrease in the market to book value will create incentives to manipulate earnings upwards to boost up the stock prices if executives intend to exercise their stock options soon. By increasing the market value they could increase their option payout. This negative association is also expected for the empirical model for the vesting of executive stock options in the section 4.2.2. If the market value of a firm decreases, it is likely that executives engage in earnings management if their options will be tested on performance criteria in the near future to let their stock options vest. </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In contrast with market to book ratio, I expect a positive correlation between sales growth and earnings management. It is reasonable that executives manage earnings upwards by </w:t>
      </w:r>
    </w:p>
    <w:p w:rsidR="00DC7B1E" w:rsidRPr="00832004" w:rsidRDefault="00DC7B1E" w:rsidP="00832004">
      <w:pPr>
        <w:spacing w:line="360" w:lineRule="auto"/>
        <w:contextualSpacing/>
        <w:rPr>
          <w:rFonts w:ascii="Times New Roman" w:hAnsi="Times New Roman"/>
        </w:rPr>
      </w:pPr>
      <w:r w:rsidRPr="00832004">
        <w:rPr>
          <w:rFonts w:ascii="Times New Roman" w:hAnsi="Times New Roman"/>
        </w:rPr>
        <w:t>LEV</w:t>
      </w:r>
      <w:r w:rsidRPr="00832004">
        <w:rPr>
          <w:rFonts w:ascii="Times New Roman" w:hAnsi="Times New Roman"/>
        </w:rPr>
        <w:tab/>
      </w:r>
      <w:r w:rsidRPr="00832004">
        <w:rPr>
          <w:rFonts w:ascii="Times New Roman" w:hAnsi="Times New Roman"/>
        </w:rPr>
        <w:tab/>
      </w:r>
      <w:r w:rsidRPr="00832004">
        <w:rPr>
          <w:rFonts w:ascii="Times New Roman" w:hAnsi="Times New Roman"/>
        </w:rPr>
        <w:tab/>
      </w:r>
      <w:r w:rsidRPr="00832004">
        <w:rPr>
          <w:rFonts w:ascii="Times New Roman" w:hAnsi="Times New Roman"/>
        </w:rPr>
        <w:tab/>
      </w:r>
    </w:p>
    <w:p w:rsidR="00DC7B1E" w:rsidRPr="00832004" w:rsidRDefault="00DC7B1E" w:rsidP="00832004">
      <w:pPr>
        <w:autoSpaceDE w:val="0"/>
        <w:autoSpaceDN w:val="0"/>
        <w:adjustRightInd w:val="0"/>
        <w:spacing w:line="360" w:lineRule="auto"/>
        <w:contextualSpacing/>
        <w:jc w:val="both"/>
        <w:rPr>
          <w:rFonts w:ascii="Times New Roman" w:hAnsi="Times New Roman"/>
        </w:rPr>
      </w:pPr>
      <w:r w:rsidRPr="00832004">
        <w:rPr>
          <w:rFonts w:ascii="Times New Roman" w:hAnsi="Times New Roman"/>
        </w:rPr>
        <w:t xml:space="preserve">This variable stands for the leverage of a firm which controls for the firm’s debt covenants. As DeFond and Jiambalvo showed, firms with more debt tend to engage in more earnings management because they want to avoid violation with debt covenants which could impose heavy costs. Therefore, it is expected that the leverage of a firm will be positively related with earnings management. To control for the possibility that executives manage earnings to avoid violation of debt covenants, this variable is included in the empirical model. Following Balsam et al. (2003) and Kuang (2007), the leverage is calculated as total debt divided by total assets. </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Dummies_YEAR </w:t>
      </w: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A variable is included to indicate the year in which the executives exercise their options. The following dummy variables are created: D_2004, D_2005, D_2006 and D_2007.</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Combining the dummy variables in the regression model result in the following model:</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DA = a</w:t>
      </w:r>
      <w:r w:rsidRPr="00832004">
        <w:rPr>
          <w:rFonts w:ascii="Times New Roman" w:hAnsi="Times New Roman"/>
          <w:vertAlign w:val="subscript"/>
        </w:rPr>
        <w:t>1</w:t>
      </w:r>
      <w:r w:rsidRPr="00832004">
        <w:rPr>
          <w:rFonts w:ascii="Times New Roman" w:hAnsi="Times New Roman"/>
        </w:rPr>
        <w:t>*D_CEO + a</w:t>
      </w:r>
      <w:r w:rsidRPr="00832004">
        <w:rPr>
          <w:rFonts w:ascii="Times New Roman" w:hAnsi="Times New Roman"/>
          <w:vertAlign w:val="subscript"/>
        </w:rPr>
        <w:t>2</w:t>
      </w:r>
      <w:r w:rsidRPr="00832004">
        <w:rPr>
          <w:rFonts w:ascii="Times New Roman" w:hAnsi="Times New Roman"/>
        </w:rPr>
        <w:t>*D_CFO + a</w:t>
      </w:r>
      <w:r w:rsidRPr="00832004">
        <w:rPr>
          <w:rFonts w:ascii="Times New Roman" w:hAnsi="Times New Roman"/>
          <w:vertAlign w:val="subscript"/>
        </w:rPr>
        <w:t>3</w:t>
      </w:r>
      <w:r w:rsidRPr="00832004">
        <w:rPr>
          <w:rFonts w:ascii="Times New Roman" w:hAnsi="Times New Roman"/>
        </w:rPr>
        <w:t>*D_OTHER + a</w:t>
      </w:r>
      <w:r w:rsidRPr="00832004">
        <w:rPr>
          <w:rFonts w:ascii="Times New Roman" w:hAnsi="Times New Roman"/>
          <w:vertAlign w:val="subscript"/>
        </w:rPr>
        <w:t>4</w:t>
      </w:r>
      <w:r w:rsidRPr="00832004">
        <w:rPr>
          <w:rFonts w:ascii="Times New Roman" w:hAnsi="Times New Roman"/>
        </w:rPr>
        <w:t>*D_CEO_CFO + a</w:t>
      </w:r>
      <w:r w:rsidRPr="00832004">
        <w:rPr>
          <w:rFonts w:ascii="Times New Roman" w:hAnsi="Times New Roman"/>
          <w:vertAlign w:val="subscript"/>
        </w:rPr>
        <w:t>5</w:t>
      </w:r>
      <w:r w:rsidRPr="00832004">
        <w:rPr>
          <w:rFonts w:ascii="Times New Roman" w:hAnsi="Times New Roman"/>
        </w:rPr>
        <w:t>*D_CEO_OTHER + a</w:t>
      </w:r>
      <w:r w:rsidRPr="00832004">
        <w:rPr>
          <w:rFonts w:ascii="Times New Roman" w:hAnsi="Times New Roman"/>
          <w:vertAlign w:val="subscript"/>
        </w:rPr>
        <w:t>6</w:t>
      </w:r>
      <w:r w:rsidRPr="00832004">
        <w:rPr>
          <w:rFonts w:ascii="Times New Roman" w:hAnsi="Times New Roman"/>
        </w:rPr>
        <w:t>*D_CFO_OTHER + a</w:t>
      </w:r>
      <w:r w:rsidRPr="00832004">
        <w:rPr>
          <w:rFonts w:ascii="Times New Roman" w:hAnsi="Times New Roman"/>
          <w:vertAlign w:val="subscript"/>
        </w:rPr>
        <w:t>7</w:t>
      </w:r>
      <w:r w:rsidRPr="00832004">
        <w:rPr>
          <w:rFonts w:ascii="Times New Roman" w:hAnsi="Times New Roman"/>
        </w:rPr>
        <w:t>*D_CEO_CFO_OTHER + a</w:t>
      </w:r>
      <w:r w:rsidRPr="00832004">
        <w:rPr>
          <w:rFonts w:ascii="Times New Roman" w:hAnsi="Times New Roman"/>
          <w:vertAlign w:val="subscript"/>
        </w:rPr>
        <w:t>8</w:t>
      </w:r>
      <w:r w:rsidRPr="00832004">
        <w:rPr>
          <w:rFonts w:ascii="Times New Roman" w:hAnsi="Times New Roman"/>
        </w:rPr>
        <w:t>*N_OPTIONS + a</w:t>
      </w:r>
      <w:r w:rsidRPr="00832004">
        <w:rPr>
          <w:rFonts w:ascii="Times New Roman" w:hAnsi="Times New Roman"/>
          <w:vertAlign w:val="subscript"/>
        </w:rPr>
        <w:t>9</w:t>
      </w:r>
      <w:r w:rsidRPr="00832004">
        <w:rPr>
          <w:rFonts w:ascii="Times New Roman" w:hAnsi="Times New Roman"/>
        </w:rPr>
        <w:t>*GAIN + a</w:t>
      </w:r>
      <w:r w:rsidRPr="00832004">
        <w:rPr>
          <w:rFonts w:ascii="Times New Roman" w:hAnsi="Times New Roman"/>
          <w:vertAlign w:val="subscript"/>
        </w:rPr>
        <w:t>10</w:t>
      </w:r>
      <w:r w:rsidRPr="00832004">
        <w:rPr>
          <w:rFonts w:ascii="Times New Roman" w:hAnsi="Times New Roman"/>
        </w:rPr>
        <w:t>*D_LEAVING + a</w:t>
      </w:r>
      <w:r w:rsidRPr="00832004">
        <w:rPr>
          <w:rFonts w:ascii="Times New Roman" w:hAnsi="Times New Roman"/>
          <w:vertAlign w:val="subscript"/>
        </w:rPr>
        <w:t>11</w:t>
      </w:r>
      <w:r w:rsidRPr="00832004">
        <w:rPr>
          <w:rFonts w:ascii="Times New Roman" w:hAnsi="Times New Roman"/>
        </w:rPr>
        <w:t>*LEV + a</w:t>
      </w:r>
      <w:r w:rsidRPr="00832004">
        <w:rPr>
          <w:rFonts w:ascii="Times New Roman" w:hAnsi="Times New Roman"/>
          <w:vertAlign w:val="subscript"/>
        </w:rPr>
        <w:t>12</w:t>
      </w:r>
      <w:r w:rsidRPr="00832004">
        <w:rPr>
          <w:rFonts w:ascii="Times New Roman" w:hAnsi="Times New Roman"/>
        </w:rPr>
        <w:t>*GROWTH + a</w:t>
      </w:r>
      <w:r w:rsidRPr="00832004">
        <w:rPr>
          <w:rFonts w:ascii="Times New Roman" w:hAnsi="Times New Roman"/>
          <w:vertAlign w:val="subscript"/>
        </w:rPr>
        <w:t>13</w:t>
      </w:r>
      <w:r w:rsidRPr="00832004">
        <w:rPr>
          <w:rFonts w:ascii="Times New Roman" w:hAnsi="Times New Roman"/>
        </w:rPr>
        <w:t>*SIZE + a</w:t>
      </w:r>
      <w:r w:rsidRPr="00832004">
        <w:rPr>
          <w:rFonts w:ascii="Times New Roman" w:hAnsi="Times New Roman"/>
          <w:vertAlign w:val="subscript"/>
        </w:rPr>
        <w:t>14</w:t>
      </w:r>
      <w:r w:rsidRPr="00832004">
        <w:rPr>
          <w:rFonts w:ascii="Times New Roman" w:hAnsi="Times New Roman"/>
        </w:rPr>
        <w:t>*MTBV + a</w:t>
      </w:r>
      <w:r w:rsidRPr="00832004">
        <w:rPr>
          <w:rFonts w:ascii="Times New Roman" w:hAnsi="Times New Roman"/>
          <w:vertAlign w:val="subscript"/>
        </w:rPr>
        <w:t>15</w:t>
      </w:r>
      <w:r w:rsidRPr="00832004">
        <w:rPr>
          <w:rFonts w:ascii="Times New Roman" w:hAnsi="Times New Roman"/>
        </w:rPr>
        <w:t>*D_2005 + a</w:t>
      </w:r>
      <w:r w:rsidRPr="00832004">
        <w:rPr>
          <w:rFonts w:ascii="Times New Roman" w:hAnsi="Times New Roman"/>
          <w:vertAlign w:val="subscript"/>
        </w:rPr>
        <w:t>16</w:t>
      </w:r>
      <w:r w:rsidRPr="00832004">
        <w:rPr>
          <w:rFonts w:ascii="Times New Roman" w:hAnsi="Times New Roman"/>
        </w:rPr>
        <w:t>*D_2006 + a</w:t>
      </w:r>
      <w:r w:rsidRPr="00832004">
        <w:rPr>
          <w:rFonts w:ascii="Times New Roman" w:hAnsi="Times New Roman"/>
          <w:vertAlign w:val="subscript"/>
        </w:rPr>
        <w:t>17</w:t>
      </w:r>
      <w:r w:rsidRPr="00832004">
        <w:rPr>
          <w:rFonts w:ascii="Times New Roman" w:hAnsi="Times New Roman"/>
        </w:rPr>
        <w:t>*D_2007</w:t>
      </w:r>
    </w:p>
    <w:p w:rsidR="00DC7B1E" w:rsidRPr="00832004" w:rsidRDefault="00DC7B1E" w:rsidP="00832004">
      <w:pPr>
        <w:spacing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43" w:name="_Toc234567983"/>
      <w:r w:rsidRPr="00A84A74">
        <w:rPr>
          <w:i/>
          <w:sz w:val="22"/>
          <w:szCs w:val="22"/>
        </w:rPr>
        <w:t>4.2.2</w:t>
      </w:r>
      <w:r w:rsidRPr="00A84A74">
        <w:rPr>
          <w:i/>
          <w:sz w:val="22"/>
          <w:szCs w:val="22"/>
        </w:rPr>
        <w:tab/>
        <w:t>Empirical model for H</w:t>
      </w:r>
      <w:r>
        <w:rPr>
          <w:i/>
          <w:sz w:val="22"/>
          <w:szCs w:val="22"/>
        </w:rPr>
        <w:t>4</w:t>
      </w:r>
      <w:r w:rsidRPr="00A84A74">
        <w:rPr>
          <w:i/>
          <w:sz w:val="22"/>
          <w:szCs w:val="22"/>
        </w:rPr>
        <w:t xml:space="preserve"> and H</w:t>
      </w:r>
      <w:r>
        <w:rPr>
          <w:i/>
          <w:sz w:val="22"/>
          <w:szCs w:val="22"/>
        </w:rPr>
        <w:t>5</w:t>
      </w:r>
      <w:bookmarkEnd w:id="43"/>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In the analysis of H5 a distinction should be made between the vesting of performance stock options and traditional stock options where the latter is not attached with performance criteria. This is necessary to control for the effect of both kind of stock options being mixed together. Therefore, the following empirical is developed.</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rPr>
          <w:rFonts w:ascii="Times New Roman" w:hAnsi="Times New Roman"/>
        </w:rPr>
      </w:pPr>
      <w:r w:rsidRPr="00832004">
        <w:rPr>
          <w:rFonts w:ascii="Times New Roman" w:hAnsi="Times New Roman"/>
        </w:rPr>
        <w:t>DA = a</w:t>
      </w:r>
      <w:r w:rsidRPr="00832004">
        <w:rPr>
          <w:rFonts w:ascii="Times New Roman" w:hAnsi="Times New Roman"/>
          <w:vertAlign w:val="subscript"/>
        </w:rPr>
        <w:t>1</w:t>
      </w:r>
      <w:r w:rsidRPr="00832004">
        <w:rPr>
          <w:rFonts w:ascii="Times New Roman" w:hAnsi="Times New Roman"/>
        </w:rPr>
        <w:t>*PSO + a</w:t>
      </w:r>
      <w:r w:rsidRPr="00832004">
        <w:rPr>
          <w:rFonts w:ascii="Times New Roman" w:hAnsi="Times New Roman"/>
          <w:vertAlign w:val="subscript"/>
        </w:rPr>
        <w:t>2</w:t>
      </w:r>
      <w:r w:rsidRPr="00832004">
        <w:rPr>
          <w:rFonts w:ascii="Times New Roman" w:hAnsi="Times New Roman"/>
        </w:rPr>
        <w:t>*TSO</w:t>
      </w:r>
      <w:r>
        <w:rPr>
          <w:rFonts w:ascii="Times New Roman" w:hAnsi="Times New Roman"/>
        </w:rPr>
        <w:t>%</w:t>
      </w:r>
      <w:r w:rsidRPr="00832004">
        <w:rPr>
          <w:rFonts w:ascii="Times New Roman" w:hAnsi="Times New Roman"/>
        </w:rPr>
        <w:t xml:space="preserve"> + a</w:t>
      </w:r>
      <w:r w:rsidRPr="00832004">
        <w:rPr>
          <w:rFonts w:ascii="Times New Roman" w:hAnsi="Times New Roman"/>
          <w:vertAlign w:val="subscript"/>
        </w:rPr>
        <w:t>3</w:t>
      </w:r>
      <w:r w:rsidRPr="00832004">
        <w:rPr>
          <w:rFonts w:ascii="Times New Roman" w:hAnsi="Times New Roman"/>
        </w:rPr>
        <w:t>*PSO</w:t>
      </w:r>
      <w:r>
        <w:rPr>
          <w:rFonts w:ascii="Times New Roman" w:hAnsi="Times New Roman"/>
        </w:rPr>
        <w:t>%</w:t>
      </w:r>
      <w:r w:rsidRPr="00832004">
        <w:rPr>
          <w:rFonts w:ascii="Times New Roman" w:hAnsi="Times New Roman"/>
        </w:rPr>
        <w:t xml:space="preserve"> + a</w:t>
      </w:r>
      <w:r w:rsidRPr="00832004">
        <w:rPr>
          <w:rFonts w:ascii="Times New Roman" w:hAnsi="Times New Roman"/>
          <w:vertAlign w:val="subscript"/>
        </w:rPr>
        <w:t>4</w:t>
      </w:r>
      <w:r w:rsidRPr="00832004">
        <w:rPr>
          <w:rFonts w:ascii="Times New Roman" w:hAnsi="Times New Roman"/>
        </w:rPr>
        <w:t>*TSO</w:t>
      </w:r>
      <w:r>
        <w:rPr>
          <w:rFonts w:ascii="Times New Roman" w:hAnsi="Times New Roman"/>
        </w:rPr>
        <w:t>%</w:t>
      </w:r>
      <w:r w:rsidRPr="00832004">
        <w:rPr>
          <w:rFonts w:ascii="Times New Roman" w:hAnsi="Times New Roman"/>
        </w:rPr>
        <w:t xml:space="preserve"> + a</w:t>
      </w:r>
      <w:r w:rsidRPr="00832004">
        <w:rPr>
          <w:rFonts w:ascii="Times New Roman" w:hAnsi="Times New Roman"/>
          <w:vertAlign w:val="subscript"/>
        </w:rPr>
        <w:t>5</w:t>
      </w:r>
      <w:r w:rsidRPr="00832004">
        <w:rPr>
          <w:rFonts w:ascii="Times New Roman" w:hAnsi="Times New Roman"/>
        </w:rPr>
        <w:t>*MONEY_PSO + a</w:t>
      </w:r>
      <w:r w:rsidRPr="00832004">
        <w:rPr>
          <w:rFonts w:ascii="Times New Roman" w:hAnsi="Times New Roman"/>
          <w:vertAlign w:val="subscript"/>
        </w:rPr>
        <w:t>6</w:t>
      </w:r>
      <w:r w:rsidRPr="00832004">
        <w:rPr>
          <w:rFonts w:ascii="Times New Roman" w:hAnsi="Times New Roman"/>
        </w:rPr>
        <w:t>*MONEY_TSO + a</w:t>
      </w:r>
      <w:r w:rsidRPr="00832004">
        <w:rPr>
          <w:rFonts w:ascii="Times New Roman" w:hAnsi="Times New Roman"/>
          <w:vertAlign w:val="subscript"/>
        </w:rPr>
        <w:t>7</w:t>
      </w:r>
      <w:r w:rsidRPr="00832004">
        <w:rPr>
          <w:rFonts w:ascii="Times New Roman" w:hAnsi="Times New Roman"/>
        </w:rPr>
        <w:t>*SIZE + a</w:t>
      </w:r>
      <w:r w:rsidRPr="00832004">
        <w:rPr>
          <w:rFonts w:ascii="Times New Roman" w:hAnsi="Times New Roman"/>
          <w:vertAlign w:val="subscript"/>
        </w:rPr>
        <w:t>8</w:t>
      </w:r>
      <w:r w:rsidRPr="00832004">
        <w:rPr>
          <w:rFonts w:ascii="Times New Roman" w:hAnsi="Times New Roman"/>
        </w:rPr>
        <w:t>*GROWTH + a</w:t>
      </w:r>
      <w:r w:rsidRPr="00832004">
        <w:rPr>
          <w:rFonts w:ascii="Times New Roman" w:hAnsi="Times New Roman"/>
          <w:vertAlign w:val="subscript"/>
        </w:rPr>
        <w:t>9</w:t>
      </w:r>
      <w:r w:rsidRPr="00832004">
        <w:rPr>
          <w:rFonts w:ascii="Times New Roman" w:hAnsi="Times New Roman"/>
        </w:rPr>
        <w:t>*LEV + a</w:t>
      </w:r>
      <w:r w:rsidRPr="00832004">
        <w:rPr>
          <w:rFonts w:ascii="Times New Roman" w:hAnsi="Times New Roman"/>
          <w:vertAlign w:val="subscript"/>
        </w:rPr>
        <w:t>10</w:t>
      </w:r>
      <w:r w:rsidRPr="00832004">
        <w:rPr>
          <w:rFonts w:ascii="Times New Roman" w:hAnsi="Times New Roman"/>
        </w:rPr>
        <w:t>*BTMV + a</w:t>
      </w:r>
      <w:r w:rsidRPr="00832004">
        <w:rPr>
          <w:rFonts w:ascii="Times New Roman" w:hAnsi="Times New Roman"/>
          <w:vertAlign w:val="subscript"/>
        </w:rPr>
        <w:t>s11</w:t>
      </w:r>
      <w:r w:rsidRPr="00832004">
        <w:rPr>
          <w:rFonts w:ascii="Times New Roman" w:hAnsi="Times New Roman"/>
        </w:rPr>
        <w:t>*D_2005 + a</w:t>
      </w:r>
      <w:r w:rsidRPr="00832004">
        <w:rPr>
          <w:rFonts w:ascii="Times New Roman" w:hAnsi="Times New Roman"/>
          <w:vertAlign w:val="subscript"/>
        </w:rPr>
        <w:t>12</w:t>
      </w:r>
      <w:r w:rsidRPr="00832004">
        <w:rPr>
          <w:rFonts w:ascii="Times New Roman" w:hAnsi="Times New Roman"/>
        </w:rPr>
        <w:t>*D_2005 + a</w:t>
      </w:r>
      <w:r w:rsidRPr="00832004">
        <w:rPr>
          <w:rFonts w:ascii="Times New Roman" w:hAnsi="Times New Roman"/>
          <w:vertAlign w:val="subscript"/>
        </w:rPr>
        <w:t>13</w:t>
      </w:r>
      <w:r w:rsidRPr="00832004">
        <w:rPr>
          <w:rFonts w:ascii="Times New Roman" w:hAnsi="Times New Roman"/>
        </w:rPr>
        <w:t>*D_2006 + a</w:t>
      </w:r>
      <w:r w:rsidRPr="00832004">
        <w:rPr>
          <w:rFonts w:ascii="Times New Roman" w:hAnsi="Times New Roman"/>
          <w:vertAlign w:val="subscript"/>
        </w:rPr>
        <w:t>14</w:t>
      </w:r>
      <w:r w:rsidRPr="00832004">
        <w:rPr>
          <w:rFonts w:ascii="Times New Roman" w:hAnsi="Times New Roman"/>
        </w:rPr>
        <w:t>*D_2007</w:t>
      </w:r>
    </w:p>
    <w:p w:rsidR="00DC7B1E" w:rsidRDefault="00DC7B1E" w:rsidP="00832004">
      <w:pPr>
        <w:spacing w:line="360" w:lineRule="auto"/>
        <w:contextualSpacing/>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Where:</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ind w:left="2160" w:hanging="2160"/>
        <w:contextualSpacing/>
        <w:jc w:val="both"/>
        <w:rPr>
          <w:rFonts w:ascii="Times New Roman" w:hAnsi="Times New Roman"/>
        </w:rPr>
      </w:pPr>
      <w:r w:rsidRPr="00832004">
        <w:rPr>
          <w:rFonts w:ascii="Times New Roman" w:hAnsi="Times New Roman"/>
        </w:rPr>
        <w:t>PSO</w:t>
      </w:r>
      <w:r>
        <w:rPr>
          <w:rFonts w:ascii="Times New Roman" w:hAnsi="Times New Roman"/>
        </w:rPr>
        <w:t>%</w:t>
      </w:r>
      <w:r w:rsidRPr="00832004">
        <w:rPr>
          <w:rFonts w:ascii="Times New Roman" w:hAnsi="Times New Roman"/>
        </w:rPr>
        <w:tab/>
        <w:t>= the number of performance stock options that become exercisable during this year relative to the total number of performance stock options that executives hold at the beginning of the vesting year</w:t>
      </w:r>
    </w:p>
    <w:p w:rsidR="00DC7B1E" w:rsidRPr="00832004" w:rsidRDefault="00DC7B1E" w:rsidP="00832004">
      <w:pPr>
        <w:spacing w:line="360" w:lineRule="auto"/>
        <w:ind w:left="2160" w:hanging="2160"/>
        <w:contextualSpacing/>
        <w:jc w:val="both"/>
        <w:rPr>
          <w:rFonts w:ascii="Times New Roman" w:hAnsi="Times New Roman"/>
        </w:rPr>
      </w:pPr>
      <w:r>
        <w:rPr>
          <w:rFonts w:ascii="Times New Roman" w:hAnsi="Times New Roman"/>
        </w:rPr>
        <w:t>T</w:t>
      </w:r>
      <w:r w:rsidRPr="00832004">
        <w:rPr>
          <w:rFonts w:ascii="Times New Roman" w:hAnsi="Times New Roman"/>
        </w:rPr>
        <w:t>SO</w:t>
      </w:r>
      <w:r>
        <w:rPr>
          <w:rFonts w:ascii="Times New Roman" w:hAnsi="Times New Roman"/>
        </w:rPr>
        <w:t>%</w:t>
      </w:r>
      <w:r w:rsidRPr="00832004">
        <w:rPr>
          <w:rFonts w:ascii="Times New Roman" w:hAnsi="Times New Roman"/>
        </w:rPr>
        <w:tab/>
        <w:t>= the number of traditional stock options that become exercisable during this year relative to the total number of traditional stock options that executives hold at the beginning of the vesting year</w:t>
      </w:r>
    </w:p>
    <w:p w:rsidR="00DC7B1E" w:rsidRPr="00832004" w:rsidRDefault="00DC7B1E" w:rsidP="00832004">
      <w:pPr>
        <w:spacing w:line="360" w:lineRule="auto"/>
        <w:ind w:left="2160" w:hanging="2160"/>
        <w:contextualSpacing/>
        <w:jc w:val="both"/>
        <w:rPr>
          <w:rFonts w:ascii="Times New Roman" w:hAnsi="Times New Roman"/>
        </w:rPr>
      </w:pPr>
      <w:r w:rsidRPr="00832004">
        <w:rPr>
          <w:rFonts w:ascii="Times New Roman" w:hAnsi="Times New Roman"/>
        </w:rPr>
        <w:t>MONEY_PSO</w:t>
      </w:r>
      <w:r w:rsidRPr="00832004">
        <w:rPr>
          <w:rFonts w:ascii="Times New Roman" w:hAnsi="Times New Roman"/>
        </w:rPr>
        <w:tab/>
        <w:t>= the number of performance vested stock options x (share price at 1/1 minus the exercise price)</w:t>
      </w:r>
    </w:p>
    <w:p w:rsidR="00DC7B1E" w:rsidRPr="00832004" w:rsidRDefault="00DC7B1E" w:rsidP="00832004">
      <w:pPr>
        <w:spacing w:line="360" w:lineRule="auto"/>
        <w:ind w:left="2160" w:hanging="2160"/>
        <w:contextualSpacing/>
        <w:jc w:val="both"/>
        <w:rPr>
          <w:rFonts w:ascii="Times New Roman" w:hAnsi="Times New Roman"/>
        </w:rPr>
      </w:pPr>
      <w:r w:rsidRPr="00832004">
        <w:rPr>
          <w:rFonts w:ascii="Times New Roman" w:hAnsi="Times New Roman"/>
        </w:rPr>
        <w:t>MONEY_TSO</w:t>
      </w:r>
      <w:r w:rsidRPr="00832004">
        <w:rPr>
          <w:rFonts w:ascii="Times New Roman" w:hAnsi="Times New Roman"/>
        </w:rPr>
        <w:tab/>
        <w:t>= the number of non-performance vested stock options x (share price at 1/1 minus the exercise price)</w:t>
      </w:r>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 xml:space="preserve">The control variables that are included in this regression are already discussed in the previous paragraph. </w:t>
      </w:r>
    </w:p>
    <w:p w:rsidR="00DC7B1E" w:rsidRPr="00832004" w:rsidRDefault="00DC7B1E" w:rsidP="00832004">
      <w:pPr>
        <w:spacing w:line="360" w:lineRule="auto"/>
        <w:contextualSpacing/>
        <w:jc w:val="both"/>
        <w:rPr>
          <w:rFonts w:ascii="Times New Roman" w:hAnsi="Times New Roman"/>
        </w:rPr>
      </w:pPr>
    </w:p>
    <w:p w:rsidR="00DC7B1E" w:rsidRPr="00A84A74" w:rsidRDefault="00DC7B1E" w:rsidP="00A84A74">
      <w:pPr>
        <w:pStyle w:val="Heading2"/>
        <w:spacing w:before="60" w:line="360" w:lineRule="auto"/>
        <w:contextualSpacing/>
        <w:rPr>
          <w:i w:val="0"/>
          <w:sz w:val="24"/>
          <w:szCs w:val="24"/>
        </w:rPr>
      </w:pPr>
      <w:bookmarkStart w:id="44" w:name="_Toc234567984"/>
      <w:r w:rsidRPr="00A84A74">
        <w:rPr>
          <w:i w:val="0"/>
          <w:sz w:val="24"/>
          <w:szCs w:val="24"/>
        </w:rPr>
        <w:t>4.3</w:t>
      </w:r>
      <w:r w:rsidRPr="00A84A74">
        <w:rPr>
          <w:i w:val="0"/>
          <w:sz w:val="24"/>
          <w:szCs w:val="24"/>
        </w:rPr>
        <w:tab/>
        <w:t>Sample selection</w:t>
      </w:r>
      <w:bookmarkEnd w:id="44"/>
    </w:p>
    <w:p w:rsidR="00DC7B1E" w:rsidRPr="00832004" w:rsidRDefault="00DC7B1E" w:rsidP="00832004">
      <w:pPr>
        <w:spacing w:line="360" w:lineRule="auto"/>
        <w:contextualSpacing/>
        <w:jc w:val="both"/>
        <w:rPr>
          <w:rFonts w:ascii="Times New Roman" w:hAnsi="Times New Roman"/>
        </w:rPr>
      </w:pPr>
    </w:p>
    <w:p w:rsidR="00DC7B1E" w:rsidRPr="00832004" w:rsidRDefault="00DC7B1E" w:rsidP="00832004">
      <w:pPr>
        <w:spacing w:line="360" w:lineRule="auto"/>
        <w:contextualSpacing/>
        <w:jc w:val="both"/>
        <w:rPr>
          <w:rFonts w:ascii="Times New Roman" w:hAnsi="Times New Roman"/>
        </w:rPr>
      </w:pPr>
      <w:r w:rsidRPr="00832004">
        <w:rPr>
          <w:rFonts w:ascii="Times New Roman" w:hAnsi="Times New Roman"/>
        </w:rPr>
        <w:t>The sample consists of UK companies at the FTSE 350 in the period 2004 - 2007. Since annual reports of the year 2008 are not available yet for each firm, this year is not included in the sample. In the selection of the sample, utilities (SIC codes 4900-4999) and financial institutions (6000-6999) are excluded since those firms are often eliminated in earnings management studies for the reason that the operations of those companies and the way in which financial statements are reported differ significantly from th</w:t>
      </w:r>
      <w:r>
        <w:rPr>
          <w:rFonts w:ascii="Times New Roman" w:hAnsi="Times New Roman"/>
        </w:rPr>
        <w:t>ose</w:t>
      </w:r>
      <w:r w:rsidRPr="00832004">
        <w:rPr>
          <w:rFonts w:ascii="Times New Roman" w:hAnsi="Times New Roman"/>
        </w:rPr>
        <w:t xml:space="preserve"> of companies in other industries. Additionally, those firms might have other motivations for earnings management than firms in other industries (Baker et al., 2003; Cheng and Warfield, 2005; Gao and Shrieves, 2002; McAnally et al., 2008). </w:t>
      </w:r>
    </w:p>
    <w:p w:rsidR="00DC7B1E" w:rsidRPr="00832004" w:rsidRDefault="00DC7B1E" w:rsidP="00832004">
      <w:pPr>
        <w:spacing w:line="360" w:lineRule="auto"/>
        <w:contextualSpacing/>
        <w:jc w:val="both"/>
        <w:rPr>
          <w:rFonts w:ascii="Times New Roman" w:hAnsi="Times New Roman"/>
          <w:color w:val="000000"/>
        </w:rPr>
      </w:pPr>
      <w:r w:rsidRPr="00832004">
        <w:rPr>
          <w:rFonts w:ascii="Times New Roman" w:hAnsi="Times New Roman"/>
        </w:rPr>
        <w:t xml:space="preserve">Although scientific researchers do not exclude mergers and acquisitions, this research eliminate mergers and acquisitions from the sample because those firms may have significant business changes that could distort the estimation of the parameters in the modified Jones Model. By excluding them, it ensures that it will prevent the possibility that the results of the research will be biased. Further, firms with missing financial data and annual reports are also excluded. At last, firms in industry groups that have a too small control group to estimate the industry specific parameters for the calculation of the discretionary accruals are also eliminated. Whether an industry group will be eliminated from the sample, a tradeoff has been made between the reliability of the estimation of the parameters and the size of the sample. Eventually, the line is drawn on 7 firms. Industry groups that have less than 7 comparable firms in the control group are eliminated. </w:t>
      </w:r>
    </w:p>
    <w:p w:rsidR="00DC7B1E" w:rsidRPr="00832004" w:rsidRDefault="00DC7B1E" w:rsidP="00832004">
      <w:pPr>
        <w:spacing w:line="360" w:lineRule="auto"/>
        <w:contextualSpacing/>
        <w:jc w:val="both"/>
        <w:rPr>
          <w:rFonts w:ascii="Times New Roman" w:hAnsi="Times New Roman"/>
          <w:color w:val="000000"/>
        </w:rPr>
      </w:pPr>
      <w:r w:rsidRPr="00832004">
        <w:rPr>
          <w:rFonts w:ascii="Times New Roman" w:hAnsi="Times New Roman"/>
          <w:color w:val="000000"/>
        </w:rPr>
        <w:t xml:space="preserve">After analyzing compensation data in annual reports, 2 firms </w:t>
      </w:r>
      <w:r w:rsidRPr="00832004">
        <w:rPr>
          <w:rFonts w:ascii="Times New Roman" w:hAnsi="Times New Roman"/>
        </w:rPr>
        <w:t>appear to contain options with exercise prices in foreign currency because some of the executives operate in a division of a different country than the UK. Since the exercise price is necessary for the calculation of both the aggregate gain and the moneyness of the options, the final sample consists of 88 firms.</w:t>
      </w:r>
      <w:r w:rsidRPr="00832004">
        <w:rPr>
          <w:rFonts w:ascii="Times New Roman" w:hAnsi="Times New Roman"/>
          <w:color w:val="000000"/>
        </w:rPr>
        <w:t xml:space="preserve"> </w:t>
      </w:r>
      <w:r w:rsidRPr="00832004">
        <w:rPr>
          <w:rFonts w:ascii="Times New Roman" w:hAnsi="Times New Roman"/>
        </w:rPr>
        <w:t>A summary of the sample selection process is presented in the table</w:t>
      </w:r>
      <w:r w:rsidRPr="00832004">
        <w:rPr>
          <w:rFonts w:ascii="Times New Roman" w:hAnsi="Times New Roman"/>
          <w:color w:val="000000"/>
        </w:rPr>
        <w:t xml:space="preserve"> below. </w:t>
      </w:r>
    </w:p>
    <w:p w:rsidR="00DC7B1E" w:rsidRPr="00AC7CE7" w:rsidRDefault="00DC7B1E" w:rsidP="00A94509">
      <w:pPr>
        <w:spacing w:line="360" w:lineRule="auto"/>
        <w:contextualSpacing/>
        <w:jc w:val="both"/>
        <w:rPr>
          <w:rFonts w:ascii="Arial" w:hAnsi="Arial" w:cs="Arial"/>
          <w:sz w:val="20"/>
          <w:szCs w:val="20"/>
        </w:rPr>
      </w:pPr>
      <w:r>
        <w:rPr>
          <w:noProof/>
        </w:rPr>
      </w:r>
      <w:r w:rsidRPr="00552783">
        <w:rPr>
          <w:rFonts w:ascii="Arial" w:hAnsi="Arial" w:cs="Arial"/>
          <w:sz w:val="20"/>
          <w:szCs w:val="20"/>
        </w:rPr>
        <w:pict>
          <v:shape id="_x0000_s1035" type="#_x0000_t202" style="width:320.95pt;height:384.5pt;mso-position-horizontal-relative:char;mso-position-vertical-relative:line" filled="f" fillcolor="#a2c2e8">
            <v:shadow on="t" color="#548dd4" opacity=".5" offset="6pt,-6pt"/>
            <v:textbox style="mso-next-textbox:#_x0000_s1035">
              <w:txbxContent>
                <w:p w:rsidR="00DC7B1E" w:rsidRDefault="00DC7B1E" w:rsidP="00265DFC">
                  <w:pPr>
                    <w:spacing w:line="360" w:lineRule="auto"/>
                    <w:contextualSpacing/>
                    <w:jc w:val="both"/>
                    <w:rPr>
                      <w:rFonts w:ascii="Arial" w:hAnsi="Arial" w:cs="Arial"/>
                      <w:b/>
                      <w:smallCaps/>
                    </w:rPr>
                  </w:pPr>
                </w:p>
                <w:p w:rsidR="00DC7B1E" w:rsidRPr="008D0D6B" w:rsidRDefault="00DC7B1E" w:rsidP="007F6182">
                  <w:pPr>
                    <w:spacing w:line="360" w:lineRule="auto"/>
                    <w:ind w:firstLine="720"/>
                    <w:contextualSpacing/>
                    <w:jc w:val="both"/>
                    <w:rPr>
                      <w:b/>
                    </w:rPr>
                  </w:pPr>
                  <w:r w:rsidRPr="008D0D6B">
                    <w:rPr>
                      <w:b/>
                    </w:rPr>
                    <w:t>Table 1 Sample selection</w:t>
                  </w:r>
                </w:p>
                <w:p w:rsidR="00DC7B1E" w:rsidRPr="008D0D6B" w:rsidRDefault="00DC7B1E" w:rsidP="00265DFC">
                  <w:pPr>
                    <w:spacing w:line="360" w:lineRule="auto"/>
                    <w:contextualSpacing/>
                    <w:jc w:val="both"/>
                    <w:rPr>
                      <w:sz w:val="20"/>
                      <w:szCs w:val="20"/>
                    </w:rPr>
                  </w:pPr>
                </w:p>
                <w:p w:rsidR="00DC7B1E" w:rsidRPr="008D0D6B" w:rsidRDefault="00DC7B1E" w:rsidP="007F6182">
                  <w:pPr>
                    <w:spacing w:line="360" w:lineRule="auto"/>
                    <w:ind w:firstLine="720"/>
                    <w:contextualSpacing/>
                    <w:jc w:val="both"/>
                    <w:rPr>
                      <w:sz w:val="20"/>
                      <w:szCs w:val="20"/>
                    </w:rPr>
                  </w:pPr>
                  <w:r w:rsidRPr="008D0D6B">
                    <w:rPr>
                      <w:sz w:val="20"/>
                      <w:szCs w:val="20"/>
                    </w:rPr>
                    <w:t>Companies on FTSE 350</w:t>
                  </w:r>
                  <w:r w:rsidRPr="008D0D6B">
                    <w:rPr>
                      <w:sz w:val="20"/>
                      <w:szCs w:val="20"/>
                    </w:rPr>
                    <w:tab/>
                  </w:r>
                  <w:r w:rsidRPr="008D0D6B">
                    <w:rPr>
                      <w:sz w:val="20"/>
                      <w:szCs w:val="20"/>
                    </w:rPr>
                    <w:tab/>
                  </w:r>
                  <w:r w:rsidRPr="008D0D6B">
                    <w:rPr>
                      <w:sz w:val="20"/>
                      <w:szCs w:val="20"/>
                    </w:rPr>
                    <w:tab/>
                  </w:r>
                  <w:r w:rsidRPr="008D0D6B">
                    <w:rPr>
                      <w:sz w:val="20"/>
                      <w:szCs w:val="20"/>
                    </w:rPr>
                    <w:tab/>
                    <w:t>324</w:t>
                  </w:r>
                </w:p>
                <w:p w:rsidR="00DC7B1E" w:rsidRPr="008D0D6B" w:rsidRDefault="00DC7B1E" w:rsidP="007F6182">
                  <w:pPr>
                    <w:spacing w:line="360" w:lineRule="auto"/>
                    <w:ind w:firstLine="720"/>
                    <w:contextualSpacing/>
                    <w:jc w:val="both"/>
                    <w:rPr>
                      <w:sz w:val="20"/>
                      <w:szCs w:val="20"/>
                    </w:rPr>
                  </w:pPr>
                  <w:r w:rsidRPr="008D0D6B">
                    <w:rPr>
                      <w:sz w:val="20"/>
                      <w:szCs w:val="20"/>
                    </w:rPr>
                    <w:t>Financials</w:t>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u w:val="single"/>
                    </w:rPr>
                    <w:tab/>
                    <w:t>- 91</w:t>
                  </w:r>
                  <w:r w:rsidRPr="008D0D6B">
                    <w:rPr>
                      <w:sz w:val="20"/>
                      <w:szCs w:val="20"/>
                    </w:rPr>
                    <w:t xml:space="preserve"> </w:t>
                  </w:r>
                </w:p>
                <w:p w:rsidR="00DC7B1E" w:rsidRPr="008D0D6B" w:rsidRDefault="00DC7B1E" w:rsidP="00265DFC">
                  <w:pPr>
                    <w:spacing w:line="360" w:lineRule="auto"/>
                    <w:contextualSpacing/>
                    <w:jc w:val="both"/>
                    <w:rPr>
                      <w:sz w:val="20"/>
                      <w:szCs w:val="20"/>
                    </w:rPr>
                  </w:pP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233</w:t>
                  </w:r>
                </w:p>
                <w:p w:rsidR="00DC7B1E" w:rsidRPr="008D0D6B" w:rsidRDefault="00DC7B1E" w:rsidP="007F6182">
                  <w:pPr>
                    <w:spacing w:line="360" w:lineRule="auto"/>
                    <w:ind w:firstLine="720"/>
                    <w:contextualSpacing/>
                    <w:jc w:val="both"/>
                    <w:rPr>
                      <w:sz w:val="20"/>
                      <w:szCs w:val="20"/>
                    </w:rPr>
                  </w:pPr>
                  <w:r w:rsidRPr="008D0D6B">
                    <w:rPr>
                      <w:sz w:val="20"/>
                      <w:szCs w:val="20"/>
                    </w:rPr>
                    <w:t>Utilities</w:t>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u w:val="single"/>
                    </w:rPr>
                    <w:tab/>
                    <w:t>- 23</w:t>
                  </w:r>
                </w:p>
                <w:p w:rsidR="00DC7B1E" w:rsidRPr="008D0D6B" w:rsidRDefault="00DC7B1E" w:rsidP="00265DFC">
                  <w:pPr>
                    <w:spacing w:line="360" w:lineRule="auto"/>
                    <w:contextualSpacing/>
                    <w:jc w:val="both"/>
                    <w:rPr>
                      <w:sz w:val="20"/>
                      <w:szCs w:val="20"/>
                    </w:rPr>
                  </w:pP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221</w:t>
                  </w:r>
                </w:p>
                <w:p w:rsidR="00DC7B1E" w:rsidRPr="008D0D6B" w:rsidRDefault="00DC7B1E" w:rsidP="007F6182">
                  <w:pPr>
                    <w:spacing w:line="360" w:lineRule="auto"/>
                    <w:ind w:firstLine="720"/>
                    <w:contextualSpacing/>
                    <w:jc w:val="both"/>
                    <w:rPr>
                      <w:sz w:val="20"/>
                      <w:szCs w:val="20"/>
                    </w:rPr>
                  </w:pPr>
                  <w:r w:rsidRPr="008D0D6B">
                    <w:rPr>
                      <w:sz w:val="20"/>
                      <w:szCs w:val="20"/>
                    </w:rPr>
                    <w:t>Foreign</w:t>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u w:val="single"/>
                    </w:rPr>
                    <w:tab/>
                    <w:t xml:space="preserve">  - 6</w:t>
                  </w:r>
                </w:p>
                <w:p w:rsidR="00DC7B1E" w:rsidRPr="008D0D6B" w:rsidRDefault="00DC7B1E" w:rsidP="00265DFC">
                  <w:pPr>
                    <w:spacing w:line="360" w:lineRule="auto"/>
                    <w:contextualSpacing/>
                    <w:jc w:val="both"/>
                    <w:rPr>
                      <w:sz w:val="20"/>
                      <w:szCs w:val="20"/>
                    </w:rPr>
                  </w:pP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215</w:t>
                  </w:r>
                </w:p>
                <w:p w:rsidR="00DC7B1E" w:rsidRPr="008D0D6B" w:rsidRDefault="00DC7B1E" w:rsidP="007F6182">
                  <w:pPr>
                    <w:spacing w:line="360" w:lineRule="auto"/>
                    <w:ind w:firstLine="720"/>
                    <w:contextualSpacing/>
                    <w:jc w:val="both"/>
                    <w:rPr>
                      <w:sz w:val="20"/>
                      <w:szCs w:val="20"/>
                    </w:rPr>
                  </w:pPr>
                  <w:r w:rsidRPr="008D0D6B">
                    <w:rPr>
                      <w:sz w:val="20"/>
                      <w:szCs w:val="20"/>
                    </w:rPr>
                    <w:t>Mergers and acquisitions</w:t>
                  </w:r>
                  <w:r w:rsidRPr="008D0D6B">
                    <w:rPr>
                      <w:sz w:val="20"/>
                      <w:szCs w:val="20"/>
                    </w:rPr>
                    <w:tab/>
                  </w:r>
                  <w:r w:rsidRPr="008D0D6B">
                    <w:rPr>
                      <w:sz w:val="20"/>
                      <w:szCs w:val="20"/>
                    </w:rPr>
                    <w:tab/>
                  </w:r>
                  <w:r w:rsidRPr="008D0D6B">
                    <w:rPr>
                      <w:sz w:val="20"/>
                      <w:szCs w:val="20"/>
                    </w:rPr>
                    <w:tab/>
                  </w:r>
                  <w:r w:rsidRPr="008D0D6B">
                    <w:rPr>
                      <w:sz w:val="20"/>
                      <w:szCs w:val="20"/>
                      <w:u w:val="single"/>
                    </w:rPr>
                    <w:tab/>
                    <w:t>- 15</w:t>
                  </w:r>
                </w:p>
                <w:p w:rsidR="00DC7B1E" w:rsidRPr="008D0D6B" w:rsidRDefault="00DC7B1E" w:rsidP="00265DFC">
                  <w:pPr>
                    <w:spacing w:line="360" w:lineRule="auto"/>
                    <w:contextualSpacing/>
                    <w:jc w:val="both"/>
                    <w:rPr>
                      <w:sz w:val="20"/>
                      <w:szCs w:val="20"/>
                    </w:rPr>
                  </w:pP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200</w:t>
                  </w:r>
                </w:p>
                <w:p w:rsidR="00DC7B1E" w:rsidRPr="008D0D6B" w:rsidRDefault="00DC7B1E" w:rsidP="007F6182">
                  <w:pPr>
                    <w:spacing w:line="360" w:lineRule="auto"/>
                    <w:ind w:firstLine="720"/>
                    <w:contextualSpacing/>
                    <w:jc w:val="both"/>
                    <w:rPr>
                      <w:sz w:val="20"/>
                      <w:szCs w:val="20"/>
                    </w:rPr>
                  </w:pPr>
                  <w:r w:rsidRPr="008D0D6B">
                    <w:rPr>
                      <w:sz w:val="20"/>
                      <w:szCs w:val="20"/>
                    </w:rPr>
                    <w:t>Missing financial data</w:t>
                  </w:r>
                  <w:r w:rsidRPr="008D0D6B">
                    <w:rPr>
                      <w:sz w:val="20"/>
                      <w:szCs w:val="20"/>
                    </w:rPr>
                    <w:tab/>
                  </w:r>
                  <w:r w:rsidRPr="008D0D6B">
                    <w:rPr>
                      <w:sz w:val="20"/>
                      <w:szCs w:val="20"/>
                    </w:rPr>
                    <w:tab/>
                  </w:r>
                  <w:r w:rsidRPr="008D0D6B">
                    <w:rPr>
                      <w:sz w:val="20"/>
                      <w:szCs w:val="20"/>
                    </w:rPr>
                    <w:tab/>
                  </w:r>
                  <w:r w:rsidRPr="008D0D6B">
                    <w:rPr>
                      <w:sz w:val="20"/>
                      <w:szCs w:val="20"/>
                      <w:u w:val="single"/>
                    </w:rPr>
                    <w:tab/>
                    <w:t>- 64</w:t>
                  </w:r>
                </w:p>
                <w:p w:rsidR="00DC7B1E" w:rsidRPr="008D0D6B" w:rsidRDefault="00DC7B1E" w:rsidP="00265DFC">
                  <w:pPr>
                    <w:spacing w:line="360" w:lineRule="auto"/>
                    <w:contextualSpacing/>
                    <w:jc w:val="both"/>
                    <w:rPr>
                      <w:sz w:val="20"/>
                      <w:szCs w:val="20"/>
                    </w:rPr>
                  </w:pP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136</w:t>
                  </w:r>
                </w:p>
                <w:p w:rsidR="00DC7B1E" w:rsidRPr="008D0D6B" w:rsidRDefault="00DC7B1E" w:rsidP="007F6182">
                  <w:pPr>
                    <w:spacing w:line="360" w:lineRule="auto"/>
                    <w:ind w:firstLine="720"/>
                    <w:contextualSpacing/>
                    <w:jc w:val="both"/>
                    <w:rPr>
                      <w:sz w:val="20"/>
                      <w:szCs w:val="20"/>
                    </w:rPr>
                  </w:pPr>
                  <w:r w:rsidRPr="008D0D6B">
                    <w:rPr>
                      <w:sz w:val="20"/>
                      <w:szCs w:val="20"/>
                    </w:rPr>
                    <w:t>Missing annual reports</w:t>
                  </w:r>
                  <w:r w:rsidRPr="008D0D6B">
                    <w:rPr>
                      <w:sz w:val="20"/>
                      <w:szCs w:val="20"/>
                    </w:rPr>
                    <w:tab/>
                  </w:r>
                  <w:r w:rsidRPr="008D0D6B">
                    <w:rPr>
                      <w:sz w:val="20"/>
                      <w:szCs w:val="20"/>
                    </w:rPr>
                    <w:tab/>
                  </w:r>
                  <w:r w:rsidRPr="008D0D6B">
                    <w:rPr>
                      <w:sz w:val="20"/>
                      <w:szCs w:val="20"/>
                    </w:rPr>
                    <w:tab/>
                  </w:r>
                  <w:r w:rsidRPr="008D0D6B">
                    <w:rPr>
                      <w:sz w:val="20"/>
                      <w:szCs w:val="20"/>
                      <w:u w:val="single"/>
                    </w:rPr>
                    <w:tab/>
                    <w:t>- 12</w:t>
                  </w:r>
                </w:p>
                <w:p w:rsidR="00DC7B1E" w:rsidRPr="008D0D6B" w:rsidRDefault="00DC7B1E" w:rsidP="00265DFC">
                  <w:pPr>
                    <w:spacing w:line="360" w:lineRule="auto"/>
                    <w:contextualSpacing/>
                    <w:jc w:val="both"/>
                    <w:rPr>
                      <w:sz w:val="20"/>
                      <w:szCs w:val="20"/>
                    </w:rPr>
                  </w:pP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124</w:t>
                  </w:r>
                </w:p>
                <w:p w:rsidR="00DC7B1E" w:rsidRPr="008D0D6B" w:rsidRDefault="00DC7B1E" w:rsidP="007F6182">
                  <w:pPr>
                    <w:spacing w:line="360" w:lineRule="auto"/>
                    <w:ind w:firstLine="720"/>
                    <w:contextualSpacing/>
                    <w:jc w:val="both"/>
                    <w:rPr>
                      <w:sz w:val="20"/>
                      <w:szCs w:val="20"/>
                    </w:rPr>
                  </w:pPr>
                  <w:r w:rsidRPr="008D0D6B">
                    <w:rPr>
                      <w:sz w:val="20"/>
                      <w:szCs w:val="20"/>
                    </w:rPr>
                    <w:t>Too small control group</w:t>
                  </w:r>
                  <w:r w:rsidRPr="008D0D6B">
                    <w:rPr>
                      <w:sz w:val="20"/>
                      <w:szCs w:val="20"/>
                    </w:rPr>
                    <w:tab/>
                  </w:r>
                  <w:r w:rsidRPr="008D0D6B">
                    <w:rPr>
                      <w:sz w:val="20"/>
                      <w:szCs w:val="20"/>
                    </w:rPr>
                    <w:tab/>
                  </w:r>
                  <w:r w:rsidRPr="008D0D6B">
                    <w:rPr>
                      <w:sz w:val="20"/>
                      <w:szCs w:val="20"/>
                    </w:rPr>
                    <w:tab/>
                  </w:r>
                  <w:r w:rsidRPr="008D0D6B">
                    <w:rPr>
                      <w:sz w:val="20"/>
                      <w:szCs w:val="20"/>
                      <w:u w:val="single"/>
                    </w:rPr>
                    <w:tab/>
                    <w:t>- 34</w:t>
                  </w:r>
                </w:p>
                <w:p w:rsidR="00DC7B1E" w:rsidRPr="008D0D6B" w:rsidRDefault="00DC7B1E" w:rsidP="007F6182">
                  <w:pPr>
                    <w:spacing w:line="360" w:lineRule="auto"/>
                    <w:ind w:firstLine="720"/>
                    <w:contextualSpacing/>
                    <w:jc w:val="both"/>
                    <w:rPr>
                      <w:sz w:val="20"/>
                      <w:szCs w:val="20"/>
                    </w:rPr>
                  </w:pP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 xml:space="preserve">  90</w:t>
                  </w:r>
                </w:p>
                <w:p w:rsidR="00DC7B1E" w:rsidRPr="008D0D6B" w:rsidRDefault="00DC7B1E" w:rsidP="007F6182">
                  <w:pPr>
                    <w:spacing w:line="360" w:lineRule="auto"/>
                    <w:ind w:firstLine="720"/>
                    <w:contextualSpacing/>
                    <w:jc w:val="both"/>
                    <w:rPr>
                      <w:sz w:val="20"/>
                      <w:szCs w:val="20"/>
                    </w:rPr>
                  </w:pPr>
                  <w:r w:rsidRPr="008D0D6B">
                    <w:rPr>
                      <w:sz w:val="20"/>
                      <w:szCs w:val="20"/>
                    </w:rPr>
                    <w:t>Exercise price in foreign currency</w:t>
                  </w:r>
                  <w:r w:rsidRPr="008D0D6B">
                    <w:rPr>
                      <w:sz w:val="20"/>
                      <w:szCs w:val="20"/>
                    </w:rPr>
                    <w:tab/>
                  </w:r>
                  <w:r w:rsidRPr="008D0D6B">
                    <w:rPr>
                      <w:sz w:val="20"/>
                      <w:szCs w:val="20"/>
                    </w:rPr>
                    <w:tab/>
                  </w:r>
                  <w:r w:rsidRPr="008D0D6B">
                    <w:rPr>
                      <w:sz w:val="20"/>
                      <w:szCs w:val="20"/>
                      <w:u w:val="thick"/>
                    </w:rPr>
                    <w:tab/>
                    <w:t xml:space="preserve">  - 2</w:t>
                  </w:r>
                </w:p>
                <w:p w:rsidR="00DC7B1E" w:rsidRPr="008D0D6B" w:rsidRDefault="00DC7B1E" w:rsidP="007F6182">
                  <w:pPr>
                    <w:spacing w:line="360" w:lineRule="auto"/>
                    <w:ind w:firstLine="720"/>
                    <w:contextualSpacing/>
                    <w:jc w:val="both"/>
                    <w:rPr>
                      <w:sz w:val="20"/>
                      <w:szCs w:val="20"/>
                    </w:rPr>
                  </w:pPr>
                  <w:r w:rsidRPr="008D0D6B">
                    <w:rPr>
                      <w:sz w:val="20"/>
                      <w:szCs w:val="20"/>
                    </w:rPr>
                    <w:t>Sample</w:t>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r>
                  <w:r w:rsidRPr="008D0D6B">
                    <w:rPr>
                      <w:sz w:val="20"/>
                      <w:szCs w:val="20"/>
                    </w:rPr>
                    <w:tab/>
                    <w:t xml:space="preserve">  88</w:t>
                  </w:r>
                </w:p>
                <w:p w:rsidR="00DC7B1E" w:rsidRPr="00265DFC" w:rsidRDefault="00DC7B1E" w:rsidP="00265DFC"/>
              </w:txbxContent>
            </v:textbox>
            <w10:wrap anchorx="margin" anchory="margin"/>
            <w10:anchorlock/>
          </v:shape>
        </w:pict>
      </w:r>
    </w:p>
    <w:p w:rsidR="00DC7B1E" w:rsidRPr="00832004" w:rsidRDefault="00DC7B1E" w:rsidP="00832004">
      <w:pPr>
        <w:spacing w:line="360" w:lineRule="auto"/>
        <w:contextualSpacing/>
        <w:jc w:val="both"/>
        <w:rPr>
          <w:rFonts w:ascii="Times New Roman" w:hAnsi="Times New Roman"/>
          <w:sz w:val="20"/>
          <w:szCs w:val="20"/>
        </w:rPr>
      </w:pPr>
    </w:p>
    <w:p w:rsidR="00DC7B1E" w:rsidRPr="00832004" w:rsidRDefault="00DC7B1E" w:rsidP="00832004">
      <w:pPr>
        <w:spacing w:line="360" w:lineRule="auto"/>
        <w:contextualSpacing/>
        <w:jc w:val="both"/>
        <w:rPr>
          <w:rFonts w:ascii="Times New Roman" w:hAnsi="Times New Roman"/>
          <w:color w:val="FF0000"/>
        </w:rPr>
      </w:pPr>
      <w:r w:rsidRPr="00832004">
        <w:rPr>
          <w:rFonts w:ascii="Times New Roman" w:hAnsi="Times New Roman"/>
        </w:rPr>
        <w:t>The control group which will be used to estimate the industry specific parameters consists of all companies listed on the London Stock Exchange excluded by the firms in the sample. Similarly to the sample, the control group also excludes mergers and acquisitions and firms with missing financial data. This is necessary to prevent a distortion in the estimated parameters. Consistent with other scientific researches, the industry specific parameters of the firms in the sample are estimated for each year by using the 2-digit primary SIC code. An overview of the sample firms with their industry classification, primary SIC code and the number of firms in the control group is presented in Appendix 2.</w:t>
      </w:r>
    </w:p>
    <w:p w:rsidR="00DC7B1E" w:rsidRPr="00832004" w:rsidRDefault="00DC7B1E" w:rsidP="00832004">
      <w:pPr>
        <w:spacing w:line="360" w:lineRule="auto"/>
        <w:contextualSpacing/>
        <w:jc w:val="both"/>
        <w:rPr>
          <w:rFonts w:ascii="Times New Roman" w:hAnsi="Times New Roman"/>
        </w:rPr>
      </w:pPr>
    </w:p>
    <w:p w:rsidR="00DC7B1E" w:rsidRPr="00A84A74" w:rsidRDefault="00DC7B1E" w:rsidP="00A84A74">
      <w:pPr>
        <w:pStyle w:val="Heading2"/>
        <w:spacing w:before="60" w:line="360" w:lineRule="auto"/>
        <w:contextualSpacing/>
        <w:rPr>
          <w:i w:val="0"/>
          <w:sz w:val="24"/>
          <w:szCs w:val="24"/>
        </w:rPr>
      </w:pPr>
      <w:bookmarkStart w:id="45" w:name="_Toc234567985"/>
      <w:r w:rsidRPr="00A84A74">
        <w:rPr>
          <w:i w:val="0"/>
          <w:sz w:val="24"/>
          <w:szCs w:val="24"/>
        </w:rPr>
        <w:t>4.4</w:t>
      </w:r>
      <w:r w:rsidRPr="00A84A74">
        <w:rPr>
          <w:i w:val="0"/>
          <w:sz w:val="24"/>
          <w:szCs w:val="24"/>
        </w:rPr>
        <w:tab/>
        <w:t>Data collection</w:t>
      </w:r>
      <w:bookmarkEnd w:id="45"/>
      <w:r w:rsidRPr="00A84A74">
        <w:rPr>
          <w:i w:val="0"/>
          <w:sz w:val="24"/>
          <w:szCs w:val="24"/>
        </w:rPr>
        <w:tab/>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The required data to test the hypotheses are obtained from various sources. Compensation data are gathered from annual reports while financial data are obtained from databanks. Financial data to measure discretionary accruals of the firms and control variables are acquired in Thomson One Banker. However, the control variable market to book value (MVVB) is unavailable in Thomson One Banker. Therefore, Datastream is consulted to obtain this variable. Variables that are collected from Thomson One Banker are exhibited in Appendix 1 with their definitions.  </w:t>
      </w: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Although the research period covers the period 2004 – 2007, compensation data are obtained in annual reports between 2003 and 2007 in some cases because the firm’s market price of the shares at the beginning of the year is sometimes not disclosed the annual report in year t. Therefore, the shares’ market price is gathered at the end of year t-1. Financial data are collected between 2003 and 2007 as well since the calculation of discretionary accruals requires total assets on t-1 and the change of several variables. </w:t>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p>
    <w:p w:rsidR="00DC7B1E" w:rsidRPr="00421BFC" w:rsidRDefault="00DC7B1E" w:rsidP="00421BFC">
      <w:pPr>
        <w:pStyle w:val="Heading1"/>
        <w:spacing w:before="60" w:line="360" w:lineRule="auto"/>
        <w:contextualSpacing/>
        <w:rPr>
          <w:color w:val="2A62A6"/>
        </w:rPr>
      </w:pPr>
      <w:bookmarkStart w:id="46" w:name="_Toc234567986"/>
      <w:r w:rsidRPr="00421BFC">
        <w:rPr>
          <w:color w:val="2A62A6"/>
        </w:rPr>
        <w:t>5</w:t>
      </w:r>
      <w:r w:rsidRPr="00421BFC">
        <w:rPr>
          <w:color w:val="2A62A6"/>
        </w:rPr>
        <w:tab/>
        <w:t>Results</w:t>
      </w:r>
      <w:bookmarkEnd w:id="46"/>
    </w:p>
    <w:p w:rsidR="00DC7B1E" w:rsidRDefault="00DC7B1E" w:rsidP="00321C86">
      <w:pPr>
        <w:spacing w:line="360" w:lineRule="auto"/>
        <w:contextualSpacing/>
        <w:rPr>
          <w:rFonts w:ascii="Times New Roman" w:hAnsi="Times New Roman"/>
        </w:rPr>
      </w:pPr>
      <w:r>
        <w:rPr>
          <w:noProof/>
        </w:rPr>
        <w:pict>
          <v:shape id="_x0000_s1036" type="#_x0000_t32" style="position:absolute;margin-left:.95pt;margin-top:11.9pt;width:451.8pt;height:0;z-index:251658752" o:connectortype="straight"/>
        </w:pict>
      </w:r>
    </w:p>
    <w:p w:rsidR="00DC7B1E" w:rsidRPr="00321C86" w:rsidRDefault="00DC7B1E" w:rsidP="00321C86">
      <w:pPr>
        <w:spacing w:line="360" w:lineRule="auto"/>
        <w:contextualSpacing/>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In this chapter the results of the empirical research are elaborated. This chapter is divided in three sections. The results of empirical research concerning the exercise of options are presented in section 5.1 while the results of the impact of the vesting of executive stock options on earnings management are presented in section 5.2. Finally, section 5.3 treat</w:t>
      </w:r>
      <w:r>
        <w:rPr>
          <w:rFonts w:ascii="Times New Roman" w:hAnsi="Times New Roman"/>
        </w:rPr>
        <w:t>s</w:t>
      </w:r>
      <w:r w:rsidRPr="00321C86">
        <w:rPr>
          <w:rFonts w:ascii="Times New Roman" w:hAnsi="Times New Roman"/>
        </w:rPr>
        <w:t xml:space="preserve"> additional analyses that are conducted concerning both the impact of the exercise and the vesting of executive stock options on earnings management. </w:t>
      </w:r>
    </w:p>
    <w:p w:rsidR="00DC7B1E" w:rsidRPr="00321C86" w:rsidRDefault="00DC7B1E" w:rsidP="00321C86">
      <w:pPr>
        <w:spacing w:line="360" w:lineRule="auto"/>
        <w:contextualSpacing/>
        <w:jc w:val="both"/>
        <w:rPr>
          <w:rFonts w:ascii="Times New Roman" w:hAnsi="Times New Roman"/>
        </w:rPr>
      </w:pPr>
    </w:p>
    <w:p w:rsidR="00DC7B1E" w:rsidRPr="00A84A74" w:rsidRDefault="00DC7B1E" w:rsidP="00A84A74">
      <w:pPr>
        <w:pStyle w:val="Heading2"/>
        <w:spacing w:before="60" w:line="360" w:lineRule="auto"/>
        <w:contextualSpacing/>
        <w:rPr>
          <w:i w:val="0"/>
          <w:sz w:val="24"/>
          <w:szCs w:val="24"/>
        </w:rPr>
      </w:pPr>
      <w:bookmarkStart w:id="47" w:name="_Toc234567987"/>
      <w:r w:rsidRPr="00A84A74">
        <w:rPr>
          <w:i w:val="0"/>
          <w:sz w:val="24"/>
          <w:szCs w:val="24"/>
        </w:rPr>
        <w:t>5.1</w:t>
      </w:r>
      <w:r w:rsidRPr="00A84A74">
        <w:rPr>
          <w:i w:val="0"/>
          <w:sz w:val="24"/>
          <w:szCs w:val="24"/>
        </w:rPr>
        <w:tab/>
        <w:t>Results exercise of executive stock options</w:t>
      </w:r>
      <w:bookmarkEnd w:id="47"/>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The hypotheses that are investigated in this section are as follows:</w:t>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i/>
        </w:rPr>
      </w:pPr>
      <w:r w:rsidRPr="00321C86">
        <w:rPr>
          <w:rFonts w:ascii="Times New Roman" w:hAnsi="Times New Roman"/>
          <w:i/>
        </w:rPr>
        <w:t xml:space="preserve">H1: Earnings management is associated with the function(s) of the exercising executive(s). </w:t>
      </w:r>
    </w:p>
    <w:p w:rsidR="00DC7B1E" w:rsidRPr="00321C86" w:rsidRDefault="00DC7B1E" w:rsidP="00321C86">
      <w:pPr>
        <w:spacing w:line="360" w:lineRule="auto"/>
        <w:contextualSpacing/>
        <w:jc w:val="both"/>
        <w:rPr>
          <w:rFonts w:ascii="Times New Roman" w:hAnsi="Times New Roman"/>
          <w:i/>
        </w:rPr>
      </w:pPr>
    </w:p>
    <w:p w:rsidR="00DC7B1E" w:rsidRPr="00321C86" w:rsidRDefault="00DC7B1E" w:rsidP="00321C86">
      <w:pPr>
        <w:spacing w:line="360" w:lineRule="auto"/>
        <w:contextualSpacing/>
        <w:jc w:val="both"/>
        <w:rPr>
          <w:rFonts w:ascii="Times New Roman" w:hAnsi="Times New Roman"/>
          <w:i/>
        </w:rPr>
      </w:pPr>
      <w:r w:rsidRPr="00321C86">
        <w:rPr>
          <w:rFonts w:ascii="Times New Roman" w:hAnsi="Times New Roman"/>
          <w:i/>
        </w:rPr>
        <w:t xml:space="preserve">H2: Earnings management is positively correlated with the number of options exercised by all executives during the year. </w:t>
      </w:r>
    </w:p>
    <w:p w:rsidR="00DC7B1E" w:rsidRPr="00321C86" w:rsidRDefault="00DC7B1E" w:rsidP="00321C86">
      <w:pPr>
        <w:spacing w:line="360" w:lineRule="auto"/>
        <w:contextualSpacing/>
        <w:jc w:val="both"/>
        <w:rPr>
          <w:rFonts w:ascii="Times New Roman" w:hAnsi="Times New Roman"/>
          <w:i/>
        </w:rPr>
      </w:pPr>
    </w:p>
    <w:p w:rsidR="00DC7B1E" w:rsidRPr="00321C86" w:rsidRDefault="00DC7B1E" w:rsidP="00321C86">
      <w:pPr>
        <w:spacing w:line="360" w:lineRule="auto"/>
        <w:contextualSpacing/>
        <w:jc w:val="both"/>
        <w:rPr>
          <w:rFonts w:ascii="Times New Roman" w:hAnsi="Times New Roman"/>
          <w:i/>
        </w:rPr>
      </w:pPr>
      <w:r w:rsidRPr="00321C86">
        <w:rPr>
          <w:rFonts w:ascii="Times New Roman" w:hAnsi="Times New Roman"/>
          <w:i/>
        </w:rPr>
        <w:t>H3: Earnings management is positively correlated with the aggregate gain resulting from the option exercises by all executives during the year.</w:t>
      </w:r>
    </w:p>
    <w:p w:rsidR="00DC7B1E" w:rsidRPr="00321C86" w:rsidRDefault="00DC7B1E" w:rsidP="00321C86">
      <w:pPr>
        <w:spacing w:line="360" w:lineRule="auto"/>
        <w:contextualSpacing/>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48" w:name="_Toc234567988"/>
      <w:r w:rsidRPr="00A84A74">
        <w:rPr>
          <w:i/>
          <w:sz w:val="22"/>
          <w:szCs w:val="22"/>
        </w:rPr>
        <w:t>5.1.1</w:t>
      </w:r>
      <w:r w:rsidRPr="00A84A74">
        <w:rPr>
          <w:i/>
          <w:sz w:val="22"/>
          <w:szCs w:val="22"/>
        </w:rPr>
        <w:tab/>
        <w:t>Descriptive analysis</w:t>
      </w:r>
      <w:bookmarkEnd w:id="48"/>
    </w:p>
    <w:p w:rsidR="00DC7B1E" w:rsidRPr="00321C86" w:rsidRDefault="00DC7B1E" w:rsidP="0026339E">
      <w:pPr>
        <w:spacing w:line="360" w:lineRule="auto"/>
        <w:contextualSpacing/>
        <w:jc w:val="both"/>
        <w:rPr>
          <w:rFonts w:ascii="Times New Roman" w:hAnsi="Times New Roman"/>
        </w:rPr>
      </w:pPr>
    </w:p>
    <w:p w:rsidR="00DC7B1E" w:rsidRPr="00321C86" w:rsidRDefault="00DC7B1E" w:rsidP="00512935">
      <w:pPr>
        <w:spacing w:line="360" w:lineRule="auto"/>
        <w:contextualSpacing/>
        <w:jc w:val="both"/>
        <w:rPr>
          <w:rFonts w:ascii="Times New Roman" w:hAnsi="Times New Roman"/>
        </w:rPr>
      </w:pPr>
      <w:r w:rsidRPr="00321C86">
        <w:rPr>
          <w:rFonts w:ascii="Times New Roman" w:hAnsi="Times New Roman"/>
        </w:rPr>
        <w:t>Before conducting the regression analysis as described in section 4.2.1 to test the hypotheses, it is necessary to analyze the dataset first. As in the previous chapter mentioned, the sample consists of 88 firms. This yields in a number of 88*4=352 observations. However, 5 additional observations are eliminated as the aggregate gain of the exercised options is unknown. Additionally, one observation is removed because the market to book value is missing. Therefore, 346 observations remain in the dataset to test the hypotheses.</w:t>
      </w:r>
    </w:p>
    <w:p w:rsidR="00DC7B1E" w:rsidRPr="00321C86" w:rsidRDefault="00DC7B1E" w:rsidP="00512935">
      <w:pPr>
        <w:spacing w:line="360" w:lineRule="auto"/>
        <w:contextualSpacing/>
        <w:jc w:val="both"/>
        <w:rPr>
          <w:rFonts w:ascii="Times New Roman" w:hAnsi="Times New Roman"/>
        </w:rPr>
      </w:pPr>
    </w:p>
    <w:p w:rsidR="00DC7B1E" w:rsidRPr="00321C86" w:rsidRDefault="00DC7B1E" w:rsidP="003A3E2F">
      <w:pPr>
        <w:spacing w:line="360" w:lineRule="auto"/>
        <w:contextualSpacing/>
        <w:jc w:val="both"/>
        <w:rPr>
          <w:rFonts w:ascii="Times New Roman" w:hAnsi="Times New Roman"/>
        </w:rPr>
      </w:pPr>
      <w:r w:rsidRPr="00321C86">
        <w:rPr>
          <w:rFonts w:ascii="Times New Roman" w:hAnsi="Times New Roman"/>
        </w:rPr>
        <w:t xml:space="preserve">The next step is to analyze the descriptive statistics of the sample. Those are used to describe the basic features of the data in a </w:t>
      </w:r>
      <w:r w:rsidRPr="00BD12B1">
        <w:rPr>
          <w:rFonts w:ascii="Times New Roman" w:hAnsi="Times New Roman"/>
        </w:rPr>
        <w:t>research. Appendix 3 shows</w:t>
      </w:r>
      <w:r w:rsidRPr="00321C86">
        <w:rPr>
          <w:rFonts w:ascii="Times New Roman" w:hAnsi="Times New Roman"/>
        </w:rPr>
        <w:t xml:space="preserve"> the descriptive statistics of the test and control variables that are described in section 4.2.1. For each variable, the mean, standard deviation, minimum and maximum are presented. This information is not displayed for the dummy variables that represent the function combinations of exercising executive(s), whether an executive exercises options and leaves the firm in the same year, and the year of the exercise. Providing such basic features for those nominal variables has no meaning since the value of these dummy variables could only take the value of zero or one which represent a category of the variable. It is more valuable to analyze the frequencies and the percentage of each category for each nominal variable. Those are also shown in Appendix 3.</w:t>
      </w:r>
    </w:p>
    <w:p w:rsidR="00DC7B1E" w:rsidRDefault="00DC7B1E" w:rsidP="003A3E2F">
      <w:pPr>
        <w:spacing w:line="360" w:lineRule="auto"/>
        <w:contextualSpacing/>
        <w:jc w:val="both"/>
        <w:rPr>
          <w:rFonts w:ascii="Times New Roman" w:hAnsi="Times New Roman"/>
        </w:rPr>
      </w:pPr>
      <w:r w:rsidRPr="00321C86">
        <w:rPr>
          <w:rFonts w:ascii="Times New Roman" w:hAnsi="Times New Roman"/>
        </w:rPr>
        <w:t>The presented data</w:t>
      </w:r>
      <w:r>
        <w:rPr>
          <w:rFonts w:ascii="Times New Roman" w:hAnsi="Times New Roman"/>
        </w:rPr>
        <w:t xml:space="preserve"> in</w:t>
      </w:r>
      <w:r w:rsidRPr="00321C86">
        <w:rPr>
          <w:rFonts w:ascii="Times New Roman" w:hAnsi="Times New Roman"/>
        </w:rPr>
        <w:t xml:space="preserve"> th</w:t>
      </w:r>
      <w:r>
        <w:rPr>
          <w:rFonts w:ascii="Times New Roman" w:hAnsi="Times New Roman"/>
        </w:rPr>
        <w:t>e</w:t>
      </w:r>
      <w:r w:rsidRPr="00321C86">
        <w:rPr>
          <w:rFonts w:ascii="Times New Roman" w:hAnsi="Times New Roman"/>
        </w:rPr>
        <w:t xml:space="preserve"> tables</w:t>
      </w:r>
      <w:r>
        <w:rPr>
          <w:rFonts w:ascii="Times New Roman" w:hAnsi="Times New Roman"/>
        </w:rPr>
        <w:t xml:space="preserve"> of</w:t>
      </w:r>
      <w:r w:rsidRPr="00321C86">
        <w:rPr>
          <w:rFonts w:ascii="Times New Roman" w:hAnsi="Times New Roman"/>
        </w:rPr>
        <w:t xml:space="preserve"> Appendix 3 are not free from outliers. Outliers are observations that lie an abnormal distance from other values in a sample and therefore they could influence the statistical analyses. For instance, when we examine the descriptive statistics it is remarkable that the minimum of discretionary accruals with a value of -15.398 is very low in comparison with the maximum of 0.612. A further investigation in the dataset reveals that the values of discretionary accruals have a range between -1 and 1, except for that only observation with a value of -15.398. Hence, it is necessary to eliminate such outliers for each variable to preclude the possibility that those outliers influence the results of the research. Therefore, the Z-value for each observation of each variable</w:t>
      </w:r>
      <w:r w:rsidRPr="00321C86">
        <w:rPr>
          <w:rStyle w:val="FootnoteReference"/>
          <w:rFonts w:ascii="Times New Roman" w:hAnsi="Times New Roman"/>
        </w:rPr>
        <w:footnoteReference w:id="11"/>
      </w:r>
      <w:r w:rsidRPr="00321C86">
        <w:rPr>
          <w:rFonts w:ascii="Times New Roman" w:hAnsi="Times New Roman"/>
        </w:rPr>
        <w:t xml:space="preserve"> are computed using SPSS. Whether an observation is determined as an outlier depends on the confidence interval it is used in the research. Consistent with the most researches, this study uses the 95% confidence interval which indicates that observations with a Z-value out of the interval of </w:t>
      </w:r>
    </w:p>
    <w:p w:rsidR="00DC7B1E" w:rsidRPr="00A84A65" w:rsidRDefault="00DC7B1E" w:rsidP="003A3E2F">
      <w:pPr>
        <w:spacing w:line="360" w:lineRule="auto"/>
        <w:contextualSpacing/>
        <w:jc w:val="both"/>
        <w:rPr>
          <w:rFonts w:ascii="Times New Roman" w:hAnsi="Times New Roman"/>
        </w:rPr>
      </w:pPr>
      <w:r w:rsidRPr="00321C86">
        <w:rPr>
          <w:rFonts w:ascii="Times New Roman" w:hAnsi="Times New Roman"/>
        </w:rPr>
        <w:t>-</w:t>
      </w:r>
      <w:r>
        <w:rPr>
          <w:rFonts w:ascii="Times New Roman" w:hAnsi="Times New Roman"/>
        </w:rPr>
        <w:t>1</w:t>
      </w:r>
      <w:r w:rsidRPr="00321C86">
        <w:rPr>
          <w:rFonts w:ascii="Times New Roman" w:hAnsi="Times New Roman"/>
        </w:rPr>
        <w:t>.96 to 1.96</w:t>
      </w:r>
      <w:r>
        <w:rPr>
          <w:rFonts w:ascii="Times New Roman" w:hAnsi="Times New Roman"/>
        </w:rPr>
        <w:t>,</w:t>
      </w:r>
      <w:r w:rsidRPr="00321C86">
        <w:rPr>
          <w:rFonts w:ascii="Times New Roman" w:hAnsi="Times New Roman"/>
        </w:rPr>
        <w:t xml:space="preserve"> are considered as outliers. After removing all outliers of each variable, a sample of 287 observations remains. The </w:t>
      </w:r>
      <w:r w:rsidRPr="00A84A65">
        <w:rPr>
          <w:rFonts w:ascii="Times New Roman" w:hAnsi="Times New Roman"/>
        </w:rPr>
        <w:t xml:space="preserve">descriptive statistics of the test and control variables without outliers are presented in tables 2a, 2b, 2c and 2d. Table 2a shows that the minimum of discretionary accruals has a value of -0.684 now. This implies that the value of -15.398 was indeed an outlier. After the removal of this outlier, the values of discretionary accruals between -1 and 1 are now comparable with those of the study by Bartov and Mohanram (2004). </w:t>
      </w:r>
    </w:p>
    <w:p w:rsidR="00DC7B1E" w:rsidRPr="00321C86" w:rsidRDefault="00DC7B1E" w:rsidP="003A3E2F">
      <w:pPr>
        <w:spacing w:line="360" w:lineRule="auto"/>
        <w:contextualSpacing/>
        <w:jc w:val="both"/>
        <w:rPr>
          <w:rFonts w:ascii="Times New Roman" w:hAnsi="Times New Roman"/>
        </w:rPr>
      </w:pPr>
    </w:p>
    <w:p w:rsidR="00DC7B1E" w:rsidRDefault="00DC7B1E" w:rsidP="00CD1324">
      <w:pPr>
        <w:spacing w:line="360" w:lineRule="auto"/>
        <w:contextualSpacing/>
        <w:rPr>
          <w:b/>
        </w:rPr>
      </w:pPr>
      <w:r w:rsidRPr="00321C86">
        <w:rPr>
          <w:b/>
        </w:rPr>
        <w:t>Table 2a</w:t>
      </w:r>
      <w:r>
        <w:rPr>
          <w:b/>
        </w:rPr>
        <w:t xml:space="preserve"> Descriptives without outliers per variable</w:t>
      </w:r>
    </w:p>
    <w:tbl>
      <w:tblPr>
        <w:tblW w:w="9940" w:type="dxa"/>
        <w:tblInd w:w="53" w:type="dxa"/>
        <w:tblCellMar>
          <w:left w:w="70" w:type="dxa"/>
          <w:right w:w="70" w:type="dxa"/>
        </w:tblCellMar>
        <w:tblLook w:val="00A0"/>
      </w:tblPr>
      <w:tblGrid>
        <w:gridCol w:w="1253"/>
        <w:gridCol w:w="1883"/>
        <w:gridCol w:w="1984"/>
        <w:gridCol w:w="1843"/>
        <w:gridCol w:w="1985"/>
        <w:gridCol w:w="992"/>
      </w:tblGrid>
      <w:tr w:rsidR="00DC7B1E" w:rsidRPr="00463301" w:rsidTr="00D06E39">
        <w:trPr>
          <w:trHeight w:val="300"/>
        </w:trPr>
        <w:tc>
          <w:tcPr>
            <w:tcW w:w="1253" w:type="dxa"/>
            <w:tcBorders>
              <w:top w:val="single" w:sz="4" w:space="0" w:color="auto"/>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eastAsia="nl-NL"/>
              </w:rPr>
            </w:pPr>
            <w:r w:rsidRPr="00321C86">
              <w:rPr>
                <w:rFonts w:cs="Arial"/>
                <w:color w:val="000000"/>
                <w:sz w:val="20"/>
                <w:szCs w:val="20"/>
                <w:lang w:eastAsia="nl-NL"/>
              </w:rPr>
              <w:t> </w:t>
            </w:r>
          </w:p>
        </w:tc>
        <w:tc>
          <w:tcPr>
            <w:tcW w:w="1883" w:type="dxa"/>
            <w:tcBorders>
              <w:top w:val="single" w:sz="4" w:space="0" w:color="auto"/>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Mean</w:t>
            </w:r>
          </w:p>
        </w:tc>
        <w:tc>
          <w:tcPr>
            <w:tcW w:w="1984" w:type="dxa"/>
            <w:tcBorders>
              <w:top w:val="single" w:sz="4" w:space="0" w:color="auto"/>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Standard Deviation</w:t>
            </w:r>
          </w:p>
        </w:tc>
        <w:tc>
          <w:tcPr>
            <w:tcW w:w="1843" w:type="dxa"/>
            <w:tcBorders>
              <w:top w:val="single" w:sz="4" w:space="0" w:color="auto"/>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Minimum</w:t>
            </w:r>
          </w:p>
        </w:tc>
        <w:tc>
          <w:tcPr>
            <w:tcW w:w="1985" w:type="dxa"/>
            <w:tcBorders>
              <w:top w:val="single" w:sz="4" w:space="0" w:color="auto"/>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Maximum</w:t>
            </w:r>
          </w:p>
        </w:tc>
        <w:tc>
          <w:tcPr>
            <w:tcW w:w="992" w:type="dxa"/>
            <w:tcBorders>
              <w:top w:val="single" w:sz="4" w:space="0" w:color="auto"/>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Count</w:t>
            </w:r>
          </w:p>
        </w:tc>
      </w:tr>
      <w:tr w:rsidR="00DC7B1E" w:rsidRPr="00463301" w:rsidTr="00D06E39">
        <w:trPr>
          <w:trHeight w:val="300"/>
        </w:trPr>
        <w:tc>
          <w:tcPr>
            <w:tcW w:w="1253" w:type="dxa"/>
            <w:tcBorders>
              <w:top w:val="nil"/>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rPr>
                <w:rFonts w:cs="Arial"/>
                <w:color w:val="000000"/>
                <w:sz w:val="20"/>
                <w:szCs w:val="20"/>
                <w:lang w:val="nl-NL" w:eastAsia="nl-NL"/>
              </w:rPr>
            </w:pPr>
            <w:r w:rsidRPr="00321C86">
              <w:rPr>
                <w:rFonts w:cs="Arial"/>
                <w:color w:val="000000"/>
                <w:sz w:val="20"/>
                <w:szCs w:val="20"/>
                <w:lang w:val="nl-NL" w:eastAsia="nl-NL"/>
              </w:rPr>
              <w:t>DA</w:t>
            </w:r>
          </w:p>
        </w:tc>
        <w:tc>
          <w:tcPr>
            <w:tcW w:w="188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-0.047</w:t>
            </w:r>
          </w:p>
        </w:tc>
        <w:tc>
          <w:tcPr>
            <w:tcW w:w="1984"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0.124</w:t>
            </w:r>
          </w:p>
        </w:tc>
        <w:tc>
          <w:tcPr>
            <w:tcW w:w="184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-0.684</w:t>
            </w:r>
          </w:p>
        </w:tc>
        <w:tc>
          <w:tcPr>
            <w:tcW w:w="1985"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0.345</w:t>
            </w:r>
          </w:p>
        </w:tc>
        <w:tc>
          <w:tcPr>
            <w:tcW w:w="992"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300</w:t>
            </w:r>
          </w:p>
        </w:tc>
      </w:tr>
      <w:tr w:rsidR="00DC7B1E" w:rsidRPr="00463301" w:rsidTr="00D06E39">
        <w:trPr>
          <w:trHeight w:val="300"/>
        </w:trPr>
        <w:tc>
          <w:tcPr>
            <w:tcW w:w="1253" w:type="dxa"/>
            <w:tcBorders>
              <w:top w:val="nil"/>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rPr>
                <w:rFonts w:cs="Arial"/>
                <w:color w:val="000000"/>
                <w:sz w:val="20"/>
                <w:szCs w:val="20"/>
                <w:lang w:val="nl-NL" w:eastAsia="nl-NL"/>
              </w:rPr>
            </w:pPr>
            <w:r w:rsidRPr="00321C86">
              <w:rPr>
                <w:rFonts w:cs="Arial"/>
                <w:color w:val="000000"/>
                <w:sz w:val="20"/>
                <w:szCs w:val="20"/>
                <w:lang w:val="nl-NL" w:eastAsia="nl-NL"/>
              </w:rPr>
              <w:t>OPTIONS</w:t>
            </w:r>
          </w:p>
        </w:tc>
        <w:tc>
          <w:tcPr>
            <w:tcW w:w="188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178</w:t>
            </w:r>
            <w:r>
              <w:rPr>
                <w:rFonts w:cs="Arial"/>
                <w:color w:val="000000"/>
                <w:sz w:val="20"/>
                <w:szCs w:val="20"/>
                <w:lang w:val="nl-NL" w:eastAsia="nl-NL"/>
              </w:rPr>
              <w:t>,</w:t>
            </w:r>
            <w:r w:rsidRPr="00321C86">
              <w:rPr>
                <w:rFonts w:cs="Arial"/>
                <w:color w:val="000000"/>
                <w:sz w:val="20"/>
                <w:szCs w:val="20"/>
                <w:lang w:val="nl-NL" w:eastAsia="nl-NL"/>
              </w:rPr>
              <w:t>897.700</w:t>
            </w:r>
          </w:p>
        </w:tc>
        <w:tc>
          <w:tcPr>
            <w:tcW w:w="1984"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327</w:t>
            </w:r>
            <w:r>
              <w:rPr>
                <w:rFonts w:cs="Arial"/>
                <w:color w:val="000000"/>
                <w:sz w:val="20"/>
                <w:szCs w:val="20"/>
                <w:lang w:val="nl-NL" w:eastAsia="nl-NL"/>
              </w:rPr>
              <w:t>,</w:t>
            </w:r>
            <w:r w:rsidRPr="00321C86">
              <w:rPr>
                <w:rFonts w:cs="Arial"/>
                <w:color w:val="000000"/>
                <w:sz w:val="20"/>
                <w:szCs w:val="20"/>
                <w:lang w:val="nl-NL" w:eastAsia="nl-NL"/>
              </w:rPr>
              <w:t>526.389</w:t>
            </w:r>
          </w:p>
        </w:tc>
        <w:tc>
          <w:tcPr>
            <w:tcW w:w="184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0.000</w:t>
            </w:r>
          </w:p>
        </w:tc>
        <w:tc>
          <w:tcPr>
            <w:tcW w:w="1985"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2</w:t>
            </w:r>
            <w:r>
              <w:rPr>
                <w:rFonts w:cs="Arial"/>
                <w:color w:val="000000"/>
                <w:sz w:val="20"/>
                <w:szCs w:val="20"/>
                <w:lang w:val="nl-NL" w:eastAsia="nl-NL"/>
              </w:rPr>
              <w:t>,</w:t>
            </w:r>
            <w:r w:rsidRPr="00321C86">
              <w:rPr>
                <w:rFonts w:cs="Arial"/>
                <w:color w:val="000000"/>
                <w:sz w:val="20"/>
                <w:szCs w:val="20"/>
                <w:lang w:val="nl-NL" w:eastAsia="nl-NL"/>
              </w:rPr>
              <w:t>020</w:t>
            </w:r>
            <w:r>
              <w:rPr>
                <w:rFonts w:cs="Arial"/>
                <w:color w:val="000000"/>
                <w:sz w:val="20"/>
                <w:szCs w:val="20"/>
                <w:lang w:val="nl-NL" w:eastAsia="nl-NL"/>
              </w:rPr>
              <w:t>,</w:t>
            </w:r>
            <w:r w:rsidRPr="00321C86">
              <w:rPr>
                <w:rFonts w:cs="Arial"/>
                <w:color w:val="000000"/>
                <w:sz w:val="20"/>
                <w:szCs w:val="20"/>
                <w:lang w:val="nl-NL" w:eastAsia="nl-NL"/>
              </w:rPr>
              <w:t>000.000</w:t>
            </w:r>
          </w:p>
        </w:tc>
        <w:tc>
          <w:tcPr>
            <w:tcW w:w="992"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300</w:t>
            </w:r>
          </w:p>
        </w:tc>
      </w:tr>
      <w:tr w:rsidR="00DC7B1E" w:rsidRPr="00463301" w:rsidTr="00D06E39">
        <w:trPr>
          <w:trHeight w:val="300"/>
        </w:trPr>
        <w:tc>
          <w:tcPr>
            <w:tcW w:w="1253" w:type="dxa"/>
            <w:tcBorders>
              <w:top w:val="nil"/>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rPr>
                <w:rFonts w:cs="Arial"/>
                <w:color w:val="000000"/>
                <w:sz w:val="20"/>
                <w:szCs w:val="20"/>
                <w:lang w:val="nl-NL" w:eastAsia="nl-NL"/>
              </w:rPr>
            </w:pPr>
            <w:r w:rsidRPr="00321C86">
              <w:rPr>
                <w:rFonts w:cs="Arial"/>
                <w:color w:val="000000"/>
                <w:sz w:val="20"/>
                <w:szCs w:val="20"/>
                <w:lang w:val="nl-NL" w:eastAsia="nl-NL"/>
              </w:rPr>
              <w:t>GAIN</w:t>
            </w:r>
          </w:p>
        </w:tc>
        <w:tc>
          <w:tcPr>
            <w:tcW w:w="188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482</w:t>
            </w:r>
            <w:r>
              <w:rPr>
                <w:rFonts w:cs="Arial"/>
                <w:color w:val="000000"/>
                <w:sz w:val="20"/>
                <w:szCs w:val="20"/>
                <w:lang w:val="nl-NL" w:eastAsia="nl-NL"/>
              </w:rPr>
              <w:t>,</w:t>
            </w:r>
            <w:r w:rsidRPr="00321C86">
              <w:rPr>
                <w:rFonts w:cs="Arial"/>
                <w:color w:val="000000"/>
                <w:sz w:val="20"/>
                <w:szCs w:val="20"/>
                <w:lang w:val="nl-NL" w:eastAsia="nl-NL"/>
              </w:rPr>
              <w:t>960.290</w:t>
            </w:r>
          </w:p>
        </w:tc>
        <w:tc>
          <w:tcPr>
            <w:tcW w:w="1984"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921</w:t>
            </w:r>
            <w:r>
              <w:rPr>
                <w:rFonts w:cs="Arial"/>
                <w:color w:val="000000"/>
                <w:sz w:val="20"/>
                <w:szCs w:val="20"/>
                <w:lang w:val="nl-NL" w:eastAsia="nl-NL"/>
              </w:rPr>
              <w:t>,</w:t>
            </w:r>
            <w:r w:rsidRPr="00321C86">
              <w:rPr>
                <w:rFonts w:cs="Arial"/>
                <w:color w:val="000000"/>
                <w:sz w:val="20"/>
                <w:szCs w:val="20"/>
                <w:lang w:val="nl-NL" w:eastAsia="nl-NL"/>
              </w:rPr>
              <w:t>685.495</w:t>
            </w:r>
          </w:p>
        </w:tc>
        <w:tc>
          <w:tcPr>
            <w:tcW w:w="184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0.000</w:t>
            </w:r>
          </w:p>
        </w:tc>
        <w:tc>
          <w:tcPr>
            <w:tcW w:w="1985"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5</w:t>
            </w:r>
            <w:r>
              <w:rPr>
                <w:rFonts w:cs="Arial"/>
                <w:color w:val="000000"/>
                <w:sz w:val="20"/>
                <w:szCs w:val="20"/>
                <w:lang w:val="nl-NL" w:eastAsia="nl-NL"/>
              </w:rPr>
              <w:t>,</w:t>
            </w:r>
            <w:r w:rsidRPr="00321C86">
              <w:rPr>
                <w:rFonts w:cs="Arial"/>
                <w:color w:val="000000"/>
                <w:sz w:val="20"/>
                <w:szCs w:val="20"/>
                <w:lang w:val="nl-NL" w:eastAsia="nl-NL"/>
              </w:rPr>
              <w:t>008</w:t>
            </w:r>
            <w:r>
              <w:rPr>
                <w:rFonts w:cs="Arial"/>
                <w:color w:val="000000"/>
                <w:sz w:val="20"/>
                <w:szCs w:val="20"/>
                <w:lang w:val="nl-NL" w:eastAsia="nl-NL"/>
              </w:rPr>
              <w:t>,</w:t>
            </w:r>
            <w:r w:rsidRPr="00321C86">
              <w:rPr>
                <w:rFonts w:cs="Arial"/>
                <w:color w:val="000000"/>
                <w:sz w:val="20"/>
                <w:szCs w:val="20"/>
                <w:lang w:val="nl-NL" w:eastAsia="nl-NL"/>
              </w:rPr>
              <w:t>661.000</w:t>
            </w:r>
          </w:p>
        </w:tc>
        <w:tc>
          <w:tcPr>
            <w:tcW w:w="992"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300</w:t>
            </w:r>
          </w:p>
        </w:tc>
      </w:tr>
      <w:tr w:rsidR="00DC7B1E" w:rsidRPr="00463301" w:rsidTr="00D06E39">
        <w:trPr>
          <w:trHeight w:val="300"/>
        </w:trPr>
        <w:tc>
          <w:tcPr>
            <w:tcW w:w="1253" w:type="dxa"/>
            <w:tcBorders>
              <w:top w:val="nil"/>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rPr>
                <w:rFonts w:cs="Arial"/>
                <w:color w:val="000000"/>
                <w:sz w:val="20"/>
                <w:szCs w:val="20"/>
                <w:lang w:val="nl-NL" w:eastAsia="nl-NL"/>
              </w:rPr>
            </w:pPr>
            <w:r w:rsidRPr="00321C86">
              <w:rPr>
                <w:rFonts w:cs="Arial"/>
                <w:color w:val="000000"/>
                <w:sz w:val="20"/>
                <w:szCs w:val="20"/>
                <w:lang w:val="nl-NL" w:eastAsia="nl-NL"/>
              </w:rPr>
              <w:t>LEV</w:t>
            </w:r>
          </w:p>
        </w:tc>
        <w:tc>
          <w:tcPr>
            <w:tcW w:w="188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0.210</w:t>
            </w:r>
          </w:p>
        </w:tc>
        <w:tc>
          <w:tcPr>
            <w:tcW w:w="1984"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0.137</w:t>
            </w:r>
          </w:p>
        </w:tc>
        <w:tc>
          <w:tcPr>
            <w:tcW w:w="184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0.000</w:t>
            </w:r>
          </w:p>
        </w:tc>
        <w:tc>
          <w:tcPr>
            <w:tcW w:w="1985"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0.558</w:t>
            </w:r>
          </w:p>
        </w:tc>
        <w:tc>
          <w:tcPr>
            <w:tcW w:w="992"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300</w:t>
            </w:r>
          </w:p>
        </w:tc>
      </w:tr>
      <w:tr w:rsidR="00DC7B1E" w:rsidRPr="00463301" w:rsidTr="00D06E39">
        <w:trPr>
          <w:trHeight w:val="300"/>
        </w:trPr>
        <w:tc>
          <w:tcPr>
            <w:tcW w:w="1253" w:type="dxa"/>
            <w:tcBorders>
              <w:top w:val="nil"/>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rPr>
                <w:rFonts w:cs="Arial"/>
                <w:color w:val="000000"/>
                <w:sz w:val="20"/>
                <w:szCs w:val="20"/>
                <w:lang w:val="nl-NL" w:eastAsia="nl-NL"/>
              </w:rPr>
            </w:pPr>
            <w:r w:rsidRPr="00321C86">
              <w:rPr>
                <w:rFonts w:cs="Arial"/>
                <w:color w:val="000000"/>
                <w:sz w:val="20"/>
                <w:szCs w:val="20"/>
                <w:lang w:val="nl-NL" w:eastAsia="nl-NL"/>
              </w:rPr>
              <w:t>GROWTH</w:t>
            </w:r>
          </w:p>
        </w:tc>
        <w:tc>
          <w:tcPr>
            <w:tcW w:w="188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123</w:t>
            </w:r>
            <w:r>
              <w:rPr>
                <w:rFonts w:cs="Arial"/>
                <w:color w:val="000000"/>
                <w:sz w:val="20"/>
                <w:szCs w:val="20"/>
                <w:lang w:val="nl-NL" w:eastAsia="nl-NL"/>
              </w:rPr>
              <w:t>,</w:t>
            </w:r>
            <w:r w:rsidRPr="00321C86">
              <w:rPr>
                <w:rFonts w:cs="Arial"/>
                <w:color w:val="000000"/>
                <w:sz w:val="20"/>
                <w:szCs w:val="20"/>
                <w:lang w:val="nl-NL" w:eastAsia="nl-NL"/>
              </w:rPr>
              <w:t>629</w:t>
            </w:r>
            <w:r>
              <w:rPr>
                <w:rFonts w:cs="Arial"/>
                <w:color w:val="000000"/>
                <w:sz w:val="20"/>
                <w:szCs w:val="20"/>
                <w:lang w:val="nl-NL" w:eastAsia="nl-NL"/>
              </w:rPr>
              <w:t>,</w:t>
            </w:r>
            <w:r w:rsidRPr="00321C86">
              <w:rPr>
                <w:rFonts w:cs="Arial"/>
                <w:color w:val="000000"/>
                <w:sz w:val="20"/>
                <w:szCs w:val="20"/>
                <w:lang w:val="nl-NL" w:eastAsia="nl-NL"/>
              </w:rPr>
              <w:t>409.192</w:t>
            </w:r>
          </w:p>
        </w:tc>
        <w:tc>
          <w:tcPr>
            <w:tcW w:w="1984"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339</w:t>
            </w:r>
            <w:r>
              <w:rPr>
                <w:rFonts w:cs="Arial"/>
                <w:color w:val="000000"/>
                <w:sz w:val="20"/>
                <w:szCs w:val="20"/>
                <w:lang w:val="nl-NL" w:eastAsia="nl-NL"/>
              </w:rPr>
              <w:t>,</w:t>
            </w:r>
            <w:r w:rsidRPr="00321C86">
              <w:rPr>
                <w:rFonts w:cs="Arial"/>
                <w:color w:val="000000"/>
                <w:sz w:val="20"/>
                <w:szCs w:val="20"/>
                <w:lang w:val="nl-NL" w:eastAsia="nl-NL"/>
              </w:rPr>
              <w:t>591</w:t>
            </w:r>
            <w:r>
              <w:rPr>
                <w:rFonts w:cs="Arial"/>
                <w:color w:val="000000"/>
                <w:sz w:val="20"/>
                <w:szCs w:val="20"/>
                <w:lang w:val="nl-NL" w:eastAsia="nl-NL"/>
              </w:rPr>
              <w:t>,</w:t>
            </w:r>
            <w:r w:rsidRPr="00321C86">
              <w:rPr>
                <w:rFonts w:cs="Arial"/>
                <w:color w:val="000000"/>
                <w:sz w:val="20"/>
                <w:szCs w:val="20"/>
                <w:lang w:val="nl-NL" w:eastAsia="nl-NL"/>
              </w:rPr>
              <w:t>422.815</w:t>
            </w:r>
          </w:p>
        </w:tc>
        <w:tc>
          <w:tcPr>
            <w:tcW w:w="184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-1</w:t>
            </w:r>
            <w:r>
              <w:rPr>
                <w:rFonts w:cs="Arial"/>
                <w:color w:val="000000"/>
                <w:sz w:val="20"/>
                <w:szCs w:val="20"/>
                <w:lang w:val="nl-NL" w:eastAsia="nl-NL"/>
              </w:rPr>
              <w:t>,</w:t>
            </w:r>
            <w:r w:rsidRPr="00321C86">
              <w:rPr>
                <w:rFonts w:cs="Arial"/>
                <w:color w:val="000000"/>
                <w:sz w:val="20"/>
                <w:szCs w:val="20"/>
                <w:lang w:val="nl-NL" w:eastAsia="nl-NL"/>
              </w:rPr>
              <w:t>362</w:t>
            </w:r>
            <w:r>
              <w:rPr>
                <w:rFonts w:cs="Arial"/>
                <w:color w:val="000000"/>
                <w:sz w:val="20"/>
                <w:szCs w:val="20"/>
                <w:lang w:val="nl-NL" w:eastAsia="nl-NL"/>
              </w:rPr>
              <w:t>,</w:t>
            </w:r>
            <w:r w:rsidRPr="00321C86">
              <w:rPr>
                <w:rFonts w:cs="Arial"/>
                <w:color w:val="000000"/>
                <w:sz w:val="20"/>
                <w:szCs w:val="20"/>
                <w:lang w:val="nl-NL" w:eastAsia="nl-NL"/>
              </w:rPr>
              <w:t>000</w:t>
            </w:r>
            <w:r>
              <w:rPr>
                <w:rFonts w:cs="Arial"/>
                <w:color w:val="000000"/>
                <w:sz w:val="20"/>
                <w:szCs w:val="20"/>
                <w:lang w:val="nl-NL" w:eastAsia="nl-NL"/>
              </w:rPr>
              <w:t>,</w:t>
            </w:r>
            <w:r w:rsidRPr="00321C86">
              <w:rPr>
                <w:rFonts w:cs="Arial"/>
                <w:color w:val="000000"/>
                <w:sz w:val="20"/>
                <w:szCs w:val="20"/>
                <w:lang w:val="nl-NL" w:eastAsia="nl-NL"/>
              </w:rPr>
              <w:t>000.000</w:t>
            </w:r>
          </w:p>
        </w:tc>
        <w:tc>
          <w:tcPr>
            <w:tcW w:w="1985"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1</w:t>
            </w:r>
            <w:r>
              <w:rPr>
                <w:rFonts w:cs="Arial"/>
                <w:color w:val="000000"/>
                <w:sz w:val="20"/>
                <w:szCs w:val="20"/>
                <w:lang w:val="nl-NL" w:eastAsia="nl-NL"/>
              </w:rPr>
              <w:t>,</w:t>
            </w:r>
            <w:r w:rsidRPr="00321C86">
              <w:rPr>
                <w:rFonts w:cs="Arial"/>
                <w:color w:val="000000"/>
                <w:sz w:val="20"/>
                <w:szCs w:val="20"/>
                <w:lang w:val="nl-NL" w:eastAsia="nl-NL"/>
              </w:rPr>
              <w:t>568</w:t>
            </w:r>
            <w:r>
              <w:rPr>
                <w:rFonts w:cs="Arial"/>
                <w:color w:val="000000"/>
                <w:sz w:val="20"/>
                <w:szCs w:val="20"/>
                <w:lang w:val="nl-NL" w:eastAsia="nl-NL"/>
              </w:rPr>
              <w:t>,</w:t>
            </w:r>
            <w:r w:rsidRPr="00321C86">
              <w:rPr>
                <w:rFonts w:cs="Arial"/>
                <w:color w:val="000000"/>
                <w:sz w:val="20"/>
                <w:szCs w:val="20"/>
                <w:lang w:val="nl-NL" w:eastAsia="nl-NL"/>
              </w:rPr>
              <w:t>374</w:t>
            </w:r>
            <w:r>
              <w:rPr>
                <w:rFonts w:cs="Arial"/>
                <w:color w:val="000000"/>
                <w:sz w:val="20"/>
                <w:szCs w:val="20"/>
                <w:lang w:val="nl-NL" w:eastAsia="nl-NL"/>
              </w:rPr>
              <w:t>,</w:t>
            </w:r>
            <w:r w:rsidRPr="00321C86">
              <w:rPr>
                <w:rFonts w:cs="Arial"/>
                <w:color w:val="000000"/>
                <w:sz w:val="20"/>
                <w:szCs w:val="20"/>
                <w:lang w:val="nl-NL" w:eastAsia="nl-NL"/>
              </w:rPr>
              <w:t>580.000</w:t>
            </w:r>
          </w:p>
        </w:tc>
        <w:tc>
          <w:tcPr>
            <w:tcW w:w="992"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300</w:t>
            </w:r>
          </w:p>
        </w:tc>
      </w:tr>
      <w:tr w:rsidR="00DC7B1E" w:rsidRPr="00463301" w:rsidTr="00D06E39">
        <w:trPr>
          <w:trHeight w:val="300"/>
        </w:trPr>
        <w:tc>
          <w:tcPr>
            <w:tcW w:w="1253" w:type="dxa"/>
            <w:tcBorders>
              <w:top w:val="nil"/>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rPr>
                <w:rFonts w:cs="Arial"/>
                <w:color w:val="000000"/>
                <w:sz w:val="20"/>
                <w:szCs w:val="20"/>
                <w:lang w:val="nl-NL" w:eastAsia="nl-NL"/>
              </w:rPr>
            </w:pPr>
            <w:r w:rsidRPr="00321C86">
              <w:rPr>
                <w:rFonts w:cs="Arial"/>
                <w:color w:val="000000"/>
                <w:sz w:val="20"/>
                <w:szCs w:val="20"/>
                <w:lang w:val="nl-NL" w:eastAsia="nl-NL"/>
              </w:rPr>
              <w:t>SIZE</w:t>
            </w:r>
          </w:p>
        </w:tc>
        <w:tc>
          <w:tcPr>
            <w:tcW w:w="188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2</w:t>
            </w:r>
            <w:r>
              <w:rPr>
                <w:rFonts w:cs="Arial"/>
                <w:color w:val="000000"/>
                <w:sz w:val="20"/>
                <w:szCs w:val="20"/>
                <w:lang w:val="nl-NL" w:eastAsia="nl-NL"/>
              </w:rPr>
              <w:t>,</w:t>
            </w:r>
            <w:r w:rsidRPr="00321C86">
              <w:rPr>
                <w:rFonts w:cs="Arial"/>
                <w:color w:val="000000"/>
                <w:sz w:val="20"/>
                <w:szCs w:val="20"/>
                <w:lang w:val="nl-NL" w:eastAsia="nl-NL"/>
              </w:rPr>
              <w:t>809</w:t>
            </w:r>
            <w:r>
              <w:rPr>
                <w:rFonts w:cs="Arial"/>
                <w:color w:val="000000"/>
                <w:sz w:val="20"/>
                <w:szCs w:val="20"/>
                <w:lang w:val="nl-NL" w:eastAsia="nl-NL"/>
              </w:rPr>
              <w:t>,</w:t>
            </w:r>
            <w:r w:rsidRPr="00321C86">
              <w:rPr>
                <w:rFonts w:cs="Arial"/>
                <w:color w:val="000000"/>
                <w:sz w:val="20"/>
                <w:szCs w:val="20"/>
                <w:lang w:val="nl-NL" w:eastAsia="nl-NL"/>
              </w:rPr>
              <w:t>824</w:t>
            </w:r>
            <w:r>
              <w:rPr>
                <w:rFonts w:cs="Arial"/>
                <w:color w:val="000000"/>
                <w:sz w:val="20"/>
                <w:szCs w:val="20"/>
                <w:lang w:val="nl-NL" w:eastAsia="nl-NL"/>
              </w:rPr>
              <w:t>,</w:t>
            </w:r>
            <w:r w:rsidRPr="00321C86">
              <w:rPr>
                <w:rFonts w:cs="Arial"/>
                <w:color w:val="000000"/>
                <w:sz w:val="20"/>
                <w:szCs w:val="20"/>
                <w:lang w:val="nl-NL" w:eastAsia="nl-NL"/>
              </w:rPr>
              <w:t>160.220</w:t>
            </w:r>
          </w:p>
        </w:tc>
        <w:tc>
          <w:tcPr>
            <w:tcW w:w="1984"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4</w:t>
            </w:r>
            <w:r>
              <w:rPr>
                <w:rFonts w:cs="Arial"/>
                <w:color w:val="000000"/>
                <w:sz w:val="20"/>
                <w:szCs w:val="20"/>
                <w:lang w:val="nl-NL" w:eastAsia="nl-NL"/>
              </w:rPr>
              <w:t>,</w:t>
            </w:r>
            <w:r w:rsidRPr="00321C86">
              <w:rPr>
                <w:rFonts w:cs="Arial"/>
                <w:color w:val="000000"/>
                <w:sz w:val="20"/>
                <w:szCs w:val="20"/>
                <w:lang w:val="nl-NL" w:eastAsia="nl-NL"/>
              </w:rPr>
              <w:t>979</w:t>
            </w:r>
            <w:r>
              <w:rPr>
                <w:rFonts w:cs="Arial"/>
                <w:color w:val="000000"/>
                <w:sz w:val="20"/>
                <w:szCs w:val="20"/>
                <w:lang w:val="nl-NL" w:eastAsia="nl-NL"/>
              </w:rPr>
              <w:t>,</w:t>
            </w:r>
            <w:r w:rsidRPr="00321C86">
              <w:rPr>
                <w:rFonts w:cs="Arial"/>
                <w:color w:val="000000"/>
                <w:sz w:val="20"/>
                <w:szCs w:val="20"/>
                <w:lang w:val="nl-NL" w:eastAsia="nl-NL"/>
              </w:rPr>
              <w:t>545</w:t>
            </w:r>
            <w:r>
              <w:rPr>
                <w:rFonts w:cs="Arial"/>
                <w:color w:val="000000"/>
                <w:sz w:val="20"/>
                <w:szCs w:val="20"/>
                <w:lang w:val="nl-NL" w:eastAsia="nl-NL"/>
              </w:rPr>
              <w:t>,</w:t>
            </w:r>
            <w:r w:rsidRPr="00321C86">
              <w:rPr>
                <w:rFonts w:cs="Arial"/>
                <w:color w:val="000000"/>
                <w:sz w:val="20"/>
                <w:szCs w:val="20"/>
                <w:lang w:val="nl-NL" w:eastAsia="nl-NL"/>
              </w:rPr>
              <w:t>652.992</w:t>
            </w:r>
          </w:p>
        </w:tc>
        <w:tc>
          <w:tcPr>
            <w:tcW w:w="184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36</w:t>
            </w:r>
            <w:r>
              <w:rPr>
                <w:rFonts w:cs="Arial"/>
                <w:color w:val="000000"/>
                <w:sz w:val="20"/>
                <w:szCs w:val="20"/>
                <w:lang w:val="nl-NL" w:eastAsia="nl-NL"/>
              </w:rPr>
              <w:t>,</w:t>
            </w:r>
            <w:r w:rsidRPr="00321C86">
              <w:rPr>
                <w:rFonts w:cs="Arial"/>
                <w:color w:val="000000"/>
                <w:sz w:val="20"/>
                <w:szCs w:val="20"/>
                <w:lang w:val="nl-NL" w:eastAsia="nl-NL"/>
              </w:rPr>
              <w:t>096</w:t>
            </w:r>
            <w:r>
              <w:rPr>
                <w:rFonts w:cs="Arial"/>
                <w:color w:val="000000"/>
                <w:sz w:val="20"/>
                <w:szCs w:val="20"/>
                <w:lang w:val="nl-NL" w:eastAsia="nl-NL"/>
              </w:rPr>
              <w:t>,</w:t>
            </w:r>
            <w:r w:rsidRPr="00321C86">
              <w:rPr>
                <w:rFonts w:cs="Arial"/>
                <w:color w:val="000000"/>
                <w:sz w:val="20"/>
                <w:szCs w:val="20"/>
                <w:lang w:val="nl-NL" w:eastAsia="nl-NL"/>
              </w:rPr>
              <w:t>000.000</w:t>
            </w:r>
          </w:p>
        </w:tc>
        <w:tc>
          <w:tcPr>
            <w:tcW w:w="1985"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28</w:t>
            </w:r>
            <w:r>
              <w:rPr>
                <w:rFonts w:cs="Arial"/>
                <w:color w:val="000000"/>
                <w:sz w:val="20"/>
                <w:szCs w:val="20"/>
                <w:lang w:val="nl-NL" w:eastAsia="nl-NL"/>
              </w:rPr>
              <w:t>,</w:t>
            </w:r>
            <w:r w:rsidRPr="00321C86">
              <w:rPr>
                <w:rFonts w:cs="Arial"/>
                <w:color w:val="000000"/>
                <w:sz w:val="20"/>
                <w:szCs w:val="20"/>
                <w:lang w:val="nl-NL" w:eastAsia="nl-NL"/>
              </w:rPr>
              <w:t>807</w:t>
            </w:r>
            <w:r>
              <w:rPr>
                <w:rFonts w:cs="Arial"/>
                <w:color w:val="000000"/>
                <w:sz w:val="20"/>
                <w:szCs w:val="20"/>
                <w:lang w:val="nl-NL" w:eastAsia="nl-NL"/>
              </w:rPr>
              <w:t>,</w:t>
            </w:r>
            <w:r w:rsidRPr="00321C86">
              <w:rPr>
                <w:rFonts w:cs="Arial"/>
                <w:color w:val="000000"/>
                <w:sz w:val="20"/>
                <w:szCs w:val="20"/>
                <w:lang w:val="nl-NL" w:eastAsia="nl-NL"/>
              </w:rPr>
              <w:t>000</w:t>
            </w:r>
            <w:r>
              <w:rPr>
                <w:rFonts w:cs="Arial"/>
                <w:color w:val="000000"/>
                <w:sz w:val="20"/>
                <w:szCs w:val="20"/>
                <w:lang w:val="nl-NL" w:eastAsia="nl-NL"/>
              </w:rPr>
              <w:t>,</w:t>
            </w:r>
            <w:r w:rsidRPr="00321C86">
              <w:rPr>
                <w:rFonts w:cs="Arial"/>
                <w:color w:val="000000"/>
                <w:sz w:val="20"/>
                <w:szCs w:val="20"/>
                <w:lang w:val="nl-NL" w:eastAsia="nl-NL"/>
              </w:rPr>
              <w:t>000.000</w:t>
            </w:r>
          </w:p>
        </w:tc>
        <w:tc>
          <w:tcPr>
            <w:tcW w:w="992"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300</w:t>
            </w:r>
          </w:p>
        </w:tc>
      </w:tr>
      <w:tr w:rsidR="00DC7B1E" w:rsidRPr="00321C86" w:rsidTr="00D06E39">
        <w:trPr>
          <w:trHeight w:val="300"/>
        </w:trPr>
        <w:tc>
          <w:tcPr>
            <w:tcW w:w="1253" w:type="dxa"/>
            <w:tcBorders>
              <w:top w:val="nil"/>
              <w:left w:val="single" w:sz="4" w:space="0" w:color="auto"/>
              <w:bottom w:val="single" w:sz="4" w:space="0" w:color="auto"/>
              <w:right w:val="single" w:sz="4" w:space="0" w:color="auto"/>
            </w:tcBorders>
            <w:noWrap/>
            <w:vAlign w:val="bottom"/>
          </w:tcPr>
          <w:p w:rsidR="00DC7B1E" w:rsidRPr="00321C86" w:rsidRDefault="00DC7B1E" w:rsidP="00D06E39">
            <w:pPr>
              <w:spacing w:after="0" w:line="240" w:lineRule="auto"/>
              <w:rPr>
                <w:rFonts w:cs="Arial"/>
                <w:color w:val="000000"/>
                <w:sz w:val="20"/>
                <w:szCs w:val="20"/>
                <w:lang w:val="nl-NL" w:eastAsia="nl-NL"/>
              </w:rPr>
            </w:pPr>
            <w:r w:rsidRPr="00321C86">
              <w:rPr>
                <w:rFonts w:cs="Arial"/>
                <w:color w:val="000000"/>
                <w:sz w:val="20"/>
                <w:szCs w:val="20"/>
                <w:lang w:val="nl-NL" w:eastAsia="nl-NL"/>
              </w:rPr>
              <w:t>MTBV</w:t>
            </w:r>
          </w:p>
        </w:tc>
        <w:tc>
          <w:tcPr>
            <w:tcW w:w="188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3.372</w:t>
            </w:r>
          </w:p>
        </w:tc>
        <w:tc>
          <w:tcPr>
            <w:tcW w:w="1984"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10.401</w:t>
            </w:r>
          </w:p>
        </w:tc>
        <w:tc>
          <w:tcPr>
            <w:tcW w:w="1843"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-112.270</w:t>
            </w:r>
          </w:p>
        </w:tc>
        <w:tc>
          <w:tcPr>
            <w:tcW w:w="1985"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109.220</w:t>
            </w:r>
          </w:p>
        </w:tc>
        <w:tc>
          <w:tcPr>
            <w:tcW w:w="992" w:type="dxa"/>
            <w:tcBorders>
              <w:top w:val="nil"/>
              <w:left w:val="nil"/>
              <w:bottom w:val="single" w:sz="4" w:space="0" w:color="auto"/>
              <w:right w:val="single" w:sz="4" w:space="0" w:color="auto"/>
            </w:tcBorders>
            <w:noWrap/>
            <w:vAlign w:val="bottom"/>
          </w:tcPr>
          <w:p w:rsidR="00DC7B1E" w:rsidRPr="00321C86" w:rsidRDefault="00DC7B1E" w:rsidP="00D06E39">
            <w:pPr>
              <w:spacing w:after="0" w:line="240" w:lineRule="auto"/>
              <w:jc w:val="right"/>
              <w:rPr>
                <w:rFonts w:cs="Arial"/>
                <w:color w:val="000000"/>
                <w:sz w:val="20"/>
                <w:szCs w:val="20"/>
                <w:lang w:val="nl-NL" w:eastAsia="nl-NL"/>
              </w:rPr>
            </w:pPr>
            <w:r w:rsidRPr="00321C86">
              <w:rPr>
                <w:rFonts w:cs="Arial"/>
                <w:color w:val="000000"/>
                <w:sz w:val="20"/>
                <w:szCs w:val="20"/>
                <w:lang w:val="nl-NL" w:eastAsia="nl-NL"/>
              </w:rPr>
              <w:t>300</w:t>
            </w:r>
          </w:p>
        </w:tc>
      </w:tr>
    </w:tbl>
    <w:p w:rsidR="00DC7B1E" w:rsidRPr="00321C86" w:rsidRDefault="00DC7B1E" w:rsidP="00D3518F">
      <w:pPr>
        <w:rPr>
          <w:rFonts w:cs="Arial"/>
          <w:b/>
        </w:rPr>
      </w:pPr>
    </w:p>
    <w:p w:rsidR="00DC7B1E" w:rsidRDefault="00DC7B1E" w:rsidP="00D3518F">
      <w:pPr>
        <w:rPr>
          <w:rFonts w:cs="Arial"/>
          <w:b/>
        </w:rPr>
      </w:pPr>
    </w:p>
    <w:p w:rsidR="00DC7B1E" w:rsidRPr="00321C86" w:rsidRDefault="00DC7B1E" w:rsidP="00D3518F">
      <w:pPr>
        <w:rPr>
          <w:rFonts w:cs="Arial"/>
          <w:b/>
        </w:rPr>
      </w:pPr>
    </w:p>
    <w:p w:rsidR="00DC7B1E" w:rsidRDefault="00DC7B1E" w:rsidP="00D3518F">
      <w:pPr>
        <w:rPr>
          <w:rFonts w:cs="Arial"/>
          <w:b/>
        </w:rPr>
      </w:pPr>
    </w:p>
    <w:p w:rsidR="00DC7B1E" w:rsidRPr="00321C86" w:rsidRDefault="00DC7B1E" w:rsidP="00CD1324">
      <w:pPr>
        <w:spacing w:line="360" w:lineRule="auto"/>
        <w:contextualSpacing/>
        <w:rPr>
          <w:rFonts w:cs="Arial"/>
          <w:b/>
        </w:rPr>
      </w:pPr>
      <w:r w:rsidRPr="00321C86">
        <w:rPr>
          <w:rFonts w:cs="Arial"/>
          <w:b/>
        </w:rPr>
        <w:t>Table 2b</w:t>
      </w:r>
    </w:p>
    <w:tbl>
      <w:tblPr>
        <w:tblW w:w="5120"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00"/>
        <w:gridCol w:w="1440"/>
        <w:gridCol w:w="1780"/>
      </w:tblGrid>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Frequency</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Percent</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 xml:space="preserve"> NONE</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131</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43.667</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CEO</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17</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5.667</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CFO</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24</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8.000</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Other</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26</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8.667</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CEO/CFO</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19</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6.333</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CEO/Other</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25</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8.333</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CFO/Other</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22</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7.333</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CEO/CFO/Other</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36</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12.000</w:t>
            </w:r>
          </w:p>
        </w:tc>
      </w:tr>
      <w:tr w:rsidR="00DC7B1E" w:rsidRPr="00321C86" w:rsidTr="00BD12B1">
        <w:trPr>
          <w:trHeight w:val="300"/>
        </w:trPr>
        <w:tc>
          <w:tcPr>
            <w:tcW w:w="190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Total</w:t>
            </w:r>
          </w:p>
        </w:tc>
        <w:tc>
          <w:tcPr>
            <w:tcW w:w="144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300</w:t>
            </w:r>
          </w:p>
        </w:tc>
        <w:tc>
          <w:tcPr>
            <w:tcW w:w="1780" w:type="dxa"/>
            <w:noWrap/>
            <w:vAlign w:val="center"/>
          </w:tcPr>
          <w:p w:rsidR="00DC7B1E" w:rsidRPr="00321C86" w:rsidRDefault="00DC7B1E" w:rsidP="00BD12B1">
            <w:pPr>
              <w:spacing w:after="0" w:line="240" w:lineRule="auto"/>
              <w:rPr>
                <w:rFonts w:cs="Arial"/>
                <w:color w:val="000000"/>
                <w:sz w:val="20"/>
                <w:szCs w:val="20"/>
              </w:rPr>
            </w:pPr>
            <w:r w:rsidRPr="00321C86">
              <w:rPr>
                <w:rFonts w:cs="Arial"/>
                <w:color w:val="000000"/>
                <w:sz w:val="20"/>
                <w:szCs w:val="20"/>
              </w:rPr>
              <w:t>100</w:t>
            </w:r>
          </w:p>
        </w:tc>
      </w:tr>
    </w:tbl>
    <w:p w:rsidR="00DC7B1E" w:rsidRPr="00321C86" w:rsidRDefault="00DC7B1E" w:rsidP="00D3518F">
      <w:pPr>
        <w:rPr>
          <w:rFonts w:cs="Arial"/>
        </w:rPr>
      </w:pPr>
    </w:p>
    <w:p w:rsidR="00DC7B1E" w:rsidRPr="00321C86" w:rsidRDefault="00DC7B1E" w:rsidP="00CD1324">
      <w:pPr>
        <w:spacing w:line="360" w:lineRule="auto"/>
        <w:contextualSpacing/>
        <w:rPr>
          <w:rFonts w:cs="Arial"/>
          <w:b/>
        </w:rPr>
      </w:pPr>
      <w:r w:rsidRPr="00321C86">
        <w:rPr>
          <w:rFonts w:cs="Arial"/>
          <w:b/>
        </w:rPr>
        <w:t>Table 2c</w:t>
      </w:r>
    </w:p>
    <w:tbl>
      <w:tblPr>
        <w:tblW w:w="512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435"/>
        <w:gridCol w:w="1843"/>
        <w:gridCol w:w="1842"/>
      </w:tblGrid>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LEAVING</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Frequency</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Percent</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No</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273</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91.000</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Yes</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27</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9.000</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Total</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300</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100</w:t>
            </w:r>
          </w:p>
        </w:tc>
      </w:tr>
    </w:tbl>
    <w:p w:rsidR="00DC7B1E" w:rsidRPr="00321C86" w:rsidRDefault="00DC7B1E" w:rsidP="003A3E2F">
      <w:pPr>
        <w:spacing w:line="360" w:lineRule="auto"/>
        <w:contextualSpacing/>
        <w:jc w:val="both"/>
        <w:rPr>
          <w:rFonts w:cs="Arial"/>
          <w:b/>
        </w:rPr>
      </w:pPr>
    </w:p>
    <w:p w:rsidR="00DC7B1E" w:rsidRPr="00321C86" w:rsidRDefault="00DC7B1E" w:rsidP="003A3E2F">
      <w:pPr>
        <w:spacing w:line="360" w:lineRule="auto"/>
        <w:contextualSpacing/>
        <w:jc w:val="both"/>
        <w:rPr>
          <w:rFonts w:cs="Arial"/>
          <w:b/>
        </w:rPr>
      </w:pPr>
      <w:r w:rsidRPr="00321C86">
        <w:rPr>
          <w:rFonts w:cs="Arial"/>
          <w:b/>
        </w:rPr>
        <w:t>Table 2d</w:t>
      </w:r>
    </w:p>
    <w:tbl>
      <w:tblPr>
        <w:tblW w:w="512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435"/>
        <w:gridCol w:w="1843"/>
        <w:gridCol w:w="1842"/>
      </w:tblGrid>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YEAR</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Frequency</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Percent</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2004</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76</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25.3</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2005</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78</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26.0</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2006</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74</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24.7</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2007</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72</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24.0</w:t>
            </w:r>
          </w:p>
        </w:tc>
      </w:tr>
      <w:tr w:rsidR="00DC7B1E" w:rsidRPr="00321C86" w:rsidTr="00BD12B1">
        <w:trPr>
          <w:trHeight w:val="300"/>
        </w:trPr>
        <w:tc>
          <w:tcPr>
            <w:tcW w:w="1435"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Total</w:t>
            </w:r>
          </w:p>
        </w:tc>
        <w:tc>
          <w:tcPr>
            <w:tcW w:w="1843"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300</w:t>
            </w:r>
          </w:p>
        </w:tc>
        <w:tc>
          <w:tcPr>
            <w:tcW w:w="1842" w:type="dxa"/>
            <w:noWrap/>
            <w:vAlign w:val="center"/>
          </w:tcPr>
          <w:p w:rsidR="00DC7B1E" w:rsidRPr="00321C86" w:rsidRDefault="00DC7B1E" w:rsidP="00BD12B1">
            <w:pPr>
              <w:spacing w:after="0" w:line="240" w:lineRule="auto"/>
              <w:rPr>
                <w:rFonts w:cs="Arial"/>
                <w:color w:val="000000"/>
                <w:sz w:val="20"/>
                <w:szCs w:val="20"/>
                <w:lang w:val="nl-NL" w:eastAsia="nl-NL"/>
              </w:rPr>
            </w:pPr>
            <w:r w:rsidRPr="00321C86">
              <w:rPr>
                <w:rFonts w:cs="Arial"/>
                <w:color w:val="000000"/>
                <w:sz w:val="20"/>
                <w:szCs w:val="20"/>
                <w:lang w:val="nl-NL" w:eastAsia="nl-NL"/>
              </w:rPr>
              <w:t>100</w:t>
            </w:r>
          </w:p>
        </w:tc>
      </w:tr>
    </w:tbl>
    <w:p w:rsidR="00DC7B1E" w:rsidRPr="00321C86" w:rsidRDefault="00DC7B1E" w:rsidP="00321C86">
      <w:pPr>
        <w:spacing w:line="360" w:lineRule="auto"/>
        <w:contextualSpacing/>
        <w:jc w:val="both"/>
        <w:rPr>
          <w:rFonts w:ascii="Times New Roman" w:hAnsi="Times New Roman"/>
          <w:b/>
        </w:rPr>
      </w:pPr>
    </w:p>
    <w:p w:rsidR="00DC7B1E" w:rsidRPr="00A84A74" w:rsidRDefault="00DC7B1E" w:rsidP="00A84A74">
      <w:pPr>
        <w:pStyle w:val="Heading3"/>
        <w:spacing w:before="60" w:line="360" w:lineRule="auto"/>
        <w:contextualSpacing/>
        <w:rPr>
          <w:i/>
          <w:sz w:val="22"/>
          <w:szCs w:val="22"/>
        </w:rPr>
      </w:pPr>
      <w:bookmarkStart w:id="49" w:name="_Toc234567989"/>
      <w:r w:rsidRPr="00A84A74">
        <w:rPr>
          <w:i/>
          <w:sz w:val="22"/>
          <w:szCs w:val="22"/>
        </w:rPr>
        <w:t>5.1.2</w:t>
      </w:r>
      <w:r w:rsidRPr="00A84A74">
        <w:rPr>
          <w:i/>
          <w:sz w:val="22"/>
          <w:szCs w:val="22"/>
        </w:rPr>
        <w:tab/>
        <w:t>Univariate test</w:t>
      </w:r>
      <w:bookmarkEnd w:id="49"/>
    </w:p>
    <w:p w:rsidR="00DC7B1E" w:rsidRPr="00321C86" w:rsidRDefault="00DC7B1E" w:rsidP="008625AF">
      <w:pPr>
        <w:spacing w:afterLines="200" w:line="360" w:lineRule="auto"/>
        <w:contextualSpacing/>
        <w:jc w:val="both"/>
        <w:rPr>
          <w:rFonts w:ascii="Times New Roman" w:hAnsi="Times New Roman"/>
          <w:b/>
        </w:rPr>
      </w:pPr>
    </w:p>
    <w:p w:rsidR="00DC7B1E" w:rsidRPr="00321C86" w:rsidRDefault="00DC7B1E" w:rsidP="008625AF">
      <w:pPr>
        <w:spacing w:afterLines="200" w:line="360" w:lineRule="auto"/>
        <w:contextualSpacing/>
        <w:jc w:val="both"/>
        <w:rPr>
          <w:rFonts w:ascii="Times New Roman" w:hAnsi="Times New Roman"/>
          <w:i/>
        </w:rPr>
      </w:pPr>
      <w:r w:rsidRPr="00321C86">
        <w:rPr>
          <w:rFonts w:ascii="Times New Roman" w:hAnsi="Times New Roman"/>
          <w:i/>
        </w:rPr>
        <w:t>Bonferroni test</w:t>
      </w:r>
    </w:p>
    <w:p w:rsidR="00DC7B1E" w:rsidRPr="00321C86" w:rsidRDefault="00DC7B1E" w:rsidP="008625AF">
      <w:pPr>
        <w:spacing w:afterLines="200" w:line="360" w:lineRule="auto"/>
        <w:contextualSpacing/>
        <w:jc w:val="both"/>
        <w:rPr>
          <w:rFonts w:ascii="Times New Roman" w:hAnsi="Times New Roman"/>
        </w:rPr>
      </w:pPr>
      <w:r w:rsidRPr="00321C86">
        <w:rPr>
          <w:rFonts w:ascii="Times New Roman" w:hAnsi="Times New Roman"/>
        </w:rPr>
        <w:t xml:space="preserve">In an attempt to test the validity of the first hypothesis, relations between the different function combination categories and discretionary accruals are investigated. Since the function combinations of exercising executives involves a nominal variable and it contains more than two categories, the Bonferroni test is performed to examine whether significant differences in discretionary accruals are present among the different categories of function combinations of exercising executives. The Bonferroni test is a one-way ANOVA test which investigates whether the means of more than two groups on a variable measured at the interval level differ from each other. In fact, this test is comparable to the independent samples T-test although the number of groups is not limited to two. The Bonferroni test performed on discretionary accruals among the different function combinations of exercising executives are exhibited in Appendix 4.  </w:t>
      </w:r>
    </w:p>
    <w:p w:rsidR="00DC7B1E" w:rsidRPr="00321C86" w:rsidRDefault="00DC7B1E" w:rsidP="008625AF">
      <w:pPr>
        <w:spacing w:afterLines="200" w:line="360" w:lineRule="auto"/>
        <w:contextualSpacing/>
        <w:jc w:val="both"/>
        <w:rPr>
          <w:rFonts w:ascii="Times New Roman" w:hAnsi="Times New Roman"/>
          <w:sz w:val="24"/>
          <w:szCs w:val="24"/>
        </w:rPr>
      </w:pPr>
      <w:r w:rsidRPr="00321C86">
        <w:rPr>
          <w:rFonts w:ascii="Times New Roman" w:hAnsi="Times New Roman"/>
        </w:rPr>
        <w:t xml:space="preserve">The Descriptives table contains the number of observations, the mean and standard deviation of each category. It shows that only the mean of the discretionary accruals of the category CEO/CFO/Other has a positive value whereas the mean of all other categories are negative. Also the standard deviation of CEO/CFO/Other is the lowest. Both the test of homogeneity of variances’ (Levene’s test) and the ANOVA test demonstrate that the differences in variance amongst the various groups are significant. However, the Bonferroni test in the Multiple Comparison table shows that the discretionary accruals mean among the most categories are not significantly different from each other. Only the discretionary mean of CEO/CFO/Other differ significantly from the category NONE. However, this does not infer that the discretionary accruals is significantly correlated with the function combination of exercising executive since the discretionary accruals of the category CEO/CFO/Other is not significantly different from other categories other than NONE. It only implies that the discretionary accruals of CEO/CFO/Other are only higher than in the situation that none of the executives exercise their options. </w:t>
      </w:r>
    </w:p>
    <w:p w:rsidR="00DC7B1E" w:rsidRPr="00321C86" w:rsidRDefault="00DC7B1E" w:rsidP="008625AF">
      <w:pPr>
        <w:autoSpaceDE w:val="0"/>
        <w:autoSpaceDN w:val="0"/>
        <w:adjustRightInd w:val="0"/>
        <w:spacing w:afterLines="200" w:line="360" w:lineRule="auto"/>
        <w:contextualSpacing/>
        <w:rPr>
          <w:rFonts w:ascii="Times New Roman" w:hAnsi="Times New Roman"/>
        </w:rPr>
      </w:pPr>
    </w:p>
    <w:p w:rsidR="00DC7B1E" w:rsidRPr="00321C86" w:rsidRDefault="00DC7B1E" w:rsidP="008625AF">
      <w:pPr>
        <w:autoSpaceDE w:val="0"/>
        <w:autoSpaceDN w:val="0"/>
        <w:adjustRightInd w:val="0"/>
        <w:spacing w:afterLines="200" w:line="360" w:lineRule="auto"/>
        <w:contextualSpacing/>
        <w:rPr>
          <w:rFonts w:ascii="Times New Roman" w:hAnsi="Times New Roman"/>
          <w:i/>
        </w:rPr>
      </w:pPr>
      <w:r w:rsidRPr="00321C86">
        <w:rPr>
          <w:rFonts w:ascii="Times New Roman" w:hAnsi="Times New Roman"/>
          <w:i/>
        </w:rPr>
        <w:t>Pearson correlation</w:t>
      </w:r>
    </w:p>
    <w:p w:rsidR="00DC7B1E" w:rsidRPr="00321C86" w:rsidRDefault="00DC7B1E" w:rsidP="008625AF">
      <w:pPr>
        <w:spacing w:afterLines="200" w:line="360" w:lineRule="auto"/>
        <w:contextualSpacing/>
        <w:jc w:val="both"/>
        <w:rPr>
          <w:rFonts w:ascii="Times New Roman" w:hAnsi="Times New Roman"/>
        </w:rPr>
      </w:pPr>
      <w:r w:rsidRPr="00321C86">
        <w:rPr>
          <w:rFonts w:ascii="Times New Roman" w:hAnsi="Times New Roman"/>
        </w:rPr>
        <w:t xml:space="preserve">To test the second and third hypothesis, the relation of discretionary accruals with the number of options exercised and the gain from option exercises are examined. Since those variables are measured at an interval scale, the Pearson correlation is conducted to verify whether these two correlations exist. The second purpose to conduct this test is to examine whether strong associations exist among the independent variables that will be included in the regression. This is necessary to verify whether those strong associations among the independent variables will cause multicollinearity in the regression. In fact, the Pearson correlation measures the strength and direction of a linear relationship between two variables, X and Y. This is indicated by the Pearson’s r of which the value can range between -1 and 1. A value of -1 represents a perfect (linear) negative relationship between both variables, while a value of 1 stands for a perfect positive relationship between both variables. When r = 0, no linear relationship exists between both variables. </w:t>
      </w:r>
    </w:p>
    <w:p w:rsidR="00DC7B1E" w:rsidRDefault="00DC7B1E" w:rsidP="008625AF">
      <w:pPr>
        <w:spacing w:afterLines="200" w:line="360" w:lineRule="auto"/>
        <w:contextualSpacing/>
        <w:jc w:val="both"/>
        <w:rPr>
          <w:rFonts w:ascii="Times New Roman" w:hAnsi="Times New Roman"/>
        </w:rPr>
      </w:pPr>
      <w:r w:rsidRPr="00BD12B1">
        <w:rPr>
          <w:rFonts w:ascii="Times New Roman" w:hAnsi="Times New Roman"/>
        </w:rPr>
        <w:t>Appendix 5 presents</w:t>
      </w:r>
      <w:r w:rsidRPr="00321C86">
        <w:rPr>
          <w:rFonts w:ascii="Times New Roman" w:hAnsi="Times New Roman"/>
        </w:rPr>
        <w:t xml:space="preserve"> the Pearson correlation for the regression concerning the exercise of executive stock options. This correlation is conducted after the elimination of outliers of each variable. The Pearson correlation table shows that discretionary accruals are significantly correlated with the gain from exercise at a 1% significance level. </w:t>
      </w:r>
      <w:r>
        <w:rPr>
          <w:rFonts w:ascii="Times New Roman" w:hAnsi="Times New Roman"/>
        </w:rPr>
        <w:t xml:space="preserve">However, the correlation is rather weak with a coefficient of 0.147. </w:t>
      </w:r>
      <w:r w:rsidRPr="00321C86">
        <w:rPr>
          <w:rFonts w:ascii="Times New Roman" w:hAnsi="Times New Roman"/>
        </w:rPr>
        <w:t>There are no indication for significant associations of discretionary accruals with the number of exercised options and the control variables that will be included in the regression analysis</w:t>
      </w:r>
    </w:p>
    <w:p w:rsidR="00DC7B1E" w:rsidRPr="00321C86" w:rsidRDefault="00DC7B1E" w:rsidP="008625AF">
      <w:pPr>
        <w:spacing w:afterLines="200" w:line="360" w:lineRule="auto"/>
        <w:contextualSpacing/>
        <w:jc w:val="both"/>
        <w:rPr>
          <w:rFonts w:ascii="Times New Roman" w:hAnsi="Times New Roman"/>
        </w:rPr>
      </w:pPr>
      <w:r w:rsidRPr="00321C86">
        <w:rPr>
          <w:rFonts w:ascii="Times New Roman" w:hAnsi="Times New Roman"/>
        </w:rPr>
        <w:t xml:space="preserve">Concerning the possible multicollinearity problem in the regression, the Pearson correlation of the variables for the regression of the exercise of executive stock options reveals that the correlation between the variables options and gain with a coefficient of 0.715 at a significance level of 0.000 is rather high in comparison with the correlation between </w:t>
      </w:r>
      <w:r w:rsidRPr="00BD12B1">
        <w:rPr>
          <w:rFonts w:ascii="Times New Roman" w:hAnsi="Times New Roman"/>
        </w:rPr>
        <w:t>other variables. Although 0.800 is often used as cutoff point for the measurement of the existence of multicollinearity, it should be kept in mind that the smaller the sample size, the lower the cutoff point should be taken. Whether</w:t>
      </w:r>
      <w:r w:rsidRPr="00321C86">
        <w:rPr>
          <w:rFonts w:ascii="Times New Roman" w:hAnsi="Times New Roman"/>
        </w:rPr>
        <w:t xml:space="preserve"> the correlation between options and gain indeed cause multicollinearity in the regression analysis, this should be examined with the collinearity test as an additional test during the regression. This will be investigated in the paragraph 5.1.4. </w:t>
      </w:r>
    </w:p>
    <w:p w:rsidR="00DC7B1E" w:rsidRPr="00321C86" w:rsidRDefault="00DC7B1E" w:rsidP="00A84A74">
      <w:pPr>
        <w:spacing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50" w:name="_Toc234567990"/>
      <w:r w:rsidRPr="00A84A74">
        <w:rPr>
          <w:i/>
          <w:sz w:val="22"/>
          <w:szCs w:val="22"/>
        </w:rPr>
        <w:t>5.1.3</w:t>
      </w:r>
      <w:r w:rsidRPr="00A84A74">
        <w:rPr>
          <w:i/>
          <w:sz w:val="22"/>
          <w:szCs w:val="22"/>
        </w:rPr>
        <w:tab/>
        <w:t>Regression analysis</w:t>
      </w:r>
      <w:bookmarkEnd w:id="50"/>
    </w:p>
    <w:p w:rsidR="00DC7B1E" w:rsidRPr="00321C86" w:rsidRDefault="00DC7B1E" w:rsidP="00321C86">
      <w:pPr>
        <w:spacing w:line="360" w:lineRule="auto"/>
        <w:contextualSpacing/>
        <w:jc w:val="both"/>
        <w:rPr>
          <w:rFonts w:ascii="Times New Roman" w:hAnsi="Times New Roman"/>
        </w:rPr>
      </w:pPr>
    </w:p>
    <w:p w:rsidR="00DC7B1E" w:rsidRPr="00A84A65" w:rsidRDefault="00DC7B1E" w:rsidP="00321C86">
      <w:pPr>
        <w:spacing w:line="360" w:lineRule="auto"/>
        <w:contextualSpacing/>
        <w:jc w:val="both"/>
        <w:rPr>
          <w:rFonts w:ascii="Times New Roman" w:hAnsi="Times New Roman"/>
          <w:color w:val="000000"/>
        </w:rPr>
      </w:pPr>
      <w:r w:rsidRPr="00321C86">
        <w:rPr>
          <w:rFonts w:ascii="Times New Roman" w:hAnsi="Times New Roman"/>
        </w:rPr>
        <w:t xml:space="preserve">The result of the regression analysis after the elimination of outliers of each variable is presented in </w:t>
      </w:r>
      <w:r w:rsidRPr="00BD12B1">
        <w:rPr>
          <w:rFonts w:ascii="Times New Roman" w:hAnsi="Times New Roman"/>
        </w:rPr>
        <w:t>Appendix 6.</w:t>
      </w:r>
      <w:r w:rsidRPr="00321C86">
        <w:rPr>
          <w:rFonts w:ascii="Times New Roman" w:hAnsi="Times New Roman"/>
        </w:rPr>
        <w:t xml:space="preserve"> Surprisingly, only the variable CEO/CFO/Other is significantly correlated with discretionary accruals with a coefficient of 0.081 and a p-value of 0.003. This implies that only when the CEO, the CFO as well as other executives exercise their executive stock options in the same year are able to manage earnings upwards. However, like the variables outliers are also present in a regression. Observations that lies a distance away from the rest of the observations distort the coefficient of the regression line. Therefore, outliers of the regression </w:t>
      </w:r>
      <w:r>
        <w:rPr>
          <w:rFonts w:ascii="Times New Roman" w:hAnsi="Times New Roman"/>
        </w:rPr>
        <w:t>should</w:t>
      </w:r>
      <w:r w:rsidRPr="00321C86">
        <w:rPr>
          <w:rFonts w:ascii="Times New Roman" w:hAnsi="Times New Roman"/>
        </w:rPr>
        <w:t xml:space="preserve"> also be removed. Those are eliminated as standardized residuals of the regression. The new regression without outliers of both the variables and regression are presented in Table 3</w:t>
      </w:r>
      <w:r>
        <w:rPr>
          <w:rFonts w:ascii="Times New Roman" w:hAnsi="Times New Roman"/>
        </w:rPr>
        <w:t>.</w:t>
      </w:r>
      <w:r w:rsidRPr="00321C86">
        <w:rPr>
          <w:rFonts w:ascii="Times New Roman" w:hAnsi="Times New Roman"/>
        </w:rPr>
        <w:t xml:space="preserve"> After the elimination of the outliers, the R square increases from 0.090 to 0.135 which implies that the regression model without the standardized residuals is more able to fit the data. The R square is referred as the explanatory power of the regression. Although the outliers are removed, no significant changes can be observed in the significance of the explanatory variables. Against what would be expected according to the literature, the majority of the variables are insignificant except for the variable CEO/CFO/Other which is still the only variable that has a significant association with discretionary accruals. This implies that only when the CEO, CFO and Other executives exercise their options together in the same year, the discretionary accruals differ significantly from the case when none of the executives exercise their options. All other dummy variables that represent the </w:t>
      </w:r>
      <w:r>
        <w:rPr>
          <w:rFonts w:ascii="Times New Roman" w:hAnsi="Times New Roman"/>
        </w:rPr>
        <w:t xml:space="preserve">other </w:t>
      </w:r>
      <w:r w:rsidRPr="00321C86">
        <w:rPr>
          <w:rFonts w:ascii="Times New Roman" w:hAnsi="Times New Roman"/>
        </w:rPr>
        <w:t xml:space="preserve">function </w:t>
      </w:r>
      <w:r>
        <w:rPr>
          <w:rFonts w:ascii="Times New Roman" w:hAnsi="Times New Roman"/>
        </w:rPr>
        <w:t xml:space="preserve">combinations </w:t>
      </w:r>
      <w:r w:rsidRPr="00321C86">
        <w:rPr>
          <w:rFonts w:ascii="Times New Roman" w:hAnsi="Times New Roman"/>
        </w:rPr>
        <w:t xml:space="preserve">of the exercising executive(s) are insignificant which infers that their discretionary accruals are not significantly different from the category ‘None’. These results are in line with the Bonferroni test conducted on the discretionary accruals with the function combinations of exercising executives as obtained earlier. Examining the coefficients of the various function categories provides the insight that the category CEO/CFO/Other, with a coefficient of 0.070, lead </w:t>
      </w:r>
      <w:r w:rsidRPr="00A84A65">
        <w:rPr>
          <w:rFonts w:ascii="Times New Roman" w:hAnsi="Times New Roman"/>
          <w:color w:val="000000"/>
        </w:rPr>
        <w:t>to the highest discretionary accruals in relation to other function categories. Although this function category is positive significantly correlated with discretionary accruals compared to the category NONE, it should be noted that the correlation is rather weak.</w:t>
      </w:r>
    </w:p>
    <w:p w:rsidR="00DC7B1E" w:rsidRPr="00A84A65" w:rsidRDefault="00DC7B1E" w:rsidP="00321C86">
      <w:pPr>
        <w:spacing w:line="360" w:lineRule="auto"/>
        <w:contextualSpacing/>
        <w:jc w:val="both"/>
        <w:rPr>
          <w:rFonts w:ascii="Times New Roman" w:hAnsi="Times New Roman"/>
          <w:color w:val="000000"/>
        </w:rPr>
      </w:pPr>
      <w:r w:rsidRPr="00A84A65">
        <w:rPr>
          <w:rFonts w:ascii="Times New Roman" w:hAnsi="Times New Roman"/>
          <w:color w:val="000000"/>
        </w:rPr>
        <w:t>The existence of the association between discretionary accruals and option exercises which has been proven by Bergstresser and Philippon (2006) and Bartov and Mohanram (2004) turns to be not significant in this study. Bergstresser and Philippon (2006) provide evidence that abnormally large option exercises are correlated with high accruals whereas Bartov and Mohanram (2004) show that both stock price changes and discretionary accruals are abnormally high in the period before executives exercise abnormally large number of stock options. However, a further examination of their research methodology provides the insight that these studies are not entirely comparable with this research as they use a different measure for stock option exercises. Bergstresser and Philippon (2006) measure the options exercises as the CEO option exercises as a proportion of a firm equity market value whereas Bartov and Mohanram (2004) use the proportion of compensation from stock option exercise, averaged across the five most highly compensated executives, as proxy. Since these researches use a different measure for stock option exercises by executives, it is not unreasonable that the results of this research are different. However, both studies do provide evidence that stock option exercises are significantly correlated with earnings management despite the different treatment of stock option exercises.</w:t>
      </w:r>
    </w:p>
    <w:p w:rsidR="00DC7B1E" w:rsidRPr="00321C86" w:rsidRDefault="00DC7B1E" w:rsidP="00321C86">
      <w:pPr>
        <w:spacing w:line="360" w:lineRule="auto"/>
        <w:contextualSpacing/>
        <w:jc w:val="both"/>
        <w:rPr>
          <w:rFonts w:ascii="Times New Roman" w:hAnsi="Times New Roman"/>
        </w:rPr>
      </w:pPr>
      <w:r w:rsidRPr="00A84A65">
        <w:rPr>
          <w:rFonts w:ascii="Times New Roman" w:hAnsi="Times New Roman"/>
          <w:color w:val="000000"/>
        </w:rPr>
        <w:t>Regarding the correlation between gain and discretionary accruals, this association is also not consistent with the expectations. Additionally, the coefficients of both variables with discretionary accruals are found to be very low which</w:t>
      </w:r>
      <w:r w:rsidRPr="00321C86">
        <w:rPr>
          <w:rFonts w:ascii="Times New Roman" w:hAnsi="Times New Roman"/>
        </w:rPr>
        <w:t xml:space="preserve"> strengthen the result that both variables have no significant association with discretionary accruals. These results imply that the earnings management behavior of executives does not change with the number of options they exercise and the gain they profit from their option exercises during the year. </w:t>
      </w: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A concern in reference to this regression model is the insignificant association of the majority of the independent variables with discretionary accruals. Even the control variables which are often used in earnings management and executive stock options researches are found to be not significant. As only one variable is significantly correlated with discretionary accruals, further investigation is needed to verify whether the results of the research are influenced by other factors than outliers. Several tests will be conducted in </w:t>
      </w:r>
      <w:r>
        <w:rPr>
          <w:rFonts w:ascii="Times New Roman" w:hAnsi="Times New Roman"/>
        </w:rPr>
        <w:t xml:space="preserve">paragraph 5.3 </w:t>
      </w:r>
      <w:r w:rsidRPr="00321C86">
        <w:rPr>
          <w:rFonts w:ascii="Times New Roman" w:hAnsi="Times New Roman"/>
        </w:rPr>
        <w:t>to check the robustness of this regression under which an additional regression analysis with a different treatment of the variables</w:t>
      </w:r>
      <w:r>
        <w:rPr>
          <w:rFonts w:ascii="Times New Roman" w:hAnsi="Times New Roman"/>
        </w:rPr>
        <w:t>.</w:t>
      </w: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rFonts w:ascii="Times New Roman" w:hAnsi="Times New Roman"/>
        </w:rPr>
      </w:pPr>
    </w:p>
    <w:p w:rsidR="00DC7B1E" w:rsidRDefault="00DC7B1E" w:rsidP="00A37ED1">
      <w:pPr>
        <w:spacing w:line="360" w:lineRule="auto"/>
        <w:contextualSpacing/>
        <w:jc w:val="both"/>
        <w:rPr>
          <w:b/>
        </w:rPr>
      </w:pPr>
      <w:r w:rsidRPr="00321C86">
        <w:rPr>
          <w:b/>
        </w:rPr>
        <w:t xml:space="preserve">Table </w:t>
      </w:r>
      <w:r>
        <w:rPr>
          <w:b/>
        </w:rPr>
        <w:t>3 Regression stock option exercise without regression outliers</w:t>
      </w:r>
    </w:p>
    <w:tbl>
      <w:tblPr>
        <w:tblW w:w="5829" w:type="dxa"/>
        <w:tblInd w:w="53" w:type="dxa"/>
        <w:tblCellMar>
          <w:left w:w="70" w:type="dxa"/>
          <w:right w:w="70" w:type="dxa"/>
        </w:tblCellMar>
        <w:tblLook w:val="00A0"/>
      </w:tblPr>
      <w:tblGrid>
        <w:gridCol w:w="1600"/>
        <w:gridCol w:w="1252"/>
        <w:gridCol w:w="993"/>
        <w:gridCol w:w="1024"/>
        <w:gridCol w:w="960"/>
      </w:tblGrid>
      <w:tr w:rsidR="00DC7B1E" w:rsidRPr="004E3635" w:rsidTr="00410223">
        <w:trPr>
          <w:trHeight w:val="300"/>
        </w:trPr>
        <w:tc>
          <w:tcPr>
            <w:tcW w:w="1600" w:type="dxa"/>
            <w:tcBorders>
              <w:bottom w:val="single" w:sz="4" w:space="0" w:color="auto"/>
              <w:right w:val="single" w:sz="4" w:space="0" w:color="auto"/>
            </w:tcBorders>
            <w:noWrap/>
            <w:vAlign w:val="bottom"/>
          </w:tcPr>
          <w:p w:rsidR="00DC7B1E" w:rsidRPr="004E3635" w:rsidRDefault="00DC7B1E" w:rsidP="00AD27EE">
            <w:pPr>
              <w:spacing w:after="0" w:line="240" w:lineRule="auto"/>
              <w:rPr>
                <w:color w:val="000000"/>
                <w:lang w:eastAsia="nl-NL"/>
              </w:rPr>
            </w:pPr>
          </w:p>
        </w:tc>
        <w:tc>
          <w:tcPr>
            <w:tcW w:w="2245" w:type="dxa"/>
            <w:gridSpan w:val="2"/>
            <w:tcBorders>
              <w:top w:val="single" w:sz="4" w:space="0" w:color="auto"/>
              <w:left w:val="single" w:sz="4" w:space="0" w:color="auto"/>
              <w:bottom w:val="single" w:sz="4" w:space="0" w:color="auto"/>
            </w:tcBorders>
            <w:noWrap/>
            <w:vAlign w:val="center"/>
          </w:tcPr>
          <w:p w:rsidR="00DC7B1E" w:rsidRPr="00321C86" w:rsidRDefault="00DC7B1E" w:rsidP="00410223">
            <w:pPr>
              <w:spacing w:after="0" w:line="240" w:lineRule="auto"/>
              <w:rPr>
                <w:color w:val="000000"/>
                <w:sz w:val="20"/>
                <w:szCs w:val="20"/>
                <w:lang w:val="nl-NL" w:eastAsia="nl-NL"/>
              </w:rPr>
            </w:pPr>
            <w:r w:rsidRPr="00321C86">
              <w:rPr>
                <w:color w:val="000000"/>
                <w:sz w:val="20"/>
                <w:szCs w:val="20"/>
                <w:lang w:val="nl-NL" w:eastAsia="nl-NL"/>
              </w:rPr>
              <w:t>R square = 0.135</w:t>
            </w:r>
          </w:p>
        </w:tc>
        <w:tc>
          <w:tcPr>
            <w:tcW w:w="1984" w:type="dxa"/>
            <w:gridSpan w:val="2"/>
            <w:tcBorders>
              <w:top w:val="single" w:sz="4" w:space="0" w:color="auto"/>
              <w:left w:val="nil"/>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val="nl-NL" w:eastAsia="nl-NL"/>
              </w:rPr>
            </w:pPr>
          </w:p>
        </w:tc>
      </w:tr>
      <w:tr w:rsidR="00DC7B1E" w:rsidRPr="004E3635" w:rsidTr="00410223">
        <w:trPr>
          <w:trHeight w:val="300"/>
        </w:trPr>
        <w:tc>
          <w:tcPr>
            <w:tcW w:w="1600" w:type="dxa"/>
            <w:tcBorders>
              <w:top w:val="single" w:sz="4" w:space="0" w:color="auto"/>
              <w:left w:val="single" w:sz="4" w:space="0" w:color="auto"/>
              <w:bottom w:val="single" w:sz="4" w:space="0" w:color="auto"/>
              <w:right w:val="single" w:sz="4" w:space="0" w:color="auto"/>
            </w:tcBorders>
            <w:noWrap/>
            <w:vAlign w:val="center"/>
          </w:tcPr>
          <w:p w:rsidR="00DC7B1E" w:rsidRPr="00410223" w:rsidRDefault="00DC7B1E" w:rsidP="00410223">
            <w:pPr>
              <w:spacing w:after="0" w:line="240" w:lineRule="auto"/>
              <w:rPr>
                <w:b/>
                <w:color w:val="000000"/>
                <w:sz w:val="20"/>
                <w:szCs w:val="20"/>
                <w:lang w:eastAsia="nl-NL"/>
              </w:rPr>
            </w:pPr>
            <w:r w:rsidRPr="004E3635">
              <w:rPr>
                <w:color w:val="000000"/>
                <w:lang w:eastAsia="nl-NL"/>
              </w:rPr>
              <w:t> </w:t>
            </w:r>
            <w:r w:rsidRPr="00410223">
              <w:rPr>
                <w:b/>
                <w:color w:val="000000"/>
                <w:sz w:val="20"/>
                <w:szCs w:val="20"/>
                <w:lang w:eastAsia="nl-NL"/>
              </w:rPr>
              <w:t>DA</w:t>
            </w:r>
          </w:p>
        </w:tc>
        <w:tc>
          <w:tcPr>
            <w:tcW w:w="1252"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val="nl-NL" w:eastAsia="nl-NL"/>
              </w:rPr>
            </w:pPr>
            <w:r w:rsidRPr="00321C86">
              <w:rPr>
                <w:color w:val="000000"/>
                <w:sz w:val="20"/>
                <w:szCs w:val="20"/>
                <w:lang w:val="nl-NL" w:eastAsia="nl-NL"/>
              </w:rPr>
              <w:t>Coefficient</w:t>
            </w:r>
          </w:p>
        </w:tc>
        <w:tc>
          <w:tcPr>
            <w:tcW w:w="993" w:type="dxa"/>
            <w:tcBorders>
              <w:top w:val="single" w:sz="4" w:space="0" w:color="auto"/>
              <w:left w:val="nil"/>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val="nl-NL" w:eastAsia="nl-NL"/>
              </w:rPr>
            </w:pPr>
            <w:r w:rsidRPr="00321C86">
              <w:rPr>
                <w:color w:val="000000"/>
                <w:sz w:val="20"/>
                <w:szCs w:val="20"/>
                <w:lang w:val="nl-NL" w:eastAsia="nl-NL"/>
              </w:rPr>
              <w:t>p-value</w:t>
            </w:r>
          </w:p>
        </w:tc>
        <w:tc>
          <w:tcPr>
            <w:tcW w:w="1024" w:type="dxa"/>
            <w:tcBorders>
              <w:top w:val="single" w:sz="4" w:space="0" w:color="auto"/>
              <w:left w:val="nil"/>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val="nl-NL" w:eastAsia="nl-NL"/>
              </w:rPr>
            </w:pPr>
            <w:r w:rsidRPr="00321C86">
              <w:rPr>
                <w:color w:val="000000"/>
                <w:sz w:val="20"/>
                <w:szCs w:val="20"/>
                <w:lang w:val="nl-NL" w:eastAsia="nl-NL"/>
              </w:rPr>
              <w:t>Tolerance</w:t>
            </w:r>
          </w:p>
        </w:tc>
        <w:tc>
          <w:tcPr>
            <w:tcW w:w="960" w:type="dxa"/>
            <w:tcBorders>
              <w:top w:val="single" w:sz="4" w:space="0" w:color="auto"/>
              <w:left w:val="nil"/>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val="nl-NL" w:eastAsia="nl-NL"/>
              </w:rPr>
            </w:pPr>
            <w:r w:rsidRPr="00321C86">
              <w:rPr>
                <w:color w:val="000000"/>
                <w:sz w:val="20"/>
                <w:szCs w:val="20"/>
                <w:lang w:val="nl-NL" w:eastAsia="nl-NL"/>
              </w:rPr>
              <w:t>VIF</w:t>
            </w:r>
          </w:p>
        </w:tc>
      </w:tr>
      <w:tr w:rsidR="00DC7B1E" w:rsidRPr="004E3635" w:rsidTr="00410223">
        <w:trPr>
          <w:trHeight w:val="300"/>
        </w:trPr>
        <w:tc>
          <w:tcPr>
            <w:tcW w:w="1600"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val="nl-NL" w:eastAsia="nl-NL"/>
              </w:rPr>
            </w:pPr>
            <w:r w:rsidRPr="00321C86">
              <w:rPr>
                <w:color w:val="000000"/>
                <w:sz w:val="20"/>
                <w:szCs w:val="20"/>
                <w:lang w:val="nl-NL" w:eastAsia="nl-NL"/>
              </w:rPr>
              <w:t>Intercept</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val="nl-NL" w:eastAsia="nl-NL"/>
              </w:rPr>
            </w:pPr>
            <w:r w:rsidRPr="00321C86">
              <w:rPr>
                <w:color w:val="000000"/>
                <w:sz w:val="20"/>
                <w:szCs w:val="20"/>
                <w:lang w:val="nl-NL" w:eastAsia="nl-NL"/>
              </w:rPr>
              <w:t>-0.079</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0.000 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CEO</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-0.018</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0.483 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0.870 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1.150 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CFO</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0.008</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0.693 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0.845 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1.183 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OTHER</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0.012</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0.561 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0.828 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1.208 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CEO/CFO</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0.038</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0.142 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0.708 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1.412 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CEO/OTHER</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0.032</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0.169 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0.712 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1.405 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CFO/OTHER</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0.013</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0.575 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0.823 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1.215 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CEO/CFO/Other</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0.070</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0.001 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0.627 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1.596 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OPTIONS</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-2.703</w:t>
            </w:r>
            <w:r w:rsidRPr="00321C86">
              <w:rPr>
                <w:color w:val="000000"/>
                <w:sz w:val="20"/>
                <w:szCs w:val="20"/>
                <w:vertAlign w:val="superscript"/>
                <w:lang w:eastAsia="nl-NL"/>
              </w:rPr>
              <w:t>E-8</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0.283 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0.418 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2.393 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GAIN</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 1.064</w:t>
            </w:r>
            <w:r w:rsidRPr="00321C86">
              <w:rPr>
                <w:color w:val="000000"/>
                <w:sz w:val="20"/>
                <w:szCs w:val="20"/>
                <w:vertAlign w:val="superscript"/>
                <w:lang w:eastAsia="nl-NL"/>
              </w:rPr>
              <w:t>E-8</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0.263 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0.363 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2.756 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LEAVING</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0.005 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0.818 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0.874 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1.144 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LEV</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-0.008 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0.846 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0.865 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1.157 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GROWTH</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-9.366</w:t>
            </w:r>
            <w:r w:rsidRPr="00321C86">
              <w:rPr>
                <w:color w:val="000000"/>
                <w:sz w:val="20"/>
                <w:szCs w:val="20"/>
                <w:vertAlign w:val="superscript"/>
                <w:lang w:eastAsia="nl-NL"/>
              </w:rPr>
              <w:t>E-13</w:t>
            </w:r>
            <w:r w:rsidRPr="00321C86">
              <w:rPr>
                <w:color w:val="000000"/>
                <w:sz w:val="20"/>
                <w:szCs w:val="20"/>
                <w:lang w:eastAsia="nl-NL"/>
              </w:rPr>
              <w:t>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0.958 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0.748 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1.336 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SIZE</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1.166</w:t>
            </w:r>
            <w:r w:rsidRPr="00321C86">
              <w:rPr>
                <w:color w:val="000000"/>
                <w:sz w:val="20"/>
                <w:szCs w:val="20"/>
                <w:vertAlign w:val="superscript"/>
                <w:lang w:eastAsia="nl-NL"/>
              </w:rPr>
              <w:t>E-12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0.389 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0.662 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1.510 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MTBV</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0.000 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0.482 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0.956 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1.046 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YEAR_2005</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0.012 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0.436 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0.614 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1.628 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YEAR_2006</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0.036 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0.025 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0.601 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1.664 </w:t>
            </w:r>
          </w:p>
        </w:tc>
      </w:tr>
      <w:tr w:rsidR="00DC7B1E" w:rsidRPr="004E3635" w:rsidTr="0041022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321C86" w:rsidRDefault="00DC7B1E" w:rsidP="00410223">
            <w:pPr>
              <w:spacing w:after="0" w:line="240" w:lineRule="auto"/>
              <w:rPr>
                <w:color w:val="000000"/>
                <w:sz w:val="20"/>
                <w:szCs w:val="20"/>
                <w:lang w:eastAsia="nl-NL"/>
              </w:rPr>
            </w:pPr>
            <w:r w:rsidRPr="00321C86">
              <w:rPr>
                <w:color w:val="000000"/>
                <w:sz w:val="20"/>
                <w:szCs w:val="20"/>
                <w:lang w:eastAsia="nl-NL"/>
              </w:rPr>
              <w:t>YEAR_2007</w:t>
            </w:r>
          </w:p>
        </w:tc>
        <w:tc>
          <w:tcPr>
            <w:tcW w:w="1252"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0.055 </w:t>
            </w:r>
          </w:p>
        </w:tc>
        <w:tc>
          <w:tcPr>
            <w:tcW w:w="993"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0.001 </w:t>
            </w:r>
          </w:p>
        </w:tc>
        <w:tc>
          <w:tcPr>
            <w:tcW w:w="1024"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0.623 </w:t>
            </w:r>
          </w:p>
        </w:tc>
        <w:tc>
          <w:tcPr>
            <w:tcW w:w="960" w:type="dxa"/>
            <w:tcBorders>
              <w:top w:val="nil"/>
              <w:left w:val="nil"/>
              <w:bottom w:val="single" w:sz="4" w:space="0" w:color="auto"/>
              <w:right w:val="single" w:sz="4" w:space="0" w:color="auto"/>
            </w:tcBorders>
            <w:noWrap/>
            <w:vAlign w:val="center"/>
          </w:tcPr>
          <w:p w:rsidR="00DC7B1E" w:rsidRPr="00321C86" w:rsidRDefault="00DC7B1E" w:rsidP="00410223">
            <w:pPr>
              <w:spacing w:after="0" w:line="240" w:lineRule="auto"/>
              <w:jc w:val="right"/>
              <w:rPr>
                <w:color w:val="000000"/>
                <w:sz w:val="20"/>
                <w:szCs w:val="20"/>
                <w:lang w:eastAsia="nl-NL"/>
              </w:rPr>
            </w:pPr>
            <w:r w:rsidRPr="00321C86">
              <w:rPr>
                <w:color w:val="000000"/>
                <w:sz w:val="20"/>
                <w:szCs w:val="20"/>
                <w:lang w:eastAsia="nl-NL"/>
              </w:rPr>
              <w:t>1.604 </w:t>
            </w:r>
          </w:p>
        </w:tc>
      </w:tr>
    </w:tbl>
    <w:p w:rsidR="00DC7B1E" w:rsidRDefault="00DC7B1E" w:rsidP="00321C86">
      <w:pPr>
        <w:spacing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51" w:name="_Toc234567991"/>
      <w:r w:rsidRPr="00A84A74">
        <w:rPr>
          <w:i/>
          <w:sz w:val="22"/>
          <w:szCs w:val="22"/>
        </w:rPr>
        <w:t>5.1.4</w:t>
      </w:r>
      <w:r w:rsidRPr="00A84A74">
        <w:rPr>
          <w:i/>
          <w:sz w:val="22"/>
          <w:szCs w:val="22"/>
        </w:rPr>
        <w:tab/>
        <w:t>Multicollinearity test</w:t>
      </w:r>
      <w:bookmarkEnd w:id="51"/>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As in the previous paragraph indicated, the Pearson correlation coefficient of 0.715 between Options and Gain could be a concern for the possible cause of multicollinearity in the regression. Multicollinearity is the phenomenon that two or more predictor variables in a multiple regression model are highly correlated with each other. When high multicollinearity is present, the variance and the standard errors of the estimated regression coefficients tend to be very high (Aczel, 2002). This will cause a dramatically change in the estimated regression coefficients with the addition or exclusion of one variable. Additionally, in case of high multicollinearity, the t-statistics will tend to be very small that may lead to a lack of significance of individual independent variables. In some cases where none of the t ratio is significant, multicollinearity does not affect the F ratio (overall model) which is still significant. As multicollinearity could be a threat in a multiple regression, it is necessary to verify whether this problem is present in the regression model for the exercise of executive stock options. </w:t>
      </w: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The indicators that are used to detect multicollinearity are the tolerance and VIF (Variance Inflator Factor) value. A tolerance close to 1 indicates little multicollinearity whereas a value close to 0 suggests that multicollinearity might be a threat. Conversely, the higher the VIF value the severe the threat of multicollinearity is present in the regression model whereas a low VIF value implies little multicollinearity. However, the cutoff point for the tolerance and VIF value is hard to decide. Although a VIF value of 10 or more is commonly regarded as an indication of multicollinearity and a reason for concern, some researchers suggest that a VIF value of 2.5 or more are already considered as an issue in some cases. In the case of the tolerance value, 0.1 or lower is commonly considered as a problem while this cutoff point is taken at a higher value in some cases.</w:t>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The tolerance and VIF value of the independent variables of the regression model concerning the exercise of executive stock options are presented in Table 3. The table shows that the tolerances of the variables Options and Gain with a value of respectively 0.418 and 0.363, are relative low in comparison other independent variables. Their tolerances are all above the value of 0.6. In contrast with the tolerance values, the VIF values for Options and Gain are relative high in relation to the tolerances of other independent variables. While the VIF values for Options and Gain are respectively 2.393 and 2.756, the VIF values of other independent variables varies between 1 and 2. Although the tolerance and VIF of Options and Gain are not extremely low and high as near the cutoff point as mentioned before, they do differ from the values of other independent variables. To exclude the possibility that multicollinearity could be a threat in the regression model, two additional regressions will be conducted with the separation of the variables Options and Gain. By doing so, more certainty could be offered with respect to the significance of those variables. </w:t>
      </w:r>
    </w:p>
    <w:p w:rsidR="00DC7B1E" w:rsidRPr="00BD12B1" w:rsidRDefault="00DC7B1E" w:rsidP="00321C86">
      <w:pPr>
        <w:spacing w:line="360" w:lineRule="auto"/>
        <w:contextualSpacing/>
        <w:jc w:val="both"/>
        <w:rPr>
          <w:rFonts w:ascii="Times New Roman" w:hAnsi="Times New Roman"/>
        </w:rPr>
      </w:pPr>
    </w:p>
    <w:p w:rsidR="00DC7B1E" w:rsidRPr="00A84A65" w:rsidRDefault="00DC7B1E" w:rsidP="00321C86">
      <w:pPr>
        <w:spacing w:line="360" w:lineRule="auto"/>
        <w:contextualSpacing/>
        <w:jc w:val="both"/>
        <w:rPr>
          <w:rFonts w:ascii="Times New Roman" w:hAnsi="Times New Roman"/>
          <w:color w:val="000000"/>
        </w:rPr>
      </w:pPr>
      <w:r w:rsidRPr="00BD12B1">
        <w:rPr>
          <w:rFonts w:ascii="Times New Roman" w:hAnsi="Times New Roman"/>
        </w:rPr>
        <w:t>Appendix 7 presents the result of the two regressions where the variables options and gain are incorporated separately. The</w:t>
      </w:r>
      <w:r w:rsidRPr="00321C86">
        <w:rPr>
          <w:rFonts w:ascii="Times New Roman" w:hAnsi="Times New Roman"/>
        </w:rPr>
        <w:t xml:space="preserve"> p-value of both the Options and Gain in the regressions stays insignificant and their coefficients are still negligible small. Since the separation of the two variables does not affect the </w:t>
      </w:r>
      <w:r w:rsidRPr="00A84A65">
        <w:rPr>
          <w:rFonts w:ascii="Times New Roman" w:hAnsi="Times New Roman"/>
          <w:color w:val="000000"/>
        </w:rPr>
        <w:t xml:space="preserve">significance and the coefficients dramatically, there is no reason to believe that multicollinearity might be a threat in the regression with the incorporation of both the variables Options and Gain in the same model. That the number of options and the gain from exercises are not strongly associated could possibly results from the differences in the exercising behavior of the executives. While some executives want to maximize the option payout first before exercising the options, others might be already satisfied with a little gain. </w:t>
      </w:r>
    </w:p>
    <w:p w:rsidR="00DC7B1E" w:rsidRPr="00321C86" w:rsidRDefault="00DC7B1E" w:rsidP="00321C86">
      <w:pPr>
        <w:spacing w:line="360" w:lineRule="auto"/>
        <w:contextualSpacing/>
        <w:jc w:val="both"/>
        <w:rPr>
          <w:rFonts w:ascii="Times New Roman" w:hAnsi="Times New Roman"/>
        </w:rPr>
      </w:pPr>
      <w:r w:rsidRPr="00A84A65">
        <w:rPr>
          <w:rFonts w:ascii="Times New Roman" w:hAnsi="Times New Roman"/>
          <w:color w:val="000000"/>
        </w:rPr>
        <w:t>The insignificance of the variables could not be explained</w:t>
      </w:r>
      <w:r w:rsidRPr="00321C86">
        <w:rPr>
          <w:rFonts w:ascii="Times New Roman" w:hAnsi="Times New Roman"/>
        </w:rPr>
        <w:t xml:space="preserve"> by outliers and multicollinearity. Whether other factors are of influence on the regression, additional analyses will be conducted in section 5.3. In those additional analyses, both the number of options and gain from exercises will be exerted in the same regression since this combination does not result in a severe multicollinearity problem. Additionally, a comparison of the R square (0.135) of the initial regression (in Table 3) with the R square of the two regressions with the separation of options (R</w:t>
      </w:r>
      <w:r w:rsidRPr="00321C86">
        <w:rPr>
          <w:rFonts w:ascii="Times New Roman" w:hAnsi="Times New Roman"/>
          <w:vertAlign w:val="superscript"/>
        </w:rPr>
        <w:t>2</w:t>
      </w:r>
      <w:r w:rsidRPr="00321C86">
        <w:rPr>
          <w:rFonts w:ascii="Times New Roman" w:hAnsi="Times New Roman"/>
        </w:rPr>
        <w:t xml:space="preserve"> = 0.121) and gain (R</w:t>
      </w:r>
      <w:r w:rsidRPr="00321C86">
        <w:rPr>
          <w:rFonts w:ascii="Times New Roman" w:hAnsi="Times New Roman"/>
          <w:vertAlign w:val="superscript"/>
        </w:rPr>
        <w:t>2</w:t>
      </w:r>
      <w:r w:rsidRPr="00321C86">
        <w:rPr>
          <w:rFonts w:ascii="Times New Roman" w:hAnsi="Times New Roman"/>
        </w:rPr>
        <w:t xml:space="preserve"> = 0.133), reveals that the explanatory power of the initial regression is higher. </w:t>
      </w:r>
    </w:p>
    <w:p w:rsidR="00DC7B1E" w:rsidRPr="00321C86" w:rsidRDefault="00DC7B1E" w:rsidP="00A84A74">
      <w:pPr>
        <w:spacing w:line="360" w:lineRule="auto"/>
        <w:contextualSpacing/>
        <w:jc w:val="both"/>
        <w:rPr>
          <w:rFonts w:ascii="Times New Roman" w:hAnsi="Times New Roman"/>
        </w:rPr>
      </w:pPr>
      <w:r w:rsidRPr="00321C86">
        <w:rPr>
          <w:rFonts w:ascii="Times New Roman" w:hAnsi="Times New Roman"/>
        </w:rPr>
        <w:t xml:space="preserve"> </w:t>
      </w:r>
    </w:p>
    <w:p w:rsidR="00DC7B1E" w:rsidRPr="00A84A74" w:rsidRDefault="00DC7B1E" w:rsidP="00A84A74">
      <w:pPr>
        <w:pStyle w:val="Heading2"/>
        <w:spacing w:before="60" w:line="360" w:lineRule="auto"/>
        <w:contextualSpacing/>
        <w:rPr>
          <w:i w:val="0"/>
          <w:sz w:val="24"/>
          <w:szCs w:val="24"/>
        </w:rPr>
      </w:pPr>
      <w:bookmarkStart w:id="52" w:name="_Toc234567992"/>
      <w:r w:rsidRPr="00A84A74">
        <w:rPr>
          <w:i w:val="0"/>
          <w:sz w:val="24"/>
          <w:szCs w:val="24"/>
        </w:rPr>
        <w:t>5.2</w:t>
      </w:r>
      <w:r w:rsidRPr="00A84A74">
        <w:rPr>
          <w:i w:val="0"/>
          <w:sz w:val="24"/>
          <w:szCs w:val="24"/>
        </w:rPr>
        <w:tab/>
        <w:t>Results vesting of executive stock options</w:t>
      </w:r>
      <w:bookmarkEnd w:id="52"/>
    </w:p>
    <w:p w:rsidR="00DC7B1E" w:rsidRPr="00321C86" w:rsidRDefault="00DC7B1E" w:rsidP="00321C86">
      <w:pPr>
        <w:spacing w:line="360" w:lineRule="auto"/>
        <w:contextualSpacing/>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This section will present the results of the statistical analyses concerning the vesting of the executive stock options. The hypotheses that will be investigated in this section are as follows: </w:t>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i/>
        </w:rPr>
      </w:pPr>
      <w:r w:rsidRPr="00321C86">
        <w:rPr>
          <w:rFonts w:ascii="Times New Roman" w:hAnsi="Times New Roman"/>
          <w:i/>
        </w:rPr>
        <w:t xml:space="preserve">H4: Earnings management in vesting years is positively related with the number of executive stock options that become exercisable (vest) relative to the total number of executive stock options that executives hold at the beginning of the vesting year. </w:t>
      </w:r>
    </w:p>
    <w:p w:rsidR="00DC7B1E" w:rsidRPr="00321C86" w:rsidRDefault="00DC7B1E" w:rsidP="00321C86">
      <w:pPr>
        <w:spacing w:line="360" w:lineRule="auto"/>
        <w:contextualSpacing/>
        <w:jc w:val="both"/>
        <w:rPr>
          <w:rFonts w:ascii="Times New Roman" w:hAnsi="Times New Roman"/>
          <w:i/>
        </w:rPr>
      </w:pPr>
    </w:p>
    <w:p w:rsidR="00DC7B1E" w:rsidRPr="00321C86" w:rsidRDefault="00DC7B1E" w:rsidP="00321C86">
      <w:pPr>
        <w:spacing w:line="360" w:lineRule="auto"/>
        <w:contextualSpacing/>
        <w:jc w:val="both"/>
        <w:rPr>
          <w:rFonts w:ascii="Times New Roman" w:hAnsi="Times New Roman"/>
          <w:i/>
        </w:rPr>
      </w:pPr>
      <w:r w:rsidRPr="00321C86">
        <w:rPr>
          <w:rFonts w:ascii="Times New Roman" w:hAnsi="Times New Roman"/>
          <w:i/>
        </w:rPr>
        <w:t xml:space="preserve">H5: Earnings management in vesting years is positively associated with the moneyness of the executive stock options. </w:t>
      </w:r>
    </w:p>
    <w:p w:rsidR="00DC7B1E" w:rsidRPr="00321C86" w:rsidRDefault="00DC7B1E" w:rsidP="00321C86">
      <w:pPr>
        <w:spacing w:line="360" w:lineRule="auto"/>
        <w:contextualSpacing/>
        <w:jc w:val="both"/>
        <w:rPr>
          <w:rFonts w:ascii="Times New Roman" w:hAnsi="Times New Roman"/>
        </w:rPr>
      </w:pPr>
    </w:p>
    <w:p w:rsidR="00DC7B1E" w:rsidRPr="00CD1324" w:rsidRDefault="00DC7B1E" w:rsidP="00A84A74">
      <w:pPr>
        <w:pStyle w:val="Heading3"/>
        <w:spacing w:before="60" w:line="360" w:lineRule="auto"/>
        <w:contextualSpacing/>
        <w:rPr>
          <w:i/>
          <w:sz w:val="22"/>
          <w:szCs w:val="22"/>
        </w:rPr>
      </w:pPr>
      <w:bookmarkStart w:id="53" w:name="_Toc234567993"/>
      <w:r w:rsidRPr="00CD1324">
        <w:rPr>
          <w:i/>
          <w:sz w:val="22"/>
          <w:szCs w:val="22"/>
        </w:rPr>
        <w:t>5.2.1</w:t>
      </w:r>
      <w:r w:rsidRPr="00CD1324">
        <w:rPr>
          <w:i/>
          <w:sz w:val="22"/>
          <w:szCs w:val="22"/>
        </w:rPr>
        <w:tab/>
        <w:t>Descriptive analysis</w:t>
      </w:r>
      <w:bookmarkEnd w:id="53"/>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The sample as defined in paragraph 4.3 consists of 88 companies over a research period of 4 years. This results in a number of 88*4=352 observations. As not every company provide (enough) information about the vesting of executive stock options, the sample size will be reduced by a high number of observations. 116 observations are eliminated because the vesting and/or moneyness of the vested executive stock options are unknown. Additionally, one observation is removed because of a missing value for the market to book ratio. </w:t>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BD12B1">
        <w:rPr>
          <w:rFonts w:ascii="Times New Roman" w:hAnsi="Times New Roman"/>
        </w:rPr>
        <w:t>Appendix 8 shows</w:t>
      </w:r>
      <w:r w:rsidRPr="00321C86">
        <w:rPr>
          <w:rFonts w:ascii="Times New Roman" w:hAnsi="Times New Roman"/>
        </w:rPr>
        <w:t xml:space="preserve"> the descriptive statistics of the included variables in the regression model as described in paragraph 4.2.4 to test the hypotheses. Similar to the descriptive statistics of the exercise of stock options, the minimum of the discretionary shows the same low value. This observation is removed from the sample as an outlier. Descriptive statistics without outliers of the variables are presented in Table 4a and 4b.</w:t>
      </w: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Table 4a shows that the mean of the percentage performance stock options that become exercisable during the year is higher than the mean of the percentage traditional stock options. Additionally, also the moneyness of the vested performance stock options at the beginning of the year is substantially higher than the moneyness of the traditional stock options. This can be explained by the fact that the number of performance stock options that is granted to the executives by the firms is significantly higher than the grant of traditional stock options. This difference also becomes apparent in the minimum and maximum of the moneyness of both kinds of stock options. When the difference in the exercise price and the stock price at the beginning of the year is high, a higher number of options will increase the effect on the moneyness.</w:t>
      </w:r>
    </w:p>
    <w:p w:rsidR="00DC7B1E" w:rsidRPr="00321C86" w:rsidRDefault="00DC7B1E" w:rsidP="00321C86">
      <w:pPr>
        <w:spacing w:line="360" w:lineRule="auto"/>
        <w:contextualSpacing/>
        <w:rPr>
          <w:rFonts w:ascii="Times New Roman" w:hAnsi="Times New Roman"/>
        </w:rPr>
      </w:pPr>
    </w:p>
    <w:p w:rsidR="00DC7B1E" w:rsidRPr="00321C86" w:rsidRDefault="00DC7B1E" w:rsidP="000C1BF4">
      <w:pPr>
        <w:spacing w:line="360" w:lineRule="auto"/>
        <w:contextualSpacing/>
        <w:rPr>
          <w:rFonts w:cs="Arial"/>
          <w:b/>
        </w:rPr>
      </w:pPr>
      <w:r w:rsidRPr="00321C86">
        <w:rPr>
          <w:rFonts w:cs="Arial"/>
          <w:b/>
        </w:rPr>
        <w:t>Table 4a</w:t>
      </w:r>
      <w:r>
        <w:rPr>
          <w:rFonts w:cs="Arial"/>
          <w:b/>
        </w:rPr>
        <w:t xml:space="preserve"> Descriptives stock option vesting without outliers per variable</w:t>
      </w:r>
    </w:p>
    <w:tbl>
      <w:tblPr>
        <w:tblW w:w="0" w:type="auto"/>
        <w:tblInd w:w="53" w:type="dxa"/>
        <w:tblCellMar>
          <w:left w:w="70" w:type="dxa"/>
          <w:right w:w="70" w:type="dxa"/>
        </w:tblCellMar>
        <w:tblLook w:val="00A0"/>
      </w:tblPr>
      <w:tblGrid>
        <w:gridCol w:w="1195"/>
        <w:gridCol w:w="1658"/>
        <w:gridCol w:w="1699"/>
        <w:gridCol w:w="1568"/>
        <w:gridCol w:w="1760"/>
        <w:gridCol w:w="788"/>
      </w:tblGrid>
      <w:tr w:rsidR="00DC7B1E" w:rsidRPr="00E212B6" w:rsidTr="00CF34A4">
        <w:trPr>
          <w:trHeight w:val="300"/>
        </w:trPr>
        <w:tc>
          <w:tcPr>
            <w:tcW w:w="0" w:type="auto"/>
            <w:tcBorders>
              <w:top w:val="single" w:sz="4" w:space="0" w:color="auto"/>
              <w:left w:val="single" w:sz="4" w:space="0" w:color="auto"/>
              <w:bottom w:val="single" w:sz="4" w:space="0" w:color="auto"/>
              <w:right w:val="single" w:sz="4" w:space="0" w:color="auto"/>
            </w:tcBorders>
            <w:noWrap/>
            <w:vAlign w:val="center"/>
          </w:tcPr>
          <w:p w:rsidR="00DC7B1E" w:rsidRPr="00410223" w:rsidRDefault="00DC7B1E" w:rsidP="00CF34A4">
            <w:pPr>
              <w:spacing w:after="0" w:line="240" w:lineRule="auto"/>
              <w:rPr>
                <w:color w:val="000000"/>
                <w:sz w:val="20"/>
                <w:szCs w:val="20"/>
                <w:lang w:eastAsia="nl-NL"/>
              </w:rPr>
            </w:pPr>
          </w:p>
        </w:tc>
        <w:tc>
          <w:tcPr>
            <w:tcW w:w="0" w:type="auto"/>
            <w:tcBorders>
              <w:top w:val="single" w:sz="4" w:space="0" w:color="auto"/>
              <w:left w:val="nil"/>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Mean</w:t>
            </w:r>
          </w:p>
        </w:tc>
        <w:tc>
          <w:tcPr>
            <w:tcW w:w="0" w:type="auto"/>
            <w:tcBorders>
              <w:top w:val="single" w:sz="4" w:space="0" w:color="auto"/>
              <w:left w:val="nil"/>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Standard Deviation</w:t>
            </w:r>
          </w:p>
        </w:tc>
        <w:tc>
          <w:tcPr>
            <w:tcW w:w="0" w:type="auto"/>
            <w:tcBorders>
              <w:top w:val="single" w:sz="4" w:space="0" w:color="auto"/>
              <w:left w:val="nil"/>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Minimum</w:t>
            </w:r>
          </w:p>
        </w:tc>
        <w:tc>
          <w:tcPr>
            <w:tcW w:w="0" w:type="auto"/>
            <w:tcBorders>
              <w:top w:val="single" w:sz="4" w:space="0" w:color="auto"/>
              <w:left w:val="nil"/>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Maximum</w:t>
            </w:r>
          </w:p>
        </w:tc>
        <w:tc>
          <w:tcPr>
            <w:tcW w:w="788" w:type="dxa"/>
            <w:tcBorders>
              <w:top w:val="single" w:sz="4" w:space="0" w:color="auto"/>
              <w:left w:val="nil"/>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N</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DA</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-0.048</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0.140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-0.684</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0.345</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PSO%</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0.094</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0.148</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0.539</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TSO%</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0.062</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0.153</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0.636</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MONEY_PSO</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198</w:t>
            </w:r>
            <w:r>
              <w:rPr>
                <w:color w:val="000000"/>
                <w:sz w:val="20"/>
                <w:szCs w:val="20"/>
                <w:lang w:val="nl-NL" w:eastAsia="nl-NL"/>
              </w:rPr>
              <w:t>,</w:t>
            </w:r>
            <w:r w:rsidRPr="00321C86">
              <w:rPr>
                <w:color w:val="000000"/>
                <w:sz w:val="20"/>
                <w:szCs w:val="20"/>
                <w:lang w:val="nl-NL" w:eastAsia="nl-NL"/>
              </w:rPr>
              <w:t>327.264</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617</w:t>
            </w:r>
            <w:r>
              <w:rPr>
                <w:color w:val="000000"/>
                <w:sz w:val="20"/>
                <w:szCs w:val="20"/>
                <w:lang w:val="nl-NL" w:eastAsia="nl-NL"/>
              </w:rPr>
              <w:t>,</w:t>
            </w:r>
            <w:r w:rsidRPr="00321C86">
              <w:rPr>
                <w:color w:val="000000"/>
                <w:sz w:val="20"/>
                <w:szCs w:val="20"/>
                <w:lang w:val="nl-NL" w:eastAsia="nl-NL"/>
              </w:rPr>
              <w:t>393.699</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w:t>
            </w:r>
            <w:r>
              <w:rPr>
                <w:color w:val="000000"/>
                <w:sz w:val="20"/>
                <w:szCs w:val="20"/>
                <w:lang w:val="nl-NL" w:eastAsia="nl-NL"/>
              </w:rPr>
              <w:t>,</w:t>
            </w:r>
            <w:r w:rsidRPr="00321C86">
              <w:rPr>
                <w:color w:val="000000"/>
                <w:sz w:val="20"/>
                <w:szCs w:val="20"/>
                <w:lang w:val="nl-NL" w:eastAsia="nl-NL"/>
              </w:rPr>
              <w:t>892</w:t>
            </w:r>
            <w:r>
              <w:rPr>
                <w:color w:val="000000"/>
                <w:sz w:val="20"/>
                <w:szCs w:val="20"/>
                <w:lang w:val="nl-NL" w:eastAsia="nl-NL"/>
              </w:rPr>
              <w:t>,</w:t>
            </w:r>
            <w:r w:rsidRPr="00321C86">
              <w:rPr>
                <w:color w:val="000000"/>
                <w:sz w:val="20"/>
                <w:szCs w:val="20"/>
                <w:lang w:val="nl-NL" w:eastAsia="nl-NL"/>
              </w:rPr>
              <w:t>281.000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4346</w:t>
            </w:r>
            <w:r>
              <w:rPr>
                <w:color w:val="000000"/>
                <w:sz w:val="20"/>
                <w:szCs w:val="20"/>
                <w:lang w:val="nl-NL" w:eastAsia="nl-NL"/>
              </w:rPr>
              <w:t>,</w:t>
            </w:r>
            <w:r w:rsidRPr="00321C86">
              <w:rPr>
                <w:color w:val="000000"/>
                <w:sz w:val="20"/>
                <w:szCs w:val="20"/>
                <w:lang w:val="nl-NL" w:eastAsia="nl-NL"/>
              </w:rPr>
              <w:t>648.300</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MONEY_TSO</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4</w:t>
            </w:r>
            <w:r>
              <w:rPr>
                <w:color w:val="000000"/>
                <w:sz w:val="20"/>
                <w:szCs w:val="20"/>
                <w:lang w:val="nl-NL" w:eastAsia="nl-NL"/>
              </w:rPr>
              <w:t>,</w:t>
            </w:r>
            <w:r w:rsidRPr="00321C86">
              <w:rPr>
                <w:color w:val="000000"/>
                <w:sz w:val="20"/>
                <w:szCs w:val="20"/>
                <w:lang w:val="nl-NL" w:eastAsia="nl-NL"/>
              </w:rPr>
              <w:t>282.690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26</w:t>
            </w:r>
            <w:r>
              <w:rPr>
                <w:color w:val="000000"/>
                <w:sz w:val="20"/>
                <w:szCs w:val="20"/>
                <w:lang w:val="nl-NL" w:eastAsia="nl-NL"/>
              </w:rPr>
              <w:t>,</w:t>
            </w:r>
            <w:r w:rsidRPr="00321C86">
              <w:rPr>
                <w:color w:val="000000"/>
                <w:sz w:val="20"/>
                <w:szCs w:val="20"/>
                <w:lang w:val="nl-NL" w:eastAsia="nl-NL"/>
              </w:rPr>
              <w:t>897.107</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w:t>
            </w:r>
            <w:r>
              <w:rPr>
                <w:color w:val="000000"/>
                <w:sz w:val="20"/>
                <w:szCs w:val="20"/>
                <w:lang w:val="nl-NL" w:eastAsia="nl-NL"/>
              </w:rPr>
              <w:t>,</w:t>
            </w:r>
            <w:r w:rsidRPr="00321C86">
              <w:rPr>
                <w:color w:val="000000"/>
                <w:sz w:val="20"/>
                <w:szCs w:val="20"/>
                <w:lang w:val="nl-NL" w:eastAsia="nl-NL"/>
              </w:rPr>
              <w:t>440.530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332</w:t>
            </w:r>
            <w:r>
              <w:rPr>
                <w:color w:val="000000"/>
                <w:sz w:val="20"/>
                <w:szCs w:val="20"/>
                <w:lang w:val="nl-NL" w:eastAsia="nl-NL"/>
              </w:rPr>
              <w:t>,</w:t>
            </w:r>
            <w:r w:rsidRPr="00321C86">
              <w:rPr>
                <w:color w:val="000000"/>
                <w:sz w:val="20"/>
                <w:szCs w:val="20"/>
                <w:lang w:val="nl-NL" w:eastAsia="nl-NL"/>
              </w:rPr>
              <w:t>500.000</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LEV</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0.215</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0.136</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0.570</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GROWTH</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140</w:t>
            </w:r>
            <w:r>
              <w:rPr>
                <w:color w:val="000000"/>
                <w:sz w:val="20"/>
                <w:szCs w:val="20"/>
                <w:lang w:val="nl-NL" w:eastAsia="nl-NL"/>
              </w:rPr>
              <w:t>,</w:t>
            </w:r>
            <w:r w:rsidRPr="00321C86">
              <w:rPr>
                <w:color w:val="000000"/>
                <w:sz w:val="20"/>
                <w:szCs w:val="20"/>
                <w:lang w:val="nl-NL" w:eastAsia="nl-NL"/>
              </w:rPr>
              <w:t>080</w:t>
            </w:r>
            <w:r>
              <w:rPr>
                <w:color w:val="000000"/>
                <w:sz w:val="20"/>
                <w:szCs w:val="20"/>
                <w:lang w:val="nl-NL" w:eastAsia="nl-NL"/>
              </w:rPr>
              <w:t>,</w:t>
            </w:r>
            <w:r w:rsidRPr="00321C86">
              <w:rPr>
                <w:color w:val="000000"/>
                <w:sz w:val="20"/>
                <w:szCs w:val="20"/>
                <w:lang w:val="nl-NL" w:eastAsia="nl-NL"/>
              </w:rPr>
              <w:t>884.404</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263</w:t>
            </w:r>
            <w:r>
              <w:rPr>
                <w:color w:val="000000"/>
                <w:sz w:val="20"/>
                <w:szCs w:val="20"/>
                <w:lang w:val="nl-NL" w:eastAsia="nl-NL"/>
              </w:rPr>
              <w:t>,</w:t>
            </w:r>
            <w:r w:rsidRPr="00321C86">
              <w:rPr>
                <w:color w:val="000000"/>
                <w:sz w:val="20"/>
                <w:szCs w:val="20"/>
                <w:lang w:val="nl-NL" w:eastAsia="nl-NL"/>
              </w:rPr>
              <w:t>163</w:t>
            </w:r>
            <w:r>
              <w:rPr>
                <w:color w:val="000000"/>
                <w:sz w:val="20"/>
                <w:szCs w:val="20"/>
                <w:lang w:val="nl-NL" w:eastAsia="nl-NL"/>
              </w:rPr>
              <w:t>,</w:t>
            </w:r>
            <w:r w:rsidRPr="00321C86">
              <w:rPr>
                <w:color w:val="000000"/>
                <w:sz w:val="20"/>
                <w:szCs w:val="20"/>
                <w:lang w:val="nl-NL" w:eastAsia="nl-NL"/>
              </w:rPr>
              <w:t>175.374</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-390</w:t>
            </w:r>
            <w:r>
              <w:rPr>
                <w:color w:val="000000"/>
                <w:sz w:val="20"/>
                <w:szCs w:val="20"/>
                <w:lang w:val="nl-NL" w:eastAsia="nl-NL"/>
              </w:rPr>
              <w:t>,</w:t>
            </w:r>
            <w:r w:rsidRPr="00321C86">
              <w:rPr>
                <w:color w:val="000000"/>
                <w:sz w:val="20"/>
                <w:szCs w:val="20"/>
                <w:lang w:val="nl-NL" w:eastAsia="nl-NL"/>
              </w:rPr>
              <w:t>500</w:t>
            </w:r>
            <w:r>
              <w:rPr>
                <w:color w:val="000000"/>
                <w:sz w:val="20"/>
                <w:szCs w:val="20"/>
                <w:lang w:val="nl-NL" w:eastAsia="nl-NL"/>
              </w:rPr>
              <w:t>,</w:t>
            </w:r>
            <w:r w:rsidRPr="00321C86">
              <w:rPr>
                <w:color w:val="000000"/>
                <w:sz w:val="20"/>
                <w:szCs w:val="20"/>
                <w:lang w:val="nl-NL" w:eastAsia="nl-NL"/>
              </w:rPr>
              <w:t>000.000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w:t>
            </w:r>
            <w:r>
              <w:rPr>
                <w:color w:val="000000"/>
                <w:sz w:val="20"/>
                <w:szCs w:val="20"/>
                <w:lang w:val="nl-NL" w:eastAsia="nl-NL"/>
              </w:rPr>
              <w:t>,</w:t>
            </w:r>
            <w:r w:rsidRPr="00321C86">
              <w:rPr>
                <w:color w:val="000000"/>
                <w:sz w:val="20"/>
                <w:szCs w:val="20"/>
                <w:lang w:val="nl-NL" w:eastAsia="nl-NL"/>
              </w:rPr>
              <w:t>530</w:t>
            </w:r>
            <w:r>
              <w:rPr>
                <w:color w:val="000000"/>
                <w:sz w:val="20"/>
                <w:szCs w:val="20"/>
                <w:lang w:val="nl-NL" w:eastAsia="nl-NL"/>
              </w:rPr>
              <w:t>,</w:t>
            </w:r>
            <w:r w:rsidRPr="00321C86">
              <w:rPr>
                <w:color w:val="000000"/>
                <w:sz w:val="20"/>
                <w:szCs w:val="20"/>
                <w:lang w:val="nl-NL" w:eastAsia="nl-NL"/>
              </w:rPr>
              <w:t>000</w:t>
            </w:r>
            <w:r>
              <w:rPr>
                <w:color w:val="000000"/>
                <w:sz w:val="20"/>
                <w:szCs w:val="20"/>
                <w:lang w:val="nl-NL" w:eastAsia="nl-NL"/>
              </w:rPr>
              <w:t>,</w:t>
            </w:r>
            <w:r w:rsidRPr="00321C86">
              <w:rPr>
                <w:color w:val="000000"/>
                <w:sz w:val="20"/>
                <w:szCs w:val="20"/>
                <w:lang w:val="nl-NL" w:eastAsia="nl-NL"/>
              </w:rPr>
              <w:t>000.000</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SIZE</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w:t>
            </w:r>
            <w:r>
              <w:rPr>
                <w:color w:val="000000"/>
                <w:sz w:val="20"/>
                <w:szCs w:val="20"/>
                <w:lang w:val="nl-NL" w:eastAsia="nl-NL"/>
              </w:rPr>
              <w:t>,</w:t>
            </w:r>
            <w:r w:rsidRPr="00321C86">
              <w:rPr>
                <w:color w:val="000000"/>
                <w:sz w:val="20"/>
                <w:szCs w:val="20"/>
                <w:lang w:val="nl-NL" w:eastAsia="nl-NL"/>
              </w:rPr>
              <w:t>577</w:t>
            </w:r>
            <w:r>
              <w:rPr>
                <w:color w:val="000000"/>
                <w:sz w:val="20"/>
                <w:szCs w:val="20"/>
                <w:lang w:val="nl-NL" w:eastAsia="nl-NL"/>
              </w:rPr>
              <w:t>,</w:t>
            </w:r>
            <w:r w:rsidRPr="00321C86">
              <w:rPr>
                <w:color w:val="000000"/>
                <w:sz w:val="20"/>
                <w:szCs w:val="20"/>
                <w:lang w:val="nl-NL" w:eastAsia="nl-NL"/>
              </w:rPr>
              <w:t>280</w:t>
            </w:r>
            <w:r>
              <w:rPr>
                <w:color w:val="000000"/>
                <w:sz w:val="20"/>
                <w:szCs w:val="20"/>
                <w:lang w:val="nl-NL" w:eastAsia="nl-NL"/>
              </w:rPr>
              <w:t>,</w:t>
            </w:r>
            <w:r w:rsidRPr="00321C86">
              <w:rPr>
                <w:color w:val="000000"/>
                <w:sz w:val="20"/>
                <w:szCs w:val="20"/>
                <w:lang w:val="nl-NL" w:eastAsia="nl-NL"/>
              </w:rPr>
              <w:t>666.667</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2</w:t>
            </w:r>
            <w:r>
              <w:rPr>
                <w:color w:val="000000"/>
                <w:sz w:val="20"/>
                <w:szCs w:val="20"/>
                <w:lang w:val="nl-NL" w:eastAsia="nl-NL"/>
              </w:rPr>
              <w:t>,</w:t>
            </w:r>
            <w:r w:rsidRPr="00321C86">
              <w:rPr>
                <w:color w:val="000000"/>
                <w:sz w:val="20"/>
                <w:szCs w:val="20"/>
                <w:lang w:val="nl-NL" w:eastAsia="nl-NL"/>
              </w:rPr>
              <w:t>180</w:t>
            </w:r>
            <w:r>
              <w:rPr>
                <w:color w:val="000000"/>
                <w:sz w:val="20"/>
                <w:szCs w:val="20"/>
                <w:lang w:val="nl-NL" w:eastAsia="nl-NL"/>
              </w:rPr>
              <w:t>,</w:t>
            </w:r>
            <w:r w:rsidRPr="00321C86">
              <w:rPr>
                <w:color w:val="000000"/>
                <w:sz w:val="20"/>
                <w:szCs w:val="20"/>
                <w:lang w:val="nl-NL" w:eastAsia="nl-NL"/>
              </w:rPr>
              <w:t>468</w:t>
            </w:r>
            <w:r>
              <w:rPr>
                <w:color w:val="000000"/>
                <w:sz w:val="20"/>
                <w:szCs w:val="20"/>
                <w:lang w:val="nl-NL" w:eastAsia="nl-NL"/>
              </w:rPr>
              <w:t>,</w:t>
            </w:r>
            <w:r w:rsidRPr="00321C86">
              <w:rPr>
                <w:color w:val="000000"/>
                <w:sz w:val="20"/>
                <w:szCs w:val="20"/>
                <w:lang w:val="nl-NL" w:eastAsia="nl-NL"/>
              </w:rPr>
              <w:t>484.496</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36</w:t>
            </w:r>
            <w:r>
              <w:rPr>
                <w:color w:val="000000"/>
                <w:sz w:val="20"/>
                <w:szCs w:val="20"/>
                <w:lang w:val="nl-NL" w:eastAsia="nl-NL"/>
              </w:rPr>
              <w:t>,</w:t>
            </w:r>
            <w:r w:rsidRPr="00321C86">
              <w:rPr>
                <w:color w:val="000000"/>
                <w:sz w:val="20"/>
                <w:szCs w:val="20"/>
                <w:lang w:val="nl-NL" w:eastAsia="nl-NL"/>
              </w:rPr>
              <w:t>096</w:t>
            </w:r>
            <w:r>
              <w:rPr>
                <w:color w:val="000000"/>
                <w:sz w:val="20"/>
                <w:szCs w:val="20"/>
                <w:lang w:val="nl-NL" w:eastAsia="nl-NL"/>
              </w:rPr>
              <w:t>,</w:t>
            </w:r>
            <w:r w:rsidRPr="00321C86">
              <w:rPr>
                <w:color w:val="000000"/>
                <w:sz w:val="20"/>
                <w:szCs w:val="20"/>
                <w:lang w:val="nl-NL" w:eastAsia="nl-NL"/>
              </w:rPr>
              <w:t>000.000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12</w:t>
            </w:r>
            <w:r>
              <w:rPr>
                <w:color w:val="000000"/>
                <w:sz w:val="20"/>
                <w:szCs w:val="20"/>
                <w:lang w:val="nl-NL" w:eastAsia="nl-NL"/>
              </w:rPr>
              <w:t>,</w:t>
            </w:r>
            <w:r w:rsidRPr="00321C86">
              <w:rPr>
                <w:color w:val="000000"/>
                <w:sz w:val="20"/>
                <w:szCs w:val="20"/>
                <w:lang w:val="nl-NL" w:eastAsia="nl-NL"/>
              </w:rPr>
              <w:t>614</w:t>
            </w:r>
            <w:r>
              <w:rPr>
                <w:color w:val="000000"/>
                <w:sz w:val="20"/>
                <w:szCs w:val="20"/>
                <w:lang w:val="nl-NL" w:eastAsia="nl-NL"/>
              </w:rPr>
              <w:t>,</w:t>
            </w:r>
            <w:r w:rsidRPr="00321C86">
              <w:rPr>
                <w:color w:val="000000"/>
                <w:sz w:val="20"/>
                <w:szCs w:val="20"/>
                <w:lang w:val="nl-NL" w:eastAsia="nl-NL"/>
              </w:rPr>
              <w:t>000</w:t>
            </w:r>
            <w:r>
              <w:rPr>
                <w:color w:val="000000"/>
                <w:sz w:val="20"/>
                <w:szCs w:val="20"/>
                <w:lang w:val="nl-NL" w:eastAsia="nl-NL"/>
              </w:rPr>
              <w:t>,</w:t>
            </w:r>
            <w:r w:rsidRPr="00321C86">
              <w:rPr>
                <w:color w:val="000000"/>
                <w:sz w:val="20"/>
                <w:szCs w:val="20"/>
                <w:lang w:val="nl-NL" w:eastAsia="nl-NL"/>
              </w:rPr>
              <w:t>000.000</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r w:rsidR="00DC7B1E" w:rsidRPr="00E212B6" w:rsidTr="00CF34A4">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321C86" w:rsidRDefault="00DC7B1E" w:rsidP="00CF34A4">
            <w:pPr>
              <w:spacing w:after="0" w:line="240" w:lineRule="auto"/>
              <w:rPr>
                <w:color w:val="000000"/>
                <w:sz w:val="20"/>
                <w:szCs w:val="20"/>
                <w:lang w:val="nl-NL" w:eastAsia="nl-NL"/>
              </w:rPr>
            </w:pPr>
            <w:r w:rsidRPr="00321C86">
              <w:rPr>
                <w:color w:val="000000"/>
                <w:sz w:val="20"/>
                <w:szCs w:val="20"/>
                <w:lang w:val="nl-NL" w:eastAsia="nl-NL"/>
              </w:rPr>
              <w:t>MTBV</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3.178</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6.235</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-50.920</w:t>
            </w:r>
          </w:p>
        </w:tc>
        <w:tc>
          <w:tcPr>
            <w:tcW w:w="0" w:type="auto"/>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15.520</w:t>
            </w:r>
          </w:p>
        </w:tc>
        <w:tc>
          <w:tcPr>
            <w:tcW w:w="788" w:type="dxa"/>
            <w:tcBorders>
              <w:top w:val="nil"/>
              <w:left w:val="nil"/>
              <w:bottom w:val="single" w:sz="4" w:space="0" w:color="auto"/>
              <w:right w:val="single" w:sz="4" w:space="0" w:color="auto"/>
            </w:tcBorders>
            <w:noWrap/>
            <w:vAlign w:val="center"/>
          </w:tcPr>
          <w:p w:rsidR="00DC7B1E" w:rsidRPr="00321C86" w:rsidRDefault="00DC7B1E" w:rsidP="00CF34A4">
            <w:pPr>
              <w:spacing w:after="0" w:line="240" w:lineRule="auto"/>
              <w:jc w:val="right"/>
              <w:rPr>
                <w:color w:val="000000"/>
                <w:sz w:val="20"/>
                <w:szCs w:val="20"/>
                <w:lang w:val="nl-NL" w:eastAsia="nl-NL"/>
              </w:rPr>
            </w:pPr>
            <w:r w:rsidRPr="00321C86">
              <w:rPr>
                <w:color w:val="000000"/>
                <w:sz w:val="20"/>
                <w:szCs w:val="20"/>
                <w:lang w:val="nl-NL" w:eastAsia="nl-NL"/>
              </w:rPr>
              <w:t>171</w:t>
            </w:r>
          </w:p>
        </w:tc>
      </w:tr>
    </w:tbl>
    <w:p w:rsidR="00DC7B1E" w:rsidRPr="00321C86" w:rsidRDefault="00DC7B1E" w:rsidP="00321C86">
      <w:pPr>
        <w:spacing w:line="360" w:lineRule="auto"/>
        <w:contextualSpacing/>
        <w:rPr>
          <w:rFonts w:ascii="Times New Roman" w:hAnsi="Times New Roman"/>
        </w:rPr>
      </w:pPr>
    </w:p>
    <w:p w:rsidR="00DC7B1E" w:rsidRPr="00321C86" w:rsidRDefault="00DC7B1E" w:rsidP="00321C86">
      <w:pPr>
        <w:spacing w:line="360" w:lineRule="auto"/>
        <w:contextualSpacing/>
        <w:rPr>
          <w:rFonts w:cs="Arial"/>
          <w:b/>
        </w:rPr>
      </w:pPr>
      <w:r w:rsidRPr="00321C86">
        <w:rPr>
          <w:rFonts w:cs="Arial"/>
          <w:b/>
        </w:rPr>
        <w:t>Table 4b</w:t>
      </w:r>
    </w:p>
    <w:tbl>
      <w:tblPr>
        <w:tblW w:w="3419" w:type="dxa"/>
        <w:tblInd w:w="53" w:type="dxa"/>
        <w:tblCellMar>
          <w:left w:w="70" w:type="dxa"/>
          <w:right w:w="70" w:type="dxa"/>
        </w:tblCellMar>
        <w:tblLook w:val="00A0"/>
      </w:tblPr>
      <w:tblGrid>
        <w:gridCol w:w="1293"/>
        <w:gridCol w:w="1077"/>
        <w:gridCol w:w="1049"/>
      </w:tblGrid>
      <w:tr w:rsidR="00DC7B1E" w:rsidRPr="007F6973" w:rsidTr="00177A74">
        <w:trPr>
          <w:trHeight w:val="300"/>
        </w:trPr>
        <w:tc>
          <w:tcPr>
            <w:tcW w:w="1293"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val="nl-NL" w:eastAsia="nl-NL"/>
              </w:rPr>
            </w:pPr>
            <w:r w:rsidRPr="00321C86">
              <w:rPr>
                <w:color w:val="000000"/>
                <w:sz w:val="20"/>
                <w:szCs w:val="20"/>
                <w:lang w:val="nl-NL" w:eastAsia="nl-NL"/>
              </w:rPr>
              <w:t>YEAR</w:t>
            </w:r>
          </w:p>
        </w:tc>
        <w:tc>
          <w:tcPr>
            <w:tcW w:w="1077" w:type="dxa"/>
            <w:tcBorders>
              <w:top w:val="single" w:sz="4" w:space="0" w:color="auto"/>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val="nl-NL" w:eastAsia="nl-NL"/>
              </w:rPr>
            </w:pPr>
            <w:r w:rsidRPr="00321C86">
              <w:rPr>
                <w:color w:val="000000"/>
                <w:sz w:val="20"/>
                <w:szCs w:val="20"/>
                <w:lang w:val="nl-NL" w:eastAsia="nl-NL"/>
              </w:rPr>
              <w:t>Frequency</w:t>
            </w:r>
          </w:p>
        </w:tc>
        <w:tc>
          <w:tcPr>
            <w:tcW w:w="1049" w:type="dxa"/>
            <w:tcBorders>
              <w:top w:val="single" w:sz="4" w:space="0" w:color="auto"/>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val="nl-NL" w:eastAsia="nl-NL"/>
              </w:rPr>
            </w:pPr>
            <w:r w:rsidRPr="00321C86">
              <w:rPr>
                <w:color w:val="000000"/>
                <w:sz w:val="20"/>
                <w:szCs w:val="20"/>
                <w:lang w:val="nl-NL" w:eastAsia="nl-NL"/>
              </w:rPr>
              <w:t>Percent</w:t>
            </w:r>
          </w:p>
        </w:tc>
      </w:tr>
      <w:tr w:rsidR="00DC7B1E" w:rsidRPr="007F6973" w:rsidTr="00177A74">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val="nl-NL" w:eastAsia="nl-NL"/>
              </w:rPr>
            </w:pPr>
            <w:r w:rsidRPr="00321C86">
              <w:rPr>
                <w:color w:val="000000"/>
                <w:sz w:val="20"/>
                <w:szCs w:val="20"/>
                <w:lang w:val="nl-NL" w:eastAsia="nl-NL"/>
              </w:rPr>
              <w:t>2004</w:t>
            </w:r>
          </w:p>
        </w:tc>
        <w:tc>
          <w:tcPr>
            <w:tcW w:w="1077"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val="nl-NL" w:eastAsia="nl-NL"/>
              </w:rPr>
            </w:pPr>
            <w:r w:rsidRPr="00321C86">
              <w:rPr>
                <w:color w:val="000000"/>
                <w:sz w:val="20"/>
                <w:szCs w:val="20"/>
                <w:lang w:val="nl-NL" w:eastAsia="nl-NL"/>
              </w:rPr>
              <w:t>38</w:t>
            </w:r>
          </w:p>
        </w:tc>
        <w:tc>
          <w:tcPr>
            <w:tcW w:w="1049"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22.2 </w:t>
            </w:r>
          </w:p>
        </w:tc>
      </w:tr>
      <w:tr w:rsidR="00DC7B1E" w:rsidRPr="007F6973" w:rsidTr="00177A74">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2005</w:t>
            </w:r>
          </w:p>
        </w:tc>
        <w:tc>
          <w:tcPr>
            <w:tcW w:w="1077"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41</w:t>
            </w:r>
          </w:p>
        </w:tc>
        <w:tc>
          <w:tcPr>
            <w:tcW w:w="1049"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24.0 </w:t>
            </w:r>
          </w:p>
        </w:tc>
      </w:tr>
      <w:tr w:rsidR="00DC7B1E" w:rsidRPr="007F6973" w:rsidTr="00177A74">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2006</w:t>
            </w:r>
          </w:p>
        </w:tc>
        <w:tc>
          <w:tcPr>
            <w:tcW w:w="1077"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45</w:t>
            </w:r>
          </w:p>
        </w:tc>
        <w:tc>
          <w:tcPr>
            <w:tcW w:w="1049"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26.3 </w:t>
            </w:r>
          </w:p>
        </w:tc>
      </w:tr>
      <w:tr w:rsidR="00DC7B1E" w:rsidRPr="007F6973" w:rsidTr="00177A74">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2007</w:t>
            </w:r>
          </w:p>
        </w:tc>
        <w:tc>
          <w:tcPr>
            <w:tcW w:w="1077"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47</w:t>
            </w:r>
          </w:p>
        </w:tc>
        <w:tc>
          <w:tcPr>
            <w:tcW w:w="1049" w:type="dxa"/>
            <w:tcBorders>
              <w:top w:val="nil"/>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27.5</w:t>
            </w:r>
          </w:p>
        </w:tc>
      </w:tr>
      <w:tr w:rsidR="00DC7B1E" w:rsidRPr="007F6973" w:rsidTr="00177A74">
        <w:trPr>
          <w:trHeight w:val="300"/>
        </w:trPr>
        <w:tc>
          <w:tcPr>
            <w:tcW w:w="1293"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Total</w:t>
            </w:r>
          </w:p>
        </w:tc>
        <w:tc>
          <w:tcPr>
            <w:tcW w:w="1077" w:type="dxa"/>
            <w:tcBorders>
              <w:top w:val="single" w:sz="4" w:space="0" w:color="auto"/>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171</w:t>
            </w:r>
          </w:p>
        </w:tc>
        <w:tc>
          <w:tcPr>
            <w:tcW w:w="1049" w:type="dxa"/>
            <w:tcBorders>
              <w:top w:val="single" w:sz="4" w:space="0" w:color="auto"/>
              <w:left w:val="nil"/>
              <w:bottom w:val="single" w:sz="4" w:space="0" w:color="auto"/>
              <w:right w:val="single" w:sz="4" w:space="0" w:color="auto"/>
            </w:tcBorders>
            <w:noWrap/>
            <w:vAlign w:val="center"/>
          </w:tcPr>
          <w:p w:rsidR="00DC7B1E" w:rsidRPr="00321C86" w:rsidRDefault="00DC7B1E" w:rsidP="007F6973">
            <w:pPr>
              <w:spacing w:after="0" w:line="240" w:lineRule="auto"/>
              <w:rPr>
                <w:color w:val="000000"/>
                <w:sz w:val="20"/>
                <w:szCs w:val="20"/>
                <w:lang w:eastAsia="nl-NL"/>
              </w:rPr>
            </w:pPr>
            <w:r w:rsidRPr="00321C86">
              <w:rPr>
                <w:color w:val="000000"/>
                <w:sz w:val="20"/>
                <w:szCs w:val="20"/>
                <w:lang w:eastAsia="nl-NL"/>
              </w:rPr>
              <w:t>100</w:t>
            </w:r>
          </w:p>
        </w:tc>
      </w:tr>
    </w:tbl>
    <w:p w:rsidR="00DC7B1E" w:rsidRDefault="00DC7B1E" w:rsidP="000C1BF4">
      <w:pPr>
        <w:spacing w:line="360" w:lineRule="auto"/>
        <w:contextualSpacing/>
        <w:rPr>
          <w:rFonts w:ascii="Arial" w:hAnsi="Arial" w:cs="Arial"/>
        </w:rPr>
      </w:pPr>
    </w:p>
    <w:p w:rsidR="00DC7B1E" w:rsidRDefault="00DC7B1E" w:rsidP="000C1BF4">
      <w:pPr>
        <w:spacing w:line="360" w:lineRule="auto"/>
        <w:contextualSpacing/>
        <w:rPr>
          <w:rFonts w:ascii="Arial" w:hAnsi="Arial" w:cs="Arial"/>
        </w:rPr>
      </w:pPr>
    </w:p>
    <w:p w:rsidR="00DC7B1E" w:rsidRPr="00CD1324" w:rsidRDefault="00DC7B1E" w:rsidP="000C1BF4">
      <w:pPr>
        <w:spacing w:line="360" w:lineRule="auto"/>
        <w:contextualSpacing/>
        <w:rPr>
          <w:rFonts w:cs="Arial"/>
          <w:b/>
        </w:rPr>
      </w:pPr>
      <w:r w:rsidRPr="00CD1324">
        <w:rPr>
          <w:rFonts w:cs="Arial"/>
          <w:b/>
        </w:rPr>
        <w:t>Table 4c</w:t>
      </w:r>
    </w:p>
    <w:tbl>
      <w:tblPr>
        <w:tblW w:w="3279" w:type="dxa"/>
        <w:tblInd w:w="52" w:type="dxa"/>
        <w:tblCellMar>
          <w:left w:w="70" w:type="dxa"/>
          <w:right w:w="70" w:type="dxa"/>
        </w:tblCellMar>
        <w:tblLook w:val="00A0"/>
      </w:tblPr>
      <w:tblGrid>
        <w:gridCol w:w="960"/>
        <w:gridCol w:w="1185"/>
        <w:gridCol w:w="1134"/>
      </w:tblGrid>
      <w:tr w:rsidR="00DC7B1E" w:rsidRPr="00C249F2" w:rsidTr="00C249F2">
        <w:trPr>
          <w:trHeight w:val="300"/>
        </w:trPr>
        <w:tc>
          <w:tcPr>
            <w:tcW w:w="960"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C249F2">
            <w:pPr>
              <w:spacing w:after="0" w:line="240" w:lineRule="auto"/>
              <w:rPr>
                <w:color w:val="000000"/>
                <w:sz w:val="20"/>
                <w:szCs w:val="20"/>
                <w:lang w:val="nl-NL" w:eastAsia="nl-NL"/>
              </w:rPr>
            </w:pPr>
            <w:r w:rsidRPr="00321C86">
              <w:rPr>
                <w:color w:val="000000"/>
                <w:sz w:val="20"/>
                <w:szCs w:val="20"/>
                <w:lang w:val="nl-NL" w:eastAsia="nl-NL"/>
              </w:rPr>
              <w:t>Vested</w:t>
            </w:r>
          </w:p>
        </w:tc>
        <w:tc>
          <w:tcPr>
            <w:tcW w:w="1185" w:type="dxa"/>
            <w:tcBorders>
              <w:top w:val="single" w:sz="4" w:space="0" w:color="auto"/>
              <w:left w:val="nil"/>
              <w:bottom w:val="single" w:sz="4" w:space="0" w:color="auto"/>
              <w:right w:val="single" w:sz="4" w:space="0" w:color="auto"/>
            </w:tcBorders>
            <w:noWrap/>
            <w:vAlign w:val="center"/>
          </w:tcPr>
          <w:p w:rsidR="00DC7B1E" w:rsidRPr="00321C86" w:rsidRDefault="00DC7B1E" w:rsidP="00C249F2">
            <w:pPr>
              <w:spacing w:after="0" w:line="240" w:lineRule="auto"/>
              <w:rPr>
                <w:color w:val="000000"/>
                <w:sz w:val="20"/>
                <w:szCs w:val="20"/>
                <w:lang w:val="nl-NL" w:eastAsia="nl-NL"/>
              </w:rPr>
            </w:pPr>
            <w:r w:rsidRPr="00321C86">
              <w:rPr>
                <w:color w:val="000000"/>
                <w:sz w:val="20"/>
                <w:szCs w:val="20"/>
                <w:lang w:val="nl-NL" w:eastAsia="nl-NL"/>
              </w:rPr>
              <w:t>Frequency</w:t>
            </w:r>
          </w:p>
        </w:tc>
        <w:tc>
          <w:tcPr>
            <w:tcW w:w="1134" w:type="dxa"/>
            <w:tcBorders>
              <w:top w:val="single" w:sz="4" w:space="0" w:color="auto"/>
              <w:left w:val="nil"/>
              <w:bottom w:val="single" w:sz="4" w:space="0" w:color="auto"/>
              <w:right w:val="single" w:sz="4" w:space="0" w:color="auto"/>
            </w:tcBorders>
            <w:noWrap/>
            <w:vAlign w:val="center"/>
          </w:tcPr>
          <w:p w:rsidR="00DC7B1E" w:rsidRPr="00321C86" w:rsidRDefault="00DC7B1E" w:rsidP="00C249F2">
            <w:pPr>
              <w:spacing w:after="0" w:line="240" w:lineRule="auto"/>
              <w:rPr>
                <w:color w:val="000000"/>
                <w:sz w:val="20"/>
                <w:szCs w:val="20"/>
                <w:lang w:val="nl-NL" w:eastAsia="nl-NL"/>
              </w:rPr>
            </w:pPr>
            <w:r w:rsidRPr="00321C86">
              <w:rPr>
                <w:color w:val="000000"/>
                <w:sz w:val="20"/>
                <w:szCs w:val="20"/>
                <w:lang w:val="nl-NL" w:eastAsia="nl-NL"/>
              </w:rPr>
              <w:t>Percent</w:t>
            </w:r>
          </w:p>
        </w:tc>
      </w:tr>
      <w:tr w:rsidR="00DC7B1E" w:rsidRPr="00C249F2" w:rsidTr="00C249F2">
        <w:trPr>
          <w:trHeight w:val="300"/>
        </w:trPr>
        <w:tc>
          <w:tcPr>
            <w:tcW w:w="960" w:type="dxa"/>
            <w:tcBorders>
              <w:top w:val="nil"/>
              <w:left w:val="single" w:sz="4" w:space="0" w:color="auto"/>
              <w:bottom w:val="single" w:sz="4" w:space="0" w:color="auto"/>
              <w:right w:val="single" w:sz="4" w:space="0" w:color="auto"/>
            </w:tcBorders>
            <w:noWrap/>
            <w:vAlign w:val="center"/>
          </w:tcPr>
          <w:p w:rsidR="00DC7B1E" w:rsidRPr="00321C86" w:rsidRDefault="00DC7B1E" w:rsidP="00C249F2">
            <w:pPr>
              <w:spacing w:after="0" w:line="240" w:lineRule="auto"/>
              <w:rPr>
                <w:color w:val="000000"/>
                <w:sz w:val="20"/>
                <w:szCs w:val="20"/>
                <w:lang w:val="nl-NL" w:eastAsia="nl-NL"/>
              </w:rPr>
            </w:pPr>
            <w:r w:rsidRPr="00321C86">
              <w:rPr>
                <w:color w:val="000000"/>
                <w:sz w:val="20"/>
                <w:szCs w:val="20"/>
                <w:lang w:val="nl-NL" w:eastAsia="nl-NL"/>
              </w:rPr>
              <w:t>NO</w:t>
            </w:r>
          </w:p>
        </w:tc>
        <w:tc>
          <w:tcPr>
            <w:tcW w:w="1185" w:type="dxa"/>
            <w:tcBorders>
              <w:top w:val="nil"/>
              <w:left w:val="nil"/>
              <w:bottom w:val="single" w:sz="4" w:space="0" w:color="auto"/>
              <w:right w:val="single" w:sz="4" w:space="0" w:color="auto"/>
            </w:tcBorders>
            <w:noWrap/>
            <w:vAlign w:val="center"/>
          </w:tcPr>
          <w:p w:rsidR="00DC7B1E" w:rsidRPr="00321C86" w:rsidRDefault="00DC7B1E" w:rsidP="00C249F2">
            <w:pPr>
              <w:spacing w:after="0" w:line="240" w:lineRule="auto"/>
              <w:jc w:val="right"/>
              <w:rPr>
                <w:color w:val="000000"/>
                <w:sz w:val="20"/>
                <w:szCs w:val="20"/>
                <w:lang w:val="nl-NL" w:eastAsia="nl-NL"/>
              </w:rPr>
            </w:pPr>
            <w:r w:rsidRPr="00321C86">
              <w:rPr>
                <w:color w:val="000000"/>
                <w:sz w:val="20"/>
                <w:szCs w:val="20"/>
                <w:lang w:val="nl-NL" w:eastAsia="nl-NL"/>
              </w:rPr>
              <w:t>96</w:t>
            </w:r>
          </w:p>
        </w:tc>
        <w:tc>
          <w:tcPr>
            <w:tcW w:w="1134" w:type="dxa"/>
            <w:tcBorders>
              <w:top w:val="nil"/>
              <w:left w:val="nil"/>
              <w:bottom w:val="single" w:sz="4" w:space="0" w:color="auto"/>
              <w:right w:val="single" w:sz="4" w:space="0" w:color="auto"/>
            </w:tcBorders>
            <w:noWrap/>
            <w:vAlign w:val="center"/>
          </w:tcPr>
          <w:p w:rsidR="00DC7B1E" w:rsidRPr="00321C86" w:rsidRDefault="00DC7B1E" w:rsidP="00C249F2">
            <w:pPr>
              <w:spacing w:after="0" w:line="240" w:lineRule="auto"/>
              <w:jc w:val="right"/>
              <w:rPr>
                <w:color w:val="000000"/>
                <w:sz w:val="20"/>
                <w:szCs w:val="20"/>
                <w:lang w:val="nl-NL" w:eastAsia="nl-NL"/>
              </w:rPr>
            </w:pPr>
            <w:r w:rsidRPr="00321C86">
              <w:rPr>
                <w:color w:val="000000"/>
                <w:sz w:val="20"/>
                <w:szCs w:val="20"/>
                <w:lang w:val="nl-NL" w:eastAsia="nl-NL"/>
              </w:rPr>
              <w:t>56,1</w:t>
            </w:r>
          </w:p>
        </w:tc>
      </w:tr>
      <w:tr w:rsidR="00DC7B1E" w:rsidRPr="00C249F2" w:rsidTr="00C249F2">
        <w:trPr>
          <w:trHeight w:val="300"/>
        </w:trPr>
        <w:tc>
          <w:tcPr>
            <w:tcW w:w="960" w:type="dxa"/>
            <w:tcBorders>
              <w:top w:val="nil"/>
              <w:left w:val="single" w:sz="4" w:space="0" w:color="auto"/>
              <w:bottom w:val="single" w:sz="4" w:space="0" w:color="auto"/>
              <w:right w:val="single" w:sz="4" w:space="0" w:color="auto"/>
            </w:tcBorders>
            <w:noWrap/>
            <w:vAlign w:val="center"/>
          </w:tcPr>
          <w:p w:rsidR="00DC7B1E" w:rsidRPr="00321C86" w:rsidRDefault="00DC7B1E" w:rsidP="00C249F2">
            <w:pPr>
              <w:spacing w:after="0" w:line="240" w:lineRule="auto"/>
              <w:rPr>
                <w:color w:val="000000"/>
                <w:sz w:val="20"/>
                <w:szCs w:val="20"/>
                <w:lang w:val="nl-NL" w:eastAsia="nl-NL"/>
              </w:rPr>
            </w:pPr>
            <w:r w:rsidRPr="00321C86">
              <w:rPr>
                <w:color w:val="000000"/>
                <w:sz w:val="20"/>
                <w:szCs w:val="20"/>
                <w:lang w:val="nl-NL" w:eastAsia="nl-NL"/>
              </w:rPr>
              <w:t>YES</w:t>
            </w:r>
          </w:p>
        </w:tc>
        <w:tc>
          <w:tcPr>
            <w:tcW w:w="1185" w:type="dxa"/>
            <w:tcBorders>
              <w:top w:val="nil"/>
              <w:left w:val="nil"/>
              <w:bottom w:val="single" w:sz="4" w:space="0" w:color="auto"/>
              <w:right w:val="single" w:sz="4" w:space="0" w:color="auto"/>
            </w:tcBorders>
            <w:noWrap/>
            <w:vAlign w:val="center"/>
          </w:tcPr>
          <w:p w:rsidR="00DC7B1E" w:rsidRPr="00321C86" w:rsidRDefault="00DC7B1E" w:rsidP="00C249F2">
            <w:pPr>
              <w:spacing w:after="0" w:line="240" w:lineRule="auto"/>
              <w:jc w:val="right"/>
              <w:rPr>
                <w:color w:val="000000"/>
                <w:sz w:val="20"/>
                <w:szCs w:val="20"/>
                <w:lang w:val="nl-NL" w:eastAsia="nl-NL"/>
              </w:rPr>
            </w:pPr>
            <w:r w:rsidRPr="00321C86">
              <w:rPr>
                <w:color w:val="000000"/>
                <w:sz w:val="20"/>
                <w:szCs w:val="20"/>
                <w:lang w:val="nl-NL" w:eastAsia="nl-NL"/>
              </w:rPr>
              <w:t>75</w:t>
            </w:r>
          </w:p>
        </w:tc>
        <w:tc>
          <w:tcPr>
            <w:tcW w:w="1134" w:type="dxa"/>
            <w:tcBorders>
              <w:top w:val="nil"/>
              <w:left w:val="nil"/>
              <w:bottom w:val="single" w:sz="4" w:space="0" w:color="auto"/>
              <w:right w:val="single" w:sz="4" w:space="0" w:color="auto"/>
            </w:tcBorders>
            <w:noWrap/>
            <w:vAlign w:val="center"/>
          </w:tcPr>
          <w:p w:rsidR="00DC7B1E" w:rsidRPr="00321C86" w:rsidRDefault="00DC7B1E" w:rsidP="00C249F2">
            <w:pPr>
              <w:spacing w:after="0" w:line="240" w:lineRule="auto"/>
              <w:jc w:val="right"/>
              <w:rPr>
                <w:color w:val="000000"/>
                <w:sz w:val="20"/>
                <w:szCs w:val="20"/>
                <w:lang w:val="nl-NL" w:eastAsia="nl-NL"/>
              </w:rPr>
            </w:pPr>
            <w:r w:rsidRPr="00321C86">
              <w:rPr>
                <w:color w:val="000000"/>
                <w:sz w:val="20"/>
                <w:szCs w:val="20"/>
                <w:lang w:val="nl-NL" w:eastAsia="nl-NL"/>
              </w:rPr>
              <w:t>43,9</w:t>
            </w:r>
          </w:p>
        </w:tc>
      </w:tr>
      <w:tr w:rsidR="00DC7B1E" w:rsidRPr="00C249F2" w:rsidTr="00C249F2">
        <w:trPr>
          <w:trHeight w:val="300"/>
        </w:trPr>
        <w:tc>
          <w:tcPr>
            <w:tcW w:w="960" w:type="dxa"/>
            <w:tcBorders>
              <w:top w:val="nil"/>
              <w:left w:val="single" w:sz="4" w:space="0" w:color="auto"/>
              <w:bottom w:val="single" w:sz="4" w:space="0" w:color="auto"/>
              <w:right w:val="single" w:sz="4" w:space="0" w:color="auto"/>
            </w:tcBorders>
            <w:noWrap/>
            <w:vAlign w:val="center"/>
          </w:tcPr>
          <w:p w:rsidR="00DC7B1E" w:rsidRPr="00321C86" w:rsidRDefault="00DC7B1E" w:rsidP="00C249F2">
            <w:pPr>
              <w:spacing w:after="0" w:line="240" w:lineRule="auto"/>
              <w:rPr>
                <w:color w:val="000000"/>
                <w:sz w:val="20"/>
                <w:szCs w:val="20"/>
                <w:lang w:val="nl-NL" w:eastAsia="nl-NL"/>
              </w:rPr>
            </w:pPr>
            <w:r w:rsidRPr="00321C86">
              <w:rPr>
                <w:color w:val="000000"/>
                <w:sz w:val="20"/>
                <w:szCs w:val="20"/>
                <w:lang w:val="nl-NL" w:eastAsia="nl-NL"/>
              </w:rPr>
              <w:t>Total</w:t>
            </w:r>
          </w:p>
        </w:tc>
        <w:tc>
          <w:tcPr>
            <w:tcW w:w="1185" w:type="dxa"/>
            <w:tcBorders>
              <w:top w:val="nil"/>
              <w:left w:val="nil"/>
              <w:bottom w:val="single" w:sz="4" w:space="0" w:color="auto"/>
              <w:right w:val="single" w:sz="4" w:space="0" w:color="auto"/>
            </w:tcBorders>
            <w:noWrap/>
            <w:vAlign w:val="center"/>
          </w:tcPr>
          <w:p w:rsidR="00DC7B1E" w:rsidRPr="00321C86" w:rsidRDefault="00DC7B1E" w:rsidP="00C249F2">
            <w:pPr>
              <w:spacing w:after="0" w:line="240" w:lineRule="auto"/>
              <w:jc w:val="right"/>
              <w:rPr>
                <w:color w:val="000000"/>
                <w:sz w:val="20"/>
                <w:szCs w:val="20"/>
                <w:lang w:val="nl-NL" w:eastAsia="nl-NL"/>
              </w:rPr>
            </w:pPr>
            <w:r w:rsidRPr="00321C86">
              <w:rPr>
                <w:color w:val="000000"/>
                <w:sz w:val="20"/>
                <w:szCs w:val="20"/>
                <w:lang w:val="nl-NL" w:eastAsia="nl-NL"/>
              </w:rPr>
              <w:t>171</w:t>
            </w:r>
          </w:p>
        </w:tc>
        <w:tc>
          <w:tcPr>
            <w:tcW w:w="1134" w:type="dxa"/>
            <w:tcBorders>
              <w:top w:val="nil"/>
              <w:left w:val="nil"/>
              <w:bottom w:val="single" w:sz="4" w:space="0" w:color="auto"/>
              <w:right w:val="single" w:sz="4" w:space="0" w:color="auto"/>
            </w:tcBorders>
            <w:noWrap/>
            <w:vAlign w:val="center"/>
          </w:tcPr>
          <w:p w:rsidR="00DC7B1E" w:rsidRPr="00321C86" w:rsidRDefault="00DC7B1E" w:rsidP="00C249F2">
            <w:pPr>
              <w:spacing w:after="0" w:line="240" w:lineRule="auto"/>
              <w:jc w:val="right"/>
              <w:rPr>
                <w:color w:val="000000"/>
                <w:sz w:val="20"/>
                <w:szCs w:val="20"/>
                <w:lang w:val="nl-NL" w:eastAsia="nl-NL"/>
              </w:rPr>
            </w:pPr>
            <w:r w:rsidRPr="00321C86">
              <w:rPr>
                <w:color w:val="000000"/>
                <w:sz w:val="20"/>
                <w:szCs w:val="20"/>
                <w:lang w:val="nl-NL" w:eastAsia="nl-NL"/>
              </w:rPr>
              <w:t>100</w:t>
            </w:r>
          </w:p>
        </w:tc>
      </w:tr>
    </w:tbl>
    <w:p w:rsidR="00DC7B1E" w:rsidRDefault="00DC7B1E" w:rsidP="009D5EAF">
      <w:bookmarkStart w:id="54" w:name="_Toc234567994"/>
    </w:p>
    <w:p w:rsidR="00DC7B1E" w:rsidRPr="00A84A74" w:rsidRDefault="00DC7B1E" w:rsidP="00A84A74">
      <w:pPr>
        <w:pStyle w:val="Heading3"/>
        <w:spacing w:before="60" w:line="360" w:lineRule="auto"/>
        <w:contextualSpacing/>
        <w:rPr>
          <w:i/>
          <w:sz w:val="22"/>
          <w:szCs w:val="22"/>
        </w:rPr>
      </w:pPr>
      <w:r w:rsidRPr="00A84A74">
        <w:rPr>
          <w:i/>
          <w:sz w:val="22"/>
          <w:szCs w:val="22"/>
        </w:rPr>
        <w:t>5.2.2</w:t>
      </w:r>
      <w:r w:rsidRPr="00A84A74">
        <w:rPr>
          <w:i/>
          <w:sz w:val="22"/>
          <w:szCs w:val="22"/>
        </w:rPr>
        <w:tab/>
        <w:t>Univariate test</w:t>
      </w:r>
      <w:bookmarkEnd w:id="54"/>
    </w:p>
    <w:p w:rsidR="00DC7B1E" w:rsidRPr="00321C86" w:rsidRDefault="00DC7B1E" w:rsidP="00321C86">
      <w:pPr>
        <w:spacing w:line="360" w:lineRule="auto"/>
        <w:contextualSpacing/>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The Pearson correlation of the test and control variables in the regression model relating to the vesting of executive stock options is exhibited in </w:t>
      </w:r>
      <w:r w:rsidRPr="00D83C51">
        <w:rPr>
          <w:rFonts w:ascii="Times New Roman" w:hAnsi="Times New Roman"/>
        </w:rPr>
        <w:t>Appendix 9. The</w:t>
      </w:r>
      <w:r w:rsidRPr="00321C86">
        <w:rPr>
          <w:rFonts w:ascii="Times New Roman" w:hAnsi="Times New Roman"/>
        </w:rPr>
        <w:t xml:space="preserve"> table indicates that discretionary accruals are positively correlated with PSO% and TSO%. Additionally, no correlation is found between discretionary accruals and the moneyness of vested stock options. </w:t>
      </w: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The Pearson correlation matrix also demonstrates that the significant correlation between SIZE and GROWTH with a coefficient of 0.595 is relative stronger in comparison to the correlation among other variables. Also the correlation between PSO% and MONEY_PSO with a coefficient of 0.418 weighted against the association among other independent variables is relative high. Although those coefficients are not very strong at first sight, but in the context of the sample size and in comparison with the coefficients of the associations of other variables, those correlation </w:t>
      </w:r>
      <w:r>
        <w:rPr>
          <w:rFonts w:ascii="Times New Roman" w:hAnsi="Times New Roman"/>
        </w:rPr>
        <w:t>could</w:t>
      </w:r>
      <w:r w:rsidRPr="00321C86">
        <w:rPr>
          <w:rFonts w:ascii="Times New Roman" w:hAnsi="Times New Roman"/>
        </w:rPr>
        <w:t xml:space="preserve"> be </w:t>
      </w:r>
      <w:r>
        <w:rPr>
          <w:rFonts w:ascii="Times New Roman" w:hAnsi="Times New Roman"/>
        </w:rPr>
        <w:t>considered as high</w:t>
      </w:r>
      <w:r w:rsidRPr="00321C86">
        <w:rPr>
          <w:rFonts w:ascii="Times New Roman" w:hAnsi="Times New Roman"/>
        </w:rPr>
        <w:t>. Based on this Pearson correlation matrix, not with certainty can be concluded if the correlation of SIZE with GROWTH and the correlation between PSO% and MONEY_PSO the problem of multicollinearity will arise. Therefore, the VIF and tolerance value should be analyzed in paragraph 5.2.4.</w:t>
      </w:r>
    </w:p>
    <w:p w:rsidR="00DC7B1E" w:rsidRPr="00321C86" w:rsidRDefault="00DC7B1E" w:rsidP="00321C86">
      <w:pPr>
        <w:spacing w:line="360" w:lineRule="auto"/>
        <w:contextualSpacing/>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55" w:name="_Toc234567995"/>
      <w:r w:rsidRPr="00A84A74">
        <w:rPr>
          <w:i/>
          <w:sz w:val="22"/>
          <w:szCs w:val="22"/>
        </w:rPr>
        <w:t>5.2.3</w:t>
      </w:r>
      <w:r w:rsidRPr="00A84A74">
        <w:rPr>
          <w:i/>
          <w:sz w:val="22"/>
          <w:szCs w:val="22"/>
        </w:rPr>
        <w:tab/>
        <w:t>Regression</w:t>
      </w:r>
      <w:bookmarkEnd w:id="55"/>
    </w:p>
    <w:p w:rsidR="00DC7B1E" w:rsidRDefault="00DC7B1E" w:rsidP="00321C86">
      <w:pPr>
        <w:spacing w:line="360" w:lineRule="auto"/>
        <w:contextualSpacing/>
        <w:jc w:val="both"/>
        <w:rPr>
          <w:rFonts w:ascii="Times New Roman" w:hAnsi="Times New Roman"/>
          <w:color w:val="FF0000"/>
        </w:rPr>
      </w:pPr>
    </w:p>
    <w:p w:rsidR="00DC7B1E" w:rsidRPr="00A84A65" w:rsidRDefault="00DC7B1E" w:rsidP="00321C86">
      <w:pPr>
        <w:spacing w:line="360" w:lineRule="auto"/>
        <w:contextualSpacing/>
        <w:jc w:val="both"/>
        <w:rPr>
          <w:rFonts w:ascii="Times New Roman" w:hAnsi="Times New Roman"/>
          <w:color w:val="000000"/>
        </w:rPr>
      </w:pPr>
      <w:r w:rsidRPr="00D83C51">
        <w:rPr>
          <w:rFonts w:ascii="Times New Roman" w:hAnsi="Times New Roman"/>
        </w:rPr>
        <w:t xml:space="preserve">The results of the regression in relation to the vesting of executive stock options with regression outliers are presented in Appendix 10 while the regression without regression outliers are presented in Table 5. </w:t>
      </w:r>
      <w:r w:rsidRPr="00321C86">
        <w:rPr>
          <w:rFonts w:ascii="Times New Roman" w:hAnsi="Times New Roman"/>
        </w:rPr>
        <w:t xml:space="preserve">Before the removal of the regression outliers, only the variable TSO% is positive significantly correlated with discretionary accruals. When the 10% significance level is applied, also </w:t>
      </w:r>
      <w:r>
        <w:rPr>
          <w:rFonts w:ascii="Times New Roman" w:hAnsi="Times New Roman"/>
        </w:rPr>
        <w:t>MONEY_</w:t>
      </w:r>
      <w:r w:rsidRPr="00321C86">
        <w:rPr>
          <w:rFonts w:ascii="Times New Roman" w:hAnsi="Times New Roman"/>
        </w:rPr>
        <w:t xml:space="preserve">TSO has a significant positive association with discretionary accruals. Yet, when the regression outliers are eliminated, the TSO% is no longer significantly correlated with discretionary accruals at a significance level of 5%, but rather at a 10% significance level. On the opposite, the MONEY_TSO changes to be significant at a 5% significance level from a significance level of 10%. The PSO% which was not significantly correlated with discretionary accruals, do have a significant positive association with </w:t>
      </w:r>
      <w:r w:rsidRPr="00A84A65">
        <w:rPr>
          <w:rFonts w:ascii="Times New Roman" w:hAnsi="Times New Roman"/>
          <w:color w:val="000000"/>
        </w:rPr>
        <w:t xml:space="preserve">discretionary accruals after the exclusion of regression outliers. This implies that executives engage more in earnings management when a higher percentage of their performance stock options vest during the year. </w:t>
      </w:r>
    </w:p>
    <w:p w:rsidR="00DC7B1E" w:rsidRPr="00A84A65" w:rsidRDefault="00DC7B1E" w:rsidP="00321C86">
      <w:pPr>
        <w:spacing w:line="360" w:lineRule="auto"/>
        <w:contextualSpacing/>
        <w:jc w:val="both"/>
        <w:rPr>
          <w:rFonts w:ascii="Times New Roman" w:hAnsi="Times New Roman"/>
          <w:color w:val="000000"/>
        </w:rPr>
      </w:pPr>
      <w:r w:rsidRPr="00A84A65">
        <w:rPr>
          <w:rFonts w:ascii="Times New Roman" w:hAnsi="Times New Roman"/>
          <w:color w:val="000000"/>
        </w:rPr>
        <w:t xml:space="preserve">The positive significant correlation of the percentage performance vested stock options with discretionary accruals is consistent with the result of the study by Kuang (2007). Although it should be mentioned that Kuang (2007) use the performance vested stock options as portion of executives’ compensation. Despite the difference in the proxy for the performance vested stock options, both cases show a significant positive correlation. In contrast with this study, Kuang (2007) shows that the percentage traditional vested stock options has a negative coefficient. Accordingly, both studies show that the coefficient of PSO% is greater than the coefficient of TSO%. This implies that performance stock options that will vest during the current year relative to traditional stock options provide executives with greater incentives to engage in earnings management. </w:t>
      </w:r>
    </w:p>
    <w:p w:rsidR="00DC7B1E" w:rsidRPr="00321C86" w:rsidRDefault="00DC7B1E" w:rsidP="00321C86">
      <w:pPr>
        <w:spacing w:line="360" w:lineRule="auto"/>
        <w:contextualSpacing/>
        <w:jc w:val="both"/>
        <w:rPr>
          <w:rFonts w:ascii="Times New Roman" w:hAnsi="Times New Roman"/>
          <w:color w:val="FF0000"/>
        </w:rPr>
      </w:pPr>
      <w:r w:rsidRPr="00A84A65">
        <w:rPr>
          <w:rFonts w:ascii="Times New Roman" w:hAnsi="Times New Roman"/>
          <w:color w:val="000000"/>
        </w:rPr>
        <w:t>Although the PSO% and the MONEY_TSO are significantly correlated with discretionary accruals, the correlations in this study are quite weak with coefficients of respectively 0.115 and 0.0000007247. Especially the coefficient of MONEY_TSO is very low that</w:t>
      </w:r>
      <w:r w:rsidRPr="00321C86">
        <w:rPr>
          <w:rFonts w:ascii="Times New Roman" w:hAnsi="Times New Roman"/>
        </w:rPr>
        <w:t xml:space="preserve"> it raises the question whether it is justified to conclude that the moneyness of traditional stock options is correlated with discretionary accruals. </w:t>
      </w:r>
      <w:r>
        <w:rPr>
          <w:rFonts w:ascii="Times New Roman" w:hAnsi="Times New Roman"/>
        </w:rPr>
        <w:t>Therefore, f</w:t>
      </w:r>
      <w:r w:rsidRPr="00321C86">
        <w:rPr>
          <w:rFonts w:ascii="Times New Roman" w:hAnsi="Times New Roman"/>
        </w:rPr>
        <w:t xml:space="preserve">urther investigations are needed to determine whether the moneyness of traditional vested stock options is associated with discretionary accruals. </w:t>
      </w:r>
    </w:p>
    <w:p w:rsidR="00DC7B1E" w:rsidRDefault="00DC7B1E" w:rsidP="00321C86">
      <w:pPr>
        <w:spacing w:line="360" w:lineRule="auto"/>
        <w:contextualSpacing/>
        <w:jc w:val="both"/>
        <w:rPr>
          <w:rFonts w:ascii="Times New Roman" w:hAnsi="Times New Roman"/>
        </w:rPr>
      </w:pPr>
      <w:r>
        <w:rPr>
          <w:rFonts w:ascii="Times New Roman" w:hAnsi="Times New Roman"/>
        </w:rPr>
        <w:t xml:space="preserve">Similar to the regression of the exercise of executive stock options, the control variables in this regression are also insignificantly correlated with discretionary accruals. </w:t>
      </w: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cs="Arial"/>
          <w:b/>
        </w:rPr>
      </w:pPr>
      <w:r w:rsidRPr="00321C86">
        <w:rPr>
          <w:rFonts w:cs="Arial"/>
          <w:b/>
        </w:rPr>
        <w:t xml:space="preserve">Table 5 Regression </w:t>
      </w:r>
      <w:r>
        <w:rPr>
          <w:rFonts w:cs="Arial"/>
          <w:b/>
        </w:rPr>
        <w:t xml:space="preserve">stock option vesting </w:t>
      </w:r>
      <w:r w:rsidRPr="00321C86">
        <w:rPr>
          <w:rFonts w:cs="Arial"/>
          <w:b/>
        </w:rPr>
        <w:t>without regression outliers</w:t>
      </w:r>
    </w:p>
    <w:tbl>
      <w:tblPr>
        <w:tblW w:w="5829" w:type="dxa"/>
        <w:tblInd w:w="53" w:type="dxa"/>
        <w:tblCellMar>
          <w:left w:w="70" w:type="dxa"/>
          <w:right w:w="70" w:type="dxa"/>
        </w:tblCellMar>
        <w:tblLook w:val="00A0"/>
      </w:tblPr>
      <w:tblGrid>
        <w:gridCol w:w="1577"/>
        <w:gridCol w:w="1275"/>
        <w:gridCol w:w="993"/>
        <w:gridCol w:w="1024"/>
        <w:gridCol w:w="960"/>
      </w:tblGrid>
      <w:tr w:rsidR="00DC7B1E" w:rsidRPr="00E75302" w:rsidTr="00410223">
        <w:trPr>
          <w:trHeight w:val="300"/>
        </w:trPr>
        <w:tc>
          <w:tcPr>
            <w:tcW w:w="1577" w:type="dxa"/>
            <w:tcBorders>
              <w:bottom w:val="single" w:sz="4" w:space="0" w:color="auto"/>
              <w:right w:val="single" w:sz="4" w:space="0" w:color="auto"/>
            </w:tcBorders>
            <w:noWrap/>
            <w:vAlign w:val="bottom"/>
          </w:tcPr>
          <w:p w:rsidR="00DC7B1E" w:rsidRPr="00CD6AA3" w:rsidRDefault="00DC7B1E" w:rsidP="00A0566B">
            <w:pPr>
              <w:spacing w:after="0" w:line="240" w:lineRule="auto"/>
              <w:rPr>
                <w:color w:val="000000"/>
                <w:lang w:eastAsia="nl-NL"/>
              </w:rPr>
            </w:pPr>
            <w:r w:rsidRPr="00CD6AA3">
              <w:rPr>
                <w:color w:val="000000"/>
                <w:lang w:eastAsia="nl-NL"/>
              </w:rPr>
              <w:t> </w:t>
            </w:r>
          </w:p>
        </w:tc>
        <w:tc>
          <w:tcPr>
            <w:tcW w:w="4252" w:type="dxa"/>
            <w:gridSpan w:val="4"/>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R square = 0.176</w:t>
            </w:r>
          </w:p>
        </w:tc>
      </w:tr>
      <w:tr w:rsidR="00DC7B1E" w:rsidRPr="00E75302" w:rsidTr="00410223">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410223" w:rsidRDefault="00DC7B1E" w:rsidP="00410223">
            <w:pPr>
              <w:spacing w:after="0" w:line="240" w:lineRule="auto"/>
              <w:rPr>
                <w:color w:val="000000"/>
                <w:sz w:val="20"/>
                <w:szCs w:val="20"/>
                <w:lang w:eastAsia="nl-NL"/>
              </w:rPr>
            </w:pPr>
            <w:r w:rsidRPr="00410223">
              <w:rPr>
                <w:color w:val="000000"/>
                <w:sz w:val="20"/>
                <w:szCs w:val="20"/>
                <w:lang w:eastAsia="nl-NL"/>
              </w:rPr>
              <w:t>DA</w:t>
            </w:r>
          </w:p>
        </w:tc>
        <w:tc>
          <w:tcPr>
            <w:tcW w:w="1275"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Coefficient</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p-value</w:t>
            </w:r>
          </w:p>
        </w:tc>
        <w:tc>
          <w:tcPr>
            <w:tcW w:w="1024"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rPr>
                <w:color w:val="000000"/>
                <w:sz w:val="20"/>
                <w:szCs w:val="20"/>
                <w:lang w:val="nl-NL" w:eastAsia="nl-NL"/>
              </w:rPr>
            </w:pPr>
            <w:r w:rsidRPr="00321C86">
              <w:rPr>
                <w:color w:val="000000"/>
                <w:sz w:val="20"/>
                <w:szCs w:val="20"/>
                <w:lang w:eastAsia="nl-NL"/>
              </w:rPr>
              <w:t>Toleran</w:t>
            </w:r>
            <w:r w:rsidRPr="00321C86">
              <w:rPr>
                <w:color w:val="000000"/>
                <w:sz w:val="20"/>
                <w:szCs w:val="20"/>
                <w:lang w:val="nl-NL" w:eastAsia="nl-NL"/>
              </w:rPr>
              <w:t>ce</w:t>
            </w:r>
          </w:p>
        </w:tc>
        <w:tc>
          <w:tcPr>
            <w:tcW w:w="960"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rPr>
                <w:color w:val="000000"/>
                <w:sz w:val="20"/>
                <w:szCs w:val="20"/>
                <w:lang w:val="nl-NL" w:eastAsia="nl-NL"/>
              </w:rPr>
            </w:pPr>
            <w:r w:rsidRPr="00321C86">
              <w:rPr>
                <w:color w:val="000000"/>
                <w:sz w:val="20"/>
                <w:szCs w:val="20"/>
                <w:lang w:val="nl-NL" w:eastAsia="nl-NL"/>
              </w:rPr>
              <w:t>VIF</w:t>
            </w:r>
          </w:p>
        </w:tc>
      </w:tr>
      <w:tr w:rsidR="00DC7B1E" w:rsidRPr="00E75302" w:rsidTr="00E7422A">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val="nl-NL" w:eastAsia="nl-NL"/>
              </w:rPr>
            </w:pPr>
            <w:r w:rsidRPr="00321C86">
              <w:rPr>
                <w:color w:val="000000"/>
                <w:sz w:val="20"/>
                <w:szCs w:val="20"/>
                <w:lang w:val="nl-NL" w:eastAsia="nl-NL"/>
              </w:rPr>
              <w:t>Intercept</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val="nl-NL" w:eastAsia="nl-NL"/>
              </w:rPr>
            </w:pPr>
            <w:r w:rsidRPr="00321C86">
              <w:rPr>
                <w:color w:val="000000"/>
                <w:sz w:val="20"/>
                <w:szCs w:val="20"/>
                <w:lang w:val="nl-NL" w:eastAsia="nl-NL"/>
              </w:rPr>
              <w:t>-0.070</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0.002</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p>
        </w:tc>
      </w:tr>
      <w:tr w:rsidR="00DC7B1E" w:rsidRPr="00E75302" w:rsidTr="00E7422A">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PSO%</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0.192</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0.002</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0.770</w:t>
            </w: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1.298</w:t>
            </w:r>
          </w:p>
        </w:tc>
      </w:tr>
      <w:tr w:rsidR="00DC7B1E" w:rsidRPr="00E75302" w:rsidTr="00E7422A">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TSO%</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0.115</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0.052</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0.825</w:t>
            </w: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1.212</w:t>
            </w:r>
          </w:p>
        </w:tc>
      </w:tr>
      <w:tr w:rsidR="00DC7B1E" w:rsidRPr="00E75302" w:rsidTr="00E7422A">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MONEY_PSO</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-2.439E-8</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0.141</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0.609</w:t>
            </w: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1.642</w:t>
            </w:r>
          </w:p>
        </w:tc>
      </w:tr>
      <w:tr w:rsidR="00DC7B1E" w:rsidRPr="00E75302" w:rsidTr="00E7422A">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MONEY_TSO</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-7.247E-7</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0.019</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0.902</w:t>
            </w: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1.108</w:t>
            </w:r>
          </w:p>
        </w:tc>
      </w:tr>
      <w:tr w:rsidR="00DC7B1E" w:rsidRPr="00E75302" w:rsidTr="00E7422A">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LEV</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-0.105</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0.097</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0.915</w:t>
            </w: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1.093</w:t>
            </w:r>
          </w:p>
        </w:tc>
      </w:tr>
      <w:tr w:rsidR="00DC7B1E" w:rsidRPr="00E75302" w:rsidTr="00E7422A">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GROWTH</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1.027E-11</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0.793</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0.590</w:t>
            </w: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1.694</w:t>
            </w:r>
          </w:p>
        </w:tc>
      </w:tr>
      <w:tr w:rsidR="00DC7B1E" w:rsidRPr="00E75302" w:rsidTr="00E7422A">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SIZE</w:t>
            </w:r>
          </w:p>
        </w:tc>
        <w:tc>
          <w:tcPr>
            <w:tcW w:w="1275"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1.823E-12</w:t>
            </w:r>
          </w:p>
        </w:tc>
        <w:tc>
          <w:tcPr>
            <w:tcW w:w="993" w:type="dxa"/>
            <w:tcBorders>
              <w:top w:val="nil"/>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0.703</w:t>
            </w:r>
          </w:p>
        </w:tc>
        <w:tc>
          <w:tcPr>
            <w:tcW w:w="1024"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0.571</w:t>
            </w:r>
          </w:p>
        </w:tc>
        <w:tc>
          <w:tcPr>
            <w:tcW w:w="960" w:type="dxa"/>
            <w:tcBorders>
              <w:top w:val="nil"/>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1.753</w:t>
            </w:r>
          </w:p>
        </w:tc>
      </w:tr>
      <w:tr w:rsidR="00DC7B1E" w:rsidRPr="00E75302" w:rsidTr="00E7422A">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MTBV</w:t>
            </w:r>
          </w:p>
        </w:tc>
        <w:tc>
          <w:tcPr>
            <w:tcW w:w="1275"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0.001</w:t>
            </w:r>
          </w:p>
        </w:tc>
        <w:tc>
          <w:tcPr>
            <w:tcW w:w="993"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0.389</w:t>
            </w:r>
          </w:p>
        </w:tc>
        <w:tc>
          <w:tcPr>
            <w:tcW w:w="1024"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0.965</w:t>
            </w:r>
          </w:p>
        </w:tc>
        <w:tc>
          <w:tcPr>
            <w:tcW w:w="960"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1.036</w:t>
            </w:r>
          </w:p>
        </w:tc>
      </w:tr>
      <w:tr w:rsidR="00DC7B1E" w:rsidRPr="00E75302" w:rsidTr="00E7422A">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YEAR_2005</w:t>
            </w:r>
          </w:p>
        </w:tc>
        <w:tc>
          <w:tcPr>
            <w:tcW w:w="1275"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0.025</w:t>
            </w:r>
          </w:p>
        </w:tc>
        <w:tc>
          <w:tcPr>
            <w:tcW w:w="993"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0.265</w:t>
            </w:r>
          </w:p>
        </w:tc>
        <w:tc>
          <w:tcPr>
            <w:tcW w:w="1024"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0.635</w:t>
            </w:r>
          </w:p>
        </w:tc>
        <w:tc>
          <w:tcPr>
            <w:tcW w:w="960"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1.574</w:t>
            </w:r>
          </w:p>
        </w:tc>
      </w:tr>
      <w:tr w:rsidR="00DC7B1E" w:rsidRPr="00E75302" w:rsidTr="00E7422A">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YEAR_2006</w:t>
            </w:r>
          </w:p>
        </w:tc>
        <w:tc>
          <w:tcPr>
            <w:tcW w:w="1275"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0.030</w:t>
            </w:r>
          </w:p>
        </w:tc>
        <w:tc>
          <w:tcPr>
            <w:tcW w:w="993"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0.200</w:t>
            </w:r>
          </w:p>
        </w:tc>
        <w:tc>
          <w:tcPr>
            <w:tcW w:w="1024"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0.614</w:t>
            </w:r>
          </w:p>
        </w:tc>
        <w:tc>
          <w:tcPr>
            <w:tcW w:w="960"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1.628</w:t>
            </w:r>
          </w:p>
        </w:tc>
      </w:tr>
      <w:tr w:rsidR="00DC7B1E" w:rsidRPr="00E75302" w:rsidTr="00E7422A">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7422A">
            <w:pPr>
              <w:spacing w:after="0" w:line="240" w:lineRule="auto"/>
              <w:rPr>
                <w:color w:val="000000"/>
                <w:sz w:val="20"/>
                <w:szCs w:val="20"/>
                <w:lang w:eastAsia="nl-NL"/>
              </w:rPr>
            </w:pPr>
            <w:r w:rsidRPr="00321C86">
              <w:rPr>
                <w:color w:val="000000"/>
                <w:sz w:val="20"/>
                <w:szCs w:val="20"/>
                <w:lang w:eastAsia="nl-NL"/>
              </w:rPr>
              <w:t>YEAR_2007</w:t>
            </w:r>
          </w:p>
        </w:tc>
        <w:tc>
          <w:tcPr>
            <w:tcW w:w="1275"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0.079</w:t>
            </w:r>
          </w:p>
        </w:tc>
        <w:tc>
          <w:tcPr>
            <w:tcW w:w="993" w:type="dxa"/>
            <w:tcBorders>
              <w:top w:val="single" w:sz="4" w:space="0" w:color="auto"/>
              <w:left w:val="nil"/>
              <w:bottom w:val="single" w:sz="4" w:space="0" w:color="auto"/>
              <w:right w:val="single" w:sz="4" w:space="0" w:color="auto"/>
            </w:tcBorders>
            <w:noWrap/>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0.001</w:t>
            </w:r>
          </w:p>
        </w:tc>
        <w:tc>
          <w:tcPr>
            <w:tcW w:w="1024"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0.612</w:t>
            </w:r>
          </w:p>
        </w:tc>
        <w:tc>
          <w:tcPr>
            <w:tcW w:w="960" w:type="dxa"/>
            <w:tcBorders>
              <w:top w:val="single" w:sz="4" w:space="0" w:color="auto"/>
              <w:left w:val="nil"/>
              <w:bottom w:val="single" w:sz="4" w:space="0" w:color="auto"/>
              <w:right w:val="single" w:sz="4" w:space="0" w:color="auto"/>
            </w:tcBorders>
            <w:vAlign w:val="center"/>
          </w:tcPr>
          <w:p w:rsidR="00DC7B1E" w:rsidRPr="00321C86" w:rsidRDefault="00DC7B1E" w:rsidP="00E7422A">
            <w:pPr>
              <w:spacing w:after="0" w:line="240" w:lineRule="auto"/>
              <w:jc w:val="right"/>
              <w:rPr>
                <w:color w:val="000000"/>
                <w:sz w:val="20"/>
                <w:szCs w:val="20"/>
                <w:lang w:eastAsia="nl-NL"/>
              </w:rPr>
            </w:pPr>
            <w:r w:rsidRPr="00321C86">
              <w:rPr>
                <w:color w:val="000000"/>
                <w:sz w:val="20"/>
                <w:szCs w:val="20"/>
                <w:lang w:eastAsia="nl-NL"/>
              </w:rPr>
              <w:t>1.633</w:t>
            </w:r>
          </w:p>
        </w:tc>
      </w:tr>
    </w:tbl>
    <w:p w:rsidR="00DC7B1E" w:rsidRDefault="00DC7B1E" w:rsidP="00086BB4"/>
    <w:p w:rsidR="00DC7B1E" w:rsidRPr="00A84A74" w:rsidRDefault="00DC7B1E" w:rsidP="00A84A74">
      <w:pPr>
        <w:pStyle w:val="Heading3"/>
        <w:spacing w:before="60" w:line="360" w:lineRule="auto"/>
        <w:contextualSpacing/>
        <w:rPr>
          <w:i/>
          <w:sz w:val="22"/>
          <w:szCs w:val="22"/>
        </w:rPr>
      </w:pPr>
      <w:bookmarkStart w:id="56" w:name="_Toc234567996"/>
      <w:r w:rsidRPr="00A84A74">
        <w:rPr>
          <w:i/>
          <w:sz w:val="22"/>
          <w:szCs w:val="22"/>
        </w:rPr>
        <w:t>5.2.4</w:t>
      </w:r>
      <w:r w:rsidRPr="00A84A74">
        <w:rPr>
          <w:i/>
          <w:sz w:val="22"/>
          <w:szCs w:val="22"/>
        </w:rPr>
        <w:tab/>
        <w:t>Multicollinearity test</w:t>
      </w:r>
      <w:bookmarkEnd w:id="56"/>
    </w:p>
    <w:p w:rsidR="00DC7B1E"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Although the Pearson correlation did not show very strong correlations among the variables, the correlation of SIZE with GROWTH and the correlation between PSO% and MONEY_PSO were  relative stronger than the associations among other variables. Therefore, it is important to analyze the tolerance and VIF values of the independent variables in the regression. Those values are displayed in Table 5.</w:t>
      </w:r>
    </w:p>
    <w:p w:rsidR="00DC7B1E" w:rsidRPr="00D83C51" w:rsidRDefault="00DC7B1E" w:rsidP="00321C86">
      <w:pPr>
        <w:spacing w:line="360" w:lineRule="auto"/>
        <w:contextualSpacing/>
        <w:jc w:val="both"/>
        <w:rPr>
          <w:rFonts w:ascii="Times New Roman" w:hAnsi="Times New Roman"/>
        </w:rPr>
      </w:pPr>
      <w:r w:rsidRPr="00321C86">
        <w:rPr>
          <w:rFonts w:ascii="Times New Roman" w:hAnsi="Times New Roman"/>
        </w:rPr>
        <w:t xml:space="preserve">Little multicollinearity exists between the variables Growth and Size because of the significant Pearson correlation and the higher VIF values in comparison with the VIF of other variables. Also the significant Pearson correlation between PSO% and PSO moneyness and the higher VIF value of MONEY_PSO cause little multicollinearity in the regression. Although the multicollinearity in this regression is not severe, it is valuable to conduct two additional regression analyses with the separation of vested stock options and moneyness to verify whether the removal of variables affect the correlations of the discretionary accruals with the independent </w:t>
      </w:r>
      <w:r w:rsidRPr="00D83C51">
        <w:rPr>
          <w:rFonts w:ascii="Times New Roman" w:hAnsi="Times New Roman"/>
        </w:rPr>
        <w:t>variables. The results of these regressions are presented in Appendix 11.</w:t>
      </w: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The table shows that the R square of the regression with the percentage vested stock options relative to the total stock option holding decreases to a value of 0.096 while the R square of the regression with the moneyness of the vested stock options is reduced to 0.066. The possible explanation for the heavily drop of the R square of the latter regression is the weak correlations of discretionary accruals with the independent variables. The moneyness of the performance and traditional vested stock options show such low coefficients that explains the reason why the R square of this regression has dropped more than that of the regression with the percentage vested stock options. Although the percentage and the moneyness of the vested stock options are separated into two different regressions, no changes in the correlations of the discretionary accruals with the independent variables could be detected. Also additional regressions with the elimination of the variable GROWTH which could cause multicollinearity by its correlation with SIZE do not change the results. Consistent with earlier results the PSO% is the only variable that is significant correlated with discretionary accruals. </w:t>
      </w:r>
    </w:p>
    <w:p w:rsidR="00DC7B1E" w:rsidRPr="00A84A74" w:rsidRDefault="00DC7B1E" w:rsidP="00A84A74">
      <w:pPr>
        <w:pStyle w:val="Heading2"/>
        <w:spacing w:before="0" w:after="200" w:line="360" w:lineRule="auto"/>
        <w:contextualSpacing/>
        <w:rPr>
          <w:rFonts w:ascii="Times New Roman" w:hAnsi="Times New Roman"/>
          <w:sz w:val="22"/>
          <w:szCs w:val="22"/>
        </w:rPr>
      </w:pPr>
    </w:p>
    <w:p w:rsidR="00DC7B1E" w:rsidRPr="00A84A74" w:rsidRDefault="00DC7B1E" w:rsidP="00A84A74">
      <w:pPr>
        <w:pStyle w:val="Heading2"/>
        <w:spacing w:before="60" w:line="360" w:lineRule="auto"/>
        <w:contextualSpacing/>
        <w:rPr>
          <w:i w:val="0"/>
          <w:sz w:val="24"/>
          <w:szCs w:val="24"/>
        </w:rPr>
      </w:pPr>
      <w:bookmarkStart w:id="57" w:name="_Toc234567997"/>
      <w:r w:rsidRPr="00A84A74">
        <w:rPr>
          <w:i w:val="0"/>
          <w:sz w:val="24"/>
          <w:szCs w:val="24"/>
        </w:rPr>
        <w:t>5.3</w:t>
      </w:r>
      <w:r w:rsidRPr="00A84A74">
        <w:rPr>
          <w:i w:val="0"/>
          <w:sz w:val="24"/>
          <w:szCs w:val="24"/>
        </w:rPr>
        <w:tab/>
        <w:t>Additional analyses</w:t>
      </w:r>
      <w:bookmarkEnd w:id="57"/>
    </w:p>
    <w:p w:rsidR="00DC7B1E" w:rsidRPr="00321C86" w:rsidRDefault="00DC7B1E" w:rsidP="004106ED">
      <w:pPr>
        <w:spacing w:after="0" w:line="360" w:lineRule="auto"/>
        <w:contextualSpacing/>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58" w:name="_Toc234567998"/>
      <w:r w:rsidRPr="00A84A74">
        <w:rPr>
          <w:i/>
          <w:sz w:val="22"/>
          <w:szCs w:val="22"/>
        </w:rPr>
        <w:t>5.3.1</w:t>
      </w:r>
      <w:r w:rsidRPr="00A84A74">
        <w:rPr>
          <w:i/>
          <w:sz w:val="22"/>
          <w:szCs w:val="22"/>
        </w:rPr>
        <w:tab/>
        <w:t>Elimination of small control groups</w:t>
      </w:r>
      <w:bookmarkEnd w:id="58"/>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A possible explanation for the non-correlation of earnings management with the exercise and vesting of executive stock options is a distortion in the estimation of parameters. As Appendix 2 exhibits, the control group of some industry group could be too small. The initial regression analyses as applied on the exercise and vesting of the executive stock options in paragraph 5.1 and 5.2 are based on firms with a control group of at least 6 companies. The cutoff point of 6 control firms was chosen as a tradeoff between the sample size and the reliability of the analysis. Since both regressions nearly show no significant associations of the independent variables with discretionary accruals and as an attempt to increase the reliability of the research, an additional analysis will be conducted to verify whether the regression results are influenced by a possible distortion in the parameters estimations. Therefore, firms with a control group of less than 9 companies will be eliminated from the sample. This regards to firms in the industry groups ‘Construction Materials’, ‘Automobiles and Trucks’, ‘Transportation’, ‘Restaurants, Hotels, Motels’ and ‘Wholesale’. The new regression analysis has been conducted to verify whether this will provide results that are in conformity with my hypotheses. The results of these analyses, applied on the exercise and the vesting of executive stock options after removing the variables outliers and regression outliers, are presented respectively in Table 6 and 7. </w:t>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In relation to the new regression of the exercise of executive stock options, the R square increases to 0.178 (Table 6) from 0.135 (Table 3). This could be assumed as a positive signal for the explanatory power of the regression model in favor of the new regression based on firms with larger control groups. Although the R square of the regression model increases, the elimination of firms in industries with less than 9 control firms does not affect any of the significance of the variables in the new regression. CEO/CFO/Other is still the only function combination category that has a significant correlation with discretionary accruals in relation to the reference category NONE. Also none of remaining test and control variables is significantly correlated with discretionary accruals. This is completely in line with the results of the initial regression in Table 3. As far as it regards to the regression of the exercise of executive stock options, these results proves that the insignificance of the variables is not due the enclosure of firms with smaller control groups that could possibly distort the parameters estimations.</w:t>
      </w: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Regarding the adjusted regression exerted on the vesting of executive stock options, a few changes are observable in comparison with the initial regression in Table 5. The R square increases from a value of 0.176 (Table 5) to 0.246 (Table 7). Additionally, while the initial regression shows a significant positive relation of discretionary accruals with PSO% and MONEY_TSO, the MONEY_TSO is no longer significant in the regression adjusted for small control groups. On the other hand, this change does not have an enormous impact since the correlation of the moneyness of traditional stock options with discretionary accruals with a coefficient of 0.0000007247 was very weak in the initial regression. The coefficient was such low that it is not justified to assume that a correlation exist between MONEY_TSO and discretionary accruals. In contrast to MONEY_TSO, the PSO% stays significant correlated with discretionary accruals. </w:t>
      </w:r>
    </w:p>
    <w:p w:rsidR="00DC7B1E" w:rsidRPr="00321C86" w:rsidRDefault="00DC7B1E" w:rsidP="00321C86">
      <w:pPr>
        <w:spacing w:line="360" w:lineRule="auto"/>
        <w:contextualSpacing/>
        <w:jc w:val="both"/>
        <w:rPr>
          <w:rFonts w:ascii="Times New Roman" w:hAnsi="Times New Roman"/>
        </w:rPr>
      </w:pPr>
    </w:p>
    <w:p w:rsidR="00DC7B1E" w:rsidRPr="00321C86" w:rsidRDefault="00DC7B1E" w:rsidP="00321C86">
      <w:pPr>
        <w:spacing w:line="360" w:lineRule="auto"/>
        <w:contextualSpacing/>
        <w:jc w:val="both"/>
        <w:rPr>
          <w:rFonts w:ascii="Times New Roman" w:hAnsi="Times New Roman"/>
        </w:rPr>
      </w:pPr>
      <w:r w:rsidRPr="00321C86">
        <w:rPr>
          <w:rFonts w:ascii="Times New Roman" w:hAnsi="Times New Roman"/>
        </w:rPr>
        <w:t xml:space="preserve">As both tables show, the removal of firms in industries with less than 9 control firms does not affect the correlation of earnings management with the number of exercised options, the gains from options exercises and the function(s) of the exercising executive(s). This result proves that the insignificance of the variables is not affected by a possible distortion of the parameters estimations. The last additional test will be conducted in the next paragraph to investigate whether the non-correlation between the variables still holds. </w:t>
      </w: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Default="00DC7B1E" w:rsidP="00321C86">
      <w:pPr>
        <w:spacing w:line="360" w:lineRule="auto"/>
        <w:contextualSpacing/>
        <w:jc w:val="both"/>
        <w:rPr>
          <w:rFonts w:ascii="Times New Roman" w:hAnsi="Times New Roman"/>
        </w:rPr>
      </w:pPr>
    </w:p>
    <w:p w:rsidR="00DC7B1E" w:rsidRPr="004106ED" w:rsidRDefault="00DC7B1E" w:rsidP="004106ED">
      <w:pPr>
        <w:spacing w:line="240" w:lineRule="auto"/>
        <w:contextualSpacing/>
        <w:jc w:val="both"/>
        <w:rPr>
          <w:rFonts w:cs="Arial"/>
        </w:rPr>
      </w:pPr>
      <w:r w:rsidRPr="004106ED">
        <w:rPr>
          <w:rFonts w:cs="Arial"/>
          <w:b/>
        </w:rPr>
        <w:t>Table 6</w:t>
      </w:r>
      <w:r w:rsidRPr="004106ED">
        <w:rPr>
          <w:rFonts w:cs="Arial"/>
          <w:b/>
        </w:rPr>
        <w:tab/>
      </w:r>
      <w:r>
        <w:rPr>
          <w:rFonts w:cs="Arial"/>
          <w:b/>
        </w:rPr>
        <w:t>Regression stock option exercise</w:t>
      </w:r>
      <w:r w:rsidRPr="004106ED">
        <w:rPr>
          <w:rFonts w:cs="Arial"/>
          <w:b/>
        </w:rPr>
        <w:tab/>
        <w:t xml:space="preserve">Table 7 Regression stock option vesting controlled </w:t>
      </w:r>
    </w:p>
    <w:p w:rsidR="00DC7B1E" w:rsidRDefault="00DC7B1E" w:rsidP="004106ED">
      <w:pPr>
        <w:spacing w:line="240" w:lineRule="auto"/>
        <w:contextualSpacing/>
        <w:jc w:val="both"/>
        <w:rPr>
          <w:rFonts w:cs="Arial"/>
          <w:b/>
        </w:rPr>
      </w:pPr>
      <w:r w:rsidRPr="004106ED">
        <w:rPr>
          <w:rFonts w:cs="Arial"/>
          <w:b/>
        </w:rPr>
        <w:t>controlled for small control groups</w:t>
      </w:r>
      <w:r w:rsidRPr="004106ED">
        <w:rPr>
          <w:rFonts w:cs="Arial"/>
          <w:b/>
        </w:rPr>
        <w:tab/>
      </w:r>
      <w:r w:rsidRPr="004106ED">
        <w:rPr>
          <w:rFonts w:cs="Arial"/>
          <w:b/>
        </w:rPr>
        <w:tab/>
        <w:t>for small control groups</w:t>
      </w:r>
    </w:p>
    <w:p w:rsidR="00DC7B1E" w:rsidRPr="004106ED" w:rsidRDefault="00DC7B1E" w:rsidP="004106ED">
      <w:pPr>
        <w:spacing w:line="360" w:lineRule="auto"/>
        <w:contextualSpacing/>
        <w:jc w:val="both"/>
        <w:rPr>
          <w:rFonts w:cs="Arial"/>
          <w:b/>
        </w:rPr>
      </w:pPr>
    </w:p>
    <w:tbl>
      <w:tblPr>
        <w:tblpPr w:leftFromText="141" w:rightFromText="141" w:vertAnchor="text" w:horzAnchor="margin" w:tblpY="36"/>
        <w:tblW w:w="3845" w:type="dxa"/>
        <w:tblLook w:val="00A0"/>
      </w:tblPr>
      <w:tblGrid>
        <w:gridCol w:w="1642"/>
        <w:gridCol w:w="1186"/>
        <w:gridCol w:w="1017"/>
      </w:tblGrid>
      <w:tr w:rsidR="00DC7B1E" w:rsidRPr="00036720" w:rsidTr="00ED6CD3">
        <w:trPr>
          <w:trHeight w:val="300"/>
        </w:trPr>
        <w:tc>
          <w:tcPr>
            <w:tcW w:w="1642" w:type="dxa"/>
            <w:tcBorders>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 </w:t>
            </w:r>
          </w:p>
        </w:tc>
        <w:tc>
          <w:tcPr>
            <w:tcW w:w="2203" w:type="dxa"/>
            <w:gridSpan w:val="2"/>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R square = 0.178 </w:t>
            </w:r>
          </w:p>
        </w:tc>
      </w:tr>
      <w:tr w:rsidR="00DC7B1E" w:rsidRPr="00036720" w:rsidTr="00ED6CD3">
        <w:trPr>
          <w:trHeight w:val="300"/>
        </w:trPr>
        <w:tc>
          <w:tcPr>
            <w:tcW w:w="1642" w:type="dxa"/>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b/>
                <w:color w:val="000000"/>
                <w:sz w:val="20"/>
                <w:szCs w:val="20"/>
              </w:rPr>
            </w:pPr>
            <w:r w:rsidRPr="00ED6CD3">
              <w:rPr>
                <w:b/>
                <w:color w:val="000000"/>
                <w:sz w:val="20"/>
                <w:szCs w:val="20"/>
              </w:rPr>
              <w:t>DA</w:t>
            </w:r>
          </w:p>
        </w:tc>
        <w:tc>
          <w:tcPr>
            <w:tcW w:w="1186"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Coefficient</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p-value</w:t>
            </w:r>
          </w:p>
        </w:tc>
      </w:tr>
      <w:tr w:rsidR="00DC7B1E" w:rsidRPr="00036720" w:rsidTr="00ED6CD3">
        <w:trPr>
          <w:trHeight w:val="300"/>
        </w:trPr>
        <w:tc>
          <w:tcPr>
            <w:tcW w:w="1642"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Intercept</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-0.086 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0.000 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CEO</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-0.020 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0.529 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CFO</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0.009 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0.699 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OTHER</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0.011 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0.600 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CEO/CFO</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0.042 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0.108 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CEO/OTHER</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0.025 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0.386 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CFO/OTHER</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0.019 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0.413 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CEO/CFO/Other</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0.078 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0.001 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OPTIONS</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-2.230E-8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0.427 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GAIN</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6.721E-9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0.526 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LEAVING</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0.003 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0.895 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LEV</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0.034 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0.483 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GROWTH</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2.339E-11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0.241 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SIZE</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1.337E-9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0.332 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MTBV</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0.000 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0.572 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YEAR_2005</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0.007 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0.672 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YEAR_2006</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0.045 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0.012 </w:t>
            </w:r>
          </w:p>
        </w:tc>
      </w:tr>
      <w:tr w:rsidR="00DC7B1E" w:rsidRPr="00036720" w:rsidTr="00ED6CD3">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YEAR_2007</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0.066 </w:t>
            </w:r>
          </w:p>
        </w:tc>
        <w:tc>
          <w:tcPr>
            <w:tcW w:w="1017"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0.000 </w:t>
            </w:r>
          </w:p>
        </w:tc>
      </w:tr>
    </w:tbl>
    <w:p w:rsidR="00DC7B1E" w:rsidRDefault="00DC7B1E" w:rsidP="00E53EA3">
      <w:pPr>
        <w:spacing w:before="240" w:line="360" w:lineRule="auto"/>
        <w:contextualSpacing/>
        <w:jc w:val="both"/>
        <w:rPr>
          <w:rFonts w:ascii="Arial" w:hAnsi="Arial" w:cs="Arial"/>
        </w:rPr>
      </w:pPr>
    </w:p>
    <w:p w:rsidR="00DC7B1E" w:rsidRDefault="00DC7B1E" w:rsidP="00A94509">
      <w:pPr>
        <w:spacing w:before="240" w:line="360" w:lineRule="auto"/>
        <w:contextualSpacing/>
        <w:jc w:val="both"/>
        <w:rPr>
          <w:rFonts w:ascii="Arial" w:hAnsi="Arial" w:cs="Arial"/>
        </w:rPr>
      </w:pPr>
    </w:p>
    <w:p w:rsidR="00DC7B1E" w:rsidRPr="006427B7" w:rsidRDefault="00DC7B1E" w:rsidP="00A94509">
      <w:pPr>
        <w:spacing w:before="240" w:line="360" w:lineRule="auto"/>
        <w:contextualSpacing/>
        <w:jc w:val="both"/>
        <w:rPr>
          <w:rFonts w:ascii="Arial" w:hAnsi="Arial" w:cs="Arial"/>
          <w:b/>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p>
    <w:p w:rsidR="00DC7B1E" w:rsidRDefault="00DC7B1E" w:rsidP="00A94509">
      <w:pPr>
        <w:spacing w:before="240" w:line="360" w:lineRule="auto"/>
        <w:jc w:val="both"/>
        <w:rPr>
          <w:rFonts w:ascii="Arial" w:hAnsi="Arial" w:cs="Arial"/>
        </w:rPr>
      </w:pPr>
    </w:p>
    <w:tbl>
      <w:tblPr>
        <w:tblpPr w:leftFromText="180" w:rightFromText="180" w:vertAnchor="text" w:horzAnchor="page" w:tblpX="5987" w:tblpY="151"/>
        <w:tblW w:w="3845" w:type="dxa"/>
        <w:tblLook w:val="00A0"/>
      </w:tblPr>
      <w:tblGrid>
        <w:gridCol w:w="1377"/>
        <w:gridCol w:w="1186"/>
        <w:gridCol w:w="1282"/>
      </w:tblGrid>
      <w:tr w:rsidR="00DC7B1E" w:rsidRPr="00974664" w:rsidTr="00ED6CD3">
        <w:trPr>
          <w:trHeight w:val="300"/>
        </w:trPr>
        <w:tc>
          <w:tcPr>
            <w:tcW w:w="1377" w:type="dxa"/>
            <w:tcBorders>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p>
        </w:tc>
        <w:tc>
          <w:tcPr>
            <w:tcW w:w="2468" w:type="dxa"/>
            <w:gridSpan w:val="2"/>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R square = 0.246</w:t>
            </w:r>
          </w:p>
        </w:tc>
      </w:tr>
      <w:tr w:rsidR="00DC7B1E" w:rsidRPr="00974664" w:rsidTr="00ED6CD3">
        <w:trPr>
          <w:trHeight w:val="300"/>
        </w:trPr>
        <w:tc>
          <w:tcPr>
            <w:tcW w:w="1377" w:type="dxa"/>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b/>
                <w:color w:val="000000"/>
                <w:sz w:val="20"/>
                <w:szCs w:val="20"/>
              </w:rPr>
            </w:pPr>
            <w:r w:rsidRPr="00ED6CD3">
              <w:rPr>
                <w:b/>
                <w:color w:val="000000"/>
                <w:sz w:val="20"/>
                <w:szCs w:val="20"/>
              </w:rPr>
              <w:t>DA</w:t>
            </w:r>
          </w:p>
        </w:tc>
        <w:tc>
          <w:tcPr>
            <w:tcW w:w="1186"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Coefficient</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p-value</w:t>
            </w:r>
          </w:p>
        </w:tc>
      </w:tr>
      <w:tr w:rsidR="00DC7B1E" w:rsidRPr="00974664" w:rsidTr="00ED6CD3">
        <w:trPr>
          <w:trHeight w:val="300"/>
        </w:trPr>
        <w:tc>
          <w:tcPr>
            <w:tcW w:w="1377" w:type="dxa"/>
            <w:tcBorders>
              <w:top w:val="single" w:sz="4" w:space="0" w:color="auto"/>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val="nl-NL"/>
              </w:rPr>
              <w:t>Intercept</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-0.066</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0.006</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PSO%</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0.164</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0.013</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TSO%</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0.122</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0.076</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MONEY_PSO</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1,91E-05</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0.364</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MONEY_TSO</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1,46E-03</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0.141</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LEV</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-0.079</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0.288</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GROWTH</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1,83E-08</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0.654</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SIZE</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1,26E-09</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0.761</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lang w:eastAsia="nl-NL"/>
              </w:rPr>
              <w:t>MTBV</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0.001</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0.002</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YEAR_2005</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 0.018</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0.467</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YEAR_2006</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 0.038</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 0.156</w:t>
            </w:r>
          </w:p>
        </w:tc>
      </w:tr>
      <w:tr w:rsidR="00DC7B1E" w:rsidRPr="00974664" w:rsidTr="00ED6CD3">
        <w:trPr>
          <w:trHeight w:val="300"/>
        </w:trPr>
        <w:tc>
          <w:tcPr>
            <w:tcW w:w="1377" w:type="dxa"/>
            <w:tcBorders>
              <w:top w:val="nil"/>
              <w:left w:val="single" w:sz="4" w:space="0" w:color="auto"/>
              <w:bottom w:val="single" w:sz="4" w:space="0" w:color="auto"/>
              <w:right w:val="single" w:sz="4" w:space="0" w:color="auto"/>
            </w:tcBorders>
            <w:noWrap/>
            <w:vAlign w:val="center"/>
          </w:tcPr>
          <w:p w:rsidR="00DC7B1E" w:rsidRPr="00321C86" w:rsidRDefault="00DC7B1E" w:rsidP="00ED6CD3">
            <w:pPr>
              <w:spacing w:after="0" w:line="240" w:lineRule="auto"/>
              <w:rPr>
                <w:color w:val="000000"/>
                <w:sz w:val="20"/>
                <w:szCs w:val="20"/>
              </w:rPr>
            </w:pPr>
            <w:r w:rsidRPr="00321C86">
              <w:rPr>
                <w:color w:val="000000"/>
                <w:sz w:val="20"/>
                <w:szCs w:val="20"/>
              </w:rPr>
              <w:t>YEAR_2007</w:t>
            </w:r>
          </w:p>
        </w:tc>
        <w:tc>
          <w:tcPr>
            <w:tcW w:w="1186"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0.082</w:t>
            </w:r>
          </w:p>
        </w:tc>
        <w:tc>
          <w:tcPr>
            <w:tcW w:w="1282" w:type="dxa"/>
            <w:tcBorders>
              <w:top w:val="nil"/>
              <w:left w:val="nil"/>
              <w:bottom w:val="single" w:sz="4" w:space="0" w:color="auto"/>
              <w:right w:val="single" w:sz="4" w:space="0" w:color="auto"/>
            </w:tcBorders>
            <w:noWrap/>
            <w:vAlign w:val="center"/>
          </w:tcPr>
          <w:p w:rsidR="00DC7B1E" w:rsidRPr="00321C86" w:rsidRDefault="00DC7B1E" w:rsidP="00ED6CD3">
            <w:pPr>
              <w:spacing w:after="0" w:line="240" w:lineRule="auto"/>
              <w:jc w:val="right"/>
              <w:rPr>
                <w:color w:val="000000"/>
                <w:sz w:val="20"/>
                <w:szCs w:val="20"/>
              </w:rPr>
            </w:pPr>
            <w:r w:rsidRPr="00321C86">
              <w:rPr>
                <w:color w:val="000000"/>
                <w:sz w:val="20"/>
                <w:szCs w:val="20"/>
              </w:rPr>
              <w:t>0.002</w:t>
            </w:r>
          </w:p>
        </w:tc>
      </w:tr>
    </w:tbl>
    <w:p w:rsidR="00DC7B1E" w:rsidRDefault="00DC7B1E" w:rsidP="00A94509">
      <w:pPr>
        <w:spacing w:before="240" w:line="360" w:lineRule="auto"/>
        <w:jc w:val="both"/>
        <w:rPr>
          <w:rFonts w:ascii="Arial" w:hAnsi="Arial" w:cs="Arial"/>
        </w:rPr>
      </w:pPr>
    </w:p>
    <w:p w:rsidR="00DC7B1E" w:rsidRDefault="00DC7B1E" w:rsidP="00F470AD">
      <w:pPr>
        <w:pStyle w:val="Heading3"/>
      </w:pPr>
    </w:p>
    <w:p w:rsidR="00DC7B1E" w:rsidRDefault="00DC7B1E" w:rsidP="00F470AD">
      <w:pPr>
        <w:pStyle w:val="Heading3"/>
      </w:pPr>
    </w:p>
    <w:p w:rsidR="00DC7B1E" w:rsidRDefault="00DC7B1E" w:rsidP="00F470AD">
      <w:pPr>
        <w:pStyle w:val="Heading3"/>
      </w:pPr>
    </w:p>
    <w:p w:rsidR="00DC7B1E" w:rsidRDefault="00DC7B1E" w:rsidP="00F470AD">
      <w:pPr>
        <w:pStyle w:val="Heading3"/>
      </w:pPr>
    </w:p>
    <w:p w:rsidR="00DC7B1E" w:rsidRDefault="00DC7B1E" w:rsidP="00F470AD">
      <w:pPr>
        <w:pStyle w:val="Heading3"/>
      </w:pPr>
    </w:p>
    <w:p w:rsidR="00DC7B1E" w:rsidRDefault="00DC7B1E" w:rsidP="00F470AD">
      <w:pPr>
        <w:pStyle w:val="Heading3"/>
      </w:pPr>
    </w:p>
    <w:p w:rsidR="00DC7B1E" w:rsidRDefault="00DC7B1E" w:rsidP="00F470AD">
      <w:pPr>
        <w:pStyle w:val="Heading3"/>
      </w:pPr>
    </w:p>
    <w:p w:rsidR="00DC7B1E" w:rsidRPr="00ED6CD3" w:rsidRDefault="00DC7B1E" w:rsidP="00ED6CD3">
      <w:pPr>
        <w:spacing w:line="360" w:lineRule="auto"/>
        <w:contextualSpacing/>
        <w:rPr>
          <w:rFonts w:ascii="Times New Roman" w:hAnsi="Times New Roman"/>
        </w:rPr>
      </w:pPr>
    </w:p>
    <w:p w:rsidR="00DC7B1E" w:rsidRPr="00AC7CE7" w:rsidRDefault="00DC7B1E" w:rsidP="00A84A74">
      <w:pPr>
        <w:pStyle w:val="Heading3"/>
        <w:spacing w:before="60" w:line="360" w:lineRule="auto"/>
        <w:contextualSpacing/>
      </w:pPr>
      <w:bookmarkStart w:id="59" w:name="_Toc234567999"/>
      <w:r w:rsidRPr="00AC7CE7">
        <w:t>5.</w:t>
      </w:r>
      <w:r>
        <w:t>3.2</w:t>
      </w:r>
      <w:r>
        <w:tab/>
        <w:t>Regressions based on the change</w:t>
      </w:r>
      <w:bookmarkEnd w:id="59"/>
      <w:r>
        <w:t xml:space="preserve"> </w:t>
      </w: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 xml:space="preserve">The regression analyses that are conducted in section 5.1 and 5.2 are based on absolute values of the variables. This method to examine the relation of discretionary accruals and the exercise and vesting of executive stock options is commonly used in scientific researches. However, this research method has a </w:t>
      </w:r>
      <w:r w:rsidRPr="00A84A65">
        <w:rPr>
          <w:rFonts w:ascii="Times New Roman" w:hAnsi="Times New Roman"/>
          <w:color w:val="000000"/>
        </w:rPr>
        <w:t>disadvantage. The values of the variables are measured on a specific moment in time, specifically on the end of each year. By measuring the absolute values of the variables on a specific date, it is difficult to determine whether the level of earnings management is explained by a certain variable because the values of the control variables (such as the size, growth and leverage) vary each moment. Therefore, it is a suggestion to incorporate a reference moment into the measurement of the variables instead of using</w:t>
      </w:r>
      <w:r w:rsidRPr="00ED6CD3">
        <w:rPr>
          <w:rFonts w:ascii="Times New Roman" w:hAnsi="Times New Roman"/>
        </w:rPr>
        <w:t xml:space="preserve"> absolute values on a specific moment only. Since this research apply a time interval of one year, the reference moment will be captured on the beginning of the year which is the same as the end of the preceding year. More specifically, the absolute values of the variables on the end of the year t will be replaced by the change in value between the beginning and the end of the year. For example, the discretionary accruals are defined as the value on t (31/12) minus the value on t-1 (1/1). </w:t>
      </w:r>
    </w:p>
    <w:p w:rsidR="00DC7B1E" w:rsidRDefault="00DC7B1E" w:rsidP="00ED6CD3">
      <w:pPr>
        <w:spacing w:line="360" w:lineRule="auto"/>
        <w:contextualSpacing/>
        <w:jc w:val="both"/>
        <w:rPr>
          <w:rFonts w:ascii="Times New Roman" w:hAnsi="Times New Roman"/>
        </w:rPr>
      </w:pPr>
      <w:r w:rsidRPr="00ED6CD3">
        <w:rPr>
          <w:rFonts w:ascii="Times New Roman" w:hAnsi="Times New Roman"/>
        </w:rPr>
        <w:t xml:space="preserve">By doing so, the movement in discretionary accruals could be perceived. When the change in discretionary accruals is positive, it implies that the executives engage more in earnings management during the year, whereas a negative change infers the opposite. The adjusted measurement method is also applied on the independent variables in the regressions regarding the exercise and vesting of the executive stock options. Using the change of a certain variable at the end of the year in reference to the beginning of the year (or more specific the end of the preceding year) enables the possibility to measure whether the change </w:t>
      </w:r>
      <w:r>
        <w:rPr>
          <w:rFonts w:ascii="Times New Roman" w:hAnsi="Times New Roman"/>
        </w:rPr>
        <w:t>of</w:t>
      </w:r>
      <w:r w:rsidRPr="00ED6CD3">
        <w:rPr>
          <w:rFonts w:ascii="Times New Roman" w:hAnsi="Times New Roman"/>
        </w:rPr>
        <w:t xml:space="preserve">, for instance, the number of options exercised explains the change in discretionary accruals. When the number of options that is exercised in the current year increases with respect to the preceding year and an accretion in discretionary accruals is also observed, there is a positive correlation between the number of options exercised and earnings management. On the opposite, a negative correlation is when both the number of options exercised and discretionary accruals show a decreasing trend. </w:t>
      </w:r>
      <w:r>
        <w:rPr>
          <w:rFonts w:ascii="Times New Roman" w:hAnsi="Times New Roman"/>
        </w:rPr>
        <w:t xml:space="preserve">However, it should be noted that this method also has a downside. Since executives do not exercise their options each year and the vesting of executive stock options do not occur in each year, this could distort the regression results. It is possible that a decrease in the exercise and vesting of stock options do not affect the level of earnings management. Executives could also manage earnings for other purposes. </w:t>
      </w:r>
    </w:p>
    <w:p w:rsidR="00DC7B1E"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Since the variables will be measured as the change in year now, it is not possible to also apply this measurement method to the dummy variables that are incorporated in the regression model for the reason that the change in dummy variables is not measurable. The dummy variables that are referred to are those for the function combination of exercising executives, the variable that measures whether an executive exercises his/her options and leaves the firm in the same year and the variable that indicates the year in which an observation is related to. Accordingly, those dummy variables will be excluded from the regressions.</w:t>
      </w: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 xml:space="preserve">Additionally, now the change between year t and year t-1 will be analyzed, observations for the year 2004 could not be calculated and therefore they will be excluded from the regressions for the reason that no data were gathered for the year 2003. Consequently, the year 2004 should be removed from the sample. </w:t>
      </w: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 xml:space="preserve">Similar to the analysis process as in paragraph 5.1 and 5.2, the outliers of each variable and regression outliers are removed from dataset. Subsequently, the </w:t>
      </w:r>
      <w:r w:rsidRPr="004106ED">
        <w:rPr>
          <w:rFonts w:ascii="Times New Roman" w:hAnsi="Times New Roman"/>
        </w:rPr>
        <w:t>results of the new regression in relation to the exercise of executive stock options are presented in Table 8. The table shows that the R square decreases from the initial regression to a value of 0.021. This decline could be explained by the fact that the number of explanatory variables is reduced. The outcomes with respect to the number of options exercised by executives and the gain from exercises are comparable with the initial results. These variables stay insignificantly correlated with discretionary accruals. The tolerance and VIF values of the independent variables are also exhibited in Table 8 to</w:t>
      </w:r>
      <w:r w:rsidRPr="00ED6CD3">
        <w:rPr>
          <w:rFonts w:ascii="Times New Roman" w:hAnsi="Times New Roman"/>
        </w:rPr>
        <w:t xml:space="preserve"> investigate the degree of multicollinearity. As the VIF value of ∆OPTIONS and ∆GAIN are relative high and the tolerance values are relative low compared to those of other independent variables, multicollinearity might be a threat in this regression. Therefore, two additional regressions will be conducted whereby ∆OPTIONS and ∆GAIN will be separated. </w:t>
      </w:r>
      <w:r>
        <w:rPr>
          <w:rFonts w:ascii="Times New Roman" w:hAnsi="Times New Roman"/>
        </w:rPr>
        <w:t xml:space="preserve">The results of those regressions are exhibited in Appendix 12. </w:t>
      </w:r>
      <w:r w:rsidRPr="00ED6CD3">
        <w:rPr>
          <w:rFonts w:ascii="Times New Roman" w:hAnsi="Times New Roman"/>
        </w:rPr>
        <w:t xml:space="preserve">Despite the split up of the two variables into two different regressions, no impact on the significance of the variables could be detected. Since none of the regressions show a significant correlation between discretionary accruals and the number of exercised options, H2 will be rejected. The same result applies to the relation of discretionary accruals with the gain that executives profit from options exercises. Therefore, H3 will be rejected too. </w:t>
      </w: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7C08B2">
      <w:pPr>
        <w:spacing w:line="360" w:lineRule="auto"/>
        <w:contextualSpacing/>
        <w:jc w:val="both"/>
        <w:rPr>
          <w:rFonts w:cs="Arial"/>
          <w:b/>
        </w:rPr>
      </w:pPr>
      <w:r w:rsidRPr="00ED6CD3">
        <w:rPr>
          <w:rFonts w:cs="Arial"/>
          <w:b/>
        </w:rPr>
        <w:t>Table 8</w:t>
      </w:r>
      <w:r>
        <w:rPr>
          <w:rFonts w:cs="Arial"/>
          <w:b/>
        </w:rPr>
        <w:t xml:space="preserve"> Regression change stock option exercise</w:t>
      </w:r>
    </w:p>
    <w:tbl>
      <w:tblPr>
        <w:tblW w:w="0" w:type="auto"/>
        <w:tblInd w:w="91" w:type="dxa"/>
        <w:tblLayout w:type="fixed"/>
        <w:tblLook w:val="00A0"/>
      </w:tblPr>
      <w:tblGrid>
        <w:gridCol w:w="1293"/>
        <w:gridCol w:w="1276"/>
        <w:gridCol w:w="1134"/>
        <w:gridCol w:w="1276"/>
        <w:gridCol w:w="992"/>
      </w:tblGrid>
      <w:tr w:rsidR="00DC7B1E" w:rsidRPr="00B12C1D" w:rsidTr="00142F7D">
        <w:trPr>
          <w:trHeight w:val="300"/>
        </w:trPr>
        <w:tc>
          <w:tcPr>
            <w:tcW w:w="1293" w:type="dxa"/>
            <w:tcBorders>
              <w:bottom w:val="single" w:sz="4" w:space="0" w:color="auto"/>
              <w:right w:val="single" w:sz="4" w:space="0" w:color="auto"/>
            </w:tcBorders>
            <w:noWrap/>
            <w:vAlign w:val="center"/>
          </w:tcPr>
          <w:p w:rsidR="00DC7B1E" w:rsidRPr="00ED6CD3" w:rsidRDefault="00DC7B1E" w:rsidP="00493F3D">
            <w:pPr>
              <w:spacing w:after="0" w:line="240" w:lineRule="auto"/>
              <w:rPr>
                <w:color w:val="000000"/>
                <w:sz w:val="20"/>
                <w:szCs w:val="20"/>
              </w:rPr>
            </w:pPr>
            <w:r w:rsidRPr="00ED6CD3">
              <w:rPr>
                <w:color w:val="000000"/>
                <w:sz w:val="20"/>
                <w:szCs w:val="20"/>
              </w:rPr>
              <w:t> </w:t>
            </w:r>
          </w:p>
        </w:tc>
        <w:tc>
          <w:tcPr>
            <w:tcW w:w="4678" w:type="dxa"/>
            <w:gridSpan w:val="4"/>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493F3D">
            <w:pPr>
              <w:spacing w:after="0" w:line="240" w:lineRule="auto"/>
              <w:rPr>
                <w:color w:val="000000"/>
                <w:sz w:val="20"/>
                <w:szCs w:val="20"/>
              </w:rPr>
            </w:pPr>
            <w:r w:rsidRPr="00ED6CD3">
              <w:rPr>
                <w:color w:val="000000"/>
                <w:sz w:val="20"/>
                <w:szCs w:val="20"/>
              </w:rPr>
              <w:t>R square = 0.029</w:t>
            </w:r>
          </w:p>
        </w:tc>
      </w:tr>
      <w:tr w:rsidR="00DC7B1E" w:rsidRPr="00B12C1D" w:rsidTr="00142F7D">
        <w:trPr>
          <w:trHeight w:val="300"/>
        </w:trPr>
        <w:tc>
          <w:tcPr>
            <w:tcW w:w="1293" w:type="dxa"/>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b/>
                <w:color w:val="000000"/>
                <w:sz w:val="20"/>
                <w:szCs w:val="20"/>
              </w:rPr>
            </w:pPr>
            <w:r w:rsidRPr="00ED6CD3">
              <w:rPr>
                <w:b/>
                <w:color w:val="000000"/>
                <w:sz w:val="20"/>
                <w:szCs w:val="20"/>
              </w:rPr>
              <w:t>DA</w:t>
            </w:r>
          </w:p>
        </w:tc>
        <w:tc>
          <w:tcPr>
            <w:tcW w:w="1276" w:type="dxa"/>
            <w:tcBorders>
              <w:top w:val="nil"/>
              <w:left w:val="single" w:sz="4" w:space="0" w:color="auto"/>
              <w:bottom w:val="single" w:sz="4" w:space="0" w:color="auto"/>
              <w:right w:val="single" w:sz="4" w:space="0" w:color="auto"/>
            </w:tcBorders>
            <w:noWrap/>
            <w:vAlign w:val="center"/>
          </w:tcPr>
          <w:p w:rsidR="00DC7B1E" w:rsidRPr="00ED6CD3" w:rsidRDefault="00DC7B1E" w:rsidP="00493F3D">
            <w:pPr>
              <w:spacing w:after="0" w:line="240" w:lineRule="auto"/>
              <w:rPr>
                <w:color w:val="000000"/>
                <w:sz w:val="20"/>
                <w:szCs w:val="20"/>
              </w:rPr>
            </w:pPr>
            <w:r w:rsidRPr="00ED6CD3">
              <w:rPr>
                <w:color w:val="000000"/>
                <w:sz w:val="20"/>
                <w:szCs w:val="20"/>
              </w:rPr>
              <w:t>Coefficient</w:t>
            </w:r>
          </w:p>
        </w:tc>
        <w:tc>
          <w:tcPr>
            <w:tcW w:w="1134" w:type="dxa"/>
            <w:tcBorders>
              <w:top w:val="nil"/>
              <w:left w:val="nil"/>
              <w:bottom w:val="single" w:sz="4" w:space="0" w:color="auto"/>
              <w:right w:val="single" w:sz="4" w:space="0" w:color="auto"/>
            </w:tcBorders>
            <w:noWrap/>
            <w:vAlign w:val="center"/>
          </w:tcPr>
          <w:p w:rsidR="00DC7B1E" w:rsidRPr="00ED6CD3" w:rsidRDefault="00DC7B1E" w:rsidP="00493F3D">
            <w:pPr>
              <w:spacing w:after="0" w:line="240" w:lineRule="auto"/>
              <w:rPr>
                <w:color w:val="000000"/>
                <w:sz w:val="20"/>
                <w:szCs w:val="20"/>
              </w:rPr>
            </w:pPr>
            <w:r w:rsidRPr="00ED6CD3">
              <w:rPr>
                <w:color w:val="000000"/>
                <w:sz w:val="20"/>
                <w:szCs w:val="20"/>
              </w:rPr>
              <w:t>p-value</w:t>
            </w:r>
          </w:p>
        </w:tc>
        <w:tc>
          <w:tcPr>
            <w:tcW w:w="1276" w:type="dxa"/>
            <w:tcBorders>
              <w:top w:val="nil"/>
              <w:left w:val="nil"/>
              <w:bottom w:val="single" w:sz="4" w:space="0" w:color="auto"/>
              <w:right w:val="single" w:sz="4" w:space="0" w:color="auto"/>
            </w:tcBorders>
            <w:noWrap/>
            <w:vAlign w:val="center"/>
          </w:tcPr>
          <w:p w:rsidR="00DC7B1E" w:rsidRPr="00ED6CD3" w:rsidRDefault="00DC7B1E" w:rsidP="00493F3D">
            <w:pPr>
              <w:spacing w:after="0" w:line="240" w:lineRule="auto"/>
              <w:rPr>
                <w:color w:val="000000"/>
                <w:sz w:val="20"/>
                <w:szCs w:val="20"/>
              </w:rPr>
            </w:pPr>
            <w:r w:rsidRPr="00ED6CD3">
              <w:rPr>
                <w:color w:val="000000"/>
                <w:sz w:val="20"/>
                <w:szCs w:val="20"/>
              </w:rPr>
              <w:t>Tolerance</w:t>
            </w:r>
          </w:p>
        </w:tc>
        <w:tc>
          <w:tcPr>
            <w:tcW w:w="992" w:type="dxa"/>
            <w:tcBorders>
              <w:top w:val="nil"/>
              <w:left w:val="nil"/>
              <w:bottom w:val="single" w:sz="4" w:space="0" w:color="auto"/>
              <w:right w:val="single" w:sz="4" w:space="0" w:color="auto"/>
            </w:tcBorders>
            <w:noWrap/>
            <w:vAlign w:val="center"/>
          </w:tcPr>
          <w:p w:rsidR="00DC7B1E" w:rsidRPr="00ED6CD3" w:rsidRDefault="00DC7B1E" w:rsidP="00493F3D">
            <w:pPr>
              <w:spacing w:after="0" w:line="240" w:lineRule="auto"/>
              <w:rPr>
                <w:color w:val="000000"/>
                <w:sz w:val="20"/>
                <w:szCs w:val="20"/>
              </w:rPr>
            </w:pPr>
            <w:r w:rsidRPr="00ED6CD3">
              <w:rPr>
                <w:color w:val="000000"/>
                <w:sz w:val="20"/>
                <w:szCs w:val="20"/>
              </w:rPr>
              <w:t>VIF</w:t>
            </w:r>
          </w:p>
        </w:tc>
      </w:tr>
      <w:tr w:rsidR="00DC7B1E" w:rsidRPr="00B12C1D" w:rsidTr="00EA2262">
        <w:trPr>
          <w:trHeight w:val="300"/>
        </w:trPr>
        <w:tc>
          <w:tcPr>
            <w:tcW w:w="1293" w:type="dxa"/>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color w:val="000000"/>
                <w:sz w:val="20"/>
                <w:szCs w:val="20"/>
              </w:rPr>
            </w:pPr>
            <w:r w:rsidRPr="00ED6CD3">
              <w:rPr>
                <w:color w:val="000000"/>
                <w:sz w:val="20"/>
                <w:szCs w:val="20"/>
              </w:rPr>
              <w:t>Intercept</w:t>
            </w:r>
          </w:p>
        </w:tc>
        <w:tc>
          <w:tcPr>
            <w:tcW w:w="1276" w:type="dxa"/>
            <w:tcBorders>
              <w:top w:val="nil"/>
              <w:left w:val="nil"/>
              <w:bottom w:val="single" w:sz="4" w:space="0" w:color="auto"/>
              <w:right w:val="single" w:sz="4" w:space="0" w:color="auto"/>
            </w:tcBorders>
            <w:noWrap/>
            <w:vAlign w:val="center"/>
          </w:tcPr>
          <w:p w:rsidR="00DC7B1E" w:rsidRPr="00ED6CD3" w:rsidRDefault="00DC7B1E" w:rsidP="00493F3D">
            <w:pPr>
              <w:spacing w:after="0" w:line="240" w:lineRule="auto"/>
              <w:jc w:val="right"/>
              <w:rPr>
                <w:color w:val="000000"/>
                <w:sz w:val="20"/>
                <w:szCs w:val="20"/>
              </w:rPr>
            </w:pPr>
            <w:r w:rsidRPr="00ED6CD3">
              <w:rPr>
                <w:color w:val="000000"/>
                <w:sz w:val="20"/>
                <w:szCs w:val="20"/>
              </w:rPr>
              <w:t>0.021</w:t>
            </w:r>
          </w:p>
        </w:tc>
        <w:tc>
          <w:tcPr>
            <w:tcW w:w="1134" w:type="dxa"/>
            <w:tcBorders>
              <w:top w:val="nil"/>
              <w:left w:val="nil"/>
              <w:bottom w:val="single" w:sz="4" w:space="0" w:color="auto"/>
              <w:right w:val="single" w:sz="4" w:space="0" w:color="auto"/>
            </w:tcBorders>
            <w:noWrap/>
            <w:vAlign w:val="center"/>
          </w:tcPr>
          <w:p w:rsidR="00DC7B1E" w:rsidRPr="00ED6CD3" w:rsidRDefault="00DC7B1E" w:rsidP="00493F3D">
            <w:pPr>
              <w:spacing w:after="0" w:line="240" w:lineRule="auto"/>
              <w:jc w:val="right"/>
              <w:rPr>
                <w:color w:val="000000"/>
                <w:sz w:val="20"/>
                <w:szCs w:val="20"/>
              </w:rPr>
            </w:pPr>
            <w:r w:rsidRPr="00ED6CD3">
              <w:rPr>
                <w:color w:val="000000"/>
                <w:sz w:val="20"/>
                <w:szCs w:val="20"/>
              </w:rPr>
              <w:t>0.022</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w:t>
            </w:r>
          </w:p>
        </w:tc>
        <w:tc>
          <w:tcPr>
            <w:tcW w:w="992"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w:t>
            </w:r>
          </w:p>
        </w:tc>
      </w:tr>
      <w:tr w:rsidR="00DC7B1E" w:rsidRPr="00B12C1D" w:rsidTr="00EA2262">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OPTIONS</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2.646E-8</w:t>
            </w:r>
          </w:p>
        </w:tc>
        <w:tc>
          <w:tcPr>
            <w:tcW w:w="1134" w:type="dxa"/>
            <w:tcBorders>
              <w:top w:val="nil"/>
              <w:left w:val="nil"/>
              <w:bottom w:val="single" w:sz="4" w:space="0" w:color="auto"/>
              <w:right w:val="single" w:sz="4" w:space="0" w:color="auto"/>
            </w:tcBorders>
            <w:noWrap/>
            <w:vAlign w:val="center"/>
          </w:tcPr>
          <w:p w:rsidR="00DC7B1E" w:rsidRPr="00ED6CD3" w:rsidRDefault="00DC7B1E" w:rsidP="00493F3D">
            <w:pPr>
              <w:spacing w:after="0" w:line="240" w:lineRule="auto"/>
              <w:jc w:val="right"/>
              <w:rPr>
                <w:color w:val="000000"/>
                <w:sz w:val="20"/>
                <w:szCs w:val="20"/>
              </w:rPr>
            </w:pPr>
            <w:r w:rsidRPr="00ED6CD3">
              <w:rPr>
                <w:color w:val="000000"/>
                <w:sz w:val="20"/>
                <w:szCs w:val="20"/>
              </w:rPr>
              <w:t>0.491</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0.378</w:t>
            </w:r>
          </w:p>
        </w:tc>
        <w:tc>
          <w:tcPr>
            <w:tcW w:w="992" w:type="dxa"/>
            <w:tcBorders>
              <w:top w:val="nil"/>
              <w:left w:val="nil"/>
              <w:bottom w:val="single" w:sz="4" w:space="0" w:color="auto"/>
              <w:right w:val="single" w:sz="4" w:space="0" w:color="auto"/>
            </w:tcBorders>
            <w:noWrap/>
            <w:vAlign w:val="center"/>
          </w:tcPr>
          <w:p w:rsidR="00DC7B1E" w:rsidRPr="00ED6CD3" w:rsidRDefault="00DC7B1E" w:rsidP="00493F3D">
            <w:pPr>
              <w:spacing w:after="0" w:line="240" w:lineRule="auto"/>
              <w:jc w:val="right"/>
              <w:rPr>
                <w:color w:val="000000"/>
                <w:sz w:val="20"/>
                <w:szCs w:val="20"/>
              </w:rPr>
            </w:pPr>
            <w:r w:rsidRPr="00ED6CD3">
              <w:rPr>
                <w:color w:val="000000"/>
                <w:sz w:val="20"/>
                <w:szCs w:val="20"/>
              </w:rPr>
              <w:t>2.642</w:t>
            </w:r>
          </w:p>
        </w:tc>
      </w:tr>
      <w:tr w:rsidR="00DC7B1E" w:rsidRPr="00B12C1D" w:rsidTr="00EA2262">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GAIN</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6.639E-9</w:t>
            </w:r>
          </w:p>
        </w:tc>
        <w:tc>
          <w:tcPr>
            <w:tcW w:w="1134"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0.640</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0.362</w:t>
            </w:r>
          </w:p>
        </w:tc>
        <w:tc>
          <w:tcPr>
            <w:tcW w:w="992"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2.762</w:t>
            </w:r>
          </w:p>
        </w:tc>
      </w:tr>
      <w:tr w:rsidR="00DC7B1E" w:rsidRPr="00B12C1D" w:rsidTr="00EA2262">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LEV</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0.189</w:t>
            </w:r>
          </w:p>
        </w:tc>
        <w:tc>
          <w:tcPr>
            <w:tcW w:w="1134"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0.279</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0.969</w:t>
            </w:r>
          </w:p>
        </w:tc>
        <w:tc>
          <w:tcPr>
            <w:tcW w:w="992"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1.031</w:t>
            </w:r>
          </w:p>
        </w:tc>
      </w:tr>
      <w:tr w:rsidR="00DC7B1E" w:rsidRPr="00B12C1D" w:rsidTr="00EA2262">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GROWTH</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4.576E-13</w:t>
            </w:r>
          </w:p>
        </w:tc>
        <w:tc>
          <w:tcPr>
            <w:tcW w:w="1134"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0.987</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0.927</w:t>
            </w:r>
          </w:p>
        </w:tc>
        <w:tc>
          <w:tcPr>
            <w:tcW w:w="992"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1.079</w:t>
            </w:r>
          </w:p>
        </w:tc>
      </w:tr>
      <w:tr w:rsidR="00DC7B1E" w:rsidRPr="00B12C1D" w:rsidTr="00EA2262">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SIZE</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-2.323E-11</w:t>
            </w:r>
          </w:p>
        </w:tc>
        <w:tc>
          <w:tcPr>
            <w:tcW w:w="1134"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0.169</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0.957</w:t>
            </w:r>
          </w:p>
        </w:tc>
        <w:tc>
          <w:tcPr>
            <w:tcW w:w="992"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1.045</w:t>
            </w:r>
          </w:p>
        </w:tc>
      </w:tr>
      <w:tr w:rsidR="00DC7B1E" w:rsidRPr="00B12C1D" w:rsidTr="00EA2262">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B12C1D">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MTBV</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-9.143E-5</w:t>
            </w:r>
          </w:p>
        </w:tc>
        <w:tc>
          <w:tcPr>
            <w:tcW w:w="1134"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0.810</w:t>
            </w:r>
          </w:p>
        </w:tc>
        <w:tc>
          <w:tcPr>
            <w:tcW w:w="1276"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0.998</w:t>
            </w:r>
          </w:p>
        </w:tc>
        <w:tc>
          <w:tcPr>
            <w:tcW w:w="992" w:type="dxa"/>
            <w:tcBorders>
              <w:top w:val="nil"/>
              <w:left w:val="nil"/>
              <w:bottom w:val="single" w:sz="4" w:space="0" w:color="auto"/>
              <w:right w:val="single" w:sz="4" w:space="0" w:color="auto"/>
            </w:tcBorders>
            <w:noWrap/>
            <w:vAlign w:val="center"/>
          </w:tcPr>
          <w:p w:rsidR="00DC7B1E" w:rsidRPr="00ED6CD3" w:rsidRDefault="00DC7B1E" w:rsidP="00B12C1D">
            <w:pPr>
              <w:spacing w:after="0" w:line="240" w:lineRule="auto"/>
              <w:jc w:val="right"/>
              <w:rPr>
                <w:color w:val="000000"/>
                <w:sz w:val="20"/>
                <w:szCs w:val="20"/>
              </w:rPr>
            </w:pPr>
            <w:r w:rsidRPr="00ED6CD3">
              <w:rPr>
                <w:color w:val="000000"/>
                <w:sz w:val="20"/>
                <w:szCs w:val="20"/>
              </w:rPr>
              <w:t> 1.002</w:t>
            </w:r>
          </w:p>
        </w:tc>
      </w:tr>
    </w:tbl>
    <w:p w:rsidR="00DC7B1E" w:rsidRDefault="00DC7B1E" w:rsidP="00A94509">
      <w:pPr>
        <w:spacing w:before="240" w:line="360" w:lineRule="auto"/>
        <w:contextualSpacing/>
        <w:jc w:val="both"/>
        <w:rPr>
          <w:rFonts w:ascii="Arial" w:hAnsi="Arial" w:cs="Arial"/>
        </w:rPr>
      </w:pPr>
    </w:p>
    <w:p w:rsidR="00DC7B1E" w:rsidRPr="00646A1E" w:rsidRDefault="00DC7B1E" w:rsidP="000F0EF4">
      <w:pPr>
        <w:spacing w:line="360" w:lineRule="auto"/>
        <w:contextualSpacing/>
        <w:jc w:val="both"/>
        <w:rPr>
          <w:rFonts w:ascii="Times New Roman" w:hAnsi="Times New Roman"/>
          <w:color w:val="000000"/>
        </w:rPr>
      </w:pPr>
      <w:r w:rsidRPr="00ED6CD3">
        <w:rPr>
          <w:rFonts w:ascii="Times New Roman" w:hAnsi="Times New Roman"/>
        </w:rPr>
        <w:t xml:space="preserve">With respect to the vesting of executive stock options, the new regression </w:t>
      </w:r>
      <w:r>
        <w:rPr>
          <w:rFonts w:ascii="Times New Roman" w:hAnsi="Times New Roman"/>
        </w:rPr>
        <w:t>is</w:t>
      </w:r>
      <w:r w:rsidRPr="00ED6CD3">
        <w:rPr>
          <w:rFonts w:ascii="Times New Roman" w:hAnsi="Times New Roman"/>
        </w:rPr>
        <w:t xml:space="preserve"> </w:t>
      </w:r>
      <w:r w:rsidRPr="00F43774">
        <w:rPr>
          <w:rFonts w:ascii="Times New Roman" w:hAnsi="Times New Roman"/>
        </w:rPr>
        <w:t>presented in Table 9.</w:t>
      </w:r>
      <w:r w:rsidRPr="00ED6CD3">
        <w:rPr>
          <w:rFonts w:ascii="Times New Roman" w:hAnsi="Times New Roman"/>
        </w:rPr>
        <w:t xml:space="preserve"> The R square stays approximately the same as in the initial regression. However, the correlations of all independent variables with discretionary accruals are insignificant. While the PSO% in the initial regression has a significant correlation with discretionary accruals, the ∆PSO% appears to be insignificant associated with the change in discretionary accruals. The result of this regression implies that </w:t>
      </w:r>
      <w:r w:rsidRPr="00646A1E">
        <w:rPr>
          <w:rFonts w:ascii="Times New Roman" w:hAnsi="Times New Roman"/>
          <w:color w:val="000000"/>
        </w:rPr>
        <w:t>an increase in the performance vested stock options relative to the total performance stock option holdings of executives do not necessarily indicate that executives engage in more earnings management. This non-correlation could be explained by the fact that companies do not grant their executives with stock options each year. Therefore, not in each year executive stock options will vest. For instance, it can occur that 100,000 performance stock options vest in 2004 and 0 in 2005 which results in a change of -100,000. Despite the decrease in performance vested stock options, the level of earnings management in 2005 could stay approximately the same because executives could also have other incentives to manage earnings.</w:t>
      </w:r>
    </w:p>
    <w:p w:rsidR="00DC7B1E" w:rsidRPr="00ED6CD3" w:rsidRDefault="00DC7B1E" w:rsidP="00ED6CD3">
      <w:pPr>
        <w:spacing w:line="360" w:lineRule="auto"/>
        <w:contextualSpacing/>
        <w:jc w:val="both"/>
        <w:rPr>
          <w:rFonts w:ascii="Times New Roman" w:hAnsi="Times New Roman"/>
        </w:rPr>
      </w:pPr>
      <w:r w:rsidRPr="00646A1E">
        <w:rPr>
          <w:rFonts w:ascii="Times New Roman" w:hAnsi="Times New Roman"/>
          <w:color w:val="000000"/>
        </w:rPr>
        <w:t>When we examine the tolerance and VIF</w:t>
      </w:r>
      <w:r w:rsidRPr="00ED6CD3">
        <w:rPr>
          <w:rFonts w:ascii="Times New Roman" w:hAnsi="Times New Roman"/>
        </w:rPr>
        <w:t xml:space="preserve"> value of the independent variables of the </w:t>
      </w:r>
      <w:r w:rsidRPr="00F43774">
        <w:rPr>
          <w:rFonts w:ascii="Times New Roman" w:hAnsi="Times New Roman"/>
        </w:rPr>
        <w:t>regression, Table 9</w:t>
      </w:r>
      <w:r>
        <w:rPr>
          <w:rFonts w:ascii="Times New Roman" w:hAnsi="Times New Roman"/>
        </w:rPr>
        <w:t xml:space="preserve"> </w:t>
      </w:r>
      <w:r w:rsidRPr="00ED6CD3">
        <w:rPr>
          <w:rFonts w:ascii="Times New Roman" w:hAnsi="Times New Roman"/>
        </w:rPr>
        <w:t xml:space="preserve">do not show any irregularities. Only the VIF values of ∆TSO% and ∆MONEY_PSO are a fraction higher than other those of other independent variables. Although they do not cause severe multicollinearity, it might be interesting to examine the outcomes of the separation of the vested executive stock options relative to total stock options holdings by executives and the moneyness of vested executive stock options at the beginning of the relevant year. The results of those regressions are presented in </w:t>
      </w:r>
      <w:r>
        <w:rPr>
          <w:rFonts w:ascii="Times New Roman" w:hAnsi="Times New Roman"/>
        </w:rPr>
        <w:t>Appendix 13.</w:t>
      </w:r>
      <w:r w:rsidRPr="00ED6CD3">
        <w:rPr>
          <w:rFonts w:ascii="Times New Roman" w:hAnsi="Times New Roman"/>
          <w:color w:val="FF0000"/>
        </w:rPr>
        <w:t xml:space="preserve"> </w:t>
      </w:r>
      <w:r w:rsidRPr="00ED6CD3">
        <w:rPr>
          <w:rFonts w:ascii="Times New Roman" w:hAnsi="Times New Roman"/>
        </w:rPr>
        <w:t xml:space="preserve">The outcomes of the new regressions are consistent with those of the regression without the split up of the percentage vested stock options and their moneyness. None of the variables are significant correlated with the change in discretionary accruals. </w:t>
      </w:r>
    </w:p>
    <w:p w:rsidR="00DC7B1E" w:rsidRDefault="00DC7B1E" w:rsidP="00ED6CD3">
      <w:pPr>
        <w:spacing w:line="360" w:lineRule="auto"/>
        <w:contextualSpacing/>
        <w:jc w:val="both"/>
        <w:rPr>
          <w:rFonts w:ascii="Times New Roman" w:hAnsi="Times New Roman"/>
        </w:rPr>
      </w:pPr>
    </w:p>
    <w:p w:rsidR="00DC7B1E" w:rsidRPr="00962223" w:rsidRDefault="00DC7B1E" w:rsidP="00ED6CD3">
      <w:pPr>
        <w:spacing w:line="360" w:lineRule="auto"/>
        <w:contextualSpacing/>
        <w:jc w:val="both"/>
        <w:rPr>
          <w:b/>
        </w:rPr>
      </w:pPr>
      <w:r w:rsidRPr="00962223">
        <w:rPr>
          <w:b/>
        </w:rPr>
        <w:t>Table 9 Regression change stock option vesting</w:t>
      </w:r>
    </w:p>
    <w:tbl>
      <w:tblPr>
        <w:tblW w:w="5663" w:type="dxa"/>
        <w:tblInd w:w="53" w:type="dxa"/>
        <w:tblCellMar>
          <w:left w:w="70" w:type="dxa"/>
          <w:right w:w="70" w:type="dxa"/>
        </w:tblCellMar>
        <w:tblLook w:val="00A0"/>
      </w:tblPr>
      <w:tblGrid>
        <w:gridCol w:w="1577"/>
        <w:gridCol w:w="1110"/>
        <w:gridCol w:w="992"/>
        <w:gridCol w:w="1024"/>
        <w:gridCol w:w="960"/>
      </w:tblGrid>
      <w:tr w:rsidR="00DC7B1E" w:rsidRPr="00153DA9" w:rsidTr="00ED6CD3">
        <w:trPr>
          <w:trHeight w:val="300"/>
        </w:trPr>
        <w:tc>
          <w:tcPr>
            <w:tcW w:w="1577" w:type="dxa"/>
            <w:tcBorders>
              <w:bottom w:val="single" w:sz="4" w:space="0" w:color="auto"/>
              <w:right w:val="single" w:sz="4" w:space="0" w:color="auto"/>
            </w:tcBorders>
            <w:noWrap/>
            <w:vAlign w:val="bottom"/>
          </w:tcPr>
          <w:p w:rsidR="00DC7B1E" w:rsidRPr="00ED6CD3" w:rsidRDefault="00DC7B1E" w:rsidP="000735CB">
            <w:pPr>
              <w:spacing w:after="0" w:line="240" w:lineRule="auto"/>
              <w:rPr>
                <w:color w:val="000000"/>
                <w:sz w:val="20"/>
                <w:szCs w:val="20"/>
                <w:lang w:eastAsia="nl-NL"/>
              </w:rPr>
            </w:pPr>
            <w:r w:rsidRPr="00ED6CD3">
              <w:rPr>
                <w:color w:val="000000"/>
                <w:sz w:val="20"/>
                <w:szCs w:val="20"/>
                <w:lang w:eastAsia="nl-NL"/>
              </w:rPr>
              <w:t> </w:t>
            </w:r>
          </w:p>
        </w:tc>
        <w:tc>
          <w:tcPr>
            <w:tcW w:w="4086" w:type="dxa"/>
            <w:gridSpan w:val="4"/>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eastAsia="nl-NL"/>
              </w:rPr>
              <w:t>R square = 0.177</w:t>
            </w:r>
          </w:p>
        </w:tc>
      </w:tr>
      <w:tr w:rsidR="00DC7B1E" w:rsidRPr="00730D64" w:rsidTr="00ED6CD3">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b/>
                <w:color w:val="000000"/>
                <w:sz w:val="20"/>
                <w:szCs w:val="20"/>
                <w:lang w:eastAsia="nl-NL"/>
              </w:rPr>
            </w:pPr>
            <w:r w:rsidRPr="00ED6CD3">
              <w:rPr>
                <w:color w:val="000000"/>
                <w:sz w:val="20"/>
                <w:szCs w:val="20"/>
                <w:lang w:eastAsia="nl-NL"/>
              </w:rPr>
              <w:t> </w:t>
            </w:r>
            <w:r w:rsidRPr="00ED6CD3">
              <w:rPr>
                <w:b/>
                <w:color w:val="000000"/>
                <w:sz w:val="20"/>
                <w:szCs w:val="20"/>
                <w:lang w:eastAsia="nl-NL"/>
              </w:rPr>
              <w:t>DA</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eastAsia="nl-NL"/>
              </w:rPr>
              <w:t>Coefficient</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eastAsia="nl-NL"/>
              </w:rPr>
              <w:t>P-value</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eastAsia="nl-NL"/>
              </w:rPr>
              <w:t>Tolerance</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eastAsia="nl-NL"/>
              </w:rPr>
              <w:t>VIF</w:t>
            </w:r>
          </w:p>
        </w:tc>
      </w:tr>
      <w:tr w:rsidR="00DC7B1E" w:rsidRPr="00153DA9"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eastAsia="nl-NL"/>
              </w:rPr>
              <w:t>Intercept</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0.022</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0.106</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val="nl-NL" w:eastAsia="nl-NL"/>
              </w:rPr>
              <w:t xml:space="preserve">∆ </w:t>
            </w:r>
            <w:r w:rsidRPr="00ED6CD3">
              <w:rPr>
                <w:color w:val="000000"/>
                <w:sz w:val="20"/>
                <w:szCs w:val="20"/>
                <w:lang w:eastAsia="nl-NL"/>
              </w:rPr>
              <w:t>PSO%</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-0.032</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0.678</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0.909</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1.100</w:t>
            </w: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val="nl-NL" w:eastAsia="nl-NL"/>
              </w:rPr>
              <w:t xml:space="preserve">∆ </w:t>
            </w:r>
            <w:r w:rsidRPr="00ED6CD3">
              <w:rPr>
                <w:color w:val="000000"/>
                <w:sz w:val="20"/>
                <w:szCs w:val="20"/>
                <w:lang w:eastAsia="nl-NL"/>
              </w:rPr>
              <w:t>TSO%</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0.019</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0.747</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0.777</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1.287</w:t>
            </w: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val="nl-NL" w:eastAsia="nl-NL"/>
              </w:rPr>
              <w:t xml:space="preserve">∆ </w:t>
            </w:r>
            <w:r w:rsidRPr="00ED6CD3">
              <w:rPr>
                <w:color w:val="000000"/>
                <w:sz w:val="20"/>
                <w:szCs w:val="20"/>
                <w:lang w:eastAsia="nl-NL"/>
              </w:rPr>
              <w:t>MONEY_PSO</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3.317E-8</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0.097</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0.934</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1.070</w:t>
            </w: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val="nl-NL" w:eastAsia="nl-NL"/>
              </w:rPr>
            </w:pPr>
            <w:r w:rsidRPr="00ED6CD3">
              <w:rPr>
                <w:color w:val="000000"/>
                <w:sz w:val="20"/>
                <w:szCs w:val="20"/>
                <w:lang w:val="nl-NL" w:eastAsia="nl-NL"/>
              </w:rPr>
              <w:t>∆ MONEY_TSO</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-3.760</w:t>
            </w:r>
            <w:r w:rsidRPr="00ED6CD3">
              <w:rPr>
                <w:color w:val="000000"/>
                <w:sz w:val="20"/>
                <w:szCs w:val="20"/>
                <w:vertAlign w:val="superscript"/>
                <w:lang w:val="nl-NL" w:eastAsia="nl-NL"/>
              </w:rPr>
              <w:t>E</w:t>
            </w:r>
            <w:r w:rsidRPr="00ED6CD3">
              <w:rPr>
                <w:color w:val="000000"/>
                <w:sz w:val="20"/>
                <w:szCs w:val="20"/>
                <w:lang w:val="nl-NL" w:eastAsia="nl-NL"/>
              </w:rPr>
              <w:t>-7</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0.396</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0.820</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1.219</w:t>
            </w: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val="nl-NL" w:eastAsia="nl-NL"/>
              </w:rPr>
            </w:pPr>
            <w:r w:rsidRPr="00ED6CD3">
              <w:rPr>
                <w:color w:val="000000"/>
                <w:sz w:val="20"/>
                <w:szCs w:val="20"/>
                <w:lang w:val="nl-NL" w:eastAsia="nl-NL"/>
              </w:rPr>
              <w:t>∆ LEV</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0.311</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0.204</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0.896</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val="nl-NL" w:eastAsia="nl-NL"/>
              </w:rPr>
            </w:pPr>
            <w:r w:rsidRPr="00ED6CD3">
              <w:rPr>
                <w:color w:val="000000"/>
                <w:sz w:val="20"/>
                <w:szCs w:val="20"/>
                <w:lang w:val="nl-NL" w:eastAsia="nl-NL"/>
              </w:rPr>
              <w:t>1.116</w:t>
            </w: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val="nl-NL" w:eastAsia="nl-NL"/>
              </w:rPr>
            </w:pPr>
            <w:r w:rsidRPr="00ED6CD3">
              <w:rPr>
                <w:color w:val="000000"/>
                <w:sz w:val="20"/>
                <w:szCs w:val="20"/>
                <w:lang w:val="nl-NL" w:eastAsia="nl-NL"/>
              </w:rPr>
              <w:t>∆ GROWTH</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2.426E-11</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0.546</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0.894</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1.119</w:t>
            </w: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val="nl-NL" w:eastAsia="nl-NL"/>
              </w:rPr>
              <w:t xml:space="preserve">∆ </w:t>
            </w:r>
            <w:r w:rsidRPr="00ED6CD3">
              <w:rPr>
                <w:color w:val="000000"/>
                <w:sz w:val="20"/>
                <w:szCs w:val="20"/>
                <w:lang w:eastAsia="nl-NL"/>
              </w:rPr>
              <w:t>SIZE</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-2.017E-11</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0.498</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0.995</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1.047</w:t>
            </w:r>
          </w:p>
        </w:tc>
      </w:tr>
      <w:tr w:rsidR="00DC7B1E" w:rsidRPr="00730D64" w:rsidTr="00ED6CD3">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ED6CD3" w:rsidRDefault="00DC7B1E" w:rsidP="00ED6CD3">
            <w:pPr>
              <w:spacing w:after="0" w:line="240" w:lineRule="auto"/>
              <w:rPr>
                <w:color w:val="000000"/>
                <w:sz w:val="20"/>
                <w:szCs w:val="20"/>
                <w:lang w:eastAsia="nl-NL"/>
              </w:rPr>
            </w:pPr>
            <w:r w:rsidRPr="00ED6CD3">
              <w:rPr>
                <w:color w:val="000000"/>
                <w:sz w:val="20"/>
                <w:szCs w:val="20"/>
                <w:lang w:val="nl-NL" w:eastAsia="nl-NL"/>
              </w:rPr>
              <w:t xml:space="preserve">∆ </w:t>
            </w:r>
            <w:r w:rsidRPr="00ED6CD3">
              <w:rPr>
                <w:color w:val="000000"/>
                <w:sz w:val="20"/>
                <w:szCs w:val="20"/>
                <w:lang w:eastAsia="nl-NL"/>
              </w:rPr>
              <w:t>MTBV</w:t>
            </w:r>
          </w:p>
        </w:tc>
        <w:tc>
          <w:tcPr>
            <w:tcW w:w="1110"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0.001</w:t>
            </w:r>
          </w:p>
        </w:tc>
        <w:tc>
          <w:tcPr>
            <w:tcW w:w="992" w:type="dxa"/>
            <w:tcBorders>
              <w:top w:val="nil"/>
              <w:left w:val="nil"/>
              <w:bottom w:val="single" w:sz="4" w:space="0" w:color="auto"/>
              <w:right w:val="single" w:sz="4" w:space="0" w:color="auto"/>
            </w:tcBorders>
            <w:noWrap/>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0.000</w:t>
            </w:r>
          </w:p>
        </w:tc>
        <w:tc>
          <w:tcPr>
            <w:tcW w:w="1024"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0.978</w:t>
            </w:r>
          </w:p>
        </w:tc>
        <w:tc>
          <w:tcPr>
            <w:tcW w:w="960" w:type="dxa"/>
            <w:tcBorders>
              <w:top w:val="nil"/>
              <w:left w:val="nil"/>
              <w:bottom w:val="single" w:sz="4" w:space="0" w:color="auto"/>
              <w:right w:val="single" w:sz="4" w:space="0" w:color="auto"/>
            </w:tcBorders>
            <w:vAlign w:val="center"/>
          </w:tcPr>
          <w:p w:rsidR="00DC7B1E" w:rsidRPr="00ED6CD3" w:rsidRDefault="00DC7B1E" w:rsidP="00ED6CD3">
            <w:pPr>
              <w:spacing w:after="0" w:line="240" w:lineRule="auto"/>
              <w:jc w:val="right"/>
              <w:rPr>
                <w:color w:val="000000"/>
                <w:sz w:val="20"/>
                <w:szCs w:val="20"/>
                <w:lang w:eastAsia="nl-NL"/>
              </w:rPr>
            </w:pPr>
            <w:r w:rsidRPr="00ED6CD3">
              <w:rPr>
                <w:color w:val="000000"/>
                <w:sz w:val="20"/>
                <w:szCs w:val="20"/>
                <w:lang w:eastAsia="nl-NL"/>
              </w:rPr>
              <w:t>1.022</w:t>
            </w:r>
          </w:p>
        </w:tc>
      </w:tr>
    </w:tbl>
    <w:p w:rsidR="00DC7B1E" w:rsidRPr="00ED6CD3" w:rsidRDefault="00DC7B1E" w:rsidP="00ED6CD3">
      <w:pPr>
        <w:spacing w:line="360" w:lineRule="auto"/>
        <w:contextualSpacing/>
        <w:jc w:val="both"/>
        <w:rPr>
          <w:rFonts w:ascii="Times New Roman" w:hAnsi="Times New Roman"/>
        </w:rPr>
      </w:pPr>
      <w:r>
        <w:rPr>
          <w:rFonts w:ascii="Arial" w:hAnsi="Arial" w:cs="Arial"/>
        </w:rPr>
        <w:t xml:space="preserve"> </w:t>
      </w:r>
    </w:p>
    <w:p w:rsidR="00DC7B1E" w:rsidRPr="00ED6CD3"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Pr="00421BFC" w:rsidRDefault="00DC7B1E" w:rsidP="00421BFC">
      <w:pPr>
        <w:pStyle w:val="Heading1"/>
        <w:spacing w:before="60" w:line="360" w:lineRule="auto"/>
        <w:contextualSpacing/>
        <w:rPr>
          <w:color w:val="2A62A6"/>
        </w:rPr>
      </w:pPr>
      <w:bookmarkStart w:id="60" w:name="_Toc234568000"/>
      <w:r w:rsidRPr="00421BFC">
        <w:rPr>
          <w:color w:val="2A62A6"/>
        </w:rPr>
        <w:t>6</w:t>
      </w:r>
      <w:r w:rsidRPr="00421BFC">
        <w:rPr>
          <w:color w:val="2A62A6"/>
        </w:rPr>
        <w:tab/>
        <w:t>Conclusion</w:t>
      </w:r>
      <w:bookmarkEnd w:id="60"/>
    </w:p>
    <w:p w:rsidR="00DC7B1E" w:rsidRDefault="00DC7B1E" w:rsidP="00ED6CD3">
      <w:pPr>
        <w:autoSpaceDE w:val="0"/>
        <w:autoSpaceDN w:val="0"/>
        <w:adjustRightInd w:val="0"/>
        <w:spacing w:line="360" w:lineRule="auto"/>
        <w:contextualSpacing/>
        <w:jc w:val="both"/>
        <w:rPr>
          <w:rFonts w:ascii="Times New Roman" w:hAnsi="Times New Roman"/>
        </w:rPr>
      </w:pPr>
      <w:r>
        <w:rPr>
          <w:noProof/>
        </w:rPr>
        <w:pict>
          <v:shape id="_x0000_s1037" type="#_x0000_t32" style="position:absolute;left:0;text-align:left;margin-left:-.05pt;margin-top:11.5pt;width:451.8pt;height:0;z-index:251660800" o:connectortype="straight"/>
        </w:pict>
      </w:r>
    </w:p>
    <w:p w:rsidR="00DC7B1E" w:rsidRPr="00ED6CD3" w:rsidRDefault="00DC7B1E" w:rsidP="00ED6CD3">
      <w:pPr>
        <w:autoSpaceDE w:val="0"/>
        <w:autoSpaceDN w:val="0"/>
        <w:adjustRightInd w:val="0"/>
        <w:spacing w:line="360" w:lineRule="auto"/>
        <w:contextualSpacing/>
        <w:jc w:val="both"/>
        <w:rPr>
          <w:rFonts w:ascii="Times New Roman" w:hAnsi="Times New Roman"/>
        </w:rPr>
      </w:pPr>
    </w:p>
    <w:p w:rsidR="00DC7B1E" w:rsidRPr="00ED6CD3" w:rsidRDefault="00DC7B1E" w:rsidP="00ED6CD3">
      <w:pPr>
        <w:autoSpaceDE w:val="0"/>
        <w:autoSpaceDN w:val="0"/>
        <w:adjustRightInd w:val="0"/>
        <w:spacing w:line="360" w:lineRule="auto"/>
        <w:contextualSpacing/>
        <w:jc w:val="both"/>
        <w:rPr>
          <w:rFonts w:ascii="Times New Roman" w:hAnsi="Times New Roman"/>
        </w:rPr>
      </w:pPr>
      <w:r w:rsidRPr="00ED6CD3">
        <w:rPr>
          <w:rFonts w:ascii="Times New Roman" w:hAnsi="Times New Roman"/>
        </w:rPr>
        <w:t xml:space="preserve">The objective of this research is to gain insight into the relation between the exercise of executive stock options and earnings management. Also the relation of the vesting of executive stock options and earnings management is reflected on in this study. Based on prior researches five hypotheses have been developed to provide a comprehensive answer to the research question of this study: </w:t>
      </w:r>
      <w:r w:rsidRPr="00ED6CD3">
        <w:rPr>
          <w:rFonts w:ascii="Times New Roman" w:hAnsi="Times New Roman"/>
          <w:i/>
        </w:rPr>
        <w:t>“Do executives manipulate earnings with the intent to increase their option payout and to ensure that their options will vest?”</w:t>
      </w:r>
      <w:r w:rsidRPr="00ED6CD3">
        <w:rPr>
          <w:rFonts w:ascii="Times New Roman" w:hAnsi="Times New Roman"/>
        </w:rPr>
        <w:t xml:space="preserve"> </w:t>
      </w:r>
    </w:p>
    <w:p w:rsidR="00DC7B1E" w:rsidRPr="00ED6CD3" w:rsidRDefault="00DC7B1E" w:rsidP="00ED6CD3">
      <w:pPr>
        <w:autoSpaceDE w:val="0"/>
        <w:autoSpaceDN w:val="0"/>
        <w:adjustRightInd w:val="0"/>
        <w:spacing w:line="360" w:lineRule="auto"/>
        <w:contextualSpacing/>
        <w:jc w:val="both"/>
        <w:rPr>
          <w:rFonts w:ascii="Times New Roman" w:hAnsi="Times New Roman"/>
        </w:rPr>
      </w:pPr>
      <w:r w:rsidRPr="00ED6CD3">
        <w:rPr>
          <w:rFonts w:ascii="Times New Roman" w:hAnsi="Times New Roman"/>
        </w:rPr>
        <w:t>Several empirical analyses have been conducted to test the hypotheses of which the results are described in the previous chapter. This chapter will draw conclusions for each hypothesis and discuss the limitations of this research. Finally, recommendations will be provided for further research.</w:t>
      </w:r>
    </w:p>
    <w:p w:rsidR="00DC7B1E" w:rsidRPr="00ED6CD3" w:rsidRDefault="00DC7B1E" w:rsidP="00ED6CD3">
      <w:pPr>
        <w:autoSpaceDE w:val="0"/>
        <w:autoSpaceDN w:val="0"/>
        <w:adjustRightInd w:val="0"/>
        <w:spacing w:line="360" w:lineRule="auto"/>
        <w:contextualSpacing/>
        <w:jc w:val="both"/>
        <w:rPr>
          <w:rFonts w:ascii="Times New Roman" w:hAnsi="Times New Roman"/>
        </w:rPr>
      </w:pPr>
    </w:p>
    <w:p w:rsidR="00DC7B1E" w:rsidRPr="00A84A74" w:rsidRDefault="00DC7B1E" w:rsidP="00A84A74">
      <w:pPr>
        <w:pStyle w:val="Heading2"/>
        <w:spacing w:before="60" w:line="360" w:lineRule="auto"/>
        <w:contextualSpacing/>
        <w:rPr>
          <w:i w:val="0"/>
          <w:sz w:val="24"/>
          <w:szCs w:val="24"/>
        </w:rPr>
      </w:pPr>
      <w:bookmarkStart w:id="61" w:name="_Toc234568001"/>
      <w:r w:rsidRPr="00A84A74">
        <w:rPr>
          <w:i w:val="0"/>
          <w:sz w:val="24"/>
          <w:szCs w:val="24"/>
        </w:rPr>
        <w:t>6.1</w:t>
      </w:r>
      <w:r w:rsidRPr="00A84A74">
        <w:rPr>
          <w:i w:val="0"/>
          <w:sz w:val="24"/>
          <w:szCs w:val="24"/>
        </w:rPr>
        <w:tab/>
      </w:r>
      <w:bookmarkEnd w:id="61"/>
      <w:r>
        <w:rPr>
          <w:i w:val="0"/>
          <w:sz w:val="24"/>
          <w:szCs w:val="24"/>
        </w:rPr>
        <w:t>Hypotheses answering</w:t>
      </w:r>
    </w:p>
    <w:p w:rsidR="00DC7B1E" w:rsidRPr="00ED6CD3" w:rsidRDefault="00DC7B1E" w:rsidP="00A84A74">
      <w:pPr>
        <w:spacing w:after="0"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62" w:name="_Toc234568002"/>
      <w:r w:rsidRPr="00A84A74">
        <w:rPr>
          <w:i/>
          <w:sz w:val="22"/>
          <w:szCs w:val="22"/>
        </w:rPr>
        <w:t>6.1.1</w:t>
      </w:r>
      <w:r w:rsidRPr="00A84A74">
        <w:rPr>
          <w:i/>
          <w:sz w:val="22"/>
          <w:szCs w:val="22"/>
        </w:rPr>
        <w:tab/>
        <w:t>Hypothesis 1</w:t>
      </w:r>
      <w:bookmarkEnd w:id="62"/>
    </w:p>
    <w:p w:rsidR="00DC7B1E" w:rsidRPr="00ED6CD3"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r w:rsidRPr="00ED6CD3">
        <w:rPr>
          <w:rFonts w:ascii="Times New Roman" w:hAnsi="Times New Roman"/>
        </w:rPr>
        <w:t>The first hypothesis that is being</w:t>
      </w:r>
      <w:r>
        <w:rPr>
          <w:rFonts w:ascii="Times New Roman" w:hAnsi="Times New Roman"/>
        </w:rPr>
        <w:t xml:space="preserve"> tested</w:t>
      </w:r>
      <w:r w:rsidRPr="00ED6CD3">
        <w:rPr>
          <w:rFonts w:ascii="Times New Roman" w:hAnsi="Times New Roman"/>
        </w:rPr>
        <w:t xml:space="preserve"> is:</w:t>
      </w:r>
      <w:r w:rsidRPr="00ED6CD3">
        <w:rPr>
          <w:rFonts w:ascii="Times New Roman" w:hAnsi="Times New Roman"/>
          <w:i/>
        </w:rPr>
        <w:t xml:space="preserve"> Earnings management is associated with the function(s) of the exercising executive(s). </w:t>
      </w:r>
      <w:r w:rsidRPr="00ED6CD3">
        <w:rPr>
          <w:rFonts w:ascii="Times New Roman" w:hAnsi="Times New Roman"/>
        </w:rPr>
        <w:t xml:space="preserve">This hypothesis can neither be accepted nor rejected. From the Bonferroni test and the regression analyses in both paragraph 5.1.3 and 5.3.1 can be concluded that only when the CEO, CFO and other executives exercise their stock options in the same year the discretionary accruals are significantly higher than those when none of the executives exercise their stock options. This implies that only when all kind of executives exercise their options during the same year, they are able to manage earnings effectively. When other combinations of executives exercise their executive stock options, the discretionary accruals do not significantly differ from the case when none of the executives exercise their options. At the first sight, this result seems to be reasonable because if all executives exercise their stock options in the same year, the possibility exists that the executives collaborate to manage earnings upwards to increase their option payout. However, the issue is that the association of the function combination CEO, CFO and other executives with discretionary accruals as turned out in the regression analysis is rather weak. Additionally, the results do not imply that the level of earnings management </w:t>
      </w:r>
      <w:r>
        <w:rPr>
          <w:rFonts w:ascii="Times New Roman" w:hAnsi="Times New Roman"/>
        </w:rPr>
        <w:t xml:space="preserve">of </w:t>
      </w:r>
      <w:r w:rsidRPr="00ED6CD3">
        <w:rPr>
          <w:rFonts w:ascii="Times New Roman" w:hAnsi="Times New Roman"/>
        </w:rPr>
        <w:t xml:space="preserve">a different combination of exercising executives differ significantly from that of the CEO, CFO and other executives. Therefore, with no certainty can be concluded that the level of earnings management is associated with the function of the exercising executive(s). The possible explanation for the fact that no clear-cut correlation has been found is </w:t>
      </w:r>
      <w:r>
        <w:rPr>
          <w:rFonts w:ascii="Times New Roman" w:hAnsi="Times New Roman"/>
        </w:rPr>
        <w:t xml:space="preserve">the </w:t>
      </w:r>
      <w:r w:rsidRPr="00ED6CD3">
        <w:rPr>
          <w:rFonts w:ascii="Times New Roman" w:hAnsi="Times New Roman"/>
        </w:rPr>
        <w:t>fact that the group of none exercising executives predominate the combinations of executives that do exercise their stock options. The observations in those function combinations just vary from 1</w:t>
      </w:r>
      <w:r>
        <w:rPr>
          <w:rFonts w:ascii="Times New Roman" w:hAnsi="Times New Roman"/>
        </w:rPr>
        <w:t>7</w:t>
      </w:r>
      <w:r w:rsidRPr="00ED6CD3">
        <w:rPr>
          <w:rFonts w:ascii="Times New Roman" w:hAnsi="Times New Roman"/>
        </w:rPr>
        <w:t xml:space="preserve"> to 3</w:t>
      </w:r>
      <w:r>
        <w:rPr>
          <w:rFonts w:ascii="Times New Roman" w:hAnsi="Times New Roman"/>
        </w:rPr>
        <w:t>6 as shown in Table 2b</w:t>
      </w:r>
      <w:r w:rsidRPr="00ED6CD3">
        <w:rPr>
          <w:rFonts w:ascii="Times New Roman" w:hAnsi="Times New Roman"/>
        </w:rPr>
        <w:t xml:space="preserve">. </w:t>
      </w:r>
      <w:r>
        <w:rPr>
          <w:rFonts w:ascii="Times New Roman" w:hAnsi="Times New Roman"/>
        </w:rPr>
        <w:t xml:space="preserve">This problem would not have occurred if only the CEOs stock option exercises are investigated like in prior researches but those researches do not provide insights into the opportunistic behavior of other executives to maximize their option payout. </w:t>
      </w:r>
    </w:p>
    <w:p w:rsidR="00DC7B1E" w:rsidRDefault="00DC7B1E" w:rsidP="00ED6CD3">
      <w:pPr>
        <w:spacing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63" w:name="_Toc234568003"/>
      <w:r w:rsidRPr="00A84A74">
        <w:rPr>
          <w:i/>
          <w:sz w:val="22"/>
          <w:szCs w:val="22"/>
        </w:rPr>
        <w:t>6.1.2</w:t>
      </w:r>
      <w:r w:rsidRPr="00A84A74">
        <w:rPr>
          <w:i/>
          <w:sz w:val="22"/>
          <w:szCs w:val="22"/>
        </w:rPr>
        <w:tab/>
        <w:t>Hypothesis 2</w:t>
      </w:r>
      <w:bookmarkEnd w:id="63"/>
      <w:r w:rsidRPr="00A84A74">
        <w:rPr>
          <w:i/>
          <w:sz w:val="22"/>
          <w:szCs w:val="22"/>
        </w:rPr>
        <w:t xml:space="preserve"> </w:t>
      </w:r>
    </w:p>
    <w:p w:rsidR="00DC7B1E" w:rsidRPr="00ED6CD3" w:rsidRDefault="00DC7B1E" w:rsidP="00ED6CD3">
      <w:pPr>
        <w:spacing w:line="360" w:lineRule="auto"/>
        <w:contextualSpacing/>
        <w:jc w:val="both"/>
        <w:rPr>
          <w:rFonts w:ascii="Times New Roman" w:hAnsi="Times New Roman"/>
        </w:rPr>
      </w:pPr>
    </w:p>
    <w:p w:rsidR="00DC7B1E" w:rsidRPr="00646A1E" w:rsidRDefault="00DC7B1E" w:rsidP="00ED6CD3">
      <w:pPr>
        <w:spacing w:line="360" w:lineRule="auto"/>
        <w:contextualSpacing/>
        <w:jc w:val="both"/>
        <w:rPr>
          <w:rFonts w:ascii="Times New Roman" w:hAnsi="Times New Roman"/>
          <w:color w:val="000000"/>
        </w:rPr>
      </w:pPr>
      <w:r w:rsidRPr="00ED6CD3">
        <w:rPr>
          <w:rFonts w:ascii="Times New Roman" w:hAnsi="Times New Roman"/>
        </w:rPr>
        <w:t>The second hypothesis “</w:t>
      </w:r>
      <w:r w:rsidRPr="00ED6CD3">
        <w:rPr>
          <w:rFonts w:ascii="Times New Roman" w:hAnsi="Times New Roman"/>
          <w:i/>
        </w:rPr>
        <w:t>Earnings management is positively correlated with the number of options exercised by all executives during the year”</w:t>
      </w:r>
      <w:r w:rsidRPr="00ED6CD3">
        <w:rPr>
          <w:rFonts w:ascii="Times New Roman" w:hAnsi="Times New Roman"/>
        </w:rPr>
        <w:t xml:space="preserve"> is rejected based on the research results. The Pearson correlation as well as both the regression with and without the separation of the variables options and gain in section 5.1 reveals that there are no indications for a significant relation between the number of options that are exercised by the executives and income increasing discretionary accruals. Also the regression corrected for a possible distortion in the estimated parameters does not change the results. Additionally, the outcome of the final regression that investigates whether the change in the number of exercised options with the change in discretionary accruals of year t relative to year t-1 does not </w:t>
      </w:r>
      <w:r w:rsidRPr="00646A1E">
        <w:rPr>
          <w:rFonts w:ascii="Times New Roman" w:hAnsi="Times New Roman"/>
          <w:color w:val="000000"/>
        </w:rPr>
        <w:t xml:space="preserve">support the hypothesis too. All those findings suggest that executives do not manage earnings upwards when they exercise their executive stock options and that they do not engage more in manage earnings when a higher number of options are exercised by the executives during the year. These results are not in conformity with those of Bergstresser and Philippon (2006) and Bartov and Mohanram (2004). However, already discussed in paragraph 5.1.3, those studies are not entirely comparable with this study as they use a different measure for option exercises. </w:t>
      </w:r>
    </w:p>
    <w:p w:rsidR="00DC7B1E" w:rsidRDefault="00DC7B1E" w:rsidP="00BC41BB">
      <w:pPr>
        <w:spacing w:line="360" w:lineRule="auto"/>
        <w:contextualSpacing/>
        <w:jc w:val="both"/>
        <w:rPr>
          <w:rFonts w:ascii="Times New Roman" w:hAnsi="Times New Roman"/>
        </w:rPr>
      </w:pPr>
      <w:r w:rsidRPr="00646A1E">
        <w:rPr>
          <w:rFonts w:ascii="Times New Roman" w:hAnsi="Times New Roman"/>
          <w:color w:val="000000"/>
        </w:rPr>
        <w:t>The reason</w:t>
      </w:r>
      <w:r w:rsidRPr="00190D80">
        <w:rPr>
          <w:rFonts w:ascii="Times New Roman" w:hAnsi="Times New Roman"/>
        </w:rPr>
        <w:t xml:space="preserve"> </w:t>
      </w:r>
      <w:r>
        <w:rPr>
          <w:rFonts w:ascii="Times New Roman" w:hAnsi="Times New Roman"/>
        </w:rPr>
        <w:t xml:space="preserve">that the number of exercised options is not significantly correlated with discretionary in accruals in this study could </w:t>
      </w:r>
      <w:r w:rsidRPr="00190D80">
        <w:rPr>
          <w:rFonts w:ascii="Times New Roman" w:hAnsi="Times New Roman"/>
        </w:rPr>
        <w:t>not be explained</w:t>
      </w:r>
      <w:r w:rsidRPr="00ED6CD3">
        <w:rPr>
          <w:rFonts w:ascii="Times New Roman" w:hAnsi="Times New Roman"/>
        </w:rPr>
        <w:t xml:space="preserve"> by </w:t>
      </w:r>
      <w:r>
        <w:rPr>
          <w:rFonts w:ascii="Times New Roman" w:hAnsi="Times New Roman"/>
        </w:rPr>
        <w:t xml:space="preserve">outliers and </w:t>
      </w:r>
      <w:r w:rsidRPr="00ED6CD3">
        <w:rPr>
          <w:rFonts w:ascii="Times New Roman" w:hAnsi="Times New Roman"/>
        </w:rPr>
        <w:t xml:space="preserve">multicollinearity that could distort the outcome of the regression. </w:t>
      </w:r>
      <w:r>
        <w:rPr>
          <w:rFonts w:ascii="Times New Roman" w:hAnsi="Times New Roman"/>
        </w:rPr>
        <w:t xml:space="preserve">A possible reason for the non-correlation is </w:t>
      </w:r>
      <w:r w:rsidRPr="00ED6CD3">
        <w:rPr>
          <w:rFonts w:ascii="Times New Roman" w:hAnsi="Times New Roman"/>
        </w:rPr>
        <w:t xml:space="preserve">the </w:t>
      </w:r>
      <w:r>
        <w:rPr>
          <w:rFonts w:ascii="Times New Roman" w:hAnsi="Times New Roman"/>
        </w:rPr>
        <w:t xml:space="preserve">small </w:t>
      </w:r>
      <w:r w:rsidRPr="00ED6CD3">
        <w:rPr>
          <w:rFonts w:ascii="Times New Roman" w:hAnsi="Times New Roman"/>
        </w:rPr>
        <w:t xml:space="preserve">sample size. Although the number of observations in this research is not very small, compared to the sample sizes in prior researches it does. For instance, the sample size of study by Bergstresser and Philippon (2006) comprises of more than 4000 observations while this research is based on nearly 300 observations. </w:t>
      </w:r>
      <w:r>
        <w:rPr>
          <w:rFonts w:ascii="Times New Roman" w:hAnsi="Times New Roman"/>
        </w:rPr>
        <w:t xml:space="preserve">The low number of observations in this research is explained by the shorter investigation period and the high number of companies that were eliminated because of missing financial and compensation data. </w:t>
      </w:r>
      <w:r w:rsidRPr="00ED6CD3">
        <w:rPr>
          <w:rFonts w:ascii="Times New Roman" w:hAnsi="Times New Roman"/>
        </w:rPr>
        <w:t xml:space="preserve">Another possible explanation for the non-correlation between the number of exercised stock options and earnings management as found in this research is the fact that the majority of the prior researches are based on a US sample. Stock options seem to play a more important role in executive pay in firms in the United States than in the UK. Firms in the US compensate their executives with a larger portion of stock options relative to the total compensation package than firms in the UK. </w:t>
      </w:r>
    </w:p>
    <w:p w:rsidR="00DC7B1E" w:rsidRDefault="00DC7B1E" w:rsidP="00ED6CD3">
      <w:pPr>
        <w:spacing w:line="360" w:lineRule="auto"/>
        <w:contextualSpacing/>
        <w:jc w:val="both"/>
        <w:rPr>
          <w:rFonts w:ascii="Times New Roman" w:hAnsi="Times New Roman"/>
        </w:rPr>
      </w:pPr>
    </w:p>
    <w:p w:rsidR="00DC7B1E" w:rsidRDefault="00DC7B1E" w:rsidP="00ED6CD3">
      <w:pPr>
        <w:spacing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64" w:name="_Toc234568004"/>
      <w:r w:rsidRPr="00A84A74">
        <w:rPr>
          <w:i/>
          <w:sz w:val="22"/>
          <w:szCs w:val="22"/>
        </w:rPr>
        <w:t>6.1.3</w:t>
      </w:r>
      <w:r w:rsidRPr="00A84A74">
        <w:rPr>
          <w:i/>
          <w:sz w:val="22"/>
          <w:szCs w:val="22"/>
        </w:rPr>
        <w:tab/>
        <w:t>Hypothesis 3</w:t>
      </w:r>
      <w:bookmarkEnd w:id="64"/>
    </w:p>
    <w:p w:rsidR="00DC7B1E" w:rsidRPr="009150C2" w:rsidRDefault="00DC7B1E" w:rsidP="00336D38">
      <w:pPr>
        <w:spacing w:line="360" w:lineRule="auto"/>
        <w:contextualSpacing/>
        <w:jc w:val="both"/>
        <w:rPr>
          <w:rFonts w:ascii="Arial" w:hAnsi="Arial" w:cs="Arial"/>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 xml:space="preserve">The third hypothesis that has been tested is </w:t>
      </w:r>
      <w:r w:rsidRPr="00ED6CD3">
        <w:rPr>
          <w:rFonts w:ascii="Times New Roman" w:hAnsi="Times New Roman"/>
          <w:i/>
        </w:rPr>
        <w:t>“Earnings management is positively correlated with the aggregate gain resulting from the option exercises by all executives during the year.”</w:t>
      </w:r>
      <w:r w:rsidRPr="00ED6CD3">
        <w:rPr>
          <w:rFonts w:ascii="Times New Roman" w:hAnsi="Times New Roman"/>
        </w:rPr>
        <w:t xml:space="preserve"> The research method to investigate this correlation is equal to that of the second hypothesis. All tests that have been conducted are described in the previous paragraph. Similar to the correlation between options and earnings management, this hypothesis is also rejected on the ground that the various analyses that have been conducted do not provide any evidence for the relationship between the gain from option exercises and earnings management. Also the replacement of the absolute value of the variables for the change between year t and year t-1 do not show a significant correlation. These findings are not in accordance with my expectations since it seems to be logical that executives will engage in earnings management to enhance their compensation. The results suggest that executives do not manage earnings upwards to increase the gain from exercise and that they did not engage more in earnings management when they obtained higher gains. The possible reasons that no significant association has been found are the same as described in the previous paragraph. </w:t>
      </w:r>
    </w:p>
    <w:p w:rsidR="00DC7B1E" w:rsidRPr="00ED6CD3" w:rsidRDefault="00DC7B1E" w:rsidP="00ED6CD3">
      <w:pPr>
        <w:spacing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65" w:name="_Toc234568005"/>
      <w:r w:rsidRPr="00A84A74">
        <w:rPr>
          <w:i/>
          <w:sz w:val="22"/>
          <w:szCs w:val="22"/>
        </w:rPr>
        <w:t>6.1.4</w:t>
      </w:r>
      <w:r w:rsidRPr="00A84A74">
        <w:rPr>
          <w:i/>
          <w:sz w:val="22"/>
          <w:szCs w:val="22"/>
        </w:rPr>
        <w:tab/>
        <w:t>Hypothesis 4</w:t>
      </w:r>
      <w:bookmarkEnd w:id="65"/>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7C0CAD">
      <w:pPr>
        <w:spacing w:line="360" w:lineRule="auto"/>
        <w:contextualSpacing/>
        <w:jc w:val="both"/>
        <w:rPr>
          <w:rFonts w:ascii="Times New Roman" w:hAnsi="Times New Roman"/>
        </w:rPr>
      </w:pPr>
      <w:r w:rsidRPr="00ED6CD3">
        <w:rPr>
          <w:rFonts w:ascii="Times New Roman" w:hAnsi="Times New Roman"/>
        </w:rPr>
        <w:t xml:space="preserve">The fourth hypothesis </w:t>
      </w:r>
      <w:r w:rsidRPr="00ED6CD3">
        <w:rPr>
          <w:rFonts w:ascii="Times New Roman" w:hAnsi="Times New Roman"/>
          <w:i/>
        </w:rPr>
        <w:t>“Earnings management in vesting years is positively related with the number of executive stock options that become exercisable (vest) relative to the total number of executive stock options that executives hold at the beginning of the vesting year”</w:t>
      </w:r>
      <w:r w:rsidRPr="00ED6CD3">
        <w:rPr>
          <w:rFonts w:ascii="Times New Roman" w:hAnsi="Times New Roman"/>
        </w:rPr>
        <w:t xml:space="preserve"> can neither be rejected nor accepted. The regression based on absolute values of the variables show</w:t>
      </w:r>
      <w:r>
        <w:rPr>
          <w:rFonts w:ascii="Times New Roman" w:hAnsi="Times New Roman"/>
        </w:rPr>
        <w:t>s</w:t>
      </w:r>
      <w:r w:rsidRPr="00ED6CD3">
        <w:rPr>
          <w:rFonts w:ascii="Times New Roman" w:hAnsi="Times New Roman"/>
        </w:rPr>
        <w:t xml:space="preserve"> that a significant correlation exist</w:t>
      </w:r>
      <w:r>
        <w:rPr>
          <w:rFonts w:ascii="Times New Roman" w:hAnsi="Times New Roman"/>
        </w:rPr>
        <w:t>s</w:t>
      </w:r>
      <w:r w:rsidRPr="00ED6CD3">
        <w:rPr>
          <w:rFonts w:ascii="Times New Roman" w:hAnsi="Times New Roman"/>
        </w:rPr>
        <w:t xml:space="preserve"> between the performance vested stock options relative to the total </w:t>
      </w:r>
      <w:r>
        <w:rPr>
          <w:rFonts w:ascii="Times New Roman" w:hAnsi="Times New Roman"/>
        </w:rPr>
        <w:t xml:space="preserve">performance </w:t>
      </w:r>
      <w:r w:rsidRPr="00ED6CD3">
        <w:rPr>
          <w:rFonts w:ascii="Times New Roman" w:hAnsi="Times New Roman"/>
        </w:rPr>
        <w:t xml:space="preserve">stock option holdings at the beginning of the vesting year and income increasing discretionary accruals. The split up of the PSO% and TSO% with the moneyness of the PSO and TSO do not affect the significance of this correlation. On the contrary the portion of traditional stock options that vest during the year is not found to be significant correlated with income increasing discretionary accruals. These findings are plausible </w:t>
      </w:r>
      <w:r w:rsidRPr="00646A1E">
        <w:rPr>
          <w:rFonts w:ascii="Times New Roman" w:hAnsi="Times New Roman"/>
          <w:color w:val="000000"/>
        </w:rPr>
        <w:t>since the compensation packages of executives comprise more of performance stock options than traditional stock options. About 90% of the FTSE 250 non-financial companies have performance criteria attached to the stock options schemes in 2003(Kuang and Buijs, 2006, cited in Kuang, 2007, 2). Moreover, stock options to which performance criteria are attached create more incentives to manage earnings</w:t>
      </w:r>
      <w:r w:rsidRPr="00ED6CD3">
        <w:rPr>
          <w:rFonts w:ascii="Times New Roman" w:hAnsi="Times New Roman"/>
        </w:rPr>
        <w:t xml:space="preserve"> because those stock options will lapse if the executives do not meet those criteria. This pressure to manage earnings upwards to let traditional stock options vest is not present as they do vest anyway (except for the case that the firm changes its policy concerning those stock options). </w:t>
      </w:r>
    </w:p>
    <w:p w:rsidR="00DC7B1E" w:rsidRDefault="00DC7B1E" w:rsidP="00ED6CD3">
      <w:pPr>
        <w:spacing w:line="360" w:lineRule="auto"/>
        <w:contextualSpacing/>
        <w:jc w:val="both"/>
        <w:rPr>
          <w:rFonts w:ascii="Times New Roman" w:hAnsi="Times New Roman"/>
        </w:rPr>
      </w:pPr>
      <w:r w:rsidRPr="00ED6CD3">
        <w:rPr>
          <w:rFonts w:ascii="Times New Roman" w:hAnsi="Times New Roman"/>
        </w:rPr>
        <w:t xml:space="preserve">However, when the absolute values of the variables are replaced by the change of the variables on year t relative to year t-1, the regression shows different results. No evidences are provided that the change in the percentage performance vested stock options is significantly associated with the change in discretionary accruals. This implies that an increase in the portion of performance vested stock options relative to the executives’ total stock options holdings do not induce executives to engage more in earnings management. This outcome is in contrast with the prior findings. Therefore, with no certainty a conclusion can be drawn concerning the question whether the percentage vested stock options is indeed correlated with earnings management. </w:t>
      </w:r>
    </w:p>
    <w:p w:rsidR="00DC7B1E" w:rsidRPr="00ED6CD3" w:rsidRDefault="00DC7B1E" w:rsidP="00ED6CD3">
      <w:pPr>
        <w:spacing w:line="360" w:lineRule="auto"/>
        <w:contextualSpacing/>
        <w:jc w:val="both"/>
        <w:rPr>
          <w:rFonts w:ascii="Times New Roman" w:hAnsi="Times New Roman"/>
        </w:rPr>
      </w:pPr>
    </w:p>
    <w:p w:rsidR="00DC7B1E" w:rsidRPr="00A84A74" w:rsidRDefault="00DC7B1E" w:rsidP="00A84A74">
      <w:pPr>
        <w:pStyle w:val="Heading3"/>
        <w:spacing w:before="60" w:line="360" w:lineRule="auto"/>
        <w:contextualSpacing/>
        <w:rPr>
          <w:i/>
          <w:sz w:val="22"/>
          <w:szCs w:val="22"/>
        </w:rPr>
      </w:pPr>
      <w:bookmarkStart w:id="66" w:name="_Toc234568006"/>
      <w:r w:rsidRPr="00A84A74">
        <w:rPr>
          <w:i/>
          <w:sz w:val="22"/>
          <w:szCs w:val="22"/>
        </w:rPr>
        <w:t>6.1.5</w:t>
      </w:r>
      <w:r w:rsidRPr="00A84A74">
        <w:rPr>
          <w:i/>
          <w:sz w:val="22"/>
          <w:szCs w:val="22"/>
        </w:rPr>
        <w:tab/>
        <w:t>Hypothesis 5</w:t>
      </w:r>
      <w:bookmarkEnd w:id="66"/>
    </w:p>
    <w:p w:rsidR="00DC7B1E" w:rsidRPr="00ED6CD3" w:rsidRDefault="00DC7B1E" w:rsidP="00ED6CD3">
      <w:pPr>
        <w:spacing w:line="360" w:lineRule="auto"/>
        <w:contextualSpacing/>
        <w:jc w:val="both"/>
        <w:rPr>
          <w:rFonts w:ascii="Times New Roman" w:hAnsi="Times New Roman"/>
        </w:rPr>
      </w:pPr>
    </w:p>
    <w:p w:rsidR="00DC7B1E" w:rsidRPr="00646A1E" w:rsidRDefault="00DC7B1E" w:rsidP="00ED6CD3">
      <w:pPr>
        <w:spacing w:line="360" w:lineRule="auto"/>
        <w:contextualSpacing/>
        <w:jc w:val="both"/>
        <w:rPr>
          <w:rFonts w:ascii="Times New Roman" w:hAnsi="Times New Roman"/>
          <w:color w:val="000000"/>
        </w:rPr>
      </w:pPr>
      <w:r w:rsidRPr="00ED6CD3">
        <w:rPr>
          <w:rFonts w:ascii="Times New Roman" w:hAnsi="Times New Roman"/>
        </w:rPr>
        <w:t>The last</w:t>
      </w:r>
      <w:r w:rsidRPr="00ED6CD3">
        <w:rPr>
          <w:rFonts w:ascii="Times New Roman" w:hAnsi="Times New Roman"/>
          <w:i/>
        </w:rPr>
        <w:t xml:space="preserve"> </w:t>
      </w:r>
      <w:r w:rsidRPr="00ED6CD3">
        <w:rPr>
          <w:rFonts w:ascii="Times New Roman" w:hAnsi="Times New Roman"/>
        </w:rPr>
        <w:t xml:space="preserve">hypothesis </w:t>
      </w:r>
      <w:r w:rsidRPr="00ED6CD3">
        <w:rPr>
          <w:rFonts w:ascii="Times New Roman" w:hAnsi="Times New Roman"/>
          <w:i/>
        </w:rPr>
        <w:t>“Earnings management in vesting years is positively associated with the moneyness of the executive stock options”</w:t>
      </w:r>
      <w:r w:rsidRPr="00ED6CD3">
        <w:rPr>
          <w:rFonts w:ascii="Times New Roman" w:hAnsi="Times New Roman"/>
        </w:rPr>
        <w:t xml:space="preserve"> is rejected according to the findings. Although the regression in paragraph 5.2.3 does indicate a significant </w:t>
      </w:r>
      <w:r>
        <w:rPr>
          <w:rFonts w:ascii="Times New Roman" w:hAnsi="Times New Roman"/>
        </w:rPr>
        <w:t xml:space="preserve">negative </w:t>
      </w:r>
      <w:r w:rsidRPr="00ED6CD3">
        <w:rPr>
          <w:rFonts w:ascii="Times New Roman" w:hAnsi="Times New Roman"/>
        </w:rPr>
        <w:t>correlation between the moneyness of traditional stock options and discretionary accruals, the correlation is very weak that it is not justified to conclude that this correlation exists. Additionally, this is the only analysis that shows a significant correlation. The Pearson correlation as well as the regression where only the moneyness of the vested stock options are included as test variables, does not indicate that the moneyness of traditional vested stock options are correlated with earnings management. The regression that has been corrected for possible distorted estimated parameters does not show different results either. Also the final regression where the change of the variables substitute the absolute values of the variables do not provide evidence that the change in the moneyness of both the traditional vested stock options and performance vested stock options have a significant association with the change in discretionary accruals. Therefore</w:t>
      </w:r>
      <w:r w:rsidRPr="00646A1E">
        <w:rPr>
          <w:rFonts w:ascii="Times New Roman" w:hAnsi="Times New Roman"/>
          <w:color w:val="000000"/>
        </w:rPr>
        <w:t xml:space="preserve">, based on all those analyses it can be concluded that no correlation exist between the moneyness of the vested stock options and earnings management. </w:t>
      </w:r>
    </w:p>
    <w:p w:rsidR="00DC7B1E" w:rsidRDefault="00DC7B1E" w:rsidP="00ED6CD3">
      <w:pPr>
        <w:spacing w:line="360" w:lineRule="auto"/>
        <w:contextualSpacing/>
        <w:jc w:val="both"/>
        <w:rPr>
          <w:rFonts w:ascii="Times New Roman" w:hAnsi="Times New Roman"/>
        </w:rPr>
      </w:pPr>
      <w:r w:rsidRPr="00646A1E">
        <w:rPr>
          <w:rFonts w:ascii="Times New Roman" w:hAnsi="Times New Roman"/>
          <w:color w:val="000000"/>
        </w:rPr>
        <w:t>These findings are not in line with the results of the study by Kadan and Yang (2006). This could be explained by the difference in the measure for the moneyness of stock options. Another possible reason as mention</w:t>
      </w:r>
      <w:r w:rsidRPr="00ED6CD3">
        <w:rPr>
          <w:rFonts w:ascii="Times New Roman" w:hAnsi="Times New Roman"/>
        </w:rPr>
        <w:t xml:space="preserve">ed </w:t>
      </w:r>
      <w:r>
        <w:rPr>
          <w:rFonts w:ascii="Times New Roman" w:hAnsi="Times New Roman"/>
        </w:rPr>
        <w:t xml:space="preserve">is </w:t>
      </w:r>
      <w:r w:rsidRPr="00ED6CD3">
        <w:rPr>
          <w:rFonts w:ascii="Times New Roman" w:hAnsi="Times New Roman"/>
        </w:rPr>
        <w:t xml:space="preserve">the fact that the research of Kadan and Yang (2006) </w:t>
      </w:r>
      <w:r>
        <w:rPr>
          <w:rFonts w:ascii="Times New Roman" w:hAnsi="Times New Roman"/>
        </w:rPr>
        <w:t>is</w:t>
      </w:r>
      <w:r w:rsidRPr="00ED6CD3">
        <w:rPr>
          <w:rFonts w:ascii="Times New Roman" w:hAnsi="Times New Roman"/>
        </w:rPr>
        <w:t xml:space="preserve"> based on US</w:t>
      </w:r>
      <w:r>
        <w:rPr>
          <w:rFonts w:ascii="Times New Roman" w:hAnsi="Times New Roman"/>
        </w:rPr>
        <w:t xml:space="preserve"> </w:t>
      </w:r>
      <w:r w:rsidRPr="00ED6CD3">
        <w:rPr>
          <w:rFonts w:ascii="Times New Roman" w:hAnsi="Times New Roman"/>
        </w:rPr>
        <w:t xml:space="preserve">firms </w:t>
      </w:r>
      <w:r>
        <w:rPr>
          <w:rFonts w:ascii="Times New Roman" w:hAnsi="Times New Roman"/>
        </w:rPr>
        <w:t xml:space="preserve">of which the </w:t>
      </w:r>
      <w:r w:rsidRPr="00ED6CD3">
        <w:rPr>
          <w:rFonts w:ascii="Times New Roman" w:hAnsi="Times New Roman"/>
        </w:rPr>
        <w:t xml:space="preserve">executives possess relative more stock options than those in the UK. </w:t>
      </w:r>
      <w:r>
        <w:rPr>
          <w:rFonts w:ascii="Times New Roman" w:hAnsi="Times New Roman"/>
        </w:rPr>
        <w:t xml:space="preserve">Additionally, </w:t>
      </w:r>
      <w:r w:rsidRPr="00ED6CD3">
        <w:rPr>
          <w:rFonts w:ascii="Times New Roman" w:hAnsi="Times New Roman"/>
        </w:rPr>
        <w:t xml:space="preserve">the non-correlation of the moneyness of vested stock options </w:t>
      </w:r>
      <w:r>
        <w:rPr>
          <w:rFonts w:ascii="Times New Roman" w:hAnsi="Times New Roman"/>
        </w:rPr>
        <w:t>with</w:t>
      </w:r>
      <w:r w:rsidRPr="00ED6CD3">
        <w:rPr>
          <w:rFonts w:ascii="Times New Roman" w:hAnsi="Times New Roman"/>
        </w:rPr>
        <w:t xml:space="preserve"> earnings management </w:t>
      </w:r>
      <w:r>
        <w:rPr>
          <w:rFonts w:ascii="Times New Roman" w:hAnsi="Times New Roman"/>
        </w:rPr>
        <w:t xml:space="preserve">could also be a result of </w:t>
      </w:r>
      <w:r w:rsidRPr="00ED6CD3">
        <w:rPr>
          <w:rFonts w:ascii="Times New Roman" w:hAnsi="Times New Roman"/>
        </w:rPr>
        <w:t>the small sample size. While Kadan and Yang (2006) have a sample size of 1788 firms with 10296 year observations in the period from 1993 to 2007, this study is based on between 110 to 170 firm-year observations in the period from 2004 to 2007 (depending on the regression). The period in which the study of Kadan and Yang covers could also play a role in the significance of the correlation between the moneyness of the vested stock options and earnings management. The accounting scandals in the early 21rst century are included in their research period while the research period of this study was ‘free’ from such big scandals. Overall, it is recommended to increase the sample size. It is also interesting to compare this correlation for both US</w:t>
      </w:r>
      <w:r>
        <w:rPr>
          <w:rFonts w:ascii="Times New Roman" w:hAnsi="Times New Roman"/>
        </w:rPr>
        <w:t xml:space="preserve"> </w:t>
      </w:r>
      <w:r w:rsidRPr="00ED6CD3">
        <w:rPr>
          <w:rFonts w:ascii="Times New Roman" w:hAnsi="Times New Roman"/>
        </w:rPr>
        <w:t>firms as UK</w:t>
      </w:r>
      <w:r>
        <w:rPr>
          <w:rFonts w:ascii="Times New Roman" w:hAnsi="Times New Roman"/>
        </w:rPr>
        <w:t xml:space="preserve"> </w:t>
      </w:r>
      <w:r w:rsidRPr="00ED6CD3">
        <w:rPr>
          <w:rFonts w:ascii="Times New Roman" w:hAnsi="Times New Roman"/>
        </w:rPr>
        <w:t xml:space="preserve">firms for a specific period. </w:t>
      </w:r>
    </w:p>
    <w:p w:rsidR="00DC7B1E" w:rsidRPr="00A84A74" w:rsidRDefault="00DC7B1E" w:rsidP="00A84A74">
      <w:pPr>
        <w:pStyle w:val="Heading2"/>
        <w:spacing w:before="60" w:line="360" w:lineRule="auto"/>
        <w:contextualSpacing/>
        <w:rPr>
          <w:i w:val="0"/>
          <w:sz w:val="24"/>
          <w:szCs w:val="24"/>
        </w:rPr>
      </w:pPr>
      <w:bookmarkStart w:id="67" w:name="_Toc234568007"/>
      <w:r w:rsidRPr="00A84A74">
        <w:rPr>
          <w:i w:val="0"/>
          <w:sz w:val="24"/>
          <w:szCs w:val="24"/>
        </w:rPr>
        <w:t xml:space="preserve">6.2 </w:t>
      </w:r>
      <w:r w:rsidRPr="00A84A74">
        <w:rPr>
          <w:i w:val="0"/>
          <w:sz w:val="24"/>
          <w:szCs w:val="24"/>
        </w:rPr>
        <w:tab/>
        <w:t>Limitations</w:t>
      </w:r>
      <w:bookmarkEnd w:id="67"/>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As earlier mentioned, the sample size of this research might be too small (especially in comparison with prior researches) since the number of executives that do not exercise their stock options forms nearly the half of the firm year observations. The same situation applies for the vesting of executive stock options. Since the number of observations in this study is not very high, the number of observations for the function combinations of exercising executives and for the vested stock options during the year is limited. The reason for the small size of 88 firms lies in the fact that many of the companies have missing financial data or compensation data. Especially, the data with regard to the vesting of executive stock options are not always clear. Not every company states clear whether the performance criteria that are attached to the stock options are fulfilled and therefore the stock options vest. Since with no certainty can be confirmed whether the executive stock options vest during a year, the sample size in relation to the vesting of stock options is extremely reduced. Additionally, the relative small sample size could be a cause for the low R square in the regression analyses. Therefore, it is recommended to increase the sample size. This can be realized by covering a larger research period. Therefore, more time is needed to gather the compensation data from the annual reports.</w:t>
      </w: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 xml:space="preserve">The second limitation of this research is the time interval in which it is investigated. The use of quarterly discretionary accruals instead of discretionary accruals on yearly basis would have been a better choice to conduct the analyses in this study since the opportunistic behavior of the executives could be measured more accurately around the exercise or vesting of executive stock options. Because the financial data are not available per quarter and the annual reports of the companies do not provide information about the dates on which executives exercise their stock options, it was impossible to conduct the statistical research quarterly. The use of quarterly discretionary accruals would have improved the reliability of the research as many factors determine the level of earnings management and whether executives strive to manage earnings upwards or downwards. On yearly basis it is more difficult to incorporate those factors in the analyses. Although quarterly discretionary accruals are a better proxy, many studies use discretionary accruals on yearly basis to conduct their empirical research. </w:t>
      </w:r>
    </w:p>
    <w:p w:rsidR="00DC7B1E" w:rsidRPr="00ED6CD3"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 xml:space="preserve">The last limitation of this research that already has been discussed in the chapter of methodology is the assumption of the modified Jones Model that earnings management does not occur in the estimation period or stage as it is not realistic that earnings management does not take place in the control firms. When the level of earnings management in control firms is high, then it more difficult to detect that the executives in the sample firms engage in manage earnings. Although researchers are aware of this problem, this method is still the most often used technique to detect earnings management. In addition, the cross sectional modified Jones model has been proven to perform better than other earnings management models. </w:t>
      </w:r>
    </w:p>
    <w:p w:rsidR="00DC7B1E" w:rsidRPr="00ED6CD3" w:rsidRDefault="00DC7B1E" w:rsidP="00ED6CD3">
      <w:pPr>
        <w:spacing w:line="360" w:lineRule="auto"/>
        <w:contextualSpacing/>
        <w:jc w:val="both"/>
        <w:rPr>
          <w:rFonts w:ascii="Times New Roman" w:hAnsi="Times New Roman"/>
        </w:rPr>
      </w:pPr>
    </w:p>
    <w:p w:rsidR="00DC7B1E" w:rsidRPr="00152839" w:rsidRDefault="00DC7B1E" w:rsidP="00A84A74">
      <w:pPr>
        <w:pStyle w:val="Heading2"/>
        <w:spacing w:before="60" w:line="360" w:lineRule="auto"/>
        <w:contextualSpacing/>
        <w:rPr>
          <w:i w:val="0"/>
          <w:sz w:val="24"/>
          <w:szCs w:val="24"/>
        </w:rPr>
      </w:pPr>
      <w:bookmarkStart w:id="68" w:name="_Toc234568008"/>
      <w:r w:rsidRPr="00152839">
        <w:rPr>
          <w:i w:val="0"/>
          <w:sz w:val="24"/>
          <w:szCs w:val="24"/>
        </w:rPr>
        <w:t>6.3</w:t>
      </w:r>
      <w:r w:rsidRPr="00152839">
        <w:rPr>
          <w:i w:val="0"/>
          <w:sz w:val="24"/>
          <w:szCs w:val="24"/>
        </w:rPr>
        <w:tab/>
        <w:t>Recommendations</w:t>
      </w:r>
      <w:bookmarkEnd w:id="68"/>
    </w:p>
    <w:p w:rsidR="00DC7B1E" w:rsidRDefault="00DC7B1E" w:rsidP="00ED6CD3">
      <w:pPr>
        <w:spacing w:line="360" w:lineRule="auto"/>
        <w:contextualSpacing/>
        <w:jc w:val="both"/>
        <w:rPr>
          <w:rFonts w:ascii="Times New Roman" w:hAnsi="Times New Roman"/>
        </w:rPr>
      </w:pPr>
    </w:p>
    <w:p w:rsidR="00DC7B1E" w:rsidRPr="00ED6CD3" w:rsidRDefault="00DC7B1E" w:rsidP="00ED6CD3">
      <w:pPr>
        <w:spacing w:line="360" w:lineRule="auto"/>
        <w:contextualSpacing/>
        <w:jc w:val="both"/>
        <w:rPr>
          <w:rFonts w:ascii="Times New Roman" w:hAnsi="Times New Roman"/>
        </w:rPr>
      </w:pPr>
      <w:r w:rsidRPr="00ED6CD3">
        <w:rPr>
          <w:rFonts w:ascii="Times New Roman" w:hAnsi="Times New Roman"/>
        </w:rPr>
        <w:t xml:space="preserve">The sample size in this research might be small. Therefore, it is recommended to enlarge the sample size in order to increase the reliability of the research. The sample could be enhanced by taking a longer research period. Another possibility is to apply this research to other countries in Europe since the exercise and vesting of executive stock options are usually based on US firms. Since no earlier research had focused on the stock options of all executives within a firm, it is </w:t>
      </w:r>
      <w:r>
        <w:rPr>
          <w:rFonts w:ascii="Times New Roman" w:hAnsi="Times New Roman"/>
        </w:rPr>
        <w:t xml:space="preserve">also </w:t>
      </w:r>
      <w:r w:rsidRPr="00ED6CD3">
        <w:rPr>
          <w:rFonts w:ascii="Times New Roman" w:hAnsi="Times New Roman"/>
        </w:rPr>
        <w:t>interesting to conduct an investigation based on a US</w:t>
      </w:r>
      <w:r>
        <w:rPr>
          <w:rFonts w:ascii="Times New Roman" w:hAnsi="Times New Roman"/>
        </w:rPr>
        <w:t xml:space="preserve"> </w:t>
      </w:r>
      <w:r w:rsidRPr="00ED6CD3">
        <w:rPr>
          <w:rFonts w:ascii="Times New Roman" w:hAnsi="Times New Roman"/>
        </w:rPr>
        <w:t xml:space="preserve">sample to examine whether the function(s) of the exercising executives </w:t>
      </w:r>
      <w:r>
        <w:rPr>
          <w:rFonts w:ascii="Times New Roman" w:hAnsi="Times New Roman"/>
        </w:rPr>
        <w:t>has/</w:t>
      </w:r>
      <w:r w:rsidRPr="00ED6CD3">
        <w:rPr>
          <w:rFonts w:ascii="Times New Roman" w:hAnsi="Times New Roman"/>
        </w:rPr>
        <w:t xml:space="preserve">have an influence on the level of earnings management. In that country, stock options compensation plays a more important role than in the UK. Therefore, it is probable that the correlation between the function of exercising executives and earnings management exists. </w:t>
      </w:r>
    </w:p>
    <w:p w:rsidR="00DC7B1E" w:rsidRPr="00646A1E" w:rsidRDefault="00DC7B1E" w:rsidP="00ED6CD3">
      <w:pPr>
        <w:spacing w:line="360" w:lineRule="auto"/>
        <w:contextualSpacing/>
        <w:jc w:val="both"/>
        <w:rPr>
          <w:rFonts w:ascii="Times New Roman" w:hAnsi="Times New Roman"/>
          <w:color w:val="000000"/>
        </w:rPr>
      </w:pPr>
      <w:r w:rsidRPr="00ED6CD3">
        <w:rPr>
          <w:rFonts w:ascii="Times New Roman" w:hAnsi="Times New Roman"/>
        </w:rPr>
        <w:t>This research has focused on a period with favorable economic circumstances. The years 2004 to 2007 had just recovered from the recession after the accounting scandals in the beginning of the 21</w:t>
      </w:r>
      <w:r w:rsidRPr="00ED6CD3">
        <w:rPr>
          <w:rFonts w:ascii="Times New Roman" w:hAnsi="Times New Roman"/>
          <w:vertAlign w:val="superscript"/>
        </w:rPr>
        <w:t>th</w:t>
      </w:r>
      <w:r w:rsidRPr="00ED6CD3">
        <w:rPr>
          <w:rFonts w:ascii="Times New Roman" w:hAnsi="Times New Roman"/>
        </w:rPr>
        <w:t xml:space="preserve"> century. The accounting scandals were a wake-up call and as a result the rules and regulations became stricter. Consequently all eyes were focused on the behavior of the executives. Therefore, it is plausible that executives manage earnings in a lesser extent in the research period. For this reason, it is interesting to also apply this research in a period with financial crisis to investigate whether the level of </w:t>
      </w:r>
      <w:r w:rsidRPr="00646A1E">
        <w:rPr>
          <w:rFonts w:ascii="Times New Roman" w:hAnsi="Times New Roman"/>
          <w:color w:val="000000"/>
        </w:rPr>
        <w:t xml:space="preserve">earnings management resulting from the exercise and vesting of executive stock options in this period differ from that in a favorable economic period. </w:t>
      </w:r>
    </w:p>
    <w:p w:rsidR="00DC7B1E" w:rsidRPr="00646A1E" w:rsidRDefault="00DC7B1E" w:rsidP="00ED6CD3">
      <w:pPr>
        <w:spacing w:line="360" w:lineRule="auto"/>
        <w:contextualSpacing/>
        <w:jc w:val="both"/>
        <w:rPr>
          <w:rFonts w:ascii="Times New Roman" w:hAnsi="Times New Roman"/>
          <w:color w:val="000000"/>
        </w:rPr>
      </w:pPr>
      <w:r w:rsidRPr="00646A1E">
        <w:rPr>
          <w:rFonts w:ascii="Times New Roman" w:hAnsi="Times New Roman"/>
          <w:color w:val="000000"/>
        </w:rPr>
        <w:t xml:space="preserve">Additionally, further research could explore the differences among the various industries. By investigating the impact of the exercise and vesting of executive stock options on earnings management per industry, more insights could be provided into which industries grant their executives with relative the most stock options and whether this results in high level of earnings management. In industries where executives manage earnings the most in order to maximize their gain from exercises and/or to ensure the vesting of their executive stock options, it is a suggestion to strengthen the monitoring on those industries. However, it is strongly recommended to enlarge the sample size. Otherwise the number of observations for each industry will be too small to conduct a reliable research.  </w:t>
      </w:r>
    </w:p>
    <w:p w:rsidR="00DC7B1E" w:rsidRPr="00646A1E" w:rsidRDefault="00DC7B1E" w:rsidP="00ED6CD3">
      <w:pPr>
        <w:spacing w:line="360" w:lineRule="auto"/>
        <w:contextualSpacing/>
        <w:jc w:val="both"/>
        <w:rPr>
          <w:rFonts w:ascii="Times New Roman" w:hAnsi="Times New Roman"/>
          <w:color w:val="000000"/>
        </w:rPr>
      </w:pPr>
      <w:r w:rsidRPr="00646A1E">
        <w:rPr>
          <w:rFonts w:ascii="Times New Roman" w:hAnsi="Times New Roman"/>
          <w:color w:val="000000"/>
        </w:rPr>
        <w:t xml:space="preserve">Another variant to contribute to the existing literature is to apply this research to the financial institutions only since the researches that investigate the relation between stock options and earnings management usually exclude them from the sample for the reason that financial institutions are subject to other regulations than those in other industries. </w:t>
      </w:r>
    </w:p>
    <w:p w:rsidR="00DC7B1E" w:rsidRPr="00646A1E" w:rsidRDefault="00DC7B1E" w:rsidP="00ED6CD3">
      <w:pPr>
        <w:spacing w:line="360" w:lineRule="auto"/>
        <w:contextualSpacing/>
        <w:jc w:val="both"/>
        <w:rPr>
          <w:rFonts w:ascii="Times New Roman" w:hAnsi="Times New Roman"/>
          <w:color w:val="000000"/>
        </w:rPr>
      </w:pPr>
      <w:r w:rsidRPr="00646A1E">
        <w:rPr>
          <w:rFonts w:ascii="Times New Roman" w:hAnsi="Times New Roman"/>
          <w:color w:val="000000"/>
        </w:rPr>
        <w:t xml:space="preserve">Finally, it is recommended to investigate whether the last year in which executives are allowed to exercise their stock options, will result in a higher level of earnings management. When executives possess stock options that will expire within a year, it is reasonable that executives have more incentives to manage earnings upwards in a last attempt to enhance their option value and to exercise them accordingly. </w:t>
      </w:r>
    </w:p>
    <w:p w:rsidR="00DC7B1E" w:rsidRPr="00143199" w:rsidRDefault="00DC7B1E" w:rsidP="00ED6CD3">
      <w:pPr>
        <w:spacing w:line="360" w:lineRule="auto"/>
        <w:contextualSpacing/>
        <w:jc w:val="both"/>
        <w:rPr>
          <w:rFonts w:ascii="Times New Roman" w:hAnsi="Times New Roman"/>
        </w:rPr>
      </w:pPr>
    </w:p>
    <w:p w:rsidR="00DC7B1E" w:rsidRPr="00143199" w:rsidRDefault="00DC7B1E" w:rsidP="00ED6CD3">
      <w:pPr>
        <w:spacing w:line="360" w:lineRule="auto"/>
        <w:contextualSpacing/>
        <w:jc w:val="both"/>
        <w:rPr>
          <w:rFonts w:ascii="Times New Roman" w:hAnsi="Times New Roman"/>
        </w:rPr>
      </w:pPr>
    </w:p>
    <w:p w:rsidR="00DC7B1E" w:rsidRPr="00143199" w:rsidRDefault="00DC7B1E" w:rsidP="00ED6CD3">
      <w:pPr>
        <w:spacing w:line="360" w:lineRule="auto"/>
        <w:contextualSpacing/>
        <w:jc w:val="both"/>
        <w:rPr>
          <w:rFonts w:ascii="Times New Roman" w:hAnsi="Times New Roman"/>
        </w:rPr>
      </w:pPr>
    </w:p>
    <w:p w:rsidR="00DC7B1E" w:rsidRPr="00143199" w:rsidRDefault="00DC7B1E" w:rsidP="00ED6CD3">
      <w:pPr>
        <w:spacing w:line="360" w:lineRule="auto"/>
        <w:contextualSpacing/>
        <w:jc w:val="both"/>
        <w:rPr>
          <w:rFonts w:ascii="Times New Roman" w:hAnsi="Times New Roman"/>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143199" w:rsidRDefault="00DC7B1E" w:rsidP="00A94509">
      <w:pPr>
        <w:spacing w:before="240" w:line="360" w:lineRule="auto"/>
        <w:jc w:val="both"/>
        <w:rPr>
          <w:rFonts w:ascii="Arial" w:hAnsi="Arial" w:cs="Arial"/>
        </w:rPr>
      </w:pPr>
    </w:p>
    <w:p w:rsidR="00DC7B1E" w:rsidRPr="00421BFC" w:rsidRDefault="00DC7B1E" w:rsidP="00421BFC">
      <w:pPr>
        <w:pStyle w:val="Heading1"/>
        <w:spacing w:before="60" w:line="360" w:lineRule="auto"/>
        <w:contextualSpacing/>
        <w:rPr>
          <w:color w:val="2A62A6"/>
        </w:rPr>
      </w:pPr>
      <w:bookmarkStart w:id="69" w:name="_Toc234568009"/>
      <w:r w:rsidRPr="00421BFC">
        <w:rPr>
          <w:color w:val="2A62A6"/>
        </w:rPr>
        <w:t>Bibliography</w:t>
      </w:r>
      <w:bookmarkEnd w:id="69"/>
    </w:p>
    <w:p w:rsidR="00DC7B1E" w:rsidRPr="00F544ED" w:rsidRDefault="00DC7B1E" w:rsidP="00F544ED">
      <w:pPr>
        <w:spacing w:line="360" w:lineRule="auto"/>
        <w:contextualSpacing/>
        <w:rPr>
          <w:rFonts w:ascii="Times New Roman" w:hAnsi="Times New Roman"/>
        </w:rPr>
      </w:pPr>
      <w:r>
        <w:rPr>
          <w:noProof/>
        </w:rPr>
        <w:pict>
          <v:shape id="_x0000_s1038" type="#_x0000_t32" style="position:absolute;margin-left:.95pt;margin-top:16.35pt;width:451.8pt;height:0;z-index:251661824" o:connectortype="straight"/>
        </w:pic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b/>
        </w:rPr>
      </w:pPr>
      <w:r w:rsidRPr="000E7227">
        <w:rPr>
          <w:rFonts w:ascii="Times New Roman" w:hAnsi="Times New Roman"/>
          <w:b/>
        </w:rPr>
        <w:t>Scientific articles</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Aboody, D. and Kasznik, R. (2000), CEO Stock Option Awards and the Timing of Corporate Voluntary Disclosures, Journal of Accounting and Economics 29, 73-100</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Al-khabash, A.A. and Al-Thuneibat, A.A. (2009), Earnings Management Practices from the Perspective of External and Internal Auditors, Managerial Auditing Journal 24 (1), 58-80</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Baker, T., Collins, D. and Reitenga, A. (2003), Stock Compensation and Earnings Management Incentives, Journal of Accounting, Auditing &amp; Finance 18, 557-582</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Balsam, S., Chen, H. and Sankaraguruswamy, S. (2003), Earnings Management Prior to Stock Option Grants, Working Paper Series</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Bartov, E., Gul, F.A. and Tsui, J.S.L</w:t>
      </w:r>
      <w:r>
        <w:rPr>
          <w:rFonts w:ascii="Times New Roman" w:hAnsi="Times New Roman"/>
        </w:rPr>
        <w:t xml:space="preserve"> (2001),</w:t>
      </w:r>
      <w:r w:rsidRPr="000E7227">
        <w:rPr>
          <w:rFonts w:ascii="Times New Roman" w:hAnsi="Times New Roman"/>
        </w:rPr>
        <w:t xml:space="preserve"> Discretionary-accruals Models and Audit Qualifications, Journal of Accounting and Economics 30, 421-452</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Pr>
          <w:rFonts w:ascii="Times New Roman" w:hAnsi="Times New Roman"/>
        </w:rPr>
        <w:t>Bartov, E. and Mohanran, P. (2004), Private Information, Earnings Manipulations, and Executive Stock-Option Exercise, The Accounting Review 79 (4), 889-920</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Bens, D.A., Nagar, V., Skinner, D.J. and Wong, M.H.F. (2003), Employee Stock Options, EPS dilution, and Stock Repurchases, Journal of Accounting and Economics 36, 51-90</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Bergstresser, D. and Philippon, T. (2006), CEO Incentives and Earnings Management, Journal of Financial Economics 80, 511-529</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Burgstahler, D. and Dichev, I. (1997), Earnings Management to Avoid Earnings Decreases and Losses, Journal of Accounting and Economics 24, 99-126</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Burgstahler, D. and Eames, M. (2006), Management of Earnings and Analysts’ Forecasts to Achieve Zero and Small Positive Earnings Surprises, Journal of Business, Finance &amp; Accounting 35 (5) &amp; (6), 633-652</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Chao, C.L., Kelsey, R.L., Horng, S.W. and Chiu, C.Y. (2004), Evidence of Earnings Management from the Measurement of Deferred Tax Allowance Account, The Engineering Economist 49 (1), 63-93</w:t>
      </w:r>
    </w:p>
    <w:p w:rsidR="00DC7B1E" w:rsidRDefault="00DC7B1E" w:rsidP="000E7227">
      <w:pPr>
        <w:spacing w:line="360" w:lineRule="auto"/>
        <w:contextualSpacing/>
        <w:jc w:val="both"/>
        <w:rPr>
          <w:rFonts w:ascii="Times New Roman" w:hAnsi="Times New Roman"/>
        </w:rPr>
      </w:pPr>
      <w:r>
        <w:rPr>
          <w:rFonts w:ascii="Times New Roman" w:hAnsi="Times New Roman"/>
        </w:rPr>
        <w:t>Cheng, Q. and Warfield, T.D. (2005), Equity Incentives and Earnings Management, The Accounting Review 80 (2), 441-476</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Coffee, J.C. (2005), A Theory of Corporate Scandals, Oxford Review of Economy Policy, 21 (2), p. 198-211</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Dechow, P.M., Sloan, R.G. and Sweeney, A.P. (1995), Detecting Earnings Management, The Accounting Review 70 (2), 193-225</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Dechow</w:t>
      </w:r>
      <w:r>
        <w:rPr>
          <w:rFonts w:ascii="Times New Roman" w:hAnsi="Times New Roman"/>
        </w:rPr>
        <w:t>, P.M., Skinner, D.J.</w:t>
      </w:r>
      <w:r w:rsidRPr="000E7227">
        <w:rPr>
          <w:rFonts w:ascii="Times New Roman" w:hAnsi="Times New Roman"/>
        </w:rPr>
        <w:t xml:space="preserve"> </w:t>
      </w:r>
      <w:r>
        <w:rPr>
          <w:rFonts w:ascii="Times New Roman" w:hAnsi="Times New Roman"/>
        </w:rPr>
        <w:t>(</w:t>
      </w:r>
      <w:r w:rsidRPr="000E7227">
        <w:rPr>
          <w:rFonts w:ascii="Times New Roman" w:hAnsi="Times New Roman"/>
        </w:rPr>
        <w:t>2000</w:t>
      </w:r>
      <w:r>
        <w:rPr>
          <w:rFonts w:ascii="Times New Roman" w:hAnsi="Times New Roman"/>
        </w:rPr>
        <w:t>), Earnings Management: Reconciling the Views of Accounting Academics, Practitioners, and Regulators, Accounting Horizons 14 (2), 235-250</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DeFusco, R.A., Johnson, R.R. and Zorn, T.S. (1990), The Effect of Executive Stock Option Plans on Stockholders and Bondholders, The Journal of Finance 45 (2), 617-627</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DeFond</w:t>
      </w:r>
      <w:r>
        <w:rPr>
          <w:rFonts w:ascii="Times New Roman" w:hAnsi="Times New Roman"/>
        </w:rPr>
        <w:t>, M.L.</w:t>
      </w:r>
      <w:r w:rsidRPr="000E7227">
        <w:rPr>
          <w:rFonts w:ascii="Times New Roman" w:hAnsi="Times New Roman"/>
        </w:rPr>
        <w:t xml:space="preserve"> and Jimbalvo</w:t>
      </w:r>
      <w:r>
        <w:rPr>
          <w:rFonts w:ascii="Times New Roman" w:hAnsi="Times New Roman"/>
        </w:rPr>
        <w:t>, J.</w:t>
      </w:r>
      <w:r w:rsidRPr="000E7227">
        <w:rPr>
          <w:rFonts w:ascii="Times New Roman" w:hAnsi="Times New Roman"/>
        </w:rPr>
        <w:t xml:space="preserve"> (1994)</w:t>
      </w:r>
      <w:r>
        <w:rPr>
          <w:rFonts w:ascii="Times New Roman" w:hAnsi="Times New Roman"/>
        </w:rPr>
        <w:t>, Debt Covenant Violation and Manipulation of Accruals, Journal of Accounting and Economics 17, 145-176</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Denis D.J., Hanouna, P. and Sarin, A. (2005), Is There a Dark Side to Incentive Compensation?, Working Paper</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lang w:val="nl-NL"/>
        </w:rPr>
      </w:pPr>
      <w:r w:rsidRPr="00071A40">
        <w:rPr>
          <w:rFonts w:ascii="Times New Roman" w:hAnsi="Times New Roman"/>
          <w:lang w:val="nl-NL"/>
        </w:rPr>
        <w:t>Duffhues, P.</w:t>
      </w:r>
      <w:r w:rsidRPr="000E7227">
        <w:rPr>
          <w:rFonts w:ascii="Times New Roman" w:hAnsi="Times New Roman"/>
          <w:lang w:val="nl-NL"/>
        </w:rPr>
        <w:t>J.W., Kabir, R. And Mertens, G.M.H (2003), Personeelsopties. Onwikkelingen, Economische Prestaties, Winstvertekening en Externe Verslaggeving van Nederlandse Beursondernemingen, Center Applied Research, University of Tilburg</w:t>
      </w:r>
    </w:p>
    <w:p w:rsidR="00DC7B1E" w:rsidRPr="000E7227" w:rsidRDefault="00DC7B1E" w:rsidP="000E7227">
      <w:pPr>
        <w:spacing w:line="360" w:lineRule="auto"/>
        <w:contextualSpacing/>
        <w:jc w:val="both"/>
        <w:rPr>
          <w:rFonts w:ascii="Times New Roman" w:hAnsi="Times New Roman"/>
          <w:lang w:val="nl-NL"/>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Efendi, J., Srivastava, A. and Swanson, E.P. (2007), Why Do Corporate Managers Misstate Financial Statements? The Role of Option Compensation and Other Factors, Journal of Financial Economics 85, 667-708</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Eisenhardt, K.M. (1989), Agency Theory: An Assessment and Review, The Academy of Management Review 14 (1), 57-74</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Friedlan, J.M. (1994), Accounting Choices of Issuers of Initial Public Offerings, Contemporary Accounting Research, 11 (1), 1-31</w:t>
      </w:r>
    </w:p>
    <w:p w:rsidR="00DC7B1E" w:rsidRPr="000E7227" w:rsidRDefault="00DC7B1E" w:rsidP="000E7227">
      <w:pPr>
        <w:spacing w:line="360" w:lineRule="auto"/>
        <w:contextualSpacing/>
        <w:jc w:val="both"/>
        <w:rPr>
          <w:rFonts w:ascii="Times New Roman" w:hAnsi="Times New Roman"/>
        </w:rPr>
      </w:pPr>
      <w:r>
        <w:rPr>
          <w:rFonts w:ascii="Times New Roman" w:hAnsi="Times New Roman"/>
        </w:rPr>
        <w:t>GAO (2002), Financial Statement Restatements: Trends, Market Impacts, Regulatory Responses, and Remaining Challenges, United States General Accounting Office</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Gao, P. and Shrieves, R.E. (2002), Earnings Management and Management Compensation: a Case of Overdose of Option and Underdose of Salary?, Working Paper</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Hall, B.J. and Murphy, K.J. (2003), The Trouble With Stock Options, Journal of Economic Perspectives 17 (3), 49-70</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Pr>
          <w:rFonts w:ascii="Times New Roman" w:hAnsi="Times New Roman"/>
        </w:rPr>
        <w:t>Hanlon, M., Raijgopal, S. and Shevlin, T. (2003), Are Executive Stock Options Associated with Future Earnings?, Journal of Accounting and Economics 36, 3-43</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Haugen, R.A. and Senbet L.W. (1981), Resolving the Agency Problems of External Capital Through Options, The Journal of Finance 36 (3), 629-647</w:t>
      </w:r>
    </w:p>
    <w:p w:rsidR="00DC7B1E"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Healy, P.M. and Wahlen, J.M. (1999), A Review of the Earnings Management Literature and Its Implications for Standard Setting, Accounting Horizons 13 (4), 365-383</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Holden, R.T. (2005), The Original Management Incentive Schemes, Journal of Economic Perspectives 19 (4), 135-144</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Jensen, M.C. and Meckling, W.H. (1976), Theory of the Firm: Managerial Behavior, Agency Costs and Ownership Structure, Journal of Financial Economics 3, p. 305-360</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Jensen, M.C. and Murphy, K.J. (1990a), Performance Pay and Top Management Incentives, Journal op Political Economy, 98 (2), p. 225-264</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Jensen, M.C. and Murphy, K.J. (1990b), CEO Incentives – It’s Not How Much You Pay, But How, Harvard Business Review, p. 138-153</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Jensen, M.C. and Murphy, K.J. (2004), Where We’ve Been, How We Got Here, What Are The Problems, and How To Fix Them, ECGI, Finance Working Paper nr. 44</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 xml:space="preserve">Jolls, C. (1998), Stock Repurchases and Incentive Compensation, NBER Working paper series, National Bureau of Economic Research </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Jones, J.J. (1991), Earnings Management During Import Relief Investigations, Journal of Accounting Research 29 (2), 193-228</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Kadan, O. and Yang, J. (2006), Executive Stock Options and Earnings Management: A Theoretical and Empirical Analysis, Working Paper</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Kuang, F.Y. (2007), Performance-Vested Stock Options and Earnings Management, Working Paper</w:t>
      </w: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Mehran, H. (1995), Executive Compensation Structure, Ownership, and Firm Performance, Journal of Financial Economics 38, 163-184</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McAnally, M.L., Srivastava, A. and Weaver, C.D. (2008), Executive Stock Options, Missed Earnings Targets, and Earnings Management, The Accounting Review 83 (1), 185-216</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Pr>
          <w:rFonts w:ascii="Times New Roman" w:hAnsi="Times New Roman"/>
        </w:rPr>
        <w:t>Mehran, H. (1995), Executive Compensation Structure, Ownership, and Firm Performance, Journal of Financial Economics 38, 163-184</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Murphy, K.J. (2000), Performance Standard in Incentive Contracts, Journal of Accounting and Economics 30, 245-278</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Pr>
          <w:rFonts w:ascii="Times New Roman" w:hAnsi="Times New Roman"/>
        </w:rPr>
        <w:t>Nagar, V., Nanda, D. and Wysocki, P. (2003), Discretionary Disclosure and Stock-Based Incentives, Journal of Accounting and Economics 34, 283-309</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Pr>
          <w:rFonts w:ascii="Times New Roman" w:hAnsi="Times New Roman"/>
        </w:rPr>
        <w:t>Nelson, M.W., Elliot, J. and Tarpley, R.L. (2003), How Are Earnings Managed?, Accounting Horizons 17, 17-35</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Pr>
          <w:rFonts w:ascii="Times New Roman" w:hAnsi="Times New Roman"/>
        </w:rPr>
        <w:t>Ofek, E. and Yermack, D. (2000), Taking Stock: Equity-Based Compensation and the Evolution of Managerial Ownership, The Journal of Finance, 55 (3), 1367-1384</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Peasnell, K.V., Pope, P.F. and Young, S. (2000), Detecting Earnings Management Using Cross-sectional Abnormal Accruals Models, Accounting and Business Research 30 (4), 313-326</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Roosenboom, P., Groot, T., van der and Mertens, G. (2003), Earnings Management and Initial Public Offerings: Evidence from the Netherlands, The International Journal of Accounting 38, 243-266</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Stlowy, H. and Breton, G. (2004), Accounts Manipulation: A Literature Review and Proposed Conceptual Framework, Review of Accounting &amp; Finance 3 (1), 5-66</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Teoh, S.H., Welch, I. and Wong, T.J. (1998), Earnings Management and the Long-Run Market Performance of Initial Public Offerings, The Journal of Finance 53, 1935-1974</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Tzioumis, K. (2008), Why Do Firms Adopt CEO Stock Options? Evidence from the United States, Journal of Economic Behavior &amp; Organization, Article in Press</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Yermack, D. (1997), Good Timing: CEO Stock Option Awards and Company News Announcements, The Journal of Finance 52 (2), 449-476</w:t>
      </w:r>
    </w:p>
    <w:p w:rsidR="00DC7B1E" w:rsidRDefault="00DC7B1E" w:rsidP="000E7227">
      <w:pPr>
        <w:spacing w:line="360" w:lineRule="auto"/>
        <w:contextualSpacing/>
        <w:jc w:val="both"/>
        <w:rPr>
          <w:rFonts w:ascii="Times New Roman" w:hAnsi="Times New Roman"/>
          <w:u w:val="single"/>
        </w:rPr>
      </w:pPr>
    </w:p>
    <w:p w:rsidR="00DC7B1E" w:rsidRPr="000E7227" w:rsidRDefault="00DC7B1E" w:rsidP="000E7227">
      <w:pPr>
        <w:spacing w:line="360" w:lineRule="auto"/>
        <w:contextualSpacing/>
        <w:jc w:val="both"/>
        <w:rPr>
          <w:rFonts w:ascii="Times New Roman" w:hAnsi="Times New Roman"/>
          <w:u w:val="single"/>
        </w:rPr>
      </w:pPr>
    </w:p>
    <w:p w:rsidR="00DC7B1E" w:rsidRPr="000E7227" w:rsidRDefault="00DC7B1E" w:rsidP="000E7227">
      <w:pPr>
        <w:spacing w:line="360" w:lineRule="auto"/>
        <w:contextualSpacing/>
        <w:jc w:val="both"/>
        <w:rPr>
          <w:rFonts w:ascii="Times New Roman" w:hAnsi="Times New Roman"/>
          <w:b/>
        </w:rPr>
      </w:pPr>
      <w:r w:rsidRPr="000E7227">
        <w:rPr>
          <w:rFonts w:ascii="Times New Roman" w:hAnsi="Times New Roman"/>
          <w:b/>
        </w:rPr>
        <w:t>Books</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Aczel, A.D., (2002), Complete Business Statistics, McGraw-Hill, 5</w:t>
      </w:r>
      <w:r w:rsidRPr="000E7227">
        <w:rPr>
          <w:rFonts w:ascii="Times New Roman" w:hAnsi="Times New Roman"/>
          <w:vertAlign w:val="superscript"/>
        </w:rPr>
        <w:t>th</w:t>
      </w:r>
      <w:r w:rsidRPr="000E7227">
        <w:rPr>
          <w:rFonts w:ascii="Times New Roman" w:hAnsi="Times New Roman"/>
        </w:rPr>
        <w:t xml:space="preserve"> edition</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Alvarez, J.L. and Svejenova, S. (2005), Sharing Executive Power: Roles and Relationship at the Top, Cambrigde University Press</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Baarda, D.B., De Goede, M.P.M and Van Dijkum, C.J. (2004), Introduction to Statistics with SPSS, Noordhoff Uitgevers, Translation of the Second, Fully Revised Edition</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lang w:val="nl-NL"/>
        </w:rPr>
      </w:pPr>
      <w:r w:rsidRPr="000E7227">
        <w:rPr>
          <w:rFonts w:ascii="Times New Roman" w:hAnsi="Times New Roman"/>
          <w:lang w:val="nl-NL"/>
        </w:rPr>
        <w:t>Bruggeman, W., Ameels, A. And Scheipers, G. (2003), Strategisch Besturen Met de Balanced Scorecard, Maklu</w:t>
      </w:r>
    </w:p>
    <w:p w:rsidR="00DC7B1E" w:rsidRPr="000E7227" w:rsidRDefault="00DC7B1E" w:rsidP="000E7227">
      <w:pPr>
        <w:spacing w:line="360" w:lineRule="auto"/>
        <w:contextualSpacing/>
        <w:jc w:val="both"/>
        <w:rPr>
          <w:rFonts w:ascii="Times New Roman" w:hAnsi="Times New Roman"/>
          <w:lang w:val="nl-NL"/>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Goncharov, I. (2005), Earnings Management and Its Determinants: Closing Gaps in Financial Accounting Research, European University Studies, Peter Lang</w:t>
      </w: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Hoque, Z. (2006), Methodological Issues in Accounting Research: Theories and methods, Deaking University, Spiramus</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Kaplan, R.S. and Atkinson, A.A. (1998), Advanced Management Accounting, Prentice Hall, International edition, 3</w:t>
      </w:r>
      <w:r w:rsidRPr="000E7227">
        <w:rPr>
          <w:rFonts w:ascii="Times New Roman" w:hAnsi="Times New Roman"/>
          <w:vertAlign w:val="superscript"/>
        </w:rPr>
        <w:t>rd</w:t>
      </w:r>
      <w:r w:rsidRPr="000E7227">
        <w:rPr>
          <w:rFonts w:ascii="Times New Roman" w:hAnsi="Times New Roman"/>
        </w:rPr>
        <w:t xml:space="preserve"> edition</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Levy, H. and Post, T. (2005), Investments, Prentice Hall Financial Times, 1</w:t>
      </w:r>
      <w:r w:rsidRPr="000E7227">
        <w:rPr>
          <w:rFonts w:ascii="Times New Roman" w:hAnsi="Times New Roman"/>
          <w:vertAlign w:val="superscript"/>
        </w:rPr>
        <w:t>rst</w:t>
      </w:r>
      <w:r w:rsidRPr="000E7227">
        <w:rPr>
          <w:rFonts w:ascii="Times New Roman" w:hAnsi="Times New Roman"/>
        </w:rPr>
        <w:t xml:space="preserve"> edition</w:t>
      </w: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r w:rsidRPr="000E7227">
        <w:rPr>
          <w:rFonts w:ascii="Times New Roman" w:hAnsi="Times New Roman"/>
        </w:rPr>
        <w:t>Ronen, J. and Yaari, V. (2008), Earnings Management. Emerging Insights in Theory, Practice, and Research, Springer Series in Accounting Scholarship, 1</w:t>
      </w:r>
      <w:r w:rsidRPr="000E7227">
        <w:rPr>
          <w:rFonts w:ascii="Times New Roman" w:hAnsi="Times New Roman"/>
          <w:vertAlign w:val="superscript"/>
        </w:rPr>
        <w:t xml:space="preserve">rst </w:t>
      </w:r>
      <w:r w:rsidRPr="000E7227">
        <w:rPr>
          <w:rFonts w:ascii="Times New Roman" w:hAnsi="Times New Roman"/>
        </w:rPr>
        <w:t>edition</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Scott, W.R. (2006), Financial Accounting Theory, Prentice Hall, 4</w:t>
      </w:r>
      <w:r w:rsidRPr="000E7227">
        <w:rPr>
          <w:rFonts w:ascii="Times New Roman" w:hAnsi="Times New Roman"/>
          <w:vertAlign w:val="superscript"/>
        </w:rPr>
        <w:t>th</w:t>
      </w:r>
      <w:r w:rsidRPr="000E7227">
        <w:rPr>
          <w:rFonts w:ascii="Times New Roman" w:hAnsi="Times New Roman"/>
        </w:rPr>
        <w:t xml:space="preserve"> edition</w:t>
      </w:r>
    </w:p>
    <w:p w:rsidR="00DC7B1E" w:rsidRPr="000E7227" w:rsidRDefault="00DC7B1E" w:rsidP="000E7227">
      <w:pPr>
        <w:spacing w:line="360" w:lineRule="auto"/>
        <w:contextualSpacing/>
        <w:jc w:val="both"/>
        <w:rPr>
          <w:rFonts w:ascii="Times New Roman" w:hAnsi="Times New Roman"/>
          <w:b/>
        </w:rPr>
      </w:pPr>
      <w:r w:rsidRPr="000E7227">
        <w:rPr>
          <w:rFonts w:ascii="Times New Roman" w:hAnsi="Times New Roman"/>
          <w:b/>
        </w:rPr>
        <w:t>Websites</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 xml:space="preserve">CompanyInfo, </w:t>
      </w:r>
      <w:r>
        <w:rPr>
          <w:rFonts w:ascii="Times New Roman" w:hAnsi="Times New Roman"/>
        </w:rPr>
        <w:t>www.company.info</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 xml:space="preserve">Investopedia, </w:t>
      </w:r>
      <w:r>
        <w:rPr>
          <w:rFonts w:ascii="Times New Roman" w:hAnsi="Times New Roman"/>
        </w:rPr>
        <w:t>www.investopedia.com</w:t>
      </w: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b/>
        </w:rPr>
      </w:pPr>
      <w:r w:rsidRPr="000E7227">
        <w:rPr>
          <w:rFonts w:ascii="Times New Roman" w:hAnsi="Times New Roman"/>
          <w:b/>
        </w:rPr>
        <w:t>Databases</w:t>
      </w:r>
    </w:p>
    <w:p w:rsidR="00DC7B1E"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Thomson One Banker</w:t>
      </w:r>
    </w:p>
    <w:p w:rsidR="00DC7B1E"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r w:rsidRPr="000E7227">
        <w:rPr>
          <w:rFonts w:ascii="Times New Roman" w:hAnsi="Times New Roman"/>
        </w:rPr>
        <w:t>Datastream</w:t>
      </w: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Default="00DC7B1E" w:rsidP="000E7227">
      <w:pPr>
        <w:spacing w:line="360" w:lineRule="auto"/>
        <w:contextualSpacing/>
        <w:jc w:val="both"/>
        <w:rPr>
          <w:rFonts w:ascii="Times New Roman" w:hAnsi="Times New Roman"/>
        </w:rPr>
      </w:pPr>
    </w:p>
    <w:p w:rsidR="00DC7B1E" w:rsidRPr="000E7227" w:rsidRDefault="00DC7B1E" w:rsidP="000E7227">
      <w:pPr>
        <w:spacing w:line="360" w:lineRule="auto"/>
        <w:contextualSpacing/>
        <w:jc w:val="both"/>
        <w:rPr>
          <w:rFonts w:ascii="Times New Roman" w:hAnsi="Times New Roman"/>
        </w:rPr>
      </w:pPr>
    </w:p>
    <w:p w:rsidR="00DC7B1E" w:rsidRPr="00421BFC" w:rsidRDefault="00DC7B1E" w:rsidP="00421BFC">
      <w:pPr>
        <w:pStyle w:val="Heading1"/>
        <w:spacing w:before="60" w:line="360" w:lineRule="auto"/>
        <w:contextualSpacing/>
        <w:rPr>
          <w:color w:val="2A62A6"/>
        </w:rPr>
      </w:pPr>
      <w:bookmarkStart w:id="70" w:name="_Toc234568010"/>
      <w:r w:rsidRPr="00421BFC">
        <w:rPr>
          <w:color w:val="2A62A6"/>
        </w:rPr>
        <w:t>Appendix 1 Variables in Thomson One Banker</w:t>
      </w:r>
      <w:bookmarkEnd w:id="70"/>
    </w:p>
    <w:p w:rsidR="00DC7B1E" w:rsidRDefault="00DC7B1E" w:rsidP="006E4185"/>
    <w:p w:rsidR="00DC7B1E" w:rsidRDefault="00DC7B1E" w:rsidP="006E4185">
      <w:pPr>
        <w:rPr>
          <w:rFonts w:ascii="Arial" w:hAnsi="Arial" w:cs="Arial"/>
          <w:b/>
          <w:sz w:val="20"/>
          <w:szCs w:val="20"/>
        </w:rPr>
      </w:pPr>
      <w:r w:rsidRPr="007C08B2">
        <w:rPr>
          <w:rFonts w:ascii="Times New Roman" w:hAnsi="Times New Roman"/>
          <w:b/>
        </w:rPr>
        <w:t>Thomson One Banker Data Item</w:t>
      </w:r>
      <w:r w:rsidRPr="007C08B2">
        <w:rPr>
          <w:rFonts w:ascii="Times New Roman" w:hAnsi="Times New Roman"/>
          <w:b/>
        </w:rPr>
        <w:tab/>
      </w:r>
      <w:r w:rsidRPr="007C08B2">
        <w:rPr>
          <w:rFonts w:ascii="Times New Roman" w:hAnsi="Times New Roman"/>
          <w:b/>
        </w:rPr>
        <w:tab/>
        <w:t>Definition</w:t>
      </w:r>
      <w:r>
        <w:rPr>
          <w:rStyle w:val="FootnoteReference"/>
          <w:rFonts w:ascii="Arial" w:hAnsi="Arial"/>
          <w:b/>
          <w:sz w:val="20"/>
          <w:szCs w:val="20"/>
        </w:rPr>
        <w:footnoteReference w:id="12"/>
      </w:r>
      <w:r w:rsidRPr="009A7369">
        <w:rPr>
          <w:rFonts w:ascii="Arial" w:hAnsi="Arial" w:cs="Arial"/>
          <w:b/>
          <w:sz w:val="20"/>
          <w:szCs w:val="2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292"/>
        <w:gridCol w:w="4995"/>
      </w:tblGrid>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WS.TotalCurrentAssets</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 xml:space="preserve">CURRENT ASSETS </w:t>
            </w:r>
            <w:r>
              <w:rPr>
                <w:rFonts w:ascii="Times New Roman" w:hAnsi="Times New Roman"/>
                <w:sz w:val="20"/>
                <w:szCs w:val="20"/>
              </w:rPr>
              <w:t>–</w:t>
            </w:r>
            <w:r w:rsidRPr="007C08B2">
              <w:rPr>
                <w:rFonts w:ascii="Times New Roman" w:hAnsi="Times New Roman"/>
                <w:sz w:val="20"/>
                <w:szCs w:val="20"/>
              </w:rPr>
              <w:t xml:space="preserve"> TOTAL represents cash and other assets that are reasonably expected to be realized in cash, sold or consumed within one year or one operating cycle. Generally, it is the sum of cash and equivalents, receivables, inventories, prepaid expenses and other current assets. For non-U.S. corporations, long term receivables are excluded from current assets even though included in net receivables</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WS.TotalCurrentLiabilities</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 xml:space="preserve">CURRENT LIABILITIES </w:t>
            </w:r>
            <w:r>
              <w:rPr>
                <w:rFonts w:ascii="Times New Roman" w:hAnsi="Times New Roman"/>
                <w:sz w:val="20"/>
                <w:szCs w:val="20"/>
              </w:rPr>
              <w:t>–</w:t>
            </w:r>
            <w:r w:rsidRPr="007C08B2">
              <w:rPr>
                <w:rFonts w:ascii="Times New Roman" w:hAnsi="Times New Roman"/>
                <w:sz w:val="20"/>
                <w:szCs w:val="20"/>
              </w:rPr>
              <w:t xml:space="preserve"> TOTAL represent debt or other obligations that the company expects to satisfy within one year. It includes but is not restricted to: Accounts payable, Short term debt, Notes payable, Current portion of long term debt, All accrued expenses, Other current liabilities, Income taxes payable, Dividends payable, State franchise taxes, Deferred credits</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 xml:space="preserve">WS.Cash </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rPr>
            </w:pPr>
            <w:r w:rsidRPr="007C08B2">
              <w:rPr>
                <w:rFonts w:ascii="Times New Roman" w:hAnsi="Times New Roman"/>
                <w:sz w:val="20"/>
                <w:szCs w:val="20"/>
              </w:rPr>
              <w:t>CASH represents money available for use in the normal operations of the company. It is the most liquid of all of the company’s assets.</w:t>
            </w:r>
          </w:p>
        </w:tc>
      </w:tr>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WS.TotalAssets</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TOTAL ASSETS represent the sum of total current assets, long term receivables, investment in unconsolidated subsidiaries, other investments, net property plant and equipment and other assets.</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WS.Sales</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NET SALES OR REVENUES represent gross sales and other operating revenue less discounts, returns and allowances.</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WS.TotalReceivables</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RECEIVABLES (NET) represent the amounts due to the company resulting from the sale of goods and services on credit to customers (after applicable reserves). These assets should reasonably be expected to be collected within a year or within the normal operating cycle of a business.</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WS.TotalPropPlantEquipGross</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PROPERTY, PLANT AND EQUIPMENT (GROSS) represents tangible assets with an expected useful life of over one year which are expected to be used to produce goods for sale or for distribution of services.</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autoSpaceDE w:val="0"/>
              <w:autoSpaceDN w:val="0"/>
              <w:adjustRightInd w:val="0"/>
              <w:spacing w:before="120" w:after="0" w:line="360" w:lineRule="auto"/>
              <w:rPr>
                <w:rFonts w:ascii="Times New Roman" w:hAnsi="Times New Roman"/>
                <w:sz w:val="20"/>
                <w:szCs w:val="20"/>
              </w:rPr>
            </w:pPr>
            <w:r w:rsidRPr="007C08B2">
              <w:rPr>
                <w:rFonts w:ascii="Times New Roman" w:hAnsi="Times New Roman"/>
                <w:sz w:val="20"/>
                <w:szCs w:val="20"/>
              </w:rPr>
              <w:t>WS.DepreciationDeplAmortExpense</w:t>
            </w:r>
          </w:p>
          <w:p w:rsidR="00DC7B1E" w:rsidRPr="007C08B2" w:rsidRDefault="00DC7B1E" w:rsidP="007C08B2">
            <w:pPr>
              <w:spacing w:before="120"/>
              <w:rPr>
                <w:rFonts w:ascii="Times New Roman" w:hAnsi="Times New Roman"/>
              </w:rPr>
            </w:pP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DEPRECIATION represents the process of allocating the cost of a depreciable asset to the accounting periods covered during its expected useful life to a business. It is a non-cash charge for use and obsolescence of an asset. DEPLETION refers to cost allocation for natural resources such as oil and mineral deposits. AMORTIZATION relates to cost allocation for intangible assets such as patents and leasehold improvements, trademarks, bookplates, tools and film cost. It excludes depreciation of discontinued operation. It includes oil &amp; gas property valuation provision. If depreciation is not available from the income statement it is taken from the Statement in Changes in Financial Position.</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spacing w:before="120"/>
              <w:rPr>
                <w:rFonts w:ascii="Times New Roman" w:hAnsi="Times New Roman"/>
              </w:rPr>
            </w:pPr>
            <w:r w:rsidRPr="007C08B2">
              <w:rPr>
                <w:rFonts w:ascii="Times New Roman" w:hAnsi="Times New Roman"/>
                <w:sz w:val="20"/>
                <w:szCs w:val="20"/>
              </w:rPr>
              <w:t>WS.CurPortLTDebt</w:t>
            </w: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CURRENT PORTION OF LONG TERM DEBT represents the amount of long term debt due within the next twelve months. It excludes: Notes payable, arising from short term borrowings, Current maturities of participation and entertainment obligation, Contracts payable for broadcast rights, Current portion of advances and production payments, Bank overdrafts, Advances from subsidiaries/associated companies (if the term of the loan is not known it is assumed that it is long term and is treated accordingly), Current portion of preferred stock.</w:t>
            </w:r>
          </w:p>
          <w:p w:rsidR="00DC7B1E" w:rsidRPr="007C08B2" w:rsidRDefault="00DC7B1E" w:rsidP="007C08B2">
            <w:pPr>
              <w:autoSpaceDE w:val="0"/>
              <w:autoSpaceDN w:val="0"/>
              <w:adjustRightInd w:val="0"/>
              <w:spacing w:before="120" w:after="0" w:line="240" w:lineRule="auto"/>
              <w:rPr>
                <w:rFonts w:ascii="Times New Roman" w:hAnsi="Times New Roman"/>
              </w:rPr>
            </w:pPr>
          </w:p>
        </w:tc>
      </w:tr>
      <w:tr w:rsidR="00DC7B1E" w:rsidTr="007C08B2">
        <w:tc>
          <w:tcPr>
            <w:tcW w:w="4292" w:type="dxa"/>
          </w:tcPr>
          <w:p w:rsidR="00DC7B1E" w:rsidRPr="007C08B2" w:rsidRDefault="00DC7B1E" w:rsidP="007C08B2">
            <w:pPr>
              <w:spacing w:before="120"/>
              <w:rPr>
                <w:rFonts w:ascii="Times New Roman" w:hAnsi="Times New Roman"/>
                <w:sz w:val="20"/>
                <w:szCs w:val="20"/>
              </w:rPr>
            </w:pPr>
            <w:r w:rsidRPr="007C08B2">
              <w:rPr>
                <w:rFonts w:ascii="Times New Roman" w:hAnsi="Times New Roman"/>
                <w:sz w:val="20"/>
                <w:szCs w:val="20"/>
              </w:rPr>
              <w:t>WS.TotalDebt</w:t>
            </w:r>
          </w:p>
        </w:tc>
        <w:tc>
          <w:tcPr>
            <w:tcW w:w="4995" w:type="dxa"/>
            <w:vAlign w:val="center"/>
          </w:tcPr>
          <w:p w:rsidR="00DC7B1E" w:rsidRPr="007C08B2" w:rsidRDefault="00DC7B1E" w:rsidP="007C08B2">
            <w:pPr>
              <w:autoSpaceDE w:val="0"/>
              <w:autoSpaceDN w:val="0"/>
              <w:adjustRightInd w:val="0"/>
              <w:spacing w:before="120" w:after="0" w:line="240" w:lineRule="auto"/>
              <w:rPr>
                <w:rFonts w:ascii="Times New Roman" w:hAnsi="Times New Roman"/>
                <w:sz w:val="20"/>
                <w:szCs w:val="20"/>
              </w:rPr>
            </w:pPr>
            <w:r w:rsidRPr="007C08B2">
              <w:rPr>
                <w:rFonts w:ascii="Times New Roman" w:hAnsi="Times New Roman"/>
                <w:sz w:val="20"/>
                <w:szCs w:val="20"/>
              </w:rPr>
              <w:t>TOTAL DEBT represents all interest bearing and capitalized lease obligations. It is the sum of long and short term.</w:t>
            </w:r>
          </w:p>
          <w:p w:rsidR="00DC7B1E" w:rsidRPr="007C08B2" w:rsidRDefault="00DC7B1E" w:rsidP="007C08B2">
            <w:pPr>
              <w:autoSpaceDE w:val="0"/>
              <w:autoSpaceDN w:val="0"/>
              <w:adjustRightInd w:val="0"/>
              <w:spacing w:before="120" w:after="0" w:line="240" w:lineRule="auto"/>
              <w:rPr>
                <w:rFonts w:ascii="Times New Roman" w:hAnsi="Times New Roman"/>
              </w:rPr>
            </w:pPr>
          </w:p>
        </w:tc>
      </w:tr>
    </w:tbl>
    <w:p w:rsidR="00DC7B1E" w:rsidRDefault="00DC7B1E" w:rsidP="008625AF">
      <w:pPr>
        <w:spacing w:afterLines="200" w:line="360" w:lineRule="auto"/>
        <w:contextualSpacing/>
        <w:jc w:val="both"/>
        <w:rPr>
          <w:rFonts w:ascii="Arial" w:hAnsi="Arial" w:cs="Arial"/>
        </w:rPr>
      </w:pPr>
    </w:p>
    <w:p w:rsidR="00DC7B1E" w:rsidRPr="007C08B2" w:rsidRDefault="00DC7B1E" w:rsidP="008625AF">
      <w:pPr>
        <w:autoSpaceDE w:val="0"/>
        <w:autoSpaceDN w:val="0"/>
        <w:adjustRightInd w:val="0"/>
        <w:spacing w:afterLines="200" w:line="360" w:lineRule="auto"/>
        <w:contextualSpacing/>
        <w:rPr>
          <w:rFonts w:ascii="Times New Roman" w:hAnsi="Times New Roman"/>
        </w:rPr>
      </w:pPr>
      <w:r w:rsidRPr="007C08B2">
        <w:rPr>
          <w:rFonts w:ascii="Times New Roman" w:hAnsi="Times New Roman"/>
        </w:rPr>
        <w:t>Source: Thomson One Banker 2003</w:t>
      </w: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Default="00DC7B1E" w:rsidP="00A94509">
      <w:pPr>
        <w:spacing w:line="360" w:lineRule="auto"/>
        <w:jc w:val="both"/>
        <w:rPr>
          <w:rFonts w:ascii="Arial" w:hAnsi="Arial" w:cs="Arial"/>
        </w:rPr>
      </w:pPr>
    </w:p>
    <w:p w:rsidR="00DC7B1E" w:rsidRPr="00421BFC" w:rsidRDefault="00DC7B1E" w:rsidP="00421BFC">
      <w:pPr>
        <w:pStyle w:val="Heading1"/>
        <w:spacing w:before="60" w:line="360" w:lineRule="auto"/>
        <w:contextualSpacing/>
        <w:rPr>
          <w:color w:val="245590"/>
        </w:rPr>
      </w:pPr>
      <w:bookmarkStart w:id="71" w:name="_Toc234568011"/>
      <w:r w:rsidRPr="00421BFC">
        <w:rPr>
          <w:color w:val="245590"/>
        </w:rPr>
        <w:t>Appendix 2 Sample firms</w:t>
      </w:r>
      <w:bookmarkEnd w:id="71"/>
    </w:p>
    <w:p w:rsidR="00DC7B1E" w:rsidRPr="0073198F" w:rsidRDefault="00DC7B1E" w:rsidP="0073198F"/>
    <w:tbl>
      <w:tblPr>
        <w:tblW w:w="95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925"/>
        <w:gridCol w:w="3596"/>
        <w:gridCol w:w="2267"/>
        <w:gridCol w:w="1825"/>
        <w:gridCol w:w="963"/>
      </w:tblGrid>
      <w:tr w:rsidR="00DC7B1E" w:rsidTr="007C08B2">
        <w:tc>
          <w:tcPr>
            <w:tcW w:w="925" w:type="dxa"/>
          </w:tcPr>
          <w:p w:rsidR="00DC7B1E" w:rsidRDefault="00DC7B1E" w:rsidP="008F01A7">
            <w:pPr>
              <w:spacing w:after="0" w:line="240" w:lineRule="auto"/>
              <w:contextualSpacing/>
            </w:pPr>
          </w:p>
        </w:tc>
        <w:tc>
          <w:tcPr>
            <w:tcW w:w="3596" w:type="dxa"/>
          </w:tcPr>
          <w:p w:rsidR="00DC7B1E" w:rsidRPr="00393BD5" w:rsidRDefault="00DC7B1E" w:rsidP="008F01A7">
            <w:pPr>
              <w:spacing w:after="0" w:line="240" w:lineRule="auto"/>
              <w:contextualSpacing/>
              <w:rPr>
                <w:b/>
              </w:rPr>
            </w:pPr>
            <w:r w:rsidRPr="00393BD5">
              <w:rPr>
                <w:b/>
              </w:rPr>
              <w:t>Firms</w:t>
            </w:r>
          </w:p>
          <w:p w:rsidR="00DC7B1E" w:rsidRPr="00393BD5" w:rsidRDefault="00DC7B1E" w:rsidP="008F01A7">
            <w:pPr>
              <w:spacing w:after="0" w:line="240" w:lineRule="auto"/>
              <w:contextualSpacing/>
              <w:rPr>
                <w:b/>
              </w:rPr>
            </w:pPr>
            <w:r w:rsidRPr="00393BD5">
              <w:rPr>
                <w:b/>
              </w:rPr>
              <w:t>(classified in 2 Digit SIC Code)</w:t>
            </w:r>
          </w:p>
        </w:tc>
        <w:tc>
          <w:tcPr>
            <w:tcW w:w="2267" w:type="dxa"/>
          </w:tcPr>
          <w:p w:rsidR="00DC7B1E" w:rsidRPr="00393BD5" w:rsidRDefault="00DC7B1E" w:rsidP="008F01A7">
            <w:pPr>
              <w:spacing w:after="0" w:line="240" w:lineRule="auto"/>
              <w:contextualSpacing/>
              <w:rPr>
                <w:b/>
              </w:rPr>
            </w:pPr>
            <w:r w:rsidRPr="00393BD5">
              <w:rPr>
                <w:b/>
              </w:rPr>
              <w:t>Industry Group</w:t>
            </w:r>
          </w:p>
        </w:tc>
        <w:tc>
          <w:tcPr>
            <w:tcW w:w="1825" w:type="dxa"/>
          </w:tcPr>
          <w:p w:rsidR="00DC7B1E" w:rsidRPr="00393BD5" w:rsidRDefault="00DC7B1E" w:rsidP="008F01A7">
            <w:pPr>
              <w:spacing w:after="0" w:line="240" w:lineRule="auto"/>
              <w:contextualSpacing/>
              <w:rPr>
                <w:b/>
              </w:rPr>
            </w:pPr>
            <w:r w:rsidRPr="00393BD5">
              <w:rPr>
                <w:b/>
              </w:rPr>
              <w:t>Primary SIC Code</w:t>
            </w:r>
          </w:p>
        </w:tc>
        <w:tc>
          <w:tcPr>
            <w:tcW w:w="963" w:type="dxa"/>
          </w:tcPr>
          <w:p w:rsidR="00DC7B1E" w:rsidRPr="00393BD5" w:rsidRDefault="00DC7B1E" w:rsidP="008F01A7">
            <w:pPr>
              <w:spacing w:after="0" w:line="240" w:lineRule="auto"/>
              <w:contextualSpacing/>
              <w:rPr>
                <w:b/>
              </w:rPr>
            </w:pPr>
            <w:r w:rsidRPr="00393BD5">
              <w:rPr>
                <w:b/>
              </w:rPr>
              <w:t>Firms in control group</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Anglo American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Antofagasta PLC</w:t>
                  </w:r>
                </w:p>
              </w:tc>
            </w:tr>
          </w:tbl>
          <w:p w:rsidR="00DC7B1E" w:rsidRDefault="00DC7B1E" w:rsidP="008F01A7">
            <w:pPr>
              <w:spacing w:after="0" w:line="240" w:lineRule="auto"/>
              <w:contextualSpacing/>
            </w:pPr>
          </w:p>
        </w:tc>
        <w:tc>
          <w:tcPr>
            <w:tcW w:w="2267" w:type="dxa"/>
          </w:tcPr>
          <w:p w:rsidR="00DC7B1E" w:rsidRPr="000E7117" w:rsidRDefault="00DC7B1E" w:rsidP="008F01A7">
            <w:pPr>
              <w:spacing w:after="0" w:line="240" w:lineRule="auto"/>
              <w:contextualSpacing/>
              <w:rPr>
                <w:color w:val="000000"/>
              </w:rPr>
            </w:pPr>
            <w:r>
              <w:rPr>
                <w:color w:val="000000"/>
              </w:rPr>
              <w:t>Metal Mining</w:t>
            </w: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1021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1021</w:t>
                  </w:r>
                </w:p>
              </w:tc>
            </w:tr>
          </w:tbl>
          <w:p w:rsidR="00DC7B1E" w:rsidRDefault="00DC7B1E" w:rsidP="008F01A7">
            <w:pPr>
              <w:spacing w:after="0" w:line="240" w:lineRule="auto"/>
              <w:contextualSpacing/>
            </w:pPr>
          </w:p>
        </w:tc>
        <w:tc>
          <w:tcPr>
            <w:tcW w:w="963" w:type="dxa"/>
          </w:tcPr>
          <w:p w:rsidR="00DC7B1E" w:rsidRPr="000E7117" w:rsidRDefault="00DC7B1E" w:rsidP="008F01A7">
            <w:pPr>
              <w:spacing w:after="0" w:line="240" w:lineRule="auto"/>
              <w:contextualSpacing/>
              <w:rPr>
                <w:color w:val="000000"/>
              </w:rPr>
            </w:pPr>
            <w:r>
              <w:rPr>
                <w:color w:val="000000"/>
              </w:rPr>
              <w:t>17</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4</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5</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6</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BG Group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Tullow Oil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JKX Oil &amp; Gas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Venture Production PLC</w:t>
                  </w:r>
                </w:p>
              </w:tc>
            </w:tr>
          </w:tbl>
          <w:p w:rsidR="00DC7B1E" w:rsidRDefault="00DC7B1E" w:rsidP="008F01A7">
            <w:pPr>
              <w:spacing w:after="0" w:line="240" w:lineRule="auto"/>
              <w:contextualSpacing/>
            </w:pPr>
          </w:p>
        </w:tc>
        <w:tc>
          <w:tcPr>
            <w:tcW w:w="2267" w:type="dxa"/>
          </w:tcPr>
          <w:p w:rsidR="00DC7B1E" w:rsidRDefault="00DC7B1E" w:rsidP="008F01A7">
            <w:pPr>
              <w:spacing w:after="0" w:line="240" w:lineRule="auto"/>
              <w:contextualSpacing/>
              <w:rPr>
                <w:color w:val="000000"/>
              </w:rPr>
            </w:pPr>
            <w:r>
              <w:rPr>
                <w:color w:val="000000"/>
              </w:rPr>
              <w:t>Petroleum and Natural Gas</w:t>
            </w:r>
          </w:p>
          <w:p w:rsidR="00DC7B1E" w:rsidRDefault="00DC7B1E" w:rsidP="008F01A7">
            <w:pPr>
              <w:spacing w:after="0" w:line="240" w:lineRule="auto"/>
              <w:contextualSpacing/>
            </w:pP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1311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1311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1311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1311</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14</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7</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8</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9</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Bellway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Kier Group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Amec PLC</w:t>
                  </w:r>
                </w:p>
              </w:tc>
            </w:tr>
          </w:tbl>
          <w:p w:rsidR="00DC7B1E" w:rsidRDefault="00DC7B1E" w:rsidP="008F01A7">
            <w:pPr>
              <w:spacing w:after="0" w:line="240" w:lineRule="auto"/>
              <w:contextualSpacing/>
            </w:pPr>
          </w:p>
        </w:tc>
        <w:tc>
          <w:tcPr>
            <w:tcW w:w="2267" w:type="dxa"/>
          </w:tcPr>
          <w:p w:rsidR="00DC7B1E" w:rsidRDefault="00DC7B1E" w:rsidP="008F01A7">
            <w:pPr>
              <w:spacing w:after="0" w:line="240" w:lineRule="auto"/>
              <w:contextualSpacing/>
              <w:rPr>
                <w:color w:val="000000"/>
              </w:rPr>
            </w:pPr>
            <w:r>
              <w:rPr>
                <w:color w:val="000000"/>
              </w:rPr>
              <w:t>Construction</w:t>
            </w:r>
          </w:p>
          <w:p w:rsidR="00DC7B1E" w:rsidRDefault="00DC7B1E" w:rsidP="008F01A7">
            <w:pPr>
              <w:spacing w:after="0" w:line="240" w:lineRule="auto"/>
              <w:contextualSpacing/>
            </w:pP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1521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1531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1542</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9</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10</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11</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12</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13</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Tate &amp; Lyle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Cadbury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Sabmiller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Diageo PLC</w:t>
                  </w:r>
                </w:p>
              </w:tc>
            </w:tr>
          </w:tbl>
          <w:p w:rsidR="00DC7B1E" w:rsidRDefault="00DC7B1E" w:rsidP="008F01A7">
            <w:pPr>
              <w:spacing w:after="0" w:line="240" w:lineRule="auto"/>
              <w:contextualSpacing/>
            </w:pPr>
          </w:p>
        </w:tc>
        <w:tc>
          <w:tcPr>
            <w:tcW w:w="2267" w:type="dxa"/>
          </w:tcPr>
          <w:p w:rsidR="00DC7B1E" w:rsidRDefault="00DC7B1E" w:rsidP="008F01A7">
            <w:pPr>
              <w:spacing w:after="0" w:line="240" w:lineRule="auto"/>
              <w:contextualSpacing/>
              <w:rPr>
                <w:color w:val="000000"/>
              </w:rPr>
            </w:pPr>
            <w:r>
              <w:rPr>
                <w:color w:val="000000"/>
              </w:rPr>
              <w:t>Food Products and Beer &amp; Liquor</w:t>
            </w:r>
          </w:p>
          <w:p w:rsidR="00DC7B1E" w:rsidRDefault="00DC7B1E" w:rsidP="008F01A7">
            <w:pPr>
              <w:spacing w:after="0" w:line="240" w:lineRule="auto"/>
              <w:contextualSpacing/>
            </w:pP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2046</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2064</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2082</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2084</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13</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14</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15</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16</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17</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18</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19</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eastAsia="nl-NL"/>
                    </w:rPr>
                  </w:pPr>
                  <w:r w:rsidRPr="000E7117">
                    <w:rPr>
                      <w:color w:val="000000"/>
                      <w:lang w:eastAsia="nl-NL"/>
                    </w:rPr>
                    <w:t>Daily Mail &amp; General Trust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Johnston Press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Trinity Mirror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United Business Media Limited</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Pearson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De La Rue PLC</w:t>
                  </w:r>
                </w:p>
              </w:tc>
            </w:tr>
          </w:tbl>
          <w:p w:rsidR="00DC7B1E" w:rsidRDefault="00DC7B1E" w:rsidP="008F01A7">
            <w:pPr>
              <w:spacing w:after="0" w:line="240" w:lineRule="auto"/>
              <w:contextualSpacing/>
            </w:pPr>
          </w:p>
        </w:tc>
        <w:tc>
          <w:tcPr>
            <w:tcW w:w="2267" w:type="dxa"/>
          </w:tcPr>
          <w:p w:rsidR="00DC7B1E" w:rsidRDefault="00DC7B1E" w:rsidP="008F01A7">
            <w:pPr>
              <w:spacing w:after="0" w:line="240" w:lineRule="auto"/>
              <w:contextualSpacing/>
              <w:rPr>
                <w:color w:val="000000"/>
              </w:rPr>
            </w:pPr>
            <w:r>
              <w:rPr>
                <w:color w:val="000000"/>
              </w:rPr>
              <w:t>Printing and Publishing</w:t>
            </w:r>
          </w:p>
          <w:p w:rsidR="00DC7B1E" w:rsidRDefault="00DC7B1E" w:rsidP="008F01A7">
            <w:pPr>
              <w:spacing w:after="0" w:line="240" w:lineRule="auto"/>
              <w:contextualSpacing/>
            </w:pP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2711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2711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2711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2711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2731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2759</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10</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20</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21</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22</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23</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24</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25</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Victrex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Chemring Group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Glaxosmithkline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Shire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Reckitt Benckiser Group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Croda International PLC</w:t>
                  </w:r>
                </w:p>
              </w:tc>
            </w:tr>
          </w:tbl>
          <w:p w:rsidR="00DC7B1E" w:rsidRDefault="00DC7B1E" w:rsidP="008F01A7">
            <w:pPr>
              <w:spacing w:after="0" w:line="240" w:lineRule="auto"/>
              <w:contextualSpacing/>
            </w:pPr>
          </w:p>
        </w:tc>
        <w:tc>
          <w:tcPr>
            <w:tcW w:w="2267" w:type="dxa"/>
          </w:tcPr>
          <w:p w:rsidR="00DC7B1E" w:rsidRDefault="00DC7B1E" w:rsidP="008F01A7">
            <w:pPr>
              <w:spacing w:after="0" w:line="240" w:lineRule="auto"/>
              <w:contextualSpacing/>
              <w:rPr>
                <w:color w:val="000000"/>
              </w:rPr>
            </w:pPr>
            <w:r>
              <w:rPr>
                <w:color w:val="000000"/>
              </w:rPr>
              <w:t>Chemicals &amp; Allied Products and pharmaceutical products</w:t>
            </w:r>
          </w:p>
          <w:p w:rsidR="00DC7B1E" w:rsidRDefault="00DC7B1E" w:rsidP="008F01A7">
            <w:pPr>
              <w:spacing w:after="0" w:line="240" w:lineRule="auto"/>
              <w:contextualSpacing/>
            </w:pP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2821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2899</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2834</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2834</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2840</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2843</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39</w:t>
            </w:r>
          </w:p>
          <w:p w:rsidR="00DC7B1E" w:rsidRDefault="00DC7B1E" w:rsidP="008F01A7">
            <w:pPr>
              <w:spacing w:after="0" w:line="240" w:lineRule="auto"/>
              <w:contextualSpacing/>
            </w:pPr>
          </w:p>
        </w:tc>
      </w:tr>
      <w:tr w:rsidR="00DC7B1E" w:rsidTr="007C08B2">
        <w:trPr>
          <w:trHeight w:val="77"/>
        </w:trPr>
        <w:tc>
          <w:tcPr>
            <w:tcW w:w="925" w:type="dxa"/>
          </w:tcPr>
          <w:p w:rsidR="00DC7B1E" w:rsidRPr="00485002" w:rsidRDefault="00DC7B1E" w:rsidP="008F01A7">
            <w:pPr>
              <w:spacing w:after="0" w:line="240" w:lineRule="auto"/>
              <w:contextualSpacing/>
              <w:rPr>
                <w:color w:val="000000"/>
              </w:rPr>
            </w:pPr>
            <w:r>
              <w:rPr>
                <w:color w:val="000000"/>
              </w:rPr>
              <w:t xml:space="preserve">  26</w:t>
            </w:r>
          </w:p>
        </w:tc>
        <w:tc>
          <w:tcPr>
            <w:tcW w:w="3596" w:type="dxa"/>
          </w:tcPr>
          <w:p w:rsidR="00DC7B1E" w:rsidRPr="00485002" w:rsidRDefault="00DC7B1E" w:rsidP="008F01A7">
            <w:pPr>
              <w:spacing w:after="0" w:line="240" w:lineRule="auto"/>
              <w:contextualSpacing/>
              <w:rPr>
                <w:color w:val="000000"/>
              </w:rPr>
            </w:pPr>
            <w:r>
              <w:rPr>
                <w:color w:val="000000"/>
              </w:rPr>
              <w:t xml:space="preserve">  SSL International PLC</w:t>
            </w:r>
          </w:p>
        </w:tc>
        <w:tc>
          <w:tcPr>
            <w:tcW w:w="2267" w:type="dxa"/>
          </w:tcPr>
          <w:p w:rsidR="00DC7B1E" w:rsidRDefault="00DC7B1E" w:rsidP="008F01A7">
            <w:pPr>
              <w:spacing w:after="0" w:line="240" w:lineRule="auto"/>
              <w:contextualSpacing/>
              <w:rPr>
                <w:color w:val="000000"/>
              </w:rPr>
            </w:pPr>
            <w:r>
              <w:rPr>
                <w:color w:val="000000"/>
              </w:rPr>
              <w:t>Rubber and Plastic Products</w:t>
            </w:r>
          </w:p>
        </w:tc>
        <w:tc>
          <w:tcPr>
            <w:tcW w:w="1825" w:type="dxa"/>
          </w:tcPr>
          <w:p w:rsidR="00DC7B1E" w:rsidRPr="00485002" w:rsidRDefault="00DC7B1E" w:rsidP="008F01A7">
            <w:pPr>
              <w:spacing w:after="0" w:line="240" w:lineRule="auto"/>
              <w:contextualSpacing/>
              <w:rPr>
                <w:color w:val="000000"/>
              </w:rPr>
            </w:pPr>
            <w:r>
              <w:rPr>
                <w:color w:val="000000"/>
              </w:rPr>
              <w:t>3069</w:t>
            </w:r>
          </w:p>
        </w:tc>
        <w:tc>
          <w:tcPr>
            <w:tcW w:w="963" w:type="dxa"/>
          </w:tcPr>
          <w:p w:rsidR="00DC7B1E" w:rsidRDefault="00DC7B1E" w:rsidP="008F01A7">
            <w:pPr>
              <w:spacing w:after="0" w:line="240" w:lineRule="auto"/>
              <w:contextualSpacing/>
              <w:rPr>
                <w:color w:val="000000"/>
              </w:rPr>
            </w:pPr>
            <w:r>
              <w:rPr>
                <w:color w:val="000000"/>
              </w:rPr>
              <w:t>9</w:t>
            </w:r>
          </w:p>
        </w:tc>
      </w:tr>
      <w:tr w:rsidR="00DC7B1E" w:rsidTr="007C08B2">
        <w:trPr>
          <w:trHeight w:val="77"/>
        </w:trPr>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27</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28</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29</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Cookson Group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Marshalls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eastAsia="nl-NL"/>
                    </w:rPr>
                  </w:pPr>
                  <w:r w:rsidRPr="000E7117">
                    <w:rPr>
                      <w:color w:val="000000"/>
                      <w:lang w:eastAsia="nl-NL"/>
                    </w:rPr>
                    <w:t>The Morgan Crucible Company PLC</w:t>
                  </w:r>
                </w:p>
              </w:tc>
            </w:tr>
          </w:tbl>
          <w:p w:rsidR="00DC7B1E" w:rsidRDefault="00DC7B1E" w:rsidP="008F01A7">
            <w:pPr>
              <w:spacing w:after="0" w:line="240" w:lineRule="auto"/>
              <w:contextualSpacing/>
            </w:pPr>
          </w:p>
        </w:tc>
        <w:tc>
          <w:tcPr>
            <w:tcW w:w="2267" w:type="dxa"/>
          </w:tcPr>
          <w:p w:rsidR="00DC7B1E" w:rsidRPr="000E7117" w:rsidRDefault="00DC7B1E" w:rsidP="008F01A7">
            <w:pPr>
              <w:spacing w:after="0" w:line="240" w:lineRule="auto"/>
              <w:contextualSpacing/>
              <w:rPr>
                <w:color w:val="000000"/>
              </w:rPr>
            </w:pPr>
            <w:r>
              <w:rPr>
                <w:color w:val="000000"/>
              </w:rPr>
              <w:t>Construction Materials</w:t>
            </w: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3255</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3271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3297</w:t>
                  </w:r>
                </w:p>
              </w:tc>
            </w:tr>
          </w:tbl>
          <w:p w:rsidR="00DC7B1E" w:rsidRDefault="00DC7B1E" w:rsidP="008F01A7">
            <w:pPr>
              <w:spacing w:after="0" w:line="240" w:lineRule="auto"/>
              <w:contextualSpacing/>
            </w:pPr>
          </w:p>
        </w:tc>
        <w:tc>
          <w:tcPr>
            <w:tcW w:w="963" w:type="dxa"/>
          </w:tcPr>
          <w:p w:rsidR="00DC7B1E" w:rsidRPr="000E7117" w:rsidRDefault="00DC7B1E" w:rsidP="008F01A7">
            <w:pPr>
              <w:spacing w:after="0" w:line="240" w:lineRule="auto"/>
              <w:contextualSpacing/>
              <w:rPr>
                <w:color w:val="000000"/>
              </w:rPr>
            </w:pPr>
            <w:r>
              <w:rPr>
                <w:color w:val="000000"/>
              </w:rPr>
              <w:t>7</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30</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31</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Rexam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Rotork PLC</w:t>
                  </w:r>
                </w:p>
              </w:tc>
            </w:tr>
          </w:tbl>
          <w:p w:rsidR="00DC7B1E" w:rsidRDefault="00DC7B1E" w:rsidP="008F01A7">
            <w:pPr>
              <w:spacing w:after="0" w:line="240" w:lineRule="auto"/>
              <w:contextualSpacing/>
            </w:pPr>
          </w:p>
        </w:tc>
        <w:tc>
          <w:tcPr>
            <w:tcW w:w="2267" w:type="dxa"/>
          </w:tcPr>
          <w:p w:rsidR="00DC7B1E" w:rsidRPr="000E7117" w:rsidRDefault="00DC7B1E" w:rsidP="008F01A7">
            <w:pPr>
              <w:spacing w:after="0" w:line="240" w:lineRule="auto"/>
              <w:contextualSpacing/>
              <w:rPr>
                <w:color w:val="000000"/>
              </w:rPr>
            </w:pPr>
            <w:r>
              <w:rPr>
                <w:color w:val="000000"/>
              </w:rPr>
              <w:t>Construction Materials</w:t>
            </w: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3411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3491</w:t>
                  </w:r>
                </w:p>
              </w:tc>
            </w:tr>
          </w:tbl>
          <w:p w:rsidR="00DC7B1E" w:rsidRDefault="00DC7B1E" w:rsidP="008F01A7">
            <w:pPr>
              <w:spacing w:after="0" w:line="240" w:lineRule="auto"/>
              <w:contextualSpacing/>
            </w:pPr>
          </w:p>
        </w:tc>
        <w:tc>
          <w:tcPr>
            <w:tcW w:w="963" w:type="dxa"/>
          </w:tcPr>
          <w:p w:rsidR="00DC7B1E" w:rsidRPr="000E7117" w:rsidRDefault="00DC7B1E" w:rsidP="008F01A7">
            <w:pPr>
              <w:spacing w:after="0" w:line="240" w:lineRule="auto"/>
              <w:contextualSpacing/>
              <w:rPr>
                <w:color w:val="000000"/>
              </w:rPr>
            </w:pPr>
            <w:r>
              <w:rPr>
                <w:color w:val="000000"/>
              </w:rPr>
              <w:t>9</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32</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33</w:t>
                  </w:r>
                </w:p>
              </w:tc>
            </w:tr>
            <w:tr w:rsidR="00DC7B1E" w:rsidRPr="000E7117" w:rsidTr="00393BD5">
              <w:trPr>
                <w:trHeight w:val="300"/>
              </w:trPr>
              <w:tc>
                <w:tcPr>
                  <w:tcW w:w="52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34</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Charter International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Weir Group PLC</w:t>
                  </w:r>
                </w:p>
              </w:tc>
            </w:tr>
            <w:tr w:rsidR="00DC7B1E" w:rsidRPr="000E7117" w:rsidTr="00393BD5">
              <w:trPr>
                <w:trHeight w:val="300"/>
              </w:trPr>
              <w:tc>
                <w:tcPr>
                  <w:tcW w:w="338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IMI PLC</w:t>
                  </w:r>
                </w:p>
              </w:tc>
            </w:tr>
          </w:tbl>
          <w:p w:rsidR="00DC7B1E" w:rsidRDefault="00DC7B1E" w:rsidP="008F01A7">
            <w:pPr>
              <w:spacing w:after="0" w:line="240" w:lineRule="auto"/>
              <w:contextualSpacing/>
            </w:pPr>
          </w:p>
        </w:tc>
        <w:tc>
          <w:tcPr>
            <w:tcW w:w="2267" w:type="dxa"/>
          </w:tcPr>
          <w:p w:rsidR="00DC7B1E" w:rsidRPr="000E7117" w:rsidRDefault="00DC7B1E" w:rsidP="008F01A7">
            <w:pPr>
              <w:spacing w:after="0" w:line="240" w:lineRule="auto"/>
              <w:contextualSpacing/>
              <w:rPr>
                <w:color w:val="000000"/>
              </w:rPr>
            </w:pPr>
            <w:r>
              <w:rPr>
                <w:color w:val="000000"/>
              </w:rPr>
              <w:t>Machinery</w:t>
            </w:r>
          </w:p>
        </w:tc>
        <w:tc>
          <w:tcPr>
            <w:tcW w:w="1825" w:type="dxa"/>
          </w:tcPr>
          <w:tbl>
            <w:tblPr>
              <w:tblW w:w="1700" w:type="dxa"/>
              <w:tblLayout w:type="fixed"/>
              <w:tblCellMar>
                <w:left w:w="70" w:type="dxa"/>
                <w:right w:w="70" w:type="dxa"/>
              </w:tblCellMar>
              <w:tblLook w:val="00A0"/>
            </w:tblPr>
            <w:tblGrid>
              <w:gridCol w:w="1700"/>
            </w:tblGrid>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3548</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3561</w:t>
                  </w:r>
                </w:p>
              </w:tc>
            </w:tr>
            <w:tr w:rsidR="00DC7B1E" w:rsidRPr="000E7117" w:rsidTr="00393BD5">
              <w:trPr>
                <w:trHeight w:val="300"/>
              </w:trPr>
              <w:tc>
                <w:tcPr>
                  <w:tcW w:w="1700" w:type="dxa"/>
                  <w:tcBorders>
                    <w:top w:val="nil"/>
                    <w:left w:val="nil"/>
                    <w:bottom w:val="nil"/>
                    <w:right w:val="nil"/>
                  </w:tcBorders>
                  <w:noWrap/>
                  <w:vAlign w:val="bottom"/>
                </w:tcPr>
                <w:p w:rsidR="00DC7B1E" w:rsidRPr="000E7117" w:rsidRDefault="00DC7B1E" w:rsidP="008F01A7">
                  <w:pPr>
                    <w:spacing w:after="0" w:line="240" w:lineRule="auto"/>
                    <w:contextualSpacing/>
                    <w:rPr>
                      <w:color w:val="000000"/>
                      <w:lang w:val="nl-NL" w:eastAsia="nl-NL"/>
                    </w:rPr>
                  </w:pPr>
                  <w:r w:rsidRPr="000E7117">
                    <w:rPr>
                      <w:color w:val="000000"/>
                      <w:lang w:val="nl-NL" w:eastAsia="nl-NL"/>
                    </w:rPr>
                    <w:t>3593</w:t>
                  </w:r>
                </w:p>
              </w:tc>
            </w:tr>
          </w:tbl>
          <w:p w:rsidR="00DC7B1E" w:rsidRDefault="00DC7B1E" w:rsidP="008F01A7">
            <w:pPr>
              <w:spacing w:after="0" w:line="240" w:lineRule="auto"/>
              <w:contextualSpacing/>
            </w:pPr>
          </w:p>
        </w:tc>
        <w:tc>
          <w:tcPr>
            <w:tcW w:w="963" w:type="dxa"/>
          </w:tcPr>
          <w:p w:rsidR="00DC7B1E" w:rsidRPr="000E7117" w:rsidRDefault="00DC7B1E" w:rsidP="008F01A7">
            <w:pPr>
              <w:spacing w:after="0" w:line="240" w:lineRule="auto"/>
              <w:contextualSpacing/>
              <w:rPr>
                <w:color w:val="000000"/>
              </w:rPr>
            </w:pPr>
            <w:r>
              <w:rPr>
                <w:color w:val="000000"/>
              </w:rPr>
              <w:t>12</w:t>
            </w:r>
          </w:p>
        </w:tc>
      </w:tr>
      <w:tr w:rsidR="00DC7B1E" w:rsidTr="007C08B2">
        <w:trPr>
          <w:trHeight w:val="1351"/>
        </w:trPr>
        <w:tc>
          <w:tcPr>
            <w:tcW w:w="925" w:type="dxa"/>
          </w:tcPr>
          <w:tbl>
            <w:tblPr>
              <w:tblW w:w="520" w:type="dxa"/>
              <w:tblLayout w:type="fixed"/>
              <w:tblCellMar>
                <w:left w:w="70" w:type="dxa"/>
                <w:right w:w="70" w:type="dxa"/>
              </w:tblCellMar>
              <w:tblLook w:val="00A0"/>
            </w:tblPr>
            <w:tblGrid>
              <w:gridCol w:w="520"/>
            </w:tblGrid>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35</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36</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37</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38</w:t>
                  </w:r>
                </w:p>
              </w:tc>
            </w:tr>
          </w:tbl>
          <w:p w:rsidR="00DC7B1E" w:rsidRPr="000E7117" w:rsidRDefault="00DC7B1E" w:rsidP="008F01A7">
            <w:pPr>
              <w:spacing w:after="0" w:line="240" w:lineRule="auto"/>
              <w:contextualSpacing/>
              <w:rPr>
                <w:color w:val="000000"/>
                <w:lang w:val="nl-NL" w:eastAsia="nl-NL"/>
              </w:rPr>
            </w:pPr>
          </w:p>
        </w:tc>
        <w:tc>
          <w:tcPr>
            <w:tcW w:w="3596" w:type="dxa"/>
          </w:tcPr>
          <w:tbl>
            <w:tblPr>
              <w:tblW w:w="3380" w:type="dxa"/>
              <w:tblLayout w:type="fixed"/>
              <w:tblCellMar>
                <w:left w:w="70" w:type="dxa"/>
                <w:right w:w="70" w:type="dxa"/>
              </w:tblCellMar>
              <w:tblLook w:val="00A0"/>
            </w:tblPr>
            <w:tblGrid>
              <w:gridCol w:w="3380"/>
            </w:tblGrid>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Chloride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AGA Rangemaster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Smiths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Arm Holdings PLC</w:t>
                  </w:r>
                </w:p>
              </w:tc>
            </w:tr>
          </w:tbl>
          <w:p w:rsidR="00DC7B1E" w:rsidRPr="000E7117" w:rsidRDefault="00DC7B1E" w:rsidP="008F01A7">
            <w:pPr>
              <w:spacing w:after="0" w:line="240" w:lineRule="auto"/>
              <w:contextualSpacing/>
              <w:rPr>
                <w:color w:val="000000"/>
                <w:lang w:val="nl-NL" w:eastAsia="nl-NL"/>
              </w:rPr>
            </w:pPr>
          </w:p>
        </w:tc>
        <w:tc>
          <w:tcPr>
            <w:tcW w:w="2267" w:type="dxa"/>
          </w:tcPr>
          <w:p w:rsidR="00DC7B1E" w:rsidRDefault="00DC7B1E" w:rsidP="008F01A7">
            <w:pPr>
              <w:spacing w:after="0" w:line="240" w:lineRule="auto"/>
              <w:contextualSpacing/>
              <w:rPr>
                <w:color w:val="000000"/>
              </w:rPr>
            </w:pPr>
            <w:r>
              <w:rPr>
                <w:color w:val="000000"/>
              </w:rPr>
              <w:t>Electrical and Electronical Equipment</w:t>
            </w: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3629</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3631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3643</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3674</w:t>
                  </w:r>
                </w:p>
              </w:tc>
            </w:tr>
          </w:tbl>
          <w:p w:rsidR="00DC7B1E" w:rsidRPr="000E7117" w:rsidRDefault="00DC7B1E" w:rsidP="008F01A7">
            <w:pPr>
              <w:spacing w:after="0" w:line="240" w:lineRule="auto"/>
              <w:contextualSpacing/>
              <w:rPr>
                <w:color w:val="000000"/>
                <w:lang w:val="nl-NL" w:eastAsia="nl-NL"/>
              </w:rPr>
            </w:pPr>
          </w:p>
        </w:tc>
        <w:tc>
          <w:tcPr>
            <w:tcW w:w="963" w:type="dxa"/>
          </w:tcPr>
          <w:p w:rsidR="00DC7B1E" w:rsidRDefault="00DC7B1E" w:rsidP="008F01A7">
            <w:pPr>
              <w:spacing w:after="0" w:line="240" w:lineRule="auto"/>
              <w:contextualSpacing/>
              <w:rPr>
                <w:color w:val="000000"/>
              </w:rPr>
            </w:pPr>
            <w:r>
              <w:rPr>
                <w:color w:val="000000"/>
              </w:rPr>
              <w:t>22</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39</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40</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41</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42</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43</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GKN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Tomkins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Rolls-Royce Group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Meggitt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Cobham PLC</w:t>
                  </w:r>
                </w:p>
              </w:tc>
            </w:tr>
          </w:tbl>
          <w:p w:rsidR="00DC7B1E" w:rsidRDefault="00DC7B1E" w:rsidP="008F01A7">
            <w:pPr>
              <w:spacing w:after="0" w:line="240" w:lineRule="auto"/>
              <w:contextualSpacing/>
            </w:pPr>
          </w:p>
        </w:tc>
        <w:tc>
          <w:tcPr>
            <w:tcW w:w="2267" w:type="dxa"/>
          </w:tcPr>
          <w:p w:rsidR="00DC7B1E" w:rsidRPr="008A221B" w:rsidRDefault="00DC7B1E" w:rsidP="008F01A7">
            <w:pPr>
              <w:spacing w:after="0" w:line="240" w:lineRule="auto"/>
              <w:contextualSpacing/>
              <w:rPr>
                <w:color w:val="000000"/>
              </w:rPr>
            </w:pPr>
            <w:r>
              <w:rPr>
                <w:color w:val="000000"/>
              </w:rPr>
              <w:t>Automobiles and Trucks</w:t>
            </w:r>
          </w:p>
        </w:tc>
        <w:tc>
          <w:tcPr>
            <w:tcW w:w="1825" w:type="dxa"/>
          </w:tcPr>
          <w:tbl>
            <w:tblPr>
              <w:tblW w:w="1700" w:type="dxa"/>
              <w:tblLayout w:type="fixed"/>
              <w:tblCellMar>
                <w:left w:w="70" w:type="dxa"/>
                <w:right w:w="70" w:type="dxa"/>
              </w:tblCellMar>
              <w:tblLook w:val="00A0"/>
            </w:tblPr>
            <w:tblGrid>
              <w:gridCol w:w="1700"/>
            </w:tblGrid>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3714</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3714</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3724</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3724</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3728</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7</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44</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45</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46</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47</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48</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Ultra Electronic Holdings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Invensys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Spirax-Sarco Engineering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Renishaw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Smith &amp; Nephew PLC</w:t>
                  </w:r>
                </w:p>
              </w:tc>
            </w:tr>
          </w:tbl>
          <w:p w:rsidR="00DC7B1E" w:rsidRDefault="00DC7B1E" w:rsidP="008F01A7">
            <w:pPr>
              <w:spacing w:after="0" w:line="240" w:lineRule="auto"/>
              <w:contextualSpacing/>
            </w:pPr>
          </w:p>
        </w:tc>
        <w:tc>
          <w:tcPr>
            <w:tcW w:w="2267" w:type="dxa"/>
          </w:tcPr>
          <w:p w:rsidR="00DC7B1E" w:rsidRPr="008A221B" w:rsidRDefault="00DC7B1E" w:rsidP="008F01A7">
            <w:pPr>
              <w:spacing w:after="0" w:line="240" w:lineRule="auto"/>
              <w:contextualSpacing/>
              <w:rPr>
                <w:color w:val="000000"/>
              </w:rPr>
            </w:pPr>
            <w:r>
              <w:rPr>
                <w:color w:val="000000"/>
              </w:rPr>
              <w:t>Measuring and Control Equipment</w:t>
            </w:r>
          </w:p>
        </w:tc>
        <w:tc>
          <w:tcPr>
            <w:tcW w:w="1825" w:type="dxa"/>
          </w:tcPr>
          <w:tbl>
            <w:tblPr>
              <w:tblW w:w="1700" w:type="dxa"/>
              <w:tblLayout w:type="fixed"/>
              <w:tblCellMar>
                <w:left w:w="70" w:type="dxa"/>
                <w:right w:w="70" w:type="dxa"/>
              </w:tblCellMar>
              <w:tblLook w:val="00A0"/>
            </w:tblPr>
            <w:tblGrid>
              <w:gridCol w:w="1700"/>
            </w:tblGrid>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3812</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3823</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3823</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3826</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3842</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22</w:t>
            </w:r>
          </w:p>
          <w:p w:rsidR="00DC7B1E" w:rsidRDefault="00DC7B1E" w:rsidP="008F01A7">
            <w:pPr>
              <w:spacing w:after="0" w:line="240" w:lineRule="auto"/>
              <w:contextualSpacing/>
            </w:pPr>
          </w:p>
        </w:tc>
      </w:tr>
      <w:tr w:rsidR="00DC7B1E" w:rsidTr="007C08B2">
        <w:tc>
          <w:tcPr>
            <w:tcW w:w="925" w:type="dxa"/>
          </w:tcPr>
          <w:p w:rsidR="00DC7B1E" w:rsidRPr="008A221B" w:rsidRDefault="00DC7B1E" w:rsidP="008F01A7">
            <w:pPr>
              <w:spacing w:after="0" w:line="240" w:lineRule="auto"/>
              <w:contextualSpacing/>
              <w:rPr>
                <w:color w:val="000000"/>
              </w:rPr>
            </w:pPr>
            <w:r>
              <w:rPr>
                <w:color w:val="000000"/>
              </w:rPr>
              <w:t xml:space="preserve">  49</w:t>
            </w:r>
          </w:p>
        </w:tc>
        <w:tc>
          <w:tcPr>
            <w:tcW w:w="3596" w:type="dxa"/>
          </w:tcPr>
          <w:p w:rsidR="00DC7B1E" w:rsidRPr="008A221B" w:rsidRDefault="00DC7B1E" w:rsidP="008F01A7">
            <w:pPr>
              <w:spacing w:after="0" w:line="240" w:lineRule="auto"/>
              <w:contextualSpacing/>
              <w:rPr>
                <w:color w:val="000000"/>
              </w:rPr>
            </w:pPr>
            <w:r>
              <w:rPr>
                <w:color w:val="000000"/>
              </w:rPr>
              <w:t xml:space="preserve">  Wincanton PLC</w:t>
            </w:r>
          </w:p>
        </w:tc>
        <w:tc>
          <w:tcPr>
            <w:tcW w:w="2267" w:type="dxa"/>
          </w:tcPr>
          <w:p w:rsidR="00DC7B1E" w:rsidRPr="008A221B" w:rsidRDefault="00DC7B1E" w:rsidP="008F01A7">
            <w:pPr>
              <w:spacing w:after="0" w:line="240" w:lineRule="auto"/>
              <w:contextualSpacing/>
              <w:rPr>
                <w:color w:val="000000"/>
              </w:rPr>
            </w:pPr>
            <w:r>
              <w:rPr>
                <w:color w:val="000000"/>
              </w:rPr>
              <w:t>Transportation</w:t>
            </w:r>
          </w:p>
        </w:tc>
        <w:tc>
          <w:tcPr>
            <w:tcW w:w="1825" w:type="dxa"/>
          </w:tcPr>
          <w:p w:rsidR="00DC7B1E" w:rsidRPr="008A221B" w:rsidRDefault="00DC7B1E" w:rsidP="008F01A7">
            <w:pPr>
              <w:spacing w:after="0" w:line="240" w:lineRule="auto"/>
              <w:contextualSpacing/>
              <w:rPr>
                <w:color w:val="000000"/>
              </w:rPr>
            </w:pPr>
            <w:r>
              <w:rPr>
                <w:color w:val="000000"/>
              </w:rPr>
              <w:t xml:space="preserve">  4731</w:t>
            </w:r>
          </w:p>
        </w:tc>
        <w:tc>
          <w:tcPr>
            <w:tcW w:w="963" w:type="dxa"/>
          </w:tcPr>
          <w:p w:rsidR="00DC7B1E" w:rsidRPr="008A221B" w:rsidRDefault="00DC7B1E" w:rsidP="008F01A7">
            <w:pPr>
              <w:spacing w:after="0" w:line="240" w:lineRule="auto"/>
              <w:contextualSpacing/>
              <w:rPr>
                <w:color w:val="000000"/>
              </w:rPr>
            </w:pPr>
            <w:r>
              <w:rPr>
                <w:color w:val="000000"/>
              </w:rPr>
              <w:t>6</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50</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51</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52</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53</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54</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Carphone Warehouse Group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Vodafone Group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BT Group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Cable &amp; Wireless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Inmarsat PLC</w:t>
                  </w:r>
                </w:p>
              </w:tc>
            </w:tr>
          </w:tbl>
          <w:p w:rsidR="00DC7B1E" w:rsidRDefault="00DC7B1E" w:rsidP="008F01A7">
            <w:pPr>
              <w:spacing w:after="0" w:line="240" w:lineRule="auto"/>
              <w:contextualSpacing/>
            </w:pPr>
          </w:p>
        </w:tc>
        <w:tc>
          <w:tcPr>
            <w:tcW w:w="2267" w:type="dxa"/>
          </w:tcPr>
          <w:p w:rsidR="00DC7B1E" w:rsidRPr="008A221B" w:rsidRDefault="00DC7B1E" w:rsidP="008F01A7">
            <w:pPr>
              <w:spacing w:after="0" w:line="240" w:lineRule="auto"/>
              <w:contextualSpacing/>
              <w:rPr>
                <w:color w:val="000000"/>
              </w:rPr>
            </w:pPr>
            <w:r>
              <w:rPr>
                <w:color w:val="000000"/>
              </w:rPr>
              <w:t>Tele Communication</w:t>
            </w:r>
          </w:p>
        </w:tc>
        <w:tc>
          <w:tcPr>
            <w:tcW w:w="1825" w:type="dxa"/>
          </w:tcPr>
          <w:tbl>
            <w:tblPr>
              <w:tblW w:w="1700" w:type="dxa"/>
              <w:tblLayout w:type="fixed"/>
              <w:tblCellMar>
                <w:left w:w="70" w:type="dxa"/>
                <w:right w:w="70" w:type="dxa"/>
              </w:tblCellMar>
              <w:tblLook w:val="00A0"/>
            </w:tblPr>
            <w:tblGrid>
              <w:gridCol w:w="1700"/>
            </w:tblGrid>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4812</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4812</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4813</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4813</w:t>
                  </w:r>
                </w:p>
              </w:tc>
            </w:tr>
            <w:tr w:rsidR="00DC7B1E" w:rsidRPr="008A221B" w:rsidTr="00393BD5">
              <w:trPr>
                <w:trHeight w:val="300"/>
              </w:trPr>
              <w:tc>
                <w:tcPr>
                  <w:tcW w:w="170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4899</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12</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55</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56</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57</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58</w:t>
                  </w:r>
                </w:p>
              </w:tc>
            </w:tr>
            <w:tr w:rsidR="00DC7B1E" w:rsidRPr="008A221B" w:rsidTr="00393BD5">
              <w:trPr>
                <w:trHeight w:val="300"/>
              </w:trPr>
              <w:tc>
                <w:tcPr>
                  <w:tcW w:w="52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59</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SIG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Electrocomponents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Premier Farnell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Wolseley PLC</w:t>
                  </w:r>
                </w:p>
              </w:tc>
            </w:tr>
            <w:tr w:rsidR="00DC7B1E" w:rsidRPr="008A221B" w:rsidTr="00393BD5">
              <w:trPr>
                <w:trHeight w:val="300"/>
              </w:trPr>
              <w:tc>
                <w:tcPr>
                  <w:tcW w:w="3380" w:type="dxa"/>
                  <w:tcBorders>
                    <w:top w:val="nil"/>
                    <w:left w:val="nil"/>
                    <w:bottom w:val="nil"/>
                    <w:right w:val="nil"/>
                  </w:tcBorders>
                  <w:noWrap/>
                  <w:vAlign w:val="bottom"/>
                </w:tcPr>
                <w:p w:rsidR="00DC7B1E" w:rsidRPr="008A221B" w:rsidRDefault="00DC7B1E" w:rsidP="008F01A7">
                  <w:pPr>
                    <w:spacing w:after="0" w:line="240" w:lineRule="auto"/>
                    <w:contextualSpacing/>
                    <w:rPr>
                      <w:color w:val="000000"/>
                      <w:lang w:val="nl-NL" w:eastAsia="nl-NL"/>
                    </w:rPr>
                  </w:pPr>
                  <w:r w:rsidRPr="008A221B">
                    <w:rPr>
                      <w:color w:val="000000"/>
                      <w:lang w:val="nl-NL" w:eastAsia="nl-NL"/>
                    </w:rPr>
                    <w:t>BSS Group PLC</w:t>
                  </w:r>
                </w:p>
              </w:tc>
            </w:tr>
          </w:tbl>
          <w:p w:rsidR="00DC7B1E" w:rsidRDefault="00DC7B1E" w:rsidP="008F01A7">
            <w:pPr>
              <w:spacing w:after="0" w:line="240" w:lineRule="auto"/>
              <w:contextualSpacing/>
            </w:pPr>
          </w:p>
        </w:tc>
        <w:tc>
          <w:tcPr>
            <w:tcW w:w="2267" w:type="dxa"/>
          </w:tcPr>
          <w:p w:rsidR="00DC7B1E" w:rsidRPr="008A221B" w:rsidRDefault="00DC7B1E" w:rsidP="008F01A7">
            <w:pPr>
              <w:spacing w:after="0" w:line="240" w:lineRule="auto"/>
              <w:contextualSpacing/>
              <w:rPr>
                <w:color w:val="000000"/>
              </w:rPr>
            </w:pPr>
            <w:r>
              <w:rPr>
                <w:color w:val="000000"/>
              </w:rPr>
              <w:t>Wholesale</w:t>
            </w: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5033</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5063</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5065</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5074</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5074</w:t>
                  </w:r>
                </w:p>
              </w:tc>
            </w:tr>
          </w:tbl>
          <w:p w:rsidR="00DC7B1E" w:rsidRDefault="00DC7B1E" w:rsidP="008F01A7">
            <w:pPr>
              <w:spacing w:after="0" w:line="240" w:lineRule="auto"/>
              <w:contextualSpacing/>
            </w:pPr>
          </w:p>
        </w:tc>
        <w:tc>
          <w:tcPr>
            <w:tcW w:w="963" w:type="dxa"/>
          </w:tcPr>
          <w:p w:rsidR="00DC7B1E" w:rsidRPr="008A221B" w:rsidRDefault="00DC7B1E" w:rsidP="008F01A7">
            <w:pPr>
              <w:spacing w:after="0" w:line="240" w:lineRule="auto"/>
              <w:contextualSpacing/>
              <w:rPr>
                <w:color w:val="000000"/>
              </w:rPr>
            </w:pPr>
            <w:r>
              <w:rPr>
                <w:color w:val="000000"/>
              </w:rPr>
              <w:t>18</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E61F00" w:rsidTr="00E61F00">
              <w:trPr>
                <w:trHeight w:val="300"/>
              </w:trPr>
              <w:tc>
                <w:tcPr>
                  <w:tcW w:w="52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60</w:t>
                  </w:r>
                </w:p>
              </w:tc>
            </w:tr>
            <w:tr w:rsidR="00DC7B1E" w:rsidRPr="00E61F00" w:rsidTr="00E61F00">
              <w:trPr>
                <w:trHeight w:val="300"/>
              </w:trPr>
              <w:tc>
                <w:tcPr>
                  <w:tcW w:w="52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61</w:t>
                  </w:r>
                </w:p>
              </w:tc>
            </w:tr>
            <w:tr w:rsidR="00DC7B1E" w:rsidRPr="00E61F00" w:rsidTr="00E61F00">
              <w:trPr>
                <w:trHeight w:val="300"/>
              </w:trPr>
              <w:tc>
                <w:tcPr>
                  <w:tcW w:w="52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62</w:t>
                  </w:r>
                </w:p>
              </w:tc>
            </w:tr>
            <w:tr w:rsidR="00DC7B1E" w:rsidRPr="00E61F00" w:rsidTr="00E61F00">
              <w:trPr>
                <w:trHeight w:val="300"/>
              </w:trPr>
              <w:tc>
                <w:tcPr>
                  <w:tcW w:w="52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63</w:t>
                  </w:r>
                </w:p>
              </w:tc>
            </w:tr>
            <w:tr w:rsidR="00DC7B1E" w:rsidRPr="00E61F00" w:rsidTr="00E61F00">
              <w:trPr>
                <w:trHeight w:val="300"/>
              </w:trPr>
              <w:tc>
                <w:tcPr>
                  <w:tcW w:w="52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64</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E61F00" w:rsidTr="00E61F00">
              <w:trPr>
                <w:trHeight w:val="300"/>
              </w:trPr>
              <w:tc>
                <w:tcPr>
                  <w:tcW w:w="338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Compass Group PLC</w:t>
                  </w:r>
                </w:p>
              </w:tc>
            </w:tr>
            <w:tr w:rsidR="00DC7B1E" w:rsidRPr="00E61F00" w:rsidTr="00E61F00">
              <w:trPr>
                <w:trHeight w:val="300"/>
              </w:trPr>
              <w:tc>
                <w:tcPr>
                  <w:tcW w:w="338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Enterprise Inns PLC</w:t>
                  </w:r>
                </w:p>
              </w:tc>
            </w:tr>
            <w:tr w:rsidR="00DC7B1E" w:rsidRPr="00E61F00" w:rsidTr="00E61F00">
              <w:trPr>
                <w:trHeight w:val="300"/>
              </w:trPr>
              <w:tc>
                <w:tcPr>
                  <w:tcW w:w="338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Mitchells &amp; Butlers PLC</w:t>
                  </w:r>
                </w:p>
              </w:tc>
            </w:tr>
            <w:tr w:rsidR="00DC7B1E" w:rsidRPr="00E61F00" w:rsidTr="00E61F00">
              <w:trPr>
                <w:trHeight w:val="300"/>
              </w:trPr>
              <w:tc>
                <w:tcPr>
                  <w:tcW w:w="338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Punch Taverns PLC</w:t>
                  </w:r>
                </w:p>
              </w:tc>
            </w:tr>
            <w:tr w:rsidR="00DC7B1E" w:rsidRPr="00E61F00" w:rsidTr="00E61F00">
              <w:trPr>
                <w:trHeight w:val="300"/>
              </w:trPr>
              <w:tc>
                <w:tcPr>
                  <w:tcW w:w="3380" w:type="dxa"/>
                  <w:tcBorders>
                    <w:top w:val="nil"/>
                    <w:left w:val="nil"/>
                    <w:bottom w:val="nil"/>
                    <w:right w:val="nil"/>
                  </w:tcBorders>
                  <w:noWrap/>
                  <w:vAlign w:val="bottom"/>
                </w:tcPr>
                <w:p w:rsidR="00DC7B1E" w:rsidRPr="00E61F00" w:rsidRDefault="00DC7B1E" w:rsidP="008F01A7">
                  <w:pPr>
                    <w:spacing w:after="0" w:line="240" w:lineRule="auto"/>
                    <w:contextualSpacing/>
                    <w:rPr>
                      <w:color w:val="000000"/>
                      <w:lang w:val="nl-NL" w:eastAsia="nl-NL"/>
                    </w:rPr>
                  </w:pPr>
                  <w:r w:rsidRPr="00E61F00">
                    <w:rPr>
                      <w:color w:val="000000"/>
                      <w:lang w:val="nl-NL" w:eastAsia="nl-NL"/>
                    </w:rPr>
                    <w:t>Wetherspoon (JD) PLC</w:t>
                  </w:r>
                </w:p>
              </w:tc>
            </w:tr>
          </w:tbl>
          <w:p w:rsidR="00DC7B1E" w:rsidRDefault="00DC7B1E" w:rsidP="008F01A7">
            <w:pPr>
              <w:spacing w:after="0" w:line="240" w:lineRule="auto"/>
              <w:contextualSpacing/>
            </w:pPr>
          </w:p>
        </w:tc>
        <w:tc>
          <w:tcPr>
            <w:tcW w:w="2267" w:type="dxa"/>
          </w:tcPr>
          <w:p w:rsidR="00DC7B1E" w:rsidRDefault="00DC7B1E" w:rsidP="008F01A7">
            <w:pPr>
              <w:spacing w:after="0" w:line="240" w:lineRule="auto"/>
              <w:contextualSpacing/>
              <w:rPr>
                <w:color w:val="000000"/>
              </w:rPr>
            </w:pPr>
            <w:r>
              <w:rPr>
                <w:color w:val="000000"/>
              </w:rPr>
              <w:t>Restaurants, Hotels, Motels</w:t>
            </w:r>
          </w:p>
          <w:p w:rsidR="00DC7B1E" w:rsidRDefault="00DC7B1E" w:rsidP="008F01A7">
            <w:pPr>
              <w:spacing w:after="0" w:line="240" w:lineRule="auto"/>
              <w:contextualSpacing/>
            </w:pP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5812</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5813</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5813</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5813</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5813</w:t>
                  </w:r>
                </w:p>
              </w:tc>
            </w:tr>
          </w:tbl>
          <w:p w:rsidR="00DC7B1E" w:rsidRDefault="00DC7B1E" w:rsidP="008F01A7">
            <w:pPr>
              <w:spacing w:after="0" w:line="240" w:lineRule="auto"/>
              <w:contextualSpacing/>
            </w:pPr>
          </w:p>
        </w:tc>
        <w:tc>
          <w:tcPr>
            <w:tcW w:w="963" w:type="dxa"/>
          </w:tcPr>
          <w:p w:rsidR="00DC7B1E" w:rsidRPr="008A221B" w:rsidRDefault="00DC7B1E" w:rsidP="008F01A7">
            <w:pPr>
              <w:spacing w:after="0" w:line="240" w:lineRule="auto"/>
              <w:contextualSpacing/>
              <w:rPr>
                <w:color w:val="000000"/>
              </w:rPr>
            </w:pPr>
            <w:r>
              <w:rPr>
                <w:color w:val="000000"/>
              </w:rPr>
              <w:t>7</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65</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66</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Game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WH Smith PLC</w:t>
                  </w:r>
                </w:p>
              </w:tc>
            </w:tr>
          </w:tbl>
          <w:p w:rsidR="00DC7B1E" w:rsidRDefault="00DC7B1E" w:rsidP="008F01A7">
            <w:pPr>
              <w:spacing w:after="0" w:line="240" w:lineRule="auto"/>
              <w:contextualSpacing/>
            </w:pPr>
          </w:p>
        </w:tc>
        <w:tc>
          <w:tcPr>
            <w:tcW w:w="2267" w:type="dxa"/>
          </w:tcPr>
          <w:p w:rsidR="00DC7B1E" w:rsidRPr="00393BD5" w:rsidRDefault="00DC7B1E" w:rsidP="008F01A7">
            <w:pPr>
              <w:spacing w:after="0" w:line="240" w:lineRule="auto"/>
              <w:contextualSpacing/>
              <w:rPr>
                <w:color w:val="000000"/>
              </w:rPr>
            </w:pPr>
            <w:r>
              <w:rPr>
                <w:color w:val="000000"/>
              </w:rPr>
              <w:t>Wholesale</w:t>
            </w: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5945</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5994</w:t>
                  </w:r>
                </w:p>
              </w:tc>
            </w:tr>
          </w:tbl>
          <w:p w:rsidR="00DC7B1E" w:rsidRDefault="00DC7B1E" w:rsidP="008F01A7">
            <w:pPr>
              <w:spacing w:after="0" w:line="240" w:lineRule="auto"/>
              <w:contextualSpacing/>
            </w:pPr>
          </w:p>
        </w:tc>
        <w:tc>
          <w:tcPr>
            <w:tcW w:w="963" w:type="dxa"/>
          </w:tcPr>
          <w:p w:rsidR="00DC7B1E" w:rsidRPr="00393BD5" w:rsidRDefault="00DC7B1E" w:rsidP="008F01A7">
            <w:pPr>
              <w:spacing w:after="0" w:line="240" w:lineRule="auto"/>
              <w:contextualSpacing/>
              <w:rPr>
                <w:color w:val="000000"/>
              </w:rPr>
            </w:pPr>
            <w:r>
              <w:rPr>
                <w:color w:val="000000"/>
              </w:rPr>
              <w:t>8</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67</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68</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69</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70</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71</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72</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WPP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Aegis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Connaught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Ashtead Group PLC</w:t>
                  </w:r>
                </w:p>
              </w:tc>
            </w:tr>
            <w:tr w:rsidR="00DC7B1E" w:rsidRPr="00393BD5" w:rsidTr="00393BD5">
              <w:trPr>
                <w:trHeight w:val="300"/>
              </w:trPr>
              <w:tc>
                <w:tcPr>
                  <w:tcW w:w="3380" w:type="dxa"/>
                  <w:tcBorders>
                    <w:top w:val="nil"/>
                    <w:left w:val="nil"/>
                    <w:bottom w:val="nil"/>
                    <w:right w:val="nil"/>
                  </w:tcBorders>
                  <w:noWrap/>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Aggreko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Morgan Sindall PLC</w:t>
                  </w:r>
                </w:p>
              </w:tc>
            </w:tr>
          </w:tbl>
          <w:p w:rsidR="00DC7B1E" w:rsidRDefault="00DC7B1E" w:rsidP="008F01A7">
            <w:pPr>
              <w:spacing w:after="0" w:line="240" w:lineRule="auto"/>
              <w:contextualSpacing/>
            </w:pPr>
          </w:p>
        </w:tc>
        <w:tc>
          <w:tcPr>
            <w:tcW w:w="2267" w:type="dxa"/>
          </w:tcPr>
          <w:p w:rsidR="00DC7B1E" w:rsidRPr="00393BD5" w:rsidRDefault="00DC7B1E" w:rsidP="008F01A7">
            <w:pPr>
              <w:spacing w:after="0" w:line="240" w:lineRule="auto"/>
              <w:contextualSpacing/>
              <w:rPr>
                <w:color w:val="000000"/>
              </w:rPr>
            </w:pPr>
            <w:r>
              <w:rPr>
                <w:color w:val="000000"/>
              </w:rPr>
              <w:t>Business Services</w:t>
            </w: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7311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7311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7349</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7353</w:t>
                  </w:r>
                </w:p>
              </w:tc>
            </w:tr>
            <w:tr w:rsidR="00DC7B1E" w:rsidRPr="00393BD5" w:rsidTr="00393BD5">
              <w:trPr>
                <w:trHeight w:val="300"/>
              </w:trPr>
              <w:tc>
                <w:tcPr>
                  <w:tcW w:w="1700" w:type="dxa"/>
                  <w:tcBorders>
                    <w:top w:val="nil"/>
                    <w:left w:val="nil"/>
                    <w:bottom w:val="nil"/>
                    <w:right w:val="nil"/>
                  </w:tcBorders>
                  <w:noWrap/>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7359</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7389</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31</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74</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75</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76</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77</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Logica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The Sage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Aveva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Misys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Spirent Communications PLC</w:t>
                  </w:r>
                </w:p>
              </w:tc>
            </w:tr>
          </w:tbl>
          <w:p w:rsidR="00DC7B1E" w:rsidRDefault="00DC7B1E" w:rsidP="008F01A7">
            <w:pPr>
              <w:spacing w:after="0" w:line="240" w:lineRule="auto"/>
              <w:contextualSpacing/>
            </w:pPr>
          </w:p>
        </w:tc>
        <w:tc>
          <w:tcPr>
            <w:tcW w:w="2267" w:type="dxa"/>
          </w:tcPr>
          <w:p w:rsidR="00DC7B1E" w:rsidRPr="00393BD5" w:rsidRDefault="00DC7B1E" w:rsidP="008F01A7">
            <w:pPr>
              <w:spacing w:after="0" w:line="240" w:lineRule="auto"/>
              <w:contextualSpacing/>
              <w:rPr>
                <w:color w:val="000000"/>
              </w:rPr>
            </w:pPr>
            <w:r>
              <w:rPr>
                <w:color w:val="000000"/>
              </w:rPr>
              <w:t>Computer Software</w:t>
            </w: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7371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7372</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7372</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7372</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7373</w:t>
                  </w:r>
                </w:p>
              </w:tc>
            </w:tr>
          </w:tbl>
          <w:p w:rsidR="00DC7B1E" w:rsidRDefault="00DC7B1E" w:rsidP="008F01A7">
            <w:pPr>
              <w:spacing w:after="0" w:line="240" w:lineRule="auto"/>
              <w:contextualSpacing/>
            </w:pPr>
          </w:p>
        </w:tc>
        <w:tc>
          <w:tcPr>
            <w:tcW w:w="963" w:type="dxa"/>
          </w:tcPr>
          <w:p w:rsidR="00DC7B1E" w:rsidRDefault="00DC7B1E" w:rsidP="008F01A7">
            <w:pPr>
              <w:spacing w:after="0" w:line="240" w:lineRule="auto"/>
              <w:contextualSpacing/>
              <w:rPr>
                <w:color w:val="000000"/>
              </w:rPr>
            </w:pPr>
            <w:r>
              <w:rPr>
                <w:color w:val="000000"/>
              </w:rPr>
              <w:t>44</w:t>
            </w:r>
          </w:p>
          <w:p w:rsidR="00DC7B1E" w:rsidRDefault="00DC7B1E" w:rsidP="008F01A7">
            <w:pPr>
              <w:spacing w:after="0" w:line="240" w:lineRule="auto"/>
              <w:contextualSpacing/>
            </w:pP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78</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79</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Rank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William Hill PLC</w:t>
                  </w:r>
                </w:p>
              </w:tc>
            </w:tr>
          </w:tbl>
          <w:p w:rsidR="00DC7B1E" w:rsidRDefault="00DC7B1E" w:rsidP="008F01A7">
            <w:pPr>
              <w:spacing w:after="0" w:line="240" w:lineRule="auto"/>
              <w:contextualSpacing/>
            </w:pPr>
          </w:p>
        </w:tc>
        <w:tc>
          <w:tcPr>
            <w:tcW w:w="2267" w:type="dxa"/>
          </w:tcPr>
          <w:p w:rsidR="00DC7B1E" w:rsidRPr="00393BD5" w:rsidRDefault="00DC7B1E" w:rsidP="008F01A7">
            <w:pPr>
              <w:spacing w:after="0" w:line="240" w:lineRule="auto"/>
              <w:contextualSpacing/>
              <w:rPr>
                <w:color w:val="000000"/>
              </w:rPr>
            </w:pPr>
            <w:r>
              <w:rPr>
                <w:color w:val="000000"/>
              </w:rPr>
              <w:t>Entertainment</w:t>
            </w: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7999</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7999</w:t>
                  </w:r>
                </w:p>
              </w:tc>
            </w:tr>
          </w:tbl>
          <w:p w:rsidR="00DC7B1E" w:rsidRDefault="00DC7B1E" w:rsidP="008F01A7">
            <w:pPr>
              <w:spacing w:after="0" w:line="240" w:lineRule="auto"/>
              <w:contextualSpacing/>
            </w:pPr>
          </w:p>
        </w:tc>
        <w:tc>
          <w:tcPr>
            <w:tcW w:w="963" w:type="dxa"/>
          </w:tcPr>
          <w:p w:rsidR="00DC7B1E" w:rsidRPr="00393BD5" w:rsidRDefault="00DC7B1E" w:rsidP="008F01A7">
            <w:pPr>
              <w:spacing w:after="0" w:line="240" w:lineRule="auto"/>
              <w:contextualSpacing/>
              <w:rPr>
                <w:color w:val="000000"/>
              </w:rPr>
            </w:pPr>
            <w:r>
              <w:rPr>
                <w:color w:val="000000"/>
              </w:rPr>
              <w:t>14</w:t>
            </w:r>
          </w:p>
        </w:tc>
      </w:tr>
      <w:tr w:rsidR="00DC7B1E" w:rsidTr="007C08B2">
        <w:tc>
          <w:tcPr>
            <w:tcW w:w="925" w:type="dxa"/>
          </w:tcPr>
          <w:tbl>
            <w:tblPr>
              <w:tblW w:w="520" w:type="dxa"/>
              <w:tblLayout w:type="fixed"/>
              <w:tblCellMar>
                <w:left w:w="70" w:type="dxa"/>
                <w:right w:w="70" w:type="dxa"/>
              </w:tblCellMar>
              <w:tblLook w:val="00A0"/>
            </w:tblPr>
            <w:tblGrid>
              <w:gridCol w:w="520"/>
            </w:tblGrid>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80</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81</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82</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83</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84</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85</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86</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w:t>
                  </w:r>
                </w:p>
              </w:tc>
            </w:tr>
            <w:tr w:rsidR="00DC7B1E" w:rsidRPr="00393BD5" w:rsidTr="00393BD5">
              <w:trPr>
                <w:trHeight w:val="300"/>
              </w:trPr>
              <w:tc>
                <w:tcPr>
                  <w:tcW w:w="52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88</w:t>
                  </w:r>
                </w:p>
              </w:tc>
            </w:tr>
          </w:tbl>
          <w:p w:rsidR="00DC7B1E" w:rsidRDefault="00DC7B1E" w:rsidP="008F01A7">
            <w:pPr>
              <w:spacing w:after="0" w:line="240" w:lineRule="auto"/>
              <w:contextualSpacing/>
            </w:pPr>
          </w:p>
        </w:tc>
        <w:tc>
          <w:tcPr>
            <w:tcW w:w="3596" w:type="dxa"/>
          </w:tcPr>
          <w:tbl>
            <w:tblPr>
              <w:tblW w:w="3380" w:type="dxa"/>
              <w:tblLayout w:type="fixed"/>
              <w:tblCellMar>
                <w:left w:w="70" w:type="dxa"/>
                <w:right w:w="70" w:type="dxa"/>
              </w:tblCellMar>
              <w:tblLook w:val="00A0"/>
            </w:tblPr>
            <w:tblGrid>
              <w:gridCol w:w="3380"/>
            </w:tblGrid>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Atkins (WS)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Babcock International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Keller Group PLC</w:t>
                  </w:r>
                </w:p>
              </w:tc>
            </w:tr>
            <w:tr w:rsidR="00DC7B1E" w:rsidRPr="00393BD5" w:rsidTr="00152839">
              <w:trPr>
                <w:trHeight w:val="300"/>
              </w:trPr>
              <w:tc>
                <w:tcPr>
                  <w:tcW w:w="3380" w:type="dxa"/>
                  <w:tcBorders>
                    <w:top w:val="nil"/>
                    <w:left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Intertek Group PLC</w:t>
                  </w:r>
                </w:p>
              </w:tc>
            </w:tr>
            <w:tr w:rsidR="00DC7B1E" w:rsidRPr="00393BD5" w:rsidTr="00152839">
              <w:trPr>
                <w:trHeight w:val="300"/>
              </w:trPr>
              <w:tc>
                <w:tcPr>
                  <w:tcW w:w="3380" w:type="dxa"/>
                  <w:tcBorders>
                    <w:top w:val="nil"/>
                    <w:left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WSP Group PLC</w:t>
                  </w:r>
                </w:p>
              </w:tc>
            </w:tr>
            <w:tr w:rsidR="00DC7B1E" w:rsidRPr="00393BD5" w:rsidTr="00152839">
              <w:trPr>
                <w:trHeight w:val="300"/>
              </w:trPr>
              <w:tc>
                <w:tcPr>
                  <w:tcW w:w="3380" w:type="dxa"/>
                  <w:tcBorders>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The Capita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Savills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Mitie Group PLC</w:t>
                  </w:r>
                </w:p>
              </w:tc>
            </w:tr>
            <w:tr w:rsidR="00DC7B1E" w:rsidRPr="00393BD5" w:rsidTr="00393BD5">
              <w:trPr>
                <w:trHeight w:val="300"/>
              </w:trPr>
              <w:tc>
                <w:tcPr>
                  <w:tcW w:w="338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VT Group PLC</w:t>
                  </w:r>
                </w:p>
              </w:tc>
            </w:tr>
          </w:tbl>
          <w:p w:rsidR="00DC7B1E" w:rsidRDefault="00DC7B1E" w:rsidP="008F01A7">
            <w:pPr>
              <w:spacing w:after="0" w:line="240" w:lineRule="auto"/>
              <w:contextualSpacing/>
            </w:pPr>
          </w:p>
        </w:tc>
        <w:tc>
          <w:tcPr>
            <w:tcW w:w="2267" w:type="dxa"/>
          </w:tcPr>
          <w:p w:rsidR="00DC7B1E" w:rsidRPr="00393BD5" w:rsidRDefault="00DC7B1E" w:rsidP="008F01A7">
            <w:pPr>
              <w:spacing w:after="0" w:line="240" w:lineRule="auto"/>
              <w:contextualSpacing/>
              <w:rPr>
                <w:color w:val="000000"/>
              </w:rPr>
            </w:pPr>
            <w:r>
              <w:rPr>
                <w:color w:val="000000"/>
              </w:rPr>
              <w:t>Business Services</w:t>
            </w:r>
          </w:p>
        </w:tc>
        <w:tc>
          <w:tcPr>
            <w:tcW w:w="1825" w:type="dxa"/>
          </w:tcPr>
          <w:tbl>
            <w:tblPr>
              <w:tblW w:w="1700" w:type="dxa"/>
              <w:tblLayout w:type="fixed"/>
              <w:tblCellMar>
                <w:left w:w="70" w:type="dxa"/>
                <w:right w:w="70" w:type="dxa"/>
              </w:tblCellMar>
              <w:tblLook w:val="00A0"/>
            </w:tblPr>
            <w:tblGrid>
              <w:gridCol w:w="1700"/>
            </w:tblGrid>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8711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8711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8711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8734</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8741</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8742</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8742</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8744</w:t>
                  </w:r>
                </w:p>
              </w:tc>
            </w:tr>
            <w:tr w:rsidR="00DC7B1E" w:rsidRPr="00393BD5" w:rsidTr="00393BD5">
              <w:trPr>
                <w:trHeight w:val="300"/>
              </w:trPr>
              <w:tc>
                <w:tcPr>
                  <w:tcW w:w="1700" w:type="dxa"/>
                  <w:tcBorders>
                    <w:top w:val="nil"/>
                    <w:left w:val="nil"/>
                    <w:bottom w:val="nil"/>
                    <w:right w:val="nil"/>
                  </w:tcBorders>
                  <w:noWrap/>
                  <w:vAlign w:val="bottom"/>
                </w:tcPr>
                <w:p w:rsidR="00DC7B1E" w:rsidRPr="00393BD5" w:rsidRDefault="00DC7B1E" w:rsidP="008F01A7">
                  <w:pPr>
                    <w:spacing w:after="0" w:line="240" w:lineRule="auto"/>
                    <w:contextualSpacing/>
                    <w:rPr>
                      <w:color w:val="000000"/>
                      <w:lang w:val="nl-NL" w:eastAsia="nl-NL"/>
                    </w:rPr>
                  </w:pPr>
                  <w:r w:rsidRPr="00393BD5">
                    <w:rPr>
                      <w:color w:val="000000"/>
                      <w:lang w:val="nl-NL" w:eastAsia="nl-NL"/>
                    </w:rPr>
                    <w:t>8744</w:t>
                  </w:r>
                </w:p>
              </w:tc>
            </w:tr>
          </w:tbl>
          <w:p w:rsidR="00DC7B1E" w:rsidRDefault="00DC7B1E" w:rsidP="008F01A7">
            <w:pPr>
              <w:spacing w:after="0" w:line="240" w:lineRule="auto"/>
              <w:contextualSpacing/>
            </w:pPr>
          </w:p>
        </w:tc>
        <w:tc>
          <w:tcPr>
            <w:tcW w:w="963" w:type="dxa"/>
          </w:tcPr>
          <w:p w:rsidR="00DC7B1E" w:rsidRPr="00393BD5" w:rsidRDefault="00DC7B1E" w:rsidP="008F01A7">
            <w:pPr>
              <w:spacing w:after="0" w:line="240" w:lineRule="auto"/>
              <w:contextualSpacing/>
              <w:rPr>
                <w:color w:val="000000"/>
              </w:rPr>
            </w:pPr>
            <w:r>
              <w:rPr>
                <w:color w:val="000000"/>
              </w:rPr>
              <w:t>30</w:t>
            </w:r>
          </w:p>
        </w:tc>
      </w:tr>
    </w:tbl>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Pr="00421BFC" w:rsidRDefault="00DC7B1E" w:rsidP="00421BFC">
      <w:pPr>
        <w:pStyle w:val="Heading1"/>
        <w:spacing w:before="60" w:line="360" w:lineRule="auto"/>
        <w:contextualSpacing/>
        <w:rPr>
          <w:color w:val="245590"/>
        </w:rPr>
      </w:pPr>
      <w:bookmarkStart w:id="72" w:name="_Toc234568012"/>
      <w:r w:rsidRPr="00421BFC">
        <w:rPr>
          <w:color w:val="245590"/>
        </w:rPr>
        <w:t>Appendix 3 Descriptive statistics stock option exercises with variable outliers</w:t>
      </w:r>
      <w:bookmarkEnd w:id="72"/>
    </w:p>
    <w:p w:rsidR="00DC7B1E" w:rsidRDefault="00DC7B1E"/>
    <w:p w:rsidR="00DC7B1E" w:rsidRPr="002A68D7" w:rsidRDefault="00DC7B1E" w:rsidP="002A68D7">
      <w:pPr>
        <w:spacing w:line="360" w:lineRule="auto"/>
        <w:contextualSpacing/>
        <w:rPr>
          <w:b/>
        </w:rPr>
      </w:pPr>
      <w:r w:rsidRPr="002A68D7">
        <w:rPr>
          <w:b/>
        </w:rPr>
        <w:t>Table Descriptives</w:t>
      </w:r>
    </w:p>
    <w:tbl>
      <w:tblPr>
        <w:tblW w:w="9656" w:type="dxa"/>
        <w:tblInd w:w="53" w:type="dxa"/>
        <w:tblCellMar>
          <w:left w:w="70" w:type="dxa"/>
          <w:right w:w="70" w:type="dxa"/>
        </w:tblCellMar>
        <w:tblLook w:val="00A0"/>
      </w:tblPr>
      <w:tblGrid>
        <w:gridCol w:w="1435"/>
        <w:gridCol w:w="1701"/>
        <w:gridCol w:w="1984"/>
        <w:gridCol w:w="1843"/>
        <w:gridCol w:w="2012"/>
        <w:gridCol w:w="992"/>
      </w:tblGrid>
      <w:tr w:rsidR="00DC7B1E" w:rsidRPr="00EF51F1" w:rsidTr="00BF6ABC">
        <w:trPr>
          <w:trHeight w:val="300"/>
        </w:trPr>
        <w:tc>
          <w:tcPr>
            <w:tcW w:w="1435" w:type="dxa"/>
            <w:tcBorders>
              <w:top w:val="single" w:sz="4" w:space="0" w:color="auto"/>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eastAsia="nl-NL"/>
              </w:rPr>
            </w:pPr>
            <w:r w:rsidRPr="002A68D7">
              <w:rPr>
                <w:color w:val="000000"/>
                <w:sz w:val="20"/>
                <w:szCs w:val="20"/>
                <w:lang w:eastAsia="nl-NL"/>
              </w:rPr>
              <w:t> </w:t>
            </w:r>
          </w:p>
        </w:tc>
        <w:tc>
          <w:tcPr>
            <w:tcW w:w="1701" w:type="dxa"/>
            <w:tcBorders>
              <w:top w:val="single" w:sz="4" w:space="0" w:color="auto"/>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Mean</w:t>
            </w:r>
          </w:p>
        </w:tc>
        <w:tc>
          <w:tcPr>
            <w:tcW w:w="1984" w:type="dxa"/>
            <w:tcBorders>
              <w:top w:val="single" w:sz="4" w:space="0" w:color="auto"/>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Standard Deviation</w:t>
            </w:r>
          </w:p>
        </w:tc>
        <w:tc>
          <w:tcPr>
            <w:tcW w:w="1843" w:type="dxa"/>
            <w:tcBorders>
              <w:top w:val="single" w:sz="4" w:space="0" w:color="auto"/>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Minimum</w:t>
            </w:r>
          </w:p>
        </w:tc>
        <w:tc>
          <w:tcPr>
            <w:tcW w:w="1701" w:type="dxa"/>
            <w:tcBorders>
              <w:top w:val="single" w:sz="4" w:space="0" w:color="auto"/>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Maximum</w:t>
            </w:r>
          </w:p>
        </w:tc>
        <w:tc>
          <w:tcPr>
            <w:tcW w:w="992" w:type="dxa"/>
            <w:tcBorders>
              <w:top w:val="single" w:sz="4" w:space="0" w:color="auto"/>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Count</w:t>
            </w:r>
          </w:p>
        </w:tc>
      </w:tr>
      <w:tr w:rsidR="00DC7B1E" w:rsidRPr="00EF51F1" w:rsidTr="00BF6ABC">
        <w:trPr>
          <w:trHeight w:val="300"/>
        </w:trPr>
        <w:tc>
          <w:tcPr>
            <w:tcW w:w="1435" w:type="dxa"/>
            <w:tcBorders>
              <w:top w:val="nil"/>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DA</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-0.089</w:t>
            </w:r>
          </w:p>
        </w:tc>
        <w:tc>
          <w:tcPr>
            <w:tcW w:w="1984"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0.836</w:t>
            </w:r>
          </w:p>
        </w:tc>
        <w:tc>
          <w:tcPr>
            <w:tcW w:w="1843"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-15.398</w:t>
            </w:r>
          </w:p>
        </w:tc>
        <w:tc>
          <w:tcPr>
            <w:tcW w:w="1701"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0,621</w:t>
            </w:r>
          </w:p>
        </w:tc>
        <w:tc>
          <w:tcPr>
            <w:tcW w:w="992"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346</w:t>
            </w:r>
          </w:p>
        </w:tc>
      </w:tr>
      <w:tr w:rsidR="00DC7B1E" w:rsidRPr="00EF51F1" w:rsidTr="00BF6ABC">
        <w:trPr>
          <w:trHeight w:val="300"/>
        </w:trPr>
        <w:tc>
          <w:tcPr>
            <w:tcW w:w="1435" w:type="dxa"/>
            <w:tcBorders>
              <w:top w:val="nil"/>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OPTIONS</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331</w:t>
            </w:r>
            <w:r>
              <w:rPr>
                <w:color w:val="000000"/>
                <w:sz w:val="20"/>
                <w:szCs w:val="20"/>
                <w:lang w:val="nl-NL" w:eastAsia="nl-NL"/>
              </w:rPr>
              <w:t>,</w:t>
            </w:r>
            <w:r w:rsidRPr="002A68D7">
              <w:rPr>
                <w:color w:val="000000"/>
                <w:sz w:val="20"/>
                <w:szCs w:val="20"/>
                <w:lang w:val="nl-NL" w:eastAsia="nl-NL"/>
              </w:rPr>
              <w:t>590.344</w:t>
            </w:r>
          </w:p>
        </w:tc>
        <w:tc>
          <w:tcPr>
            <w:tcW w:w="1984"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923</w:t>
            </w:r>
            <w:r>
              <w:rPr>
                <w:color w:val="000000"/>
                <w:sz w:val="20"/>
                <w:szCs w:val="20"/>
                <w:lang w:val="nl-NL" w:eastAsia="nl-NL"/>
              </w:rPr>
              <w:t>,</w:t>
            </w:r>
            <w:r w:rsidRPr="002A68D7">
              <w:rPr>
                <w:color w:val="000000"/>
                <w:sz w:val="20"/>
                <w:szCs w:val="20"/>
                <w:lang w:val="nl-NL" w:eastAsia="nl-NL"/>
              </w:rPr>
              <w:t>252.999</w:t>
            </w:r>
          </w:p>
        </w:tc>
        <w:tc>
          <w:tcPr>
            <w:tcW w:w="1843"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0</w:t>
            </w:r>
          </w:p>
        </w:tc>
        <w:tc>
          <w:tcPr>
            <w:tcW w:w="1701"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12</w:t>
            </w:r>
            <w:r>
              <w:rPr>
                <w:color w:val="000000"/>
                <w:sz w:val="20"/>
                <w:szCs w:val="20"/>
                <w:lang w:val="nl-NL" w:eastAsia="nl-NL"/>
              </w:rPr>
              <w:t>,</w:t>
            </w:r>
            <w:r w:rsidRPr="002A68D7">
              <w:rPr>
                <w:color w:val="000000"/>
                <w:sz w:val="20"/>
                <w:szCs w:val="20"/>
                <w:lang w:val="nl-NL" w:eastAsia="nl-NL"/>
              </w:rPr>
              <w:t>702</w:t>
            </w:r>
            <w:r>
              <w:rPr>
                <w:color w:val="000000"/>
                <w:sz w:val="20"/>
                <w:szCs w:val="20"/>
                <w:lang w:val="nl-NL" w:eastAsia="nl-NL"/>
              </w:rPr>
              <w:t>,</w:t>
            </w:r>
            <w:r w:rsidRPr="002A68D7">
              <w:rPr>
                <w:color w:val="000000"/>
                <w:sz w:val="20"/>
                <w:szCs w:val="20"/>
                <w:lang w:val="nl-NL" w:eastAsia="nl-NL"/>
              </w:rPr>
              <w:t>418.000</w:t>
            </w:r>
          </w:p>
        </w:tc>
        <w:tc>
          <w:tcPr>
            <w:tcW w:w="992"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346</w:t>
            </w:r>
          </w:p>
        </w:tc>
      </w:tr>
      <w:tr w:rsidR="00DC7B1E" w:rsidRPr="00EF51F1" w:rsidTr="00BF6ABC">
        <w:trPr>
          <w:trHeight w:val="300"/>
        </w:trPr>
        <w:tc>
          <w:tcPr>
            <w:tcW w:w="1435" w:type="dxa"/>
            <w:tcBorders>
              <w:top w:val="nil"/>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GAIN</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903</w:t>
            </w:r>
            <w:r>
              <w:rPr>
                <w:color w:val="000000"/>
                <w:sz w:val="20"/>
                <w:szCs w:val="20"/>
                <w:lang w:val="nl-NL" w:eastAsia="nl-NL"/>
              </w:rPr>
              <w:t>,</w:t>
            </w:r>
            <w:r w:rsidRPr="002A68D7">
              <w:rPr>
                <w:color w:val="000000"/>
                <w:sz w:val="20"/>
                <w:szCs w:val="20"/>
                <w:lang w:val="nl-NL" w:eastAsia="nl-NL"/>
              </w:rPr>
              <w:t>795.564</w:t>
            </w:r>
          </w:p>
        </w:tc>
        <w:tc>
          <w:tcPr>
            <w:tcW w:w="1984"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224</w:t>
            </w:r>
            <w:r>
              <w:rPr>
                <w:color w:val="000000"/>
                <w:sz w:val="20"/>
                <w:szCs w:val="20"/>
                <w:lang w:val="nl-NL" w:eastAsia="nl-NL"/>
              </w:rPr>
              <w:t>,</w:t>
            </w:r>
            <w:r w:rsidRPr="002A68D7">
              <w:rPr>
                <w:color w:val="000000"/>
                <w:sz w:val="20"/>
                <w:szCs w:val="20"/>
                <w:lang w:val="nl-NL" w:eastAsia="nl-NL"/>
              </w:rPr>
              <w:t>245.052</w:t>
            </w:r>
          </w:p>
        </w:tc>
        <w:tc>
          <w:tcPr>
            <w:tcW w:w="1843"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0</w:t>
            </w:r>
          </w:p>
        </w:tc>
        <w:tc>
          <w:tcPr>
            <w:tcW w:w="1701"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16</w:t>
            </w:r>
            <w:r>
              <w:rPr>
                <w:color w:val="000000"/>
                <w:sz w:val="20"/>
                <w:szCs w:val="20"/>
                <w:lang w:val="nl-NL" w:eastAsia="nl-NL"/>
              </w:rPr>
              <w:t>,</w:t>
            </w:r>
            <w:r w:rsidRPr="002A68D7">
              <w:rPr>
                <w:color w:val="000000"/>
                <w:sz w:val="20"/>
                <w:szCs w:val="20"/>
                <w:lang w:val="nl-NL" w:eastAsia="nl-NL"/>
              </w:rPr>
              <w:t>771</w:t>
            </w:r>
            <w:r>
              <w:rPr>
                <w:color w:val="000000"/>
                <w:sz w:val="20"/>
                <w:szCs w:val="20"/>
                <w:lang w:val="nl-NL" w:eastAsia="nl-NL"/>
              </w:rPr>
              <w:t>,</w:t>
            </w:r>
            <w:r w:rsidRPr="002A68D7">
              <w:rPr>
                <w:color w:val="000000"/>
                <w:sz w:val="20"/>
                <w:szCs w:val="20"/>
                <w:lang w:val="nl-NL" w:eastAsia="nl-NL"/>
              </w:rPr>
              <w:t>000.000</w:t>
            </w:r>
          </w:p>
        </w:tc>
        <w:tc>
          <w:tcPr>
            <w:tcW w:w="992" w:type="dxa"/>
            <w:tcBorders>
              <w:top w:val="nil"/>
              <w:left w:val="nil"/>
              <w:bottom w:val="single" w:sz="4" w:space="0" w:color="auto"/>
              <w:right w:val="single" w:sz="4" w:space="0" w:color="auto"/>
            </w:tcBorders>
            <w:noWrap/>
            <w:vAlign w:val="bottom"/>
          </w:tcPr>
          <w:p w:rsidR="00DC7B1E" w:rsidRPr="002A68D7" w:rsidRDefault="00DC7B1E" w:rsidP="00EF51F1">
            <w:pPr>
              <w:spacing w:after="0" w:line="240" w:lineRule="auto"/>
              <w:jc w:val="right"/>
              <w:rPr>
                <w:color w:val="000000"/>
                <w:sz w:val="20"/>
                <w:szCs w:val="20"/>
                <w:lang w:val="nl-NL" w:eastAsia="nl-NL"/>
              </w:rPr>
            </w:pPr>
            <w:r w:rsidRPr="002A68D7">
              <w:rPr>
                <w:color w:val="000000"/>
                <w:sz w:val="20"/>
                <w:szCs w:val="20"/>
                <w:lang w:val="nl-NL" w:eastAsia="nl-NL"/>
              </w:rPr>
              <w:t>34</w:t>
            </w:r>
          </w:p>
        </w:tc>
      </w:tr>
      <w:tr w:rsidR="00DC7B1E" w:rsidRPr="00EF51F1" w:rsidTr="00BF6ABC">
        <w:trPr>
          <w:trHeight w:val="300"/>
        </w:trPr>
        <w:tc>
          <w:tcPr>
            <w:tcW w:w="1435" w:type="dxa"/>
            <w:tcBorders>
              <w:top w:val="nil"/>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LEV</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0.235</w:t>
            </w:r>
          </w:p>
        </w:tc>
        <w:tc>
          <w:tcPr>
            <w:tcW w:w="1984"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0.167</w:t>
            </w:r>
          </w:p>
        </w:tc>
        <w:tc>
          <w:tcPr>
            <w:tcW w:w="1843"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0</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0.714</w:t>
            </w:r>
          </w:p>
        </w:tc>
        <w:tc>
          <w:tcPr>
            <w:tcW w:w="992"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346</w:t>
            </w:r>
          </w:p>
        </w:tc>
      </w:tr>
      <w:tr w:rsidR="00DC7B1E" w:rsidRPr="00EF51F1" w:rsidTr="00BF6ABC">
        <w:trPr>
          <w:trHeight w:val="300"/>
        </w:trPr>
        <w:tc>
          <w:tcPr>
            <w:tcW w:w="1435" w:type="dxa"/>
            <w:tcBorders>
              <w:top w:val="nil"/>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GROWTH</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109</w:t>
            </w:r>
            <w:r>
              <w:rPr>
                <w:color w:val="000000"/>
                <w:sz w:val="20"/>
                <w:szCs w:val="20"/>
                <w:lang w:val="nl-NL" w:eastAsia="nl-NL"/>
              </w:rPr>
              <w:t>,</w:t>
            </w:r>
            <w:r w:rsidRPr="002A68D7">
              <w:rPr>
                <w:color w:val="000000"/>
                <w:sz w:val="20"/>
                <w:szCs w:val="20"/>
                <w:lang w:val="nl-NL" w:eastAsia="nl-NL"/>
              </w:rPr>
              <w:t>726</w:t>
            </w:r>
            <w:r>
              <w:rPr>
                <w:color w:val="000000"/>
                <w:sz w:val="20"/>
                <w:szCs w:val="20"/>
                <w:lang w:val="nl-NL" w:eastAsia="nl-NL"/>
              </w:rPr>
              <w:t>,</w:t>
            </w:r>
            <w:r w:rsidRPr="002A68D7">
              <w:rPr>
                <w:color w:val="000000"/>
                <w:sz w:val="20"/>
                <w:szCs w:val="20"/>
                <w:lang w:val="nl-NL" w:eastAsia="nl-NL"/>
              </w:rPr>
              <w:t>512.057</w:t>
            </w:r>
          </w:p>
        </w:tc>
        <w:tc>
          <w:tcPr>
            <w:tcW w:w="1984"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837</w:t>
            </w:r>
            <w:r>
              <w:rPr>
                <w:color w:val="000000"/>
                <w:sz w:val="20"/>
                <w:szCs w:val="20"/>
                <w:lang w:val="nl-NL" w:eastAsia="nl-NL"/>
              </w:rPr>
              <w:t>,</w:t>
            </w:r>
            <w:r w:rsidRPr="002A68D7">
              <w:rPr>
                <w:color w:val="000000"/>
                <w:sz w:val="20"/>
                <w:szCs w:val="20"/>
                <w:lang w:val="nl-NL" w:eastAsia="nl-NL"/>
              </w:rPr>
              <w:t>989</w:t>
            </w:r>
            <w:r>
              <w:rPr>
                <w:color w:val="000000"/>
                <w:sz w:val="20"/>
                <w:szCs w:val="20"/>
                <w:lang w:val="nl-NL" w:eastAsia="nl-NL"/>
              </w:rPr>
              <w:t>,</w:t>
            </w:r>
            <w:r w:rsidRPr="002A68D7">
              <w:rPr>
                <w:color w:val="000000"/>
                <w:sz w:val="20"/>
                <w:szCs w:val="20"/>
                <w:lang w:val="nl-NL" w:eastAsia="nl-NL"/>
              </w:rPr>
              <w:t>373.221</w:t>
            </w:r>
          </w:p>
        </w:tc>
        <w:tc>
          <w:tcPr>
            <w:tcW w:w="1843"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-9</w:t>
            </w:r>
            <w:r>
              <w:rPr>
                <w:color w:val="000000"/>
                <w:sz w:val="20"/>
                <w:szCs w:val="20"/>
                <w:lang w:val="nl-NL" w:eastAsia="nl-NL"/>
              </w:rPr>
              <w:t>,</w:t>
            </w:r>
            <w:r w:rsidRPr="002A68D7">
              <w:rPr>
                <w:color w:val="000000"/>
                <w:sz w:val="20"/>
                <w:szCs w:val="20"/>
                <w:lang w:val="nl-NL" w:eastAsia="nl-NL"/>
              </w:rPr>
              <w:t>851</w:t>
            </w:r>
            <w:r>
              <w:rPr>
                <w:color w:val="000000"/>
                <w:sz w:val="20"/>
                <w:szCs w:val="20"/>
                <w:lang w:val="nl-NL" w:eastAsia="nl-NL"/>
              </w:rPr>
              <w:t>,</w:t>
            </w:r>
            <w:r w:rsidRPr="002A68D7">
              <w:rPr>
                <w:color w:val="000000"/>
                <w:sz w:val="20"/>
                <w:szCs w:val="20"/>
                <w:lang w:val="nl-NL" w:eastAsia="nl-NL"/>
              </w:rPr>
              <w:t>900</w:t>
            </w:r>
            <w:r>
              <w:rPr>
                <w:color w:val="000000"/>
                <w:sz w:val="20"/>
                <w:szCs w:val="20"/>
                <w:lang w:val="nl-NL" w:eastAsia="nl-NL"/>
              </w:rPr>
              <w:t>,</w:t>
            </w:r>
            <w:r w:rsidRPr="002A68D7">
              <w:rPr>
                <w:color w:val="000000"/>
                <w:sz w:val="20"/>
                <w:szCs w:val="20"/>
                <w:lang w:val="nl-NL" w:eastAsia="nl-NL"/>
              </w:rPr>
              <w:t>000.000</w:t>
            </w:r>
          </w:p>
        </w:tc>
        <w:tc>
          <w:tcPr>
            <w:tcW w:w="1701"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3</w:t>
            </w:r>
            <w:r>
              <w:rPr>
                <w:color w:val="000000"/>
                <w:sz w:val="20"/>
                <w:szCs w:val="20"/>
                <w:lang w:val="nl-NL" w:eastAsia="nl-NL"/>
              </w:rPr>
              <w:t>,</w:t>
            </w:r>
            <w:r w:rsidRPr="002A68D7">
              <w:rPr>
                <w:color w:val="000000"/>
                <w:sz w:val="20"/>
                <w:szCs w:val="20"/>
                <w:lang w:val="nl-NL" w:eastAsia="nl-NL"/>
              </w:rPr>
              <w:t>184</w:t>
            </w:r>
            <w:r>
              <w:rPr>
                <w:color w:val="000000"/>
                <w:sz w:val="20"/>
                <w:szCs w:val="20"/>
                <w:lang w:val="nl-NL" w:eastAsia="nl-NL"/>
              </w:rPr>
              <w:t>,</w:t>
            </w:r>
            <w:r w:rsidRPr="002A68D7">
              <w:rPr>
                <w:color w:val="000000"/>
                <w:sz w:val="20"/>
                <w:szCs w:val="20"/>
                <w:lang w:val="nl-NL" w:eastAsia="nl-NL"/>
              </w:rPr>
              <w:t>000</w:t>
            </w:r>
            <w:r>
              <w:rPr>
                <w:color w:val="000000"/>
                <w:sz w:val="20"/>
                <w:szCs w:val="20"/>
                <w:lang w:val="nl-NL" w:eastAsia="nl-NL"/>
              </w:rPr>
              <w:t>,</w:t>
            </w:r>
            <w:r w:rsidRPr="002A68D7">
              <w:rPr>
                <w:color w:val="000000"/>
                <w:sz w:val="20"/>
                <w:szCs w:val="20"/>
                <w:lang w:val="nl-NL" w:eastAsia="nl-NL"/>
              </w:rPr>
              <w:t>000.000</w:t>
            </w:r>
          </w:p>
        </w:tc>
        <w:tc>
          <w:tcPr>
            <w:tcW w:w="992"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346</w:t>
            </w:r>
          </w:p>
        </w:tc>
      </w:tr>
      <w:tr w:rsidR="00DC7B1E" w:rsidRPr="00EF51F1" w:rsidTr="00BF6ABC">
        <w:trPr>
          <w:trHeight w:val="300"/>
        </w:trPr>
        <w:tc>
          <w:tcPr>
            <w:tcW w:w="1435" w:type="dxa"/>
            <w:tcBorders>
              <w:top w:val="nil"/>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SIZE</w:t>
            </w:r>
          </w:p>
        </w:tc>
        <w:tc>
          <w:tcPr>
            <w:tcW w:w="1701"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4</w:t>
            </w:r>
            <w:r>
              <w:rPr>
                <w:color w:val="000000"/>
                <w:sz w:val="20"/>
                <w:szCs w:val="20"/>
                <w:lang w:val="nl-NL" w:eastAsia="nl-NL"/>
              </w:rPr>
              <w:t>,</w:t>
            </w:r>
            <w:r w:rsidRPr="002A68D7">
              <w:rPr>
                <w:color w:val="000000"/>
                <w:sz w:val="20"/>
                <w:szCs w:val="20"/>
                <w:lang w:val="nl-NL" w:eastAsia="nl-NL"/>
              </w:rPr>
              <w:t>285</w:t>
            </w:r>
            <w:r>
              <w:rPr>
                <w:color w:val="000000"/>
                <w:sz w:val="20"/>
                <w:szCs w:val="20"/>
                <w:lang w:val="nl-NL" w:eastAsia="nl-NL"/>
              </w:rPr>
              <w:t>,</w:t>
            </w:r>
            <w:r w:rsidRPr="002A68D7">
              <w:rPr>
                <w:color w:val="000000"/>
                <w:sz w:val="20"/>
                <w:szCs w:val="20"/>
                <w:lang w:val="nl-NL" w:eastAsia="nl-NL"/>
              </w:rPr>
              <w:t>977</w:t>
            </w:r>
            <w:r>
              <w:rPr>
                <w:color w:val="000000"/>
                <w:sz w:val="20"/>
                <w:szCs w:val="20"/>
                <w:lang w:val="nl-NL" w:eastAsia="nl-NL"/>
              </w:rPr>
              <w:t>,</w:t>
            </w:r>
            <w:r w:rsidRPr="002A68D7">
              <w:rPr>
                <w:color w:val="000000"/>
                <w:sz w:val="20"/>
                <w:szCs w:val="20"/>
                <w:lang w:val="nl-NL" w:eastAsia="nl-NL"/>
              </w:rPr>
              <w:t>766.165</w:t>
            </w:r>
          </w:p>
        </w:tc>
        <w:tc>
          <w:tcPr>
            <w:tcW w:w="1984"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13</w:t>
            </w:r>
            <w:r>
              <w:rPr>
                <w:color w:val="000000"/>
                <w:sz w:val="20"/>
                <w:szCs w:val="20"/>
                <w:lang w:val="nl-NL" w:eastAsia="nl-NL"/>
              </w:rPr>
              <w:t>,</w:t>
            </w:r>
            <w:r w:rsidRPr="002A68D7">
              <w:rPr>
                <w:color w:val="000000"/>
                <w:sz w:val="20"/>
                <w:szCs w:val="20"/>
                <w:lang w:val="nl-NL" w:eastAsia="nl-NL"/>
              </w:rPr>
              <w:t>358</w:t>
            </w:r>
            <w:r>
              <w:rPr>
                <w:color w:val="000000"/>
                <w:sz w:val="20"/>
                <w:szCs w:val="20"/>
                <w:lang w:val="nl-NL" w:eastAsia="nl-NL"/>
              </w:rPr>
              <w:t>,</w:t>
            </w:r>
            <w:r w:rsidRPr="002A68D7">
              <w:rPr>
                <w:color w:val="000000"/>
                <w:sz w:val="20"/>
                <w:szCs w:val="20"/>
                <w:lang w:val="nl-NL" w:eastAsia="nl-NL"/>
              </w:rPr>
              <w:t>687</w:t>
            </w:r>
            <w:r>
              <w:rPr>
                <w:color w:val="000000"/>
                <w:sz w:val="20"/>
                <w:szCs w:val="20"/>
                <w:lang w:val="nl-NL" w:eastAsia="nl-NL"/>
              </w:rPr>
              <w:t>,</w:t>
            </w:r>
            <w:r w:rsidRPr="002A68D7">
              <w:rPr>
                <w:color w:val="000000"/>
                <w:sz w:val="20"/>
                <w:szCs w:val="20"/>
                <w:lang w:val="nl-NL" w:eastAsia="nl-NL"/>
              </w:rPr>
              <w:t>602.391</w:t>
            </w:r>
          </w:p>
        </w:tc>
        <w:tc>
          <w:tcPr>
            <w:tcW w:w="1843"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36</w:t>
            </w:r>
            <w:r>
              <w:rPr>
                <w:color w:val="000000"/>
                <w:sz w:val="20"/>
                <w:szCs w:val="20"/>
                <w:lang w:val="nl-NL" w:eastAsia="nl-NL"/>
              </w:rPr>
              <w:t>,</w:t>
            </w:r>
            <w:r w:rsidRPr="002A68D7">
              <w:rPr>
                <w:color w:val="000000"/>
                <w:sz w:val="20"/>
                <w:szCs w:val="20"/>
                <w:lang w:val="nl-NL" w:eastAsia="nl-NL"/>
              </w:rPr>
              <w:t>096</w:t>
            </w:r>
            <w:r>
              <w:rPr>
                <w:color w:val="000000"/>
                <w:sz w:val="20"/>
                <w:szCs w:val="20"/>
                <w:lang w:val="nl-NL" w:eastAsia="nl-NL"/>
              </w:rPr>
              <w:t>,</w:t>
            </w:r>
            <w:r w:rsidRPr="002A68D7">
              <w:rPr>
                <w:color w:val="000000"/>
                <w:sz w:val="20"/>
                <w:szCs w:val="20"/>
                <w:lang w:val="nl-NL" w:eastAsia="nl-NL"/>
              </w:rPr>
              <w:t>000.000</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1</w:t>
            </w:r>
            <w:r>
              <w:rPr>
                <w:color w:val="000000"/>
                <w:sz w:val="20"/>
                <w:szCs w:val="20"/>
                <w:lang w:val="nl-NL" w:eastAsia="nl-NL"/>
              </w:rPr>
              <w:t>,</w:t>
            </w:r>
            <w:r w:rsidRPr="002A68D7">
              <w:rPr>
                <w:color w:val="000000"/>
                <w:sz w:val="20"/>
                <w:szCs w:val="20"/>
                <w:lang w:val="nl-NL" w:eastAsia="nl-NL"/>
              </w:rPr>
              <w:t>146</w:t>
            </w:r>
            <w:r>
              <w:rPr>
                <w:color w:val="000000"/>
                <w:sz w:val="20"/>
                <w:szCs w:val="20"/>
                <w:lang w:val="nl-NL" w:eastAsia="nl-NL"/>
              </w:rPr>
              <w:t>,</w:t>
            </w:r>
            <w:r w:rsidRPr="002A68D7">
              <w:rPr>
                <w:color w:val="000000"/>
                <w:sz w:val="20"/>
                <w:szCs w:val="20"/>
                <w:lang w:val="nl-NL" w:eastAsia="nl-NL"/>
              </w:rPr>
              <w:t>164</w:t>
            </w:r>
            <w:r>
              <w:rPr>
                <w:color w:val="000000"/>
                <w:sz w:val="20"/>
                <w:szCs w:val="20"/>
                <w:lang w:val="nl-NL" w:eastAsia="nl-NL"/>
              </w:rPr>
              <w:t>,</w:t>
            </w:r>
            <w:r w:rsidRPr="002A68D7">
              <w:rPr>
                <w:color w:val="000000"/>
                <w:sz w:val="20"/>
                <w:szCs w:val="20"/>
                <w:lang w:val="nl-NL" w:eastAsia="nl-NL"/>
              </w:rPr>
              <w:t>000</w:t>
            </w:r>
            <w:r>
              <w:rPr>
                <w:color w:val="000000"/>
                <w:sz w:val="20"/>
                <w:szCs w:val="20"/>
                <w:lang w:val="nl-NL" w:eastAsia="nl-NL"/>
              </w:rPr>
              <w:t>,</w:t>
            </w:r>
            <w:r w:rsidRPr="002A68D7">
              <w:rPr>
                <w:color w:val="000000"/>
                <w:sz w:val="20"/>
                <w:szCs w:val="20"/>
                <w:lang w:val="nl-NL" w:eastAsia="nl-NL"/>
              </w:rPr>
              <w:t>000.000</w:t>
            </w:r>
          </w:p>
        </w:tc>
        <w:tc>
          <w:tcPr>
            <w:tcW w:w="992"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val="nl-NL" w:eastAsia="nl-NL"/>
              </w:rPr>
            </w:pPr>
            <w:r w:rsidRPr="002A68D7">
              <w:rPr>
                <w:color w:val="000000"/>
                <w:sz w:val="20"/>
                <w:szCs w:val="20"/>
                <w:lang w:val="nl-NL" w:eastAsia="nl-NL"/>
              </w:rPr>
              <w:t>346</w:t>
            </w:r>
          </w:p>
        </w:tc>
      </w:tr>
      <w:tr w:rsidR="00DC7B1E" w:rsidRPr="00EF51F1" w:rsidTr="00BF6ABC">
        <w:trPr>
          <w:trHeight w:val="300"/>
        </w:trPr>
        <w:tc>
          <w:tcPr>
            <w:tcW w:w="1435" w:type="dxa"/>
            <w:tcBorders>
              <w:top w:val="nil"/>
              <w:left w:val="single" w:sz="4" w:space="0" w:color="auto"/>
              <w:bottom w:val="single" w:sz="4" w:space="0" w:color="auto"/>
              <w:right w:val="single" w:sz="4" w:space="0" w:color="auto"/>
            </w:tcBorders>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MTBV</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-3.952</w:t>
            </w:r>
          </w:p>
        </w:tc>
        <w:tc>
          <w:tcPr>
            <w:tcW w:w="1984"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114.657</w:t>
            </w:r>
          </w:p>
        </w:tc>
        <w:tc>
          <w:tcPr>
            <w:tcW w:w="1843"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val="nl-NL" w:eastAsia="nl-NL"/>
              </w:rPr>
            </w:pPr>
            <w:r w:rsidRPr="002A68D7">
              <w:rPr>
                <w:color w:val="000000"/>
                <w:sz w:val="20"/>
                <w:szCs w:val="20"/>
                <w:lang w:val="nl-NL" w:eastAsia="nl-NL"/>
              </w:rPr>
              <w:t>-2</w:t>
            </w:r>
            <w:r>
              <w:rPr>
                <w:color w:val="000000"/>
                <w:sz w:val="20"/>
                <w:szCs w:val="20"/>
                <w:lang w:val="nl-NL" w:eastAsia="nl-NL"/>
              </w:rPr>
              <w:t>,</w:t>
            </w:r>
            <w:r w:rsidRPr="002A68D7">
              <w:rPr>
                <w:color w:val="000000"/>
                <w:sz w:val="20"/>
                <w:szCs w:val="20"/>
                <w:lang w:val="nl-NL" w:eastAsia="nl-NL"/>
              </w:rPr>
              <w:t>068.800</w:t>
            </w:r>
          </w:p>
        </w:tc>
        <w:tc>
          <w:tcPr>
            <w:tcW w:w="1701" w:type="dxa"/>
            <w:tcBorders>
              <w:top w:val="nil"/>
              <w:left w:val="nil"/>
              <w:bottom w:val="single" w:sz="4" w:space="0" w:color="auto"/>
              <w:right w:val="single" w:sz="4" w:space="0" w:color="auto"/>
            </w:tcBorders>
            <w:noWrap/>
            <w:vAlign w:val="bottom"/>
          </w:tcPr>
          <w:p w:rsidR="00DC7B1E" w:rsidRPr="002A68D7" w:rsidRDefault="00DC7B1E" w:rsidP="00520F8F">
            <w:pPr>
              <w:spacing w:after="0" w:line="240" w:lineRule="auto"/>
              <w:jc w:val="right"/>
              <w:rPr>
                <w:color w:val="000000"/>
                <w:sz w:val="20"/>
                <w:szCs w:val="20"/>
                <w:lang w:eastAsia="nl-NL"/>
              </w:rPr>
            </w:pPr>
            <w:r w:rsidRPr="002A68D7">
              <w:rPr>
                <w:color w:val="000000"/>
                <w:sz w:val="20"/>
                <w:szCs w:val="20"/>
                <w:lang w:eastAsia="nl-NL"/>
              </w:rPr>
              <w:t>172.760</w:t>
            </w:r>
          </w:p>
        </w:tc>
        <w:tc>
          <w:tcPr>
            <w:tcW w:w="992" w:type="dxa"/>
            <w:tcBorders>
              <w:top w:val="nil"/>
              <w:left w:val="nil"/>
              <w:bottom w:val="single" w:sz="4" w:space="0" w:color="auto"/>
              <w:right w:val="single" w:sz="4" w:space="0" w:color="auto"/>
            </w:tcBorders>
            <w:noWrap/>
            <w:vAlign w:val="bottom"/>
          </w:tcPr>
          <w:p w:rsidR="00DC7B1E" w:rsidRPr="002A68D7" w:rsidRDefault="00DC7B1E" w:rsidP="00BF6ABC">
            <w:pPr>
              <w:spacing w:after="0" w:line="240" w:lineRule="auto"/>
              <w:jc w:val="right"/>
              <w:rPr>
                <w:color w:val="000000"/>
                <w:sz w:val="20"/>
                <w:szCs w:val="20"/>
                <w:lang w:eastAsia="nl-NL"/>
              </w:rPr>
            </w:pPr>
            <w:r w:rsidRPr="002A68D7">
              <w:rPr>
                <w:color w:val="000000"/>
                <w:sz w:val="20"/>
                <w:szCs w:val="20"/>
                <w:lang w:eastAsia="nl-NL"/>
              </w:rPr>
              <w:t>346</w:t>
            </w:r>
          </w:p>
        </w:tc>
      </w:tr>
    </w:tbl>
    <w:p w:rsidR="00DC7B1E" w:rsidRPr="00EF51F1" w:rsidRDefault="00DC7B1E"/>
    <w:p w:rsidR="00DC7B1E" w:rsidRPr="002A68D7" w:rsidRDefault="00DC7B1E" w:rsidP="002A68D7">
      <w:pPr>
        <w:spacing w:line="360" w:lineRule="auto"/>
        <w:contextualSpacing/>
        <w:jc w:val="both"/>
        <w:rPr>
          <w:rFonts w:cs="Arial"/>
          <w:b/>
        </w:rPr>
      </w:pPr>
      <w:r w:rsidRPr="002A68D7">
        <w:rPr>
          <w:rFonts w:cs="Arial"/>
          <w:b/>
        </w:rPr>
        <w:t>Table Function combination</w:t>
      </w:r>
    </w:p>
    <w:tbl>
      <w:tblPr>
        <w:tblW w:w="5120"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00"/>
        <w:gridCol w:w="1440"/>
        <w:gridCol w:w="1780"/>
      </w:tblGrid>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Frequency</w:t>
            </w:r>
          </w:p>
        </w:tc>
        <w:tc>
          <w:tcPr>
            <w:tcW w:w="178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Percent</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NONE</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143</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41.329</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CEO</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21</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6.069</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CFO</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26</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7.514</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Other</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28</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8.092</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CEO/CFO</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25</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7.225</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CEO/Other</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33</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9.538</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CFO/Other</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24</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6.936</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CEO/CFO/Other</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46</w:t>
            </w:r>
          </w:p>
        </w:tc>
        <w:tc>
          <w:tcPr>
            <w:tcW w:w="1780" w:type="dxa"/>
            <w:noWrap/>
            <w:vAlign w:val="bottom"/>
          </w:tcPr>
          <w:p w:rsidR="00DC7B1E" w:rsidRPr="002A68D7" w:rsidRDefault="00DC7B1E" w:rsidP="00B218CF">
            <w:pPr>
              <w:spacing w:after="0" w:line="240" w:lineRule="auto"/>
              <w:rPr>
                <w:color w:val="000000"/>
                <w:sz w:val="20"/>
                <w:szCs w:val="20"/>
              </w:rPr>
            </w:pPr>
            <w:r w:rsidRPr="002A68D7">
              <w:rPr>
                <w:color w:val="000000"/>
                <w:sz w:val="20"/>
                <w:szCs w:val="20"/>
              </w:rPr>
              <w:t>13.295</w:t>
            </w:r>
          </w:p>
        </w:tc>
      </w:tr>
      <w:tr w:rsidR="00DC7B1E" w:rsidRPr="00EF51F1" w:rsidTr="00BF6ABC">
        <w:trPr>
          <w:trHeight w:val="300"/>
        </w:trPr>
        <w:tc>
          <w:tcPr>
            <w:tcW w:w="190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Total</w:t>
            </w:r>
          </w:p>
        </w:tc>
        <w:tc>
          <w:tcPr>
            <w:tcW w:w="144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346</w:t>
            </w:r>
          </w:p>
        </w:tc>
        <w:tc>
          <w:tcPr>
            <w:tcW w:w="1780" w:type="dxa"/>
            <w:noWrap/>
            <w:vAlign w:val="bottom"/>
          </w:tcPr>
          <w:p w:rsidR="00DC7B1E" w:rsidRPr="002A68D7" w:rsidRDefault="00DC7B1E" w:rsidP="00BF6ABC">
            <w:pPr>
              <w:spacing w:after="0" w:line="240" w:lineRule="auto"/>
              <w:rPr>
                <w:color w:val="000000"/>
                <w:sz w:val="20"/>
                <w:szCs w:val="20"/>
              </w:rPr>
            </w:pPr>
            <w:r w:rsidRPr="002A68D7">
              <w:rPr>
                <w:color w:val="000000"/>
                <w:sz w:val="20"/>
                <w:szCs w:val="20"/>
              </w:rPr>
              <w:t>100</w:t>
            </w:r>
          </w:p>
        </w:tc>
      </w:tr>
    </w:tbl>
    <w:p w:rsidR="00DC7B1E" w:rsidRPr="00EF51F1" w:rsidRDefault="00DC7B1E" w:rsidP="002123A5">
      <w:pPr>
        <w:spacing w:line="360" w:lineRule="auto"/>
        <w:contextualSpacing/>
        <w:jc w:val="both"/>
        <w:rPr>
          <w:rFonts w:cs="Arial"/>
        </w:rPr>
      </w:pPr>
    </w:p>
    <w:p w:rsidR="00DC7B1E" w:rsidRPr="00EF51F1" w:rsidRDefault="00DC7B1E" w:rsidP="002123A5">
      <w:pPr>
        <w:spacing w:line="360" w:lineRule="auto"/>
        <w:contextualSpacing/>
        <w:jc w:val="both"/>
        <w:rPr>
          <w:rFonts w:cs="Arial"/>
          <w:b/>
        </w:rPr>
      </w:pPr>
      <w:r>
        <w:rPr>
          <w:rFonts w:cs="Arial"/>
          <w:b/>
        </w:rPr>
        <w:t>Table Leaving</w:t>
      </w:r>
    </w:p>
    <w:tbl>
      <w:tblPr>
        <w:tblW w:w="512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435"/>
        <w:gridCol w:w="1843"/>
        <w:gridCol w:w="1842"/>
      </w:tblGrid>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LEAVING</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Frequency</w:t>
            </w:r>
          </w:p>
        </w:tc>
        <w:tc>
          <w:tcPr>
            <w:tcW w:w="1842"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Percent</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No</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314</w:t>
            </w:r>
          </w:p>
        </w:tc>
        <w:tc>
          <w:tcPr>
            <w:tcW w:w="1842" w:type="dxa"/>
            <w:noWrap/>
            <w:vAlign w:val="bottom"/>
          </w:tcPr>
          <w:p w:rsidR="00DC7B1E" w:rsidRPr="002A68D7" w:rsidRDefault="00DC7B1E" w:rsidP="00B218CF">
            <w:pPr>
              <w:spacing w:after="0" w:line="240" w:lineRule="auto"/>
              <w:rPr>
                <w:color w:val="000000"/>
                <w:sz w:val="20"/>
                <w:szCs w:val="20"/>
                <w:lang w:val="nl-NL" w:eastAsia="nl-NL"/>
              </w:rPr>
            </w:pPr>
            <w:r w:rsidRPr="002A68D7">
              <w:rPr>
                <w:color w:val="000000"/>
                <w:sz w:val="20"/>
                <w:szCs w:val="20"/>
                <w:lang w:val="nl-NL" w:eastAsia="nl-NL"/>
              </w:rPr>
              <w:t>90.8</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Yes</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32</w:t>
            </w:r>
          </w:p>
        </w:tc>
        <w:tc>
          <w:tcPr>
            <w:tcW w:w="1842" w:type="dxa"/>
            <w:noWrap/>
            <w:vAlign w:val="bottom"/>
          </w:tcPr>
          <w:p w:rsidR="00DC7B1E" w:rsidRPr="002A68D7" w:rsidRDefault="00DC7B1E" w:rsidP="00B218CF">
            <w:pPr>
              <w:spacing w:after="0" w:line="240" w:lineRule="auto"/>
              <w:rPr>
                <w:color w:val="000000"/>
                <w:sz w:val="20"/>
                <w:szCs w:val="20"/>
                <w:lang w:val="nl-NL" w:eastAsia="nl-NL"/>
              </w:rPr>
            </w:pPr>
            <w:r w:rsidRPr="002A68D7">
              <w:rPr>
                <w:color w:val="000000"/>
                <w:sz w:val="20"/>
                <w:szCs w:val="20"/>
                <w:lang w:val="nl-NL" w:eastAsia="nl-NL"/>
              </w:rPr>
              <w:t>9.2</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Total</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346</w:t>
            </w:r>
          </w:p>
        </w:tc>
        <w:tc>
          <w:tcPr>
            <w:tcW w:w="1842"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100</w:t>
            </w:r>
          </w:p>
        </w:tc>
      </w:tr>
    </w:tbl>
    <w:p w:rsidR="00DC7B1E" w:rsidRPr="00EF51F1" w:rsidRDefault="00DC7B1E" w:rsidP="002123A5">
      <w:pPr>
        <w:spacing w:line="360" w:lineRule="auto"/>
        <w:contextualSpacing/>
        <w:jc w:val="both"/>
        <w:rPr>
          <w:rFonts w:cs="Arial"/>
        </w:rPr>
      </w:pPr>
    </w:p>
    <w:p w:rsidR="00DC7B1E" w:rsidRPr="00EF51F1" w:rsidRDefault="00DC7B1E" w:rsidP="002123A5">
      <w:pPr>
        <w:spacing w:line="360" w:lineRule="auto"/>
        <w:contextualSpacing/>
        <w:jc w:val="both"/>
        <w:rPr>
          <w:rFonts w:cs="Arial"/>
          <w:b/>
        </w:rPr>
      </w:pPr>
      <w:r>
        <w:rPr>
          <w:rFonts w:cs="Arial"/>
          <w:b/>
        </w:rPr>
        <w:t>Table Year</w:t>
      </w:r>
    </w:p>
    <w:tbl>
      <w:tblPr>
        <w:tblW w:w="5120" w:type="dxa"/>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tblPr>
      <w:tblGrid>
        <w:gridCol w:w="1435"/>
        <w:gridCol w:w="1843"/>
        <w:gridCol w:w="1842"/>
      </w:tblGrid>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YEAR</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Frequency</w:t>
            </w:r>
          </w:p>
        </w:tc>
        <w:tc>
          <w:tcPr>
            <w:tcW w:w="1842"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Percent</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2004</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87</w:t>
            </w:r>
          </w:p>
        </w:tc>
        <w:tc>
          <w:tcPr>
            <w:tcW w:w="1842" w:type="dxa"/>
            <w:noWrap/>
            <w:vAlign w:val="bottom"/>
          </w:tcPr>
          <w:p w:rsidR="00DC7B1E" w:rsidRPr="002A68D7" w:rsidRDefault="00DC7B1E" w:rsidP="00B218CF">
            <w:pPr>
              <w:spacing w:after="0" w:line="240" w:lineRule="auto"/>
              <w:rPr>
                <w:color w:val="000000"/>
                <w:sz w:val="20"/>
                <w:szCs w:val="20"/>
                <w:lang w:val="nl-NL" w:eastAsia="nl-NL"/>
              </w:rPr>
            </w:pPr>
            <w:r w:rsidRPr="002A68D7">
              <w:rPr>
                <w:color w:val="000000"/>
                <w:sz w:val="20"/>
                <w:szCs w:val="20"/>
                <w:lang w:val="nl-NL" w:eastAsia="nl-NL"/>
              </w:rPr>
              <w:t>25.1</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2005</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88</w:t>
            </w:r>
          </w:p>
        </w:tc>
        <w:tc>
          <w:tcPr>
            <w:tcW w:w="1842" w:type="dxa"/>
            <w:noWrap/>
            <w:vAlign w:val="bottom"/>
          </w:tcPr>
          <w:p w:rsidR="00DC7B1E" w:rsidRPr="002A68D7" w:rsidRDefault="00DC7B1E" w:rsidP="00B218CF">
            <w:pPr>
              <w:spacing w:after="0" w:line="240" w:lineRule="auto"/>
              <w:rPr>
                <w:color w:val="000000"/>
                <w:sz w:val="20"/>
                <w:szCs w:val="20"/>
                <w:lang w:val="nl-NL" w:eastAsia="nl-NL"/>
              </w:rPr>
            </w:pPr>
            <w:r w:rsidRPr="002A68D7">
              <w:rPr>
                <w:color w:val="000000"/>
                <w:sz w:val="20"/>
                <w:szCs w:val="20"/>
                <w:lang w:val="nl-NL" w:eastAsia="nl-NL"/>
              </w:rPr>
              <w:t>25.4</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2006</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86</w:t>
            </w:r>
          </w:p>
        </w:tc>
        <w:tc>
          <w:tcPr>
            <w:tcW w:w="1842" w:type="dxa"/>
            <w:noWrap/>
            <w:vAlign w:val="bottom"/>
          </w:tcPr>
          <w:p w:rsidR="00DC7B1E" w:rsidRPr="002A68D7" w:rsidRDefault="00DC7B1E" w:rsidP="00B218CF">
            <w:pPr>
              <w:spacing w:after="0" w:line="240" w:lineRule="auto"/>
              <w:rPr>
                <w:color w:val="000000"/>
                <w:sz w:val="20"/>
                <w:szCs w:val="20"/>
                <w:lang w:val="nl-NL" w:eastAsia="nl-NL"/>
              </w:rPr>
            </w:pPr>
            <w:r w:rsidRPr="002A68D7">
              <w:rPr>
                <w:color w:val="000000"/>
                <w:sz w:val="20"/>
                <w:szCs w:val="20"/>
                <w:lang w:val="nl-NL" w:eastAsia="nl-NL"/>
              </w:rPr>
              <w:t>24.9</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2007</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85</w:t>
            </w:r>
          </w:p>
        </w:tc>
        <w:tc>
          <w:tcPr>
            <w:tcW w:w="1842" w:type="dxa"/>
            <w:noWrap/>
            <w:vAlign w:val="bottom"/>
          </w:tcPr>
          <w:p w:rsidR="00DC7B1E" w:rsidRPr="002A68D7" w:rsidRDefault="00DC7B1E" w:rsidP="00B218CF">
            <w:pPr>
              <w:spacing w:after="0" w:line="240" w:lineRule="auto"/>
              <w:rPr>
                <w:color w:val="000000"/>
                <w:sz w:val="20"/>
                <w:szCs w:val="20"/>
                <w:lang w:val="nl-NL" w:eastAsia="nl-NL"/>
              </w:rPr>
            </w:pPr>
            <w:r w:rsidRPr="002A68D7">
              <w:rPr>
                <w:color w:val="000000"/>
                <w:sz w:val="20"/>
                <w:szCs w:val="20"/>
                <w:lang w:val="nl-NL" w:eastAsia="nl-NL"/>
              </w:rPr>
              <w:t>24.6</w:t>
            </w:r>
          </w:p>
        </w:tc>
      </w:tr>
      <w:tr w:rsidR="00DC7B1E" w:rsidRPr="00EF51F1" w:rsidTr="00BF6ABC">
        <w:trPr>
          <w:trHeight w:val="300"/>
        </w:trPr>
        <w:tc>
          <w:tcPr>
            <w:tcW w:w="1435"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Total</w:t>
            </w:r>
          </w:p>
        </w:tc>
        <w:tc>
          <w:tcPr>
            <w:tcW w:w="1843"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346</w:t>
            </w:r>
          </w:p>
        </w:tc>
        <w:tc>
          <w:tcPr>
            <w:tcW w:w="1842" w:type="dxa"/>
            <w:noWrap/>
            <w:vAlign w:val="bottom"/>
          </w:tcPr>
          <w:p w:rsidR="00DC7B1E" w:rsidRPr="002A68D7" w:rsidRDefault="00DC7B1E" w:rsidP="00BF6ABC">
            <w:pPr>
              <w:spacing w:after="0" w:line="240" w:lineRule="auto"/>
              <w:rPr>
                <w:color w:val="000000"/>
                <w:sz w:val="20"/>
                <w:szCs w:val="20"/>
                <w:lang w:val="nl-NL" w:eastAsia="nl-NL"/>
              </w:rPr>
            </w:pPr>
            <w:r w:rsidRPr="002A68D7">
              <w:rPr>
                <w:color w:val="000000"/>
                <w:sz w:val="20"/>
                <w:szCs w:val="20"/>
                <w:lang w:val="nl-NL" w:eastAsia="nl-NL"/>
              </w:rPr>
              <w:t>100</w:t>
            </w:r>
          </w:p>
        </w:tc>
      </w:tr>
    </w:tbl>
    <w:p w:rsidR="00DC7B1E" w:rsidRPr="00EF51F1" w:rsidRDefault="00DC7B1E" w:rsidP="002123A5">
      <w:pPr>
        <w:spacing w:line="360" w:lineRule="auto"/>
        <w:contextualSpacing/>
        <w:jc w:val="both"/>
        <w:rPr>
          <w:rFonts w:cs="Arial"/>
        </w:rPr>
      </w:pPr>
    </w:p>
    <w:p w:rsidR="00DC7B1E" w:rsidRPr="00421BFC" w:rsidRDefault="00DC7B1E" w:rsidP="00421BFC">
      <w:pPr>
        <w:pStyle w:val="Heading1"/>
        <w:spacing w:before="60" w:line="360" w:lineRule="auto"/>
        <w:contextualSpacing/>
        <w:rPr>
          <w:color w:val="245590"/>
        </w:rPr>
      </w:pPr>
      <w:bookmarkStart w:id="73" w:name="_Toc234568013"/>
      <w:r w:rsidRPr="00421BFC">
        <w:rPr>
          <w:color w:val="245590"/>
        </w:rPr>
        <w:t>Appendix 4 Bonferroni test function combinations</w:t>
      </w:r>
      <w:bookmarkEnd w:id="73"/>
      <w:r w:rsidRPr="00421BFC">
        <w:rPr>
          <w:color w:val="245590"/>
        </w:rPr>
        <w:t xml:space="preserve"> </w:t>
      </w:r>
    </w:p>
    <w:p w:rsidR="00DC7B1E" w:rsidRDefault="00DC7B1E" w:rsidP="00523096">
      <w:pPr>
        <w:autoSpaceDE w:val="0"/>
        <w:autoSpaceDN w:val="0"/>
        <w:adjustRightInd w:val="0"/>
        <w:spacing w:after="0" w:line="240" w:lineRule="auto"/>
        <w:rPr>
          <w:rFonts w:ascii="Times New Roman" w:hAnsi="Times New Roman"/>
        </w:rPr>
      </w:pPr>
    </w:p>
    <w:p w:rsidR="00DC7B1E" w:rsidRPr="004C654E" w:rsidRDefault="00DC7B1E" w:rsidP="00523096">
      <w:pPr>
        <w:autoSpaceDE w:val="0"/>
        <w:autoSpaceDN w:val="0"/>
        <w:adjustRightInd w:val="0"/>
        <w:spacing w:after="0" w:line="240" w:lineRule="auto"/>
        <w:rPr>
          <w:rFonts w:ascii="Times New Roman" w:hAnsi="Times New Roman"/>
        </w:rPr>
      </w:pPr>
    </w:p>
    <w:p w:rsidR="00DC7B1E" w:rsidRPr="00D87F3F" w:rsidRDefault="00DC7B1E" w:rsidP="0096481B">
      <w:pPr>
        <w:autoSpaceDE w:val="0"/>
        <w:autoSpaceDN w:val="0"/>
        <w:adjustRightInd w:val="0"/>
        <w:spacing w:after="0" w:line="240" w:lineRule="auto"/>
        <w:ind w:left="720" w:firstLine="720"/>
        <w:rPr>
          <w:rFonts w:cs="Arial"/>
          <w:b/>
        </w:rPr>
      </w:pPr>
      <w:r>
        <w:rPr>
          <w:rFonts w:cs="Arial"/>
          <w:b/>
        </w:rPr>
        <w:t xml:space="preserve">            </w:t>
      </w:r>
      <w:r w:rsidRPr="00D87F3F">
        <w:rPr>
          <w:rFonts w:cs="Arial"/>
          <w:b/>
        </w:rPr>
        <w:t>Descriptives</w:t>
      </w:r>
    </w:p>
    <w:p w:rsidR="00DC7B1E" w:rsidRDefault="00DC7B1E" w:rsidP="00523096">
      <w:pPr>
        <w:autoSpaceDE w:val="0"/>
        <w:autoSpaceDN w:val="0"/>
        <w:adjustRightInd w:val="0"/>
        <w:spacing w:after="0" w:line="240" w:lineRule="auto"/>
        <w:rPr>
          <w:rFonts w:cs="Arial"/>
        </w:rPr>
      </w:pPr>
      <w:r>
        <w:rPr>
          <w:rFonts w:cs="Arial"/>
        </w:rPr>
        <w:t>DA</w:t>
      </w:r>
    </w:p>
    <w:p w:rsidR="00DC7B1E" w:rsidRDefault="00DC7B1E" w:rsidP="00523096">
      <w:pPr>
        <w:autoSpaceDE w:val="0"/>
        <w:autoSpaceDN w:val="0"/>
        <w:adjustRightInd w:val="0"/>
        <w:spacing w:after="0" w:line="240" w:lineRule="auto"/>
        <w:rPr>
          <w:rFonts w:cs="Arial"/>
        </w:rPr>
      </w:pPr>
    </w:p>
    <w:tbl>
      <w:tblPr>
        <w:tblW w:w="5404" w:type="dxa"/>
        <w:tblInd w:w="91" w:type="dxa"/>
        <w:tblLook w:val="00A0"/>
      </w:tblPr>
      <w:tblGrid>
        <w:gridCol w:w="1642"/>
        <w:gridCol w:w="960"/>
        <w:gridCol w:w="1243"/>
        <w:gridCol w:w="1559"/>
      </w:tblGrid>
      <w:tr w:rsidR="00DC7B1E" w:rsidRPr="00C15E9D" w:rsidTr="00C15E9D">
        <w:trPr>
          <w:trHeight w:val="300"/>
        </w:trPr>
        <w:tc>
          <w:tcPr>
            <w:tcW w:w="1642" w:type="dxa"/>
            <w:tcBorders>
              <w:top w:val="single" w:sz="4" w:space="0" w:color="auto"/>
              <w:left w:val="single" w:sz="4" w:space="0" w:color="auto"/>
              <w:bottom w:val="single" w:sz="4" w:space="0" w:color="auto"/>
              <w:right w:val="single" w:sz="4" w:space="0" w:color="auto"/>
            </w:tcBorders>
            <w:noWrap/>
            <w:vAlign w:val="bottom"/>
          </w:tcPr>
          <w:p w:rsidR="00DC7B1E" w:rsidRPr="002A68D7" w:rsidRDefault="00DC7B1E" w:rsidP="00C15E9D">
            <w:pPr>
              <w:spacing w:after="0" w:line="240" w:lineRule="auto"/>
              <w:rPr>
                <w:color w:val="000000"/>
                <w:sz w:val="20"/>
                <w:szCs w:val="20"/>
              </w:rPr>
            </w:pPr>
            <w:r w:rsidRPr="002A68D7">
              <w:rPr>
                <w:color w:val="000000"/>
                <w:sz w:val="20"/>
                <w:szCs w:val="20"/>
              </w:rPr>
              <w:t> </w:t>
            </w:r>
          </w:p>
        </w:tc>
        <w:tc>
          <w:tcPr>
            <w:tcW w:w="960" w:type="dxa"/>
            <w:tcBorders>
              <w:top w:val="single" w:sz="4" w:space="0" w:color="auto"/>
              <w:left w:val="nil"/>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N</w:t>
            </w:r>
          </w:p>
        </w:tc>
        <w:tc>
          <w:tcPr>
            <w:tcW w:w="1243" w:type="dxa"/>
            <w:tcBorders>
              <w:top w:val="single" w:sz="4" w:space="0" w:color="auto"/>
              <w:left w:val="nil"/>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Mean</w:t>
            </w:r>
          </w:p>
        </w:tc>
        <w:tc>
          <w:tcPr>
            <w:tcW w:w="1559" w:type="dxa"/>
            <w:tcBorders>
              <w:top w:val="single" w:sz="4" w:space="0" w:color="auto"/>
              <w:left w:val="nil"/>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 Std. deviation</w:t>
            </w:r>
          </w:p>
        </w:tc>
      </w:tr>
      <w:tr w:rsidR="00DC7B1E" w:rsidRPr="00C15E9D"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NONE</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131</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-0,066706</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0,137860</w:t>
            </w:r>
          </w:p>
        </w:tc>
      </w:tr>
      <w:tr w:rsidR="00DC7B1E" w:rsidRPr="00C15E9D"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CEO</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17</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-0,078197</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0,143233</w:t>
            </w:r>
          </w:p>
        </w:tc>
      </w:tr>
      <w:tr w:rsidR="00DC7B1E" w:rsidRPr="00C15E9D"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CFO</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24</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-0,033479</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0,123365</w:t>
            </w:r>
          </w:p>
        </w:tc>
      </w:tr>
      <w:tr w:rsidR="00DC7B1E" w:rsidRPr="00C15E9D"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Other</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26</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-0,067496</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0,126201</w:t>
            </w:r>
          </w:p>
        </w:tc>
      </w:tr>
      <w:tr w:rsidR="00DC7B1E" w:rsidRPr="00C15E9D"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CEO/CFO</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19</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-0,016267</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0,060020</w:t>
            </w:r>
          </w:p>
        </w:tc>
      </w:tr>
      <w:tr w:rsidR="00DC7B1E" w:rsidRPr="00C15E9D"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CEO/Other</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25</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-0,043919</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0,093532</w:t>
            </w:r>
          </w:p>
        </w:tc>
      </w:tr>
      <w:tr w:rsidR="00DC7B1E" w:rsidRPr="00343B6A"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CFO/Other</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22</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-0,035227</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0,128465</w:t>
            </w:r>
          </w:p>
        </w:tc>
      </w:tr>
      <w:tr w:rsidR="00DC7B1E" w:rsidRPr="00343B6A" w:rsidTr="00C15E9D">
        <w:trPr>
          <w:trHeight w:val="300"/>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CEO/CFO/Other</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36</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0,015698</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0,069454</w:t>
            </w:r>
          </w:p>
        </w:tc>
      </w:tr>
      <w:tr w:rsidR="00DC7B1E" w:rsidRPr="00343B6A" w:rsidTr="00C15E9D">
        <w:trPr>
          <w:trHeight w:val="315"/>
        </w:trPr>
        <w:tc>
          <w:tcPr>
            <w:tcW w:w="1642" w:type="dxa"/>
            <w:tcBorders>
              <w:top w:val="nil"/>
              <w:left w:val="single" w:sz="4" w:space="0" w:color="auto"/>
              <w:bottom w:val="single" w:sz="4" w:space="0" w:color="auto"/>
              <w:right w:val="single" w:sz="4" w:space="0" w:color="auto"/>
            </w:tcBorders>
            <w:noWrap/>
            <w:vAlign w:val="center"/>
          </w:tcPr>
          <w:p w:rsidR="00DC7B1E" w:rsidRPr="002A68D7" w:rsidRDefault="00DC7B1E" w:rsidP="00C15E9D">
            <w:pPr>
              <w:spacing w:after="0" w:line="240" w:lineRule="auto"/>
              <w:rPr>
                <w:color w:val="000000"/>
                <w:sz w:val="20"/>
                <w:szCs w:val="20"/>
              </w:rPr>
            </w:pPr>
            <w:r w:rsidRPr="002A68D7">
              <w:rPr>
                <w:color w:val="000000"/>
                <w:sz w:val="20"/>
                <w:szCs w:val="20"/>
              </w:rPr>
              <w:t>Total</w:t>
            </w:r>
          </w:p>
        </w:tc>
        <w:tc>
          <w:tcPr>
            <w:tcW w:w="960" w:type="dxa"/>
            <w:tcBorders>
              <w:top w:val="nil"/>
              <w:left w:val="nil"/>
              <w:bottom w:val="single" w:sz="4" w:space="0" w:color="auto"/>
              <w:right w:val="single" w:sz="4" w:space="0" w:color="auto"/>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300</w:t>
            </w:r>
          </w:p>
        </w:tc>
        <w:tc>
          <w:tcPr>
            <w:tcW w:w="1243" w:type="dxa"/>
            <w:tcBorders>
              <w:top w:val="nil"/>
              <w:left w:val="nil"/>
              <w:bottom w:val="single" w:sz="4" w:space="0" w:color="auto"/>
              <w:right w:val="nil"/>
            </w:tcBorders>
            <w:noWrap/>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-0,047477</w:t>
            </w:r>
          </w:p>
        </w:tc>
        <w:tc>
          <w:tcPr>
            <w:tcW w:w="1559" w:type="dxa"/>
            <w:tcBorders>
              <w:top w:val="nil"/>
              <w:left w:val="single" w:sz="4" w:space="0" w:color="auto"/>
              <w:bottom w:val="single" w:sz="4" w:space="0" w:color="auto"/>
              <w:right w:val="single" w:sz="4" w:space="0" w:color="auto"/>
            </w:tcBorders>
            <w:vAlign w:val="center"/>
          </w:tcPr>
          <w:p w:rsidR="00DC7B1E" w:rsidRPr="002A68D7" w:rsidRDefault="00DC7B1E" w:rsidP="00C15E9D">
            <w:pPr>
              <w:spacing w:after="0" w:line="240" w:lineRule="auto"/>
              <w:jc w:val="right"/>
              <w:rPr>
                <w:color w:val="000000"/>
                <w:sz w:val="20"/>
                <w:szCs w:val="20"/>
              </w:rPr>
            </w:pPr>
            <w:r w:rsidRPr="002A68D7">
              <w:rPr>
                <w:color w:val="000000"/>
                <w:sz w:val="20"/>
                <w:szCs w:val="20"/>
              </w:rPr>
              <w:t>0,123802</w:t>
            </w:r>
          </w:p>
        </w:tc>
      </w:tr>
    </w:tbl>
    <w:p w:rsidR="00DC7B1E" w:rsidRPr="00343B6A" w:rsidRDefault="00DC7B1E" w:rsidP="00523096">
      <w:pPr>
        <w:autoSpaceDE w:val="0"/>
        <w:autoSpaceDN w:val="0"/>
        <w:adjustRightInd w:val="0"/>
        <w:spacing w:after="0" w:line="240" w:lineRule="auto"/>
        <w:rPr>
          <w:rFonts w:cs="Arial"/>
        </w:rPr>
      </w:pPr>
    </w:p>
    <w:p w:rsidR="00DC7B1E" w:rsidRPr="00343B6A" w:rsidRDefault="00DC7B1E" w:rsidP="00523096">
      <w:pPr>
        <w:autoSpaceDE w:val="0"/>
        <w:autoSpaceDN w:val="0"/>
        <w:adjustRightInd w:val="0"/>
        <w:spacing w:after="0" w:line="240" w:lineRule="auto"/>
        <w:rPr>
          <w:rFonts w:cs="Arial"/>
        </w:rPr>
      </w:pPr>
    </w:p>
    <w:p w:rsidR="00DC7B1E" w:rsidRPr="00343B6A" w:rsidRDefault="00DC7B1E" w:rsidP="0096481B">
      <w:pPr>
        <w:autoSpaceDE w:val="0"/>
        <w:autoSpaceDN w:val="0"/>
        <w:adjustRightInd w:val="0"/>
        <w:spacing w:after="0" w:line="240" w:lineRule="auto"/>
        <w:ind w:firstLine="720"/>
        <w:rPr>
          <w:b/>
        </w:rPr>
      </w:pPr>
      <w:r w:rsidRPr="00343B6A">
        <w:rPr>
          <w:b/>
        </w:rPr>
        <w:t>Test of Homogenity of Variances</w:t>
      </w:r>
    </w:p>
    <w:p w:rsidR="00DC7B1E" w:rsidRPr="00343B6A" w:rsidRDefault="00DC7B1E" w:rsidP="00523096">
      <w:pPr>
        <w:autoSpaceDE w:val="0"/>
        <w:autoSpaceDN w:val="0"/>
        <w:adjustRightInd w:val="0"/>
        <w:spacing w:after="0" w:line="240" w:lineRule="auto"/>
      </w:pPr>
      <w:r w:rsidRPr="00343B6A">
        <w:t>DA</w:t>
      </w:r>
    </w:p>
    <w:tbl>
      <w:tblPr>
        <w:tblW w:w="4660" w:type="dxa"/>
        <w:tblInd w:w="91" w:type="dxa"/>
        <w:tblLook w:val="00A0"/>
      </w:tblPr>
      <w:tblGrid>
        <w:gridCol w:w="1780"/>
        <w:gridCol w:w="960"/>
        <w:gridCol w:w="960"/>
        <w:gridCol w:w="960"/>
      </w:tblGrid>
      <w:tr w:rsidR="00DC7B1E" w:rsidRPr="00343B6A" w:rsidTr="00473097">
        <w:trPr>
          <w:trHeight w:val="300"/>
        </w:trPr>
        <w:tc>
          <w:tcPr>
            <w:tcW w:w="1780" w:type="dxa"/>
            <w:tcBorders>
              <w:top w:val="single" w:sz="4" w:space="0" w:color="auto"/>
              <w:left w:val="single" w:sz="4" w:space="0" w:color="auto"/>
              <w:bottom w:val="single" w:sz="4" w:space="0" w:color="auto"/>
              <w:right w:val="single" w:sz="4" w:space="0" w:color="auto"/>
            </w:tcBorders>
            <w:noWrap/>
            <w:vAlign w:val="bottom"/>
          </w:tcPr>
          <w:p w:rsidR="00DC7B1E" w:rsidRPr="002A68D7" w:rsidRDefault="00DC7B1E" w:rsidP="00473097">
            <w:pPr>
              <w:spacing w:after="0" w:line="240" w:lineRule="auto"/>
              <w:rPr>
                <w:color w:val="000000"/>
                <w:sz w:val="20"/>
                <w:szCs w:val="20"/>
              </w:rPr>
            </w:pPr>
            <w:r w:rsidRPr="002A68D7">
              <w:rPr>
                <w:color w:val="000000"/>
                <w:sz w:val="20"/>
                <w:szCs w:val="20"/>
              </w:rPr>
              <w:t>Levene</w:t>
            </w:r>
            <w:r>
              <w:rPr>
                <w:color w:val="000000"/>
                <w:sz w:val="20"/>
                <w:szCs w:val="20"/>
              </w:rPr>
              <w:t>’</w:t>
            </w:r>
            <w:r w:rsidRPr="002A68D7">
              <w:rPr>
                <w:color w:val="000000"/>
                <w:sz w:val="20"/>
                <w:szCs w:val="20"/>
              </w:rPr>
              <w:t>s statistics</w:t>
            </w:r>
          </w:p>
        </w:tc>
        <w:tc>
          <w:tcPr>
            <w:tcW w:w="960" w:type="dxa"/>
            <w:tcBorders>
              <w:top w:val="single" w:sz="4" w:space="0" w:color="auto"/>
              <w:left w:val="nil"/>
              <w:bottom w:val="single" w:sz="4" w:space="0" w:color="auto"/>
              <w:right w:val="single" w:sz="4" w:space="0" w:color="auto"/>
            </w:tcBorders>
            <w:noWrap/>
            <w:vAlign w:val="bottom"/>
          </w:tcPr>
          <w:p w:rsidR="00DC7B1E" w:rsidRPr="002A68D7" w:rsidRDefault="00DC7B1E" w:rsidP="00473097">
            <w:pPr>
              <w:spacing w:after="0" w:line="240" w:lineRule="auto"/>
              <w:rPr>
                <w:color w:val="000000"/>
                <w:sz w:val="20"/>
                <w:szCs w:val="20"/>
              </w:rPr>
            </w:pPr>
            <w:r w:rsidRPr="002A68D7">
              <w:rPr>
                <w:color w:val="000000"/>
                <w:sz w:val="20"/>
                <w:szCs w:val="20"/>
              </w:rPr>
              <w:t>df1</w:t>
            </w:r>
          </w:p>
        </w:tc>
        <w:tc>
          <w:tcPr>
            <w:tcW w:w="960" w:type="dxa"/>
            <w:tcBorders>
              <w:top w:val="single" w:sz="4" w:space="0" w:color="auto"/>
              <w:left w:val="nil"/>
              <w:bottom w:val="single" w:sz="4" w:space="0" w:color="auto"/>
              <w:right w:val="single" w:sz="4" w:space="0" w:color="auto"/>
            </w:tcBorders>
            <w:noWrap/>
            <w:vAlign w:val="bottom"/>
          </w:tcPr>
          <w:p w:rsidR="00DC7B1E" w:rsidRPr="002A68D7" w:rsidRDefault="00DC7B1E" w:rsidP="00473097">
            <w:pPr>
              <w:spacing w:after="0" w:line="240" w:lineRule="auto"/>
              <w:rPr>
                <w:color w:val="000000"/>
                <w:sz w:val="20"/>
                <w:szCs w:val="20"/>
              </w:rPr>
            </w:pPr>
            <w:r w:rsidRPr="002A68D7">
              <w:rPr>
                <w:color w:val="000000"/>
                <w:sz w:val="20"/>
                <w:szCs w:val="20"/>
              </w:rPr>
              <w:t>df2</w:t>
            </w:r>
          </w:p>
        </w:tc>
        <w:tc>
          <w:tcPr>
            <w:tcW w:w="960" w:type="dxa"/>
            <w:tcBorders>
              <w:top w:val="single" w:sz="4" w:space="0" w:color="auto"/>
              <w:left w:val="nil"/>
              <w:bottom w:val="single" w:sz="4" w:space="0" w:color="auto"/>
              <w:right w:val="single" w:sz="4" w:space="0" w:color="auto"/>
            </w:tcBorders>
            <w:noWrap/>
            <w:vAlign w:val="bottom"/>
          </w:tcPr>
          <w:p w:rsidR="00DC7B1E" w:rsidRPr="002A68D7" w:rsidRDefault="00DC7B1E" w:rsidP="00473097">
            <w:pPr>
              <w:spacing w:after="0" w:line="240" w:lineRule="auto"/>
              <w:rPr>
                <w:color w:val="000000"/>
                <w:sz w:val="20"/>
                <w:szCs w:val="20"/>
              </w:rPr>
            </w:pPr>
            <w:r w:rsidRPr="002A68D7">
              <w:rPr>
                <w:color w:val="000000"/>
                <w:sz w:val="20"/>
                <w:szCs w:val="20"/>
              </w:rPr>
              <w:t>Sig.</w:t>
            </w:r>
          </w:p>
        </w:tc>
      </w:tr>
      <w:tr w:rsidR="00DC7B1E" w:rsidRPr="00343B6A" w:rsidTr="00473097">
        <w:trPr>
          <w:trHeight w:val="300"/>
        </w:trPr>
        <w:tc>
          <w:tcPr>
            <w:tcW w:w="1780" w:type="dxa"/>
            <w:tcBorders>
              <w:top w:val="nil"/>
              <w:left w:val="single" w:sz="4" w:space="0" w:color="auto"/>
              <w:bottom w:val="single" w:sz="4" w:space="0" w:color="auto"/>
              <w:right w:val="single" w:sz="4" w:space="0" w:color="auto"/>
            </w:tcBorders>
            <w:noWrap/>
            <w:vAlign w:val="bottom"/>
          </w:tcPr>
          <w:p w:rsidR="00DC7B1E" w:rsidRPr="002A68D7" w:rsidRDefault="00DC7B1E" w:rsidP="00473097">
            <w:pPr>
              <w:spacing w:after="0" w:line="240" w:lineRule="auto"/>
              <w:jc w:val="right"/>
              <w:rPr>
                <w:color w:val="000000"/>
                <w:sz w:val="20"/>
                <w:szCs w:val="20"/>
              </w:rPr>
            </w:pPr>
            <w:r w:rsidRPr="002A68D7">
              <w:rPr>
                <w:color w:val="000000"/>
                <w:sz w:val="20"/>
                <w:szCs w:val="20"/>
              </w:rPr>
              <w:t>2,516</w:t>
            </w:r>
          </w:p>
        </w:tc>
        <w:tc>
          <w:tcPr>
            <w:tcW w:w="960" w:type="dxa"/>
            <w:tcBorders>
              <w:top w:val="nil"/>
              <w:left w:val="nil"/>
              <w:bottom w:val="single" w:sz="4" w:space="0" w:color="auto"/>
              <w:right w:val="single" w:sz="4" w:space="0" w:color="auto"/>
            </w:tcBorders>
            <w:noWrap/>
            <w:vAlign w:val="bottom"/>
          </w:tcPr>
          <w:p w:rsidR="00DC7B1E" w:rsidRPr="002A68D7" w:rsidRDefault="00DC7B1E" w:rsidP="00473097">
            <w:pPr>
              <w:spacing w:after="0" w:line="240" w:lineRule="auto"/>
              <w:jc w:val="right"/>
              <w:rPr>
                <w:color w:val="000000"/>
                <w:sz w:val="20"/>
                <w:szCs w:val="20"/>
              </w:rPr>
            </w:pPr>
            <w:r w:rsidRPr="002A68D7">
              <w:rPr>
                <w:color w:val="000000"/>
                <w:sz w:val="20"/>
                <w:szCs w:val="20"/>
              </w:rPr>
              <w:t>7</w:t>
            </w:r>
          </w:p>
        </w:tc>
        <w:tc>
          <w:tcPr>
            <w:tcW w:w="960" w:type="dxa"/>
            <w:tcBorders>
              <w:top w:val="nil"/>
              <w:left w:val="nil"/>
              <w:bottom w:val="single" w:sz="4" w:space="0" w:color="auto"/>
              <w:right w:val="single" w:sz="4" w:space="0" w:color="auto"/>
            </w:tcBorders>
            <w:noWrap/>
            <w:vAlign w:val="bottom"/>
          </w:tcPr>
          <w:p w:rsidR="00DC7B1E" w:rsidRPr="002A68D7" w:rsidRDefault="00DC7B1E" w:rsidP="00473097">
            <w:pPr>
              <w:spacing w:after="0" w:line="240" w:lineRule="auto"/>
              <w:jc w:val="right"/>
              <w:rPr>
                <w:color w:val="000000"/>
                <w:sz w:val="20"/>
                <w:szCs w:val="20"/>
              </w:rPr>
            </w:pPr>
            <w:r w:rsidRPr="002A68D7">
              <w:rPr>
                <w:color w:val="000000"/>
                <w:sz w:val="20"/>
                <w:szCs w:val="20"/>
              </w:rPr>
              <w:t>292</w:t>
            </w:r>
          </w:p>
        </w:tc>
        <w:tc>
          <w:tcPr>
            <w:tcW w:w="960" w:type="dxa"/>
            <w:tcBorders>
              <w:top w:val="nil"/>
              <w:left w:val="nil"/>
              <w:bottom w:val="single" w:sz="4" w:space="0" w:color="auto"/>
              <w:right w:val="single" w:sz="4" w:space="0" w:color="auto"/>
            </w:tcBorders>
            <w:noWrap/>
            <w:vAlign w:val="bottom"/>
          </w:tcPr>
          <w:p w:rsidR="00DC7B1E" w:rsidRPr="002A68D7" w:rsidRDefault="00DC7B1E" w:rsidP="00473097">
            <w:pPr>
              <w:spacing w:after="0" w:line="240" w:lineRule="auto"/>
              <w:jc w:val="right"/>
              <w:rPr>
                <w:color w:val="000000"/>
                <w:sz w:val="20"/>
                <w:szCs w:val="20"/>
              </w:rPr>
            </w:pPr>
            <w:r w:rsidRPr="002A68D7">
              <w:rPr>
                <w:color w:val="000000"/>
                <w:sz w:val="20"/>
                <w:szCs w:val="20"/>
              </w:rPr>
              <w:t>0,016</w:t>
            </w:r>
          </w:p>
        </w:tc>
      </w:tr>
    </w:tbl>
    <w:p w:rsidR="00DC7B1E" w:rsidRPr="00343B6A" w:rsidRDefault="00DC7B1E" w:rsidP="00523096">
      <w:pPr>
        <w:autoSpaceDE w:val="0"/>
        <w:autoSpaceDN w:val="0"/>
        <w:adjustRightInd w:val="0"/>
        <w:spacing w:after="0" w:line="240" w:lineRule="auto"/>
        <w:rPr>
          <w:sz w:val="24"/>
          <w:szCs w:val="24"/>
        </w:rPr>
      </w:pPr>
    </w:p>
    <w:p w:rsidR="00DC7B1E" w:rsidRPr="00343B6A" w:rsidRDefault="00DC7B1E" w:rsidP="00523096">
      <w:pPr>
        <w:autoSpaceDE w:val="0"/>
        <w:autoSpaceDN w:val="0"/>
        <w:adjustRightInd w:val="0"/>
        <w:spacing w:after="0" w:line="240" w:lineRule="auto"/>
        <w:rPr>
          <w:sz w:val="24"/>
          <w:szCs w:val="24"/>
        </w:rPr>
      </w:pPr>
    </w:p>
    <w:p w:rsidR="00DC7B1E" w:rsidRPr="00343B6A" w:rsidRDefault="00DC7B1E" w:rsidP="00523096">
      <w:pPr>
        <w:autoSpaceDE w:val="0"/>
        <w:autoSpaceDN w:val="0"/>
        <w:adjustRightInd w:val="0"/>
        <w:spacing w:after="0" w:line="240" w:lineRule="auto"/>
        <w:rPr>
          <w:sz w:val="24"/>
          <w:szCs w:val="24"/>
        </w:rPr>
      </w:pPr>
    </w:p>
    <w:p w:rsidR="00DC7B1E" w:rsidRPr="00343B6A" w:rsidRDefault="00DC7B1E" w:rsidP="0096481B">
      <w:pPr>
        <w:autoSpaceDE w:val="0"/>
        <w:autoSpaceDN w:val="0"/>
        <w:adjustRightInd w:val="0"/>
        <w:spacing w:after="0" w:line="240" w:lineRule="auto"/>
        <w:ind w:left="2880" w:firstLine="720"/>
        <w:rPr>
          <w:b/>
        </w:rPr>
      </w:pPr>
      <w:r w:rsidRPr="00343B6A">
        <w:rPr>
          <w:b/>
        </w:rPr>
        <w:t>ANOVA</w:t>
      </w:r>
    </w:p>
    <w:p w:rsidR="00DC7B1E" w:rsidRPr="00343B6A" w:rsidRDefault="00DC7B1E" w:rsidP="00523096">
      <w:pPr>
        <w:autoSpaceDE w:val="0"/>
        <w:autoSpaceDN w:val="0"/>
        <w:adjustRightInd w:val="0"/>
        <w:spacing w:after="0" w:line="240" w:lineRule="auto"/>
      </w:pPr>
      <w:r w:rsidRPr="00343B6A">
        <w:t>DA</w:t>
      </w:r>
    </w:p>
    <w:tbl>
      <w:tblPr>
        <w:tblW w:w="7520" w:type="dxa"/>
        <w:tblInd w:w="91" w:type="dxa"/>
        <w:tblLook w:val="00A0"/>
      </w:tblPr>
      <w:tblGrid>
        <w:gridCol w:w="1780"/>
        <w:gridCol w:w="1540"/>
        <w:gridCol w:w="960"/>
        <w:gridCol w:w="1320"/>
        <w:gridCol w:w="960"/>
        <w:gridCol w:w="960"/>
      </w:tblGrid>
      <w:tr w:rsidR="00DC7B1E" w:rsidRPr="00343B6A" w:rsidTr="00473097">
        <w:trPr>
          <w:trHeight w:val="300"/>
        </w:trPr>
        <w:tc>
          <w:tcPr>
            <w:tcW w:w="1780" w:type="dxa"/>
            <w:tcBorders>
              <w:top w:val="single" w:sz="4" w:space="0" w:color="auto"/>
              <w:left w:val="single" w:sz="4" w:space="0" w:color="auto"/>
              <w:bottom w:val="single" w:sz="4" w:space="0" w:color="auto"/>
              <w:right w:val="single" w:sz="4" w:space="0" w:color="auto"/>
            </w:tcBorders>
            <w:noWrap/>
            <w:vAlign w:val="bottom"/>
          </w:tcPr>
          <w:p w:rsidR="00DC7B1E" w:rsidRPr="002A68D7" w:rsidRDefault="00DC7B1E" w:rsidP="00473097">
            <w:pPr>
              <w:spacing w:after="0" w:line="240" w:lineRule="auto"/>
              <w:rPr>
                <w:rFonts w:cs="Arial"/>
                <w:color w:val="000000"/>
                <w:sz w:val="20"/>
                <w:szCs w:val="20"/>
              </w:rPr>
            </w:pPr>
            <w:r w:rsidRPr="002A68D7">
              <w:rPr>
                <w:rFonts w:cs="Arial"/>
                <w:color w:val="000000"/>
                <w:sz w:val="20"/>
                <w:szCs w:val="20"/>
              </w:rPr>
              <w:t> </w:t>
            </w:r>
          </w:p>
        </w:tc>
        <w:tc>
          <w:tcPr>
            <w:tcW w:w="1540" w:type="dxa"/>
            <w:tcBorders>
              <w:top w:val="single" w:sz="4" w:space="0" w:color="auto"/>
              <w:left w:val="nil"/>
              <w:bottom w:val="single" w:sz="4" w:space="0" w:color="auto"/>
              <w:right w:val="single" w:sz="4" w:space="0" w:color="auto"/>
            </w:tcBorders>
            <w:noWrap/>
            <w:vAlign w:val="center"/>
          </w:tcPr>
          <w:p w:rsidR="00DC7B1E" w:rsidRPr="002A68D7" w:rsidRDefault="00DC7B1E" w:rsidP="00473097">
            <w:pPr>
              <w:spacing w:after="0" w:line="240" w:lineRule="auto"/>
              <w:rPr>
                <w:color w:val="000000"/>
                <w:sz w:val="20"/>
                <w:szCs w:val="20"/>
              </w:rPr>
            </w:pPr>
            <w:r w:rsidRPr="002A68D7">
              <w:rPr>
                <w:color w:val="000000"/>
                <w:sz w:val="20"/>
                <w:szCs w:val="20"/>
              </w:rPr>
              <w:t>Sum of Squares</w:t>
            </w:r>
          </w:p>
        </w:tc>
        <w:tc>
          <w:tcPr>
            <w:tcW w:w="960" w:type="dxa"/>
            <w:tcBorders>
              <w:top w:val="single" w:sz="4" w:space="0" w:color="auto"/>
              <w:left w:val="nil"/>
              <w:bottom w:val="single" w:sz="4" w:space="0" w:color="auto"/>
              <w:right w:val="single" w:sz="4" w:space="0" w:color="auto"/>
            </w:tcBorders>
            <w:noWrap/>
            <w:vAlign w:val="center"/>
          </w:tcPr>
          <w:p w:rsidR="00DC7B1E" w:rsidRPr="002A68D7" w:rsidRDefault="00DC7B1E" w:rsidP="00473097">
            <w:pPr>
              <w:spacing w:after="0" w:line="240" w:lineRule="auto"/>
              <w:rPr>
                <w:color w:val="000000"/>
                <w:sz w:val="20"/>
                <w:szCs w:val="20"/>
              </w:rPr>
            </w:pPr>
            <w:r w:rsidRPr="002A68D7">
              <w:rPr>
                <w:color w:val="000000"/>
                <w:sz w:val="20"/>
                <w:szCs w:val="20"/>
              </w:rPr>
              <w:t>df</w:t>
            </w:r>
          </w:p>
        </w:tc>
        <w:tc>
          <w:tcPr>
            <w:tcW w:w="1320" w:type="dxa"/>
            <w:tcBorders>
              <w:top w:val="single" w:sz="4" w:space="0" w:color="auto"/>
              <w:left w:val="nil"/>
              <w:bottom w:val="single" w:sz="4" w:space="0" w:color="auto"/>
              <w:right w:val="single" w:sz="4" w:space="0" w:color="auto"/>
            </w:tcBorders>
            <w:noWrap/>
            <w:vAlign w:val="center"/>
          </w:tcPr>
          <w:p w:rsidR="00DC7B1E" w:rsidRPr="002A68D7" w:rsidRDefault="00DC7B1E" w:rsidP="00473097">
            <w:pPr>
              <w:spacing w:after="0" w:line="240" w:lineRule="auto"/>
              <w:rPr>
                <w:color w:val="000000"/>
                <w:sz w:val="20"/>
                <w:szCs w:val="20"/>
              </w:rPr>
            </w:pPr>
            <w:r w:rsidRPr="002A68D7">
              <w:rPr>
                <w:color w:val="000000"/>
                <w:sz w:val="20"/>
                <w:szCs w:val="20"/>
              </w:rPr>
              <w:t>Mean Square</w:t>
            </w:r>
          </w:p>
        </w:tc>
        <w:tc>
          <w:tcPr>
            <w:tcW w:w="960" w:type="dxa"/>
            <w:tcBorders>
              <w:top w:val="single" w:sz="4" w:space="0" w:color="auto"/>
              <w:left w:val="nil"/>
              <w:bottom w:val="single" w:sz="4" w:space="0" w:color="auto"/>
              <w:right w:val="single" w:sz="4" w:space="0" w:color="auto"/>
            </w:tcBorders>
            <w:noWrap/>
            <w:vAlign w:val="center"/>
          </w:tcPr>
          <w:p w:rsidR="00DC7B1E" w:rsidRPr="002A68D7" w:rsidRDefault="00DC7B1E" w:rsidP="00473097">
            <w:pPr>
              <w:spacing w:after="0" w:line="240" w:lineRule="auto"/>
              <w:rPr>
                <w:color w:val="000000"/>
                <w:sz w:val="20"/>
                <w:szCs w:val="20"/>
              </w:rPr>
            </w:pPr>
            <w:r w:rsidRPr="002A68D7">
              <w:rPr>
                <w:color w:val="000000"/>
                <w:sz w:val="20"/>
                <w:szCs w:val="20"/>
              </w:rPr>
              <w:t>F</w:t>
            </w:r>
          </w:p>
        </w:tc>
        <w:tc>
          <w:tcPr>
            <w:tcW w:w="960" w:type="dxa"/>
            <w:tcBorders>
              <w:top w:val="single" w:sz="4" w:space="0" w:color="auto"/>
              <w:left w:val="nil"/>
              <w:bottom w:val="single" w:sz="4" w:space="0" w:color="auto"/>
              <w:right w:val="single" w:sz="4" w:space="0" w:color="auto"/>
            </w:tcBorders>
            <w:noWrap/>
            <w:vAlign w:val="center"/>
          </w:tcPr>
          <w:p w:rsidR="00DC7B1E" w:rsidRPr="002A68D7" w:rsidRDefault="00DC7B1E" w:rsidP="00473097">
            <w:pPr>
              <w:spacing w:after="0" w:line="240" w:lineRule="auto"/>
              <w:rPr>
                <w:color w:val="000000"/>
                <w:sz w:val="20"/>
                <w:szCs w:val="20"/>
              </w:rPr>
            </w:pPr>
            <w:r w:rsidRPr="002A68D7">
              <w:rPr>
                <w:color w:val="000000"/>
                <w:sz w:val="20"/>
                <w:szCs w:val="20"/>
              </w:rPr>
              <w:t>Sig.</w:t>
            </w:r>
          </w:p>
        </w:tc>
      </w:tr>
      <w:tr w:rsidR="00DC7B1E" w:rsidRPr="00343B6A" w:rsidTr="00473097">
        <w:trPr>
          <w:trHeight w:val="300"/>
        </w:trPr>
        <w:tc>
          <w:tcPr>
            <w:tcW w:w="1780" w:type="dxa"/>
            <w:tcBorders>
              <w:top w:val="nil"/>
              <w:left w:val="single" w:sz="4" w:space="0" w:color="auto"/>
              <w:bottom w:val="single" w:sz="4" w:space="0" w:color="auto"/>
              <w:right w:val="single" w:sz="4" w:space="0" w:color="auto"/>
            </w:tcBorders>
            <w:noWrap/>
            <w:vAlign w:val="center"/>
          </w:tcPr>
          <w:p w:rsidR="00DC7B1E" w:rsidRPr="002A68D7" w:rsidRDefault="00DC7B1E" w:rsidP="00473097">
            <w:pPr>
              <w:spacing w:after="0" w:line="240" w:lineRule="auto"/>
              <w:rPr>
                <w:rFonts w:cs="Arial"/>
                <w:color w:val="000000"/>
                <w:sz w:val="20"/>
                <w:szCs w:val="20"/>
              </w:rPr>
            </w:pPr>
            <w:r w:rsidRPr="002A68D7">
              <w:rPr>
                <w:rFonts w:cs="Arial"/>
                <w:color w:val="000000"/>
                <w:sz w:val="20"/>
                <w:szCs w:val="20"/>
              </w:rPr>
              <w:t>Between groups</w:t>
            </w:r>
          </w:p>
        </w:tc>
        <w:tc>
          <w:tcPr>
            <w:tcW w:w="154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0.245</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7</w:t>
            </w:r>
          </w:p>
        </w:tc>
        <w:tc>
          <w:tcPr>
            <w:tcW w:w="132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0.035</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2.360</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0.023 </w:t>
            </w:r>
          </w:p>
        </w:tc>
      </w:tr>
      <w:tr w:rsidR="00DC7B1E" w:rsidRPr="00343B6A" w:rsidTr="00473097">
        <w:trPr>
          <w:trHeight w:val="300"/>
        </w:trPr>
        <w:tc>
          <w:tcPr>
            <w:tcW w:w="1780" w:type="dxa"/>
            <w:tcBorders>
              <w:top w:val="nil"/>
              <w:left w:val="single" w:sz="4" w:space="0" w:color="auto"/>
              <w:bottom w:val="single" w:sz="4" w:space="0" w:color="auto"/>
              <w:right w:val="single" w:sz="4" w:space="0" w:color="auto"/>
            </w:tcBorders>
            <w:noWrap/>
            <w:vAlign w:val="center"/>
          </w:tcPr>
          <w:p w:rsidR="00DC7B1E" w:rsidRPr="002A68D7" w:rsidRDefault="00DC7B1E" w:rsidP="00473097">
            <w:pPr>
              <w:spacing w:after="0" w:line="240" w:lineRule="auto"/>
              <w:rPr>
                <w:rFonts w:cs="Arial"/>
                <w:color w:val="000000"/>
                <w:sz w:val="20"/>
                <w:szCs w:val="20"/>
              </w:rPr>
            </w:pPr>
            <w:r w:rsidRPr="002A68D7">
              <w:rPr>
                <w:rFonts w:cs="Arial"/>
                <w:color w:val="000000"/>
                <w:sz w:val="20"/>
                <w:szCs w:val="20"/>
              </w:rPr>
              <w:t>Within groups</w:t>
            </w:r>
          </w:p>
        </w:tc>
        <w:tc>
          <w:tcPr>
            <w:tcW w:w="154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4.337</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292</w:t>
            </w:r>
          </w:p>
        </w:tc>
        <w:tc>
          <w:tcPr>
            <w:tcW w:w="132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0.015</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w:t>
            </w:r>
          </w:p>
        </w:tc>
      </w:tr>
      <w:tr w:rsidR="00DC7B1E" w:rsidRPr="00343B6A" w:rsidTr="00473097">
        <w:trPr>
          <w:trHeight w:val="300"/>
        </w:trPr>
        <w:tc>
          <w:tcPr>
            <w:tcW w:w="1780" w:type="dxa"/>
            <w:tcBorders>
              <w:top w:val="nil"/>
              <w:left w:val="single" w:sz="4" w:space="0" w:color="auto"/>
              <w:bottom w:val="single" w:sz="4" w:space="0" w:color="auto"/>
              <w:right w:val="single" w:sz="4" w:space="0" w:color="auto"/>
            </w:tcBorders>
            <w:noWrap/>
            <w:vAlign w:val="center"/>
          </w:tcPr>
          <w:p w:rsidR="00DC7B1E" w:rsidRPr="002A68D7" w:rsidRDefault="00DC7B1E" w:rsidP="00473097">
            <w:pPr>
              <w:spacing w:after="0" w:line="240" w:lineRule="auto"/>
              <w:rPr>
                <w:rFonts w:cs="Arial"/>
                <w:color w:val="000000"/>
                <w:sz w:val="20"/>
                <w:szCs w:val="20"/>
              </w:rPr>
            </w:pPr>
            <w:r w:rsidRPr="002A68D7">
              <w:rPr>
                <w:rFonts w:cs="Arial"/>
                <w:color w:val="000000"/>
                <w:sz w:val="20"/>
                <w:szCs w:val="20"/>
              </w:rPr>
              <w:t>Total</w:t>
            </w:r>
          </w:p>
        </w:tc>
        <w:tc>
          <w:tcPr>
            <w:tcW w:w="154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4.583</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299</w:t>
            </w:r>
          </w:p>
        </w:tc>
        <w:tc>
          <w:tcPr>
            <w:tcW w:w="132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w:t>
            </w:r>
          </w:p>
        </w:tc>
        <w:tc>
          <w:tcPr>
            <w:tcW w:w="960" w:type="dxa"/>
            <w:tcBorders>
              <w:top w:val="nil"/>
              <w:left w:val="nil"/>
              <w:bottom w:val="single" w:sz="4" w:space="0" w:color="auto"/>
              <w:right w:val="single" w:sz="4" w:space="0" w:color="auto"/>
            </w:tcBorders>
            <w:noWrap/>
            <w:vAlign w:val="center"/>
          </w:tcPr>
          <w:p w:rsidR="00DC7B1E" w:rsidRPr="002A68D7" w:rsidRDefault="00DC7B1E" w:rsidP="00473097">
            <w:pPr>
              <w:spacing w:after="0" w:line="240" w:lineRule="auto"/>
              <w:jc w:val="right"/>
              <w:rPr>
                <w:color w:val="000000"/>
                <w:sz w:val="20"/>
                <w:szCs w:val="20"/>
              </w:rPr>
            </w:pPr>
            <w:r w:rsidRPr="002A68D7">
              <w:rPr>
                <w:color w:val="000000"/>
                <w:sz w:val="20"/>
                <w:szCs w:val="20"/>
              </w:rPr>
              <w:t> </w:t>
            </w:r>
          </w:p>
        </w:tc>
      </w:tr>
    </w:tbl>
    <w:p w:rsidR="00DC7B1E" w:rsidRDefault="00DC7B1E" w:rsidP="00523096">
      <w:pPr>
        <w:autoSpaceDE w:val="0"/>
        <w:autoSpaceDN w:val="0"/>
        <w:adjustRightInd w:val="0"/>
        <w:spacing w:after="0" w:line="240" w:lineRule="auto"/>
        <w:rPr>
          <w:rFonts w:ascii="Times New Roman" w:hAnsi="Times New Roman"/>
          <w:sz w:val="24"/>
          <w:szCs w:val="24"/>
        </w:rPr>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Pr="00D87F3F" w:rsidRDefault="00DC7B1E" w:rsidP="00523096">
      <w:pPr>
        <w:autoSpaceDE w:val="0"/>
        <w:autoSpaceDN w:val="0"/>
        <w:adjustRightInd w:val="0"/>
        <w:spacing w:after="0" w:line="240" w:lineRule="auto"/>
        <w:rPr>
          <w:b/>
        </w:rPr>
      </w:pPr>
      <w:r w:rsidRPr="00D87F3F">
        <w:rPr>
          <w:b/>
        </w:rPr>
        <w:t>Post Hoc</w:t>
      </w:r>
    </w:p>
    <w:p w:rsidR="00DC7B1E" w:rsidRPr="00D87F3F" w:rsidRDefault="00DC7B1E" w:rsidP="00523096">
      <w:pPr>
        <w:autoSpaceDE w:val="0"/>
        <w:autoSpaceDN w:val="0"/>
        <w:adjustRightInd w:val="0"/>
        <w:spacing w:after="0" w:line="240" w:lineRule="auto"/>
      </w:pPr>
    </w:p>
    <w:p w:rsidR="00DC7B1E" w:rsidRPr="00D87F3F" w:rsidRDefault="00DC7B1E" w:rsidP="00D87F3F">
      <w:pPr>
        <w:autoSpaceDE w:val="0"/>
        <w:autoSpaceDN w:val="0"/>
        <w:adjustRightInd w:val="0"/>
        <w:spacing w:after="0" w:line="240" w:lineRule="auto"/>
        <w:ind w:left="1440"/>
        <w:rPr>
          <w:b/>
        </w:rPr>
      </w:pPr>
      <w:r w:rsidRPr="00D87F3F">
        <w:rPr>
          <w:b/>
        </w:rPr>
        <w:t>Multiple Comparisons</w:t>
      </w:r>
    </w:p>
    <w:p w:rsidR="00DC7B1E" w:rsidRDefault="00DC7B1E" w:rsidP="00523096">
      <w:pPr>
        <w:autoSpaceDE w:val="0"/>
        <w:autoSpaceDN w:val="0"/>
        <w:adjustRightInd w:val="0"/>
        <w:spacing w:after="0" w:line="240" w:lineRule="auto"/>
      </w:pPr>
      <w:r w:rsidRPr="00D87F3F">
        <w:t>DA</w:t>
      </w:r>
    </w:p>
    <w:p w:rsidR="00DC7B1E" w:rsidRDefault="00DC7B1E" w:rsidP="00523096">
      <w:pPr>
        <w:autoSpaceDE w:val="0"/>
        <w:autoSpaceDN w:val="0"/>
        <w:adjustRightInd w:val="0"/>
        <w:spacing w:after="0" w:line="240" w:lineRule="auto"/>
      </w:pPr>
    </w:p>
    <w:tbl>
      <w:tblPr>
        <w:tblW w:w="5520" w:type="dxa"/>
        <w:tblInd w:w="53" w:type="dxa"/>
        <w:tblCellMar>
          <w:left w:w="70" w:type="dxa"/>
          <w:right w:w="70" w:type="dxa"/>
        </w:tblCellMar>
        <w:tblLook w:val="00A0"/>
      </w:tblPr>
      <w:tblGrid>
        <w:gridCol w:w="1600"/>
        <w:gridCol w:w="1600"/>
        <w:gridCol w:w="1680"/>
        <w:gridCol w:w="640"/>
      </w:tblGrid>
      <w:tr w:rsidR="00DC7B1E" w:rsidRPr="002A68D7" w:rsidTr="004C654E">
        <w:trPr>
          <w:trHeight w:val="330"/>
        </w:trPr>
        <w:tc>
          <w:tcPr>
            <w:tcW w:w="1600" w:type="dxa"/>
            <w:tcBorders>
              <w:top w:val="single" w:sz="12" w:space="0" w:color="auto"/>
              <w:left w:val="single" w:sz="12" w:space="0" w:color="auto"/>
              <w:bottom w:val="single" w:sz="12" w:space="0" w:color="auto"/>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(I) Function</w:t>
            </w:r>
          </w:p>
        </w:tc>
        <w:tc>
          <w:tcPr>
            <w:tcW w:w="1600" w:type="dxa"/>
            <w:tcBorders>
              <w:top w:val="single" w:sz="12" w:space="0" w:color="auto"/>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(J)Function</w:t>
            </w:r>
          </w:p>
        </w:tc>
        <w:tc>
          <w:tcPr>
            <w:tcW w:w="1680" w:type="dxa"/>
            <w:tcBorders>
              <w:top w:val="single" w:sz="12" w:space="0" w:color="auto"/>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Mean Difference</w:t>
            </w:r>
          </w:p>
        </w:tc>
        <w:tc>
          <w:tcPr>
            <w:tcW w:w="640" w:type="dxa"/>
            <w:tcBorders>
              <w:top w:val="single" w:sz="12" w:space="0" w:color="auto"/>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Sig.</w:t>
            </w:r>
          </w:p>
        </w:tc>
      </w:tr>
      <w:tr w:rsidR="00DC7B1E" w:rsidRPr="002A68D7" w:rsidTr="004C654E">
        <w:trPr>
          <w:trHeight w:val="300"/>
        </w:trPr>
        <w:tc>
          <w:tcPr>
            <w:tcW w:w="1600" w:type="dxa"/>
            <w:tcBorders>
              <w:top w:val="single" w:sz="12" w:space="0" w:color="auto"/>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00" w:type="dxa"/>
            <w:tcBorders>
              <w:top w:val="single" w:sz="12" w:space="0" w:color="auto"/>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80" w:type="dxa"/>
            <w:tcBorders>
              <w:top w:val="single" w:sz="12" w:space="0" w:color="auto"/>
              <w:left w:val="nil"/>
              <w:bottom w:val="nil"/>
              <w:right w:val="single" w:sz="12" w:space="0" w:color="auto"/>
            </w:tcBorders>
            <w:noWrap/>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0,0114903</w:t>
            </w:r>
          </w:p>
        </w:tc>
        <w:tc>
          <w:tcPr>
            <w:tcW w:w="640" w:type="dxa"/>
            <w:tcBorders>
              <w:top w:val="single" w:sz="12" w:space="0" w:color="auto"/>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8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-0,0332275</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8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0,0007901</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8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-0,050439</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8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-0,0227873</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8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-0,031479</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trHeight w:val="315"/>
        </w:trPr>
        <w:tc>
          <w:tcPr>
            <w:tcW w:w="1600" w:type="dxa"/>
            <w:tcBorders>
              <w:top w:val="nil"/>
              <w:left w:val="single" w:sz="12" w:space="0" w:color="auto"/>
              <w:bottom w:val="single" w:sz="12" w:space="0" w:color="auto"/>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8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-0,082404</w:t>
            </w:r>
          </w:p>
        </w:tc>
        <w:tc>
          <w:tcPr>
            <w:tcW w:w="64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0,011</w:t>
            </w:r>
          </w:p>
        </w:tc>
      </w:tr>
      <w:tr w:rsidR="00DC7B1E" w:rsidRPr="002A68D7" w:rsidTr="002A68D7">
        <w:trPr>
          <w:trHeight w:val="300"/>
        </w:trPr>
        <w:tc>
          <w:tcPr>
            <w:tcW w:w="1600" w:type="dxa"/>
            <w:tcBorders>
              <w:top w:val="single" w:sz="12" w:space="0" w:color="auto"/>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00" w:type="dxa"/>
            <w:tcBorders>
              <w:top w:val="single" w:sz="12" w:space="0" w:color="auto"/>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80" w:type="dxa"/>
            <w:tcBorders>
              <w:top w:val="single" w:sz="12" w:space="0" w:color="auto"/>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-0,01149</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-0,04472</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-0,0107</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-0,06193</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-0,03428</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-0,04297</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top w:val="nil"/>
              <w:left w:val="single" w:sz="12" w:space="0" w:color="auto"/>
              <w:bottom w:val="single" w:sz="12" w:space="0" w:color="auto"/>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80" w:type="dxa"/>
            <w:tcBorders>
              <w:top w:val="nil"/>
              <w:left w:val="nil"/>
              <w:bottom w:val="single" w:sz="12" w:space="0" w:color="auto"/>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-0,09389</w:t>
            </w:r>
          </w:p>
        </w:tc>
        <w:tc>
          <w:tcPr>
            <w:tcW w:w="640" w:type="dxa"/>
            <w:tcBorders>
              <w:top w:val="nil"/>
              <w:left w:val="nil"/>
              <w:bottom w:val="single" w:sz="8" w:space="0" w:color="auto"/>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0,261</w:t>
            </w:r>
          </w:p>
        </w:tc>
      </w:tr>
      <w:tr w:rsidR="00DC7B1E" w:rsidRPr="002A68D7" w:rsidTr="002A68D7">
        <w:trPr>
          <w:cantSplit/>
          <w:trHeight w:val="300"/>
        </w:trPr>
        <w:tc>
          <w:tcPr>
            <w:tcW w:w="1600" w:type="dxa"/>
            <w:tcBorders>
              <w:top w:val="single" w:sz="12" w:space="0" w:color="auto"/>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00" w:type="dxa"/>
            <w:tcBorders>
              <w:top w:val="single" w:sz="12" w:space="0" w:color="auto"/>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80" w:type="dxa"/>
            <w:tcBorders>
              <w:top w:val="single" w:sz="12" w:space="0" w:color="auto"/>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0,03323</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0,04472</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0,03402</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-0,01721</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0,01044</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0,00175</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top w:val="nil"/>
              <w:left w:val="single" w:sz="12" w:space="0" w:color="auto"/>
              <w:bottom w:val="single" w:sz="12" w:space="0" w:color="auto"/>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80" w:type="dxa"/>
            <w:tcBorders>
              <w:top w:val="nil"/>
              <w:left w:val="nil"/>
              <w:bottom w:val="single" w:sz="12" w:space="0" w:color="auto"/>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-0,04918</w:t>
            </w:r>
          </w:p>
        </w:tc>
        <w:tc>
          <w:tcPr>
            <w:tcW w:w="640" w:type="dxa"/>
            <w:tcBorders>
              <w:top w:val="nil"/>
              <w:left w:val="nil"/>
              <w:bottom w:val="single" w:sz="8" w:space="0" w:color="auto"/>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single" w:sz="12" w:space="0" w:color="auto"/>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00" w:type="dxa"/>
            <w:tcBorders>
              <w:top w:val="single" w:sz="12" w:space="0" w:color="auto"/>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80" w:type="dxa"/>
            <w:tcBorders>
              <w:top w:val="single" w:sz="12" w:space="0" w:color="auto"/>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-0,00079</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0,0107</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-0,03402</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-0,05123</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-0,02358</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-0,03227</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top w:val="nil"/>
              <w:left w:val="single" w:sz="12" w:space="0" w:color="auto"/>
              <w:bottom w:val="single" w:sz="12" w:space="0" w:color="auto"/>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80" w:type="dxa"/>
            <w:tcBorders>
              <w:top w:val="nil"/>
              <w:left w:val="nil"/>
              <w:bottom w:val="single" w:sz="12" w:space="0" w:color="auto"/>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-0,08319</w:t>
            </w:r>
          </w:p>
        </w:tc>
        <w:tc>
          <w:tcPr>
            <w:tcW w:w="640" w:type="dxa"/>
            <w:tcBorders>
              <w:top w:val="nil"/>
              <w:left w:val="nil"/>
              <w:bottom w:val="single" w:sz="8" w:space="0" w:color="auto"/>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0,236</w:t>
            </w:r>
          </w:p>
        </w:tc>
      </w:tr>
      <w:tr w:rsidR="00DC7B1E" w:rsidRPr="002A68D7" w:rsidTr="002A68D7">
        <w:trPr>
          <w:cantSplit/>
          <w:trHeight w:val="300"/>
        </w:trPr>
        <w:tc>
          <w:tcPr>
            <w:tcW w:w="1600" w:type="dxa"/>
            <w:tcBorders>
              <w:top w:val="single" w:sz="12" w:space="0" w:color="auto"/>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00" w:type="dxa"/>
            <w:tcBorders>
              <w:top w:val="single" w:sz="12" w:space="0" w:color="auto"/>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80" w:type="dxa"/>
            <w:tcBorders>
              <w:top w:val="single" w:sz="12" w:space="0" w:color="auto"/>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0,05044</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0,06193</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0,01721</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0,05123</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0,02765</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left w:val="single" w:sz="12" w:space="0" w:color="auto"/>
              <w:bottom w:val="nil"/>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80" w:type="dxa"/>
            <w:tcBorders>
              <w:top w:val="nil"/>
              <w:left w:val="nil"/>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0,01896</w:t>
            </w:r>
          </w:p>
        </w:tc>
        <w:tc>
          <w:tcPr>
            <w:tcW w:w="640" w:type="dxa"/>
            <w:tcBorders>
              <w:top w:val="nil"/>
              <w:left w:val="nil"/>
              <w:bottom w:val="nil"/>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top w:val="nil"/>
              <w:left w:val="single" w:sz="12" w:space="0" w:color="auto"/>
              <w:bottom w:val="single" w:sz="12" w:space="0" w:color="auto"/>
              <w:right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80" w:type="dxa"/>
            <w:tcBorders>
              <w:top w:val="nil"/>
              <w:left w:val="nil"/>
              <w:bottom w:val="single" w:sz="12" w:space="0" w:color="auto"/>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-0,03197</w:t>
            </w:r>
          </w:p>
        </w:tc>
        <w:tc>
          <w:tcPr>
            <w:tcW w:w="640" w:type="dxa"/>
            <w:tcBorders>
              <w:top w:val="nil"/>
              <w:left w:val="nil"/>
              <w:bottom w:val="single" w:sz="12" w:space="0" w:color="auto"/>
              <w:right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bl>
    <w:p w:rsidR="00DC7B1E" w:rsidRPr="002A68D7" w:rsidRDefault="00DC7B1E" w:rsidP="00523096">
      <w:pPr>
        <w:autoSpaceDE w:val="0"/>
        <w:autoSpaceDN w:val="0"/>
        <w:adjustRightInd w:val="0"/>
        <w:spacing w:after="0" w:line="240" w:lineRule="auto"/>
        <w:rPr>
          <w:sz w:val="20"/>
          <w:szCs w:val="20"/>
        </w:rPr>
      </w:pPr>
    </w:p>
    <w:p w:rsidR="00DC7B1E" w:rsidRPr="002A68D7" w:rsidRDefault="00DC7B1E" w:rsidP="00523096">
      <w:pPr>
        <w:autoSpaceDE w:val="0"/>
        <w:autoSpaceDN w:val="0"/>
        <w:adjustRightInd w:val="0"/>
        <w:spacing w:after="0" w:line="240" w:lineRule="auto"/>
        <w:rPr>
          <w:sz w:val="20"/>
          <w:szCs w:val="20"/>
        </w:rPr>
      </w:pPr>
    </w:p>
    <w:p w:rsidR="00DC7B1E" w:rsidRDefault="00DC7B1E" w:rsidP="00523096">
      <w:pPr>
        <w:autoSpaceDE w:val="0"/>
        <w:autoSpaceDN w:val="0"/>
        <w:adjustRightInd w:val="0"/>
        <w:spacing w:after="0" w:line="240" w:lineRule="auto"/>
        <w:rPr>
          <w:sz w:val="20"/>
          <w:szCs w:val="20"/>
        </w:rPr>
      </w:pPr>
    </w:p>
    <w:p w:rsidR="00DC7B1E" w:rsidRPr="002A68D7" w:rsidRDefault="00DC7B1E" w:rsidP="00523096">
      <w:pPr>
        <w:autoSpaceDE w:val="0"/>
        <w:autoSpaceDN w:val="0"/>
        <w:adjustRightInd w:val="0"/>
        <w:spacing w:after="0" w:line="240" w:lineRule="auto"/>
        <w:rPr>
          <w:sz w:val="20"/>
          <w:szCs w:val="20"/>
        </w:rPr>
      </w:pPr>
    </w:p>
    <w:p w:rsidR="00DC7B1E" w:rsidRPr="002A68D7" w:rsidRDefault="00DC7B1E" w:rsidP="00523096">
      <w:pPr>
        <w:autoSpaceDE w:val="0"/>
        <w:autoSpaceDN w:val="0"/>
        <w:adjustRightInd w:val="0"/>
        <w:spacing w:after="0" w:line="240" w:lineRule="auto"/>
        <w:rPr>
          <w:sz w:val="20"/>
          <w:szCs w:val="20"/>
        </w:rPr>
      </w:pPr>
    </w:p>
    <w:p w:rsidR="00DC7B1E" w:rsidRPr="002A68D7" w:rsidRDefault="00DC7B1E" w:rsidP="00523096">
      <w:pPr>
        <w:autoSpaceDE w:val="0"/>
        <w:autoSpaceDN w:val="0"/>
        <w:adjustRightInd w:val="0"/>
        <w:spacing w:after="0" w:line="240" w:lineRule="auto"/>
        <w:rPr>
          <w:sz w:val="20"/>
          <w:szCs w:val="20"/>
        </w:rPr>
      </w:pPr>
    </w:p>
    <w:tbl>
      <w:tblPr>
        <w:tblW w:w="5520" w:type="dxa"/>
        <w:tblInd w:w="53" w:type="dxa"/>
        <w:tblBorders>
          <w:top w:val="single" w:sz="8" w:space="0" w:color="auto"/>
          <w:left w:val="single" w:sz="12" w:space="0" w:color="auto"/>
          <w:bottom w:val="single" w:sz="12" w:space="0" w:color="auto"/>
          <w:right w:val="single" w:sz="12" w:space="0" w:color="auto"/>
        </w:tblBorders>
        <w:tblCellMar>
          <w:left w:w="70" w:type="dxa"/>
          <w:right w:w="70" w:type="dxa"/>
        </w:tblCellMar>
        <w:tblLook w:val="00A0"/>
      </w:tblPr>
      <w:tblGrid>
        <w:gridCol w:w="1600"/>
        <w:gridCol w:w="1600"/>
        <w:gridCol w:w="1680"/>
        <w:gridCol w:w="640"/>
      </w:tblGrid>
      <w:tr w:rsidR="00DC7B1E" w:rsidRPr="002A68D7" w:rsidTr="002A68D7">
        <w:trPr>
          <w:cantSplit/>
          <w:trHeight w:val="315"/>
        </w:trPr>
        <w:tc>
          <w:tcPr>
            <w:tcW w:w="1600" w:type="dxa"/>
            <w:tcBorders>
              <w:top w:val="single" w:sz="12" w:space="0" w:color="auto"/>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00" w:type="dxa"/>
            <w:tcBorders>
              <w:top w:val="single" w:sz="12" w:space="0" w:color="auto"/>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80" w:type="dxa"/>
            <w:tcBorders>
              <w:top w:val="single" w:sz="12" w:space="0" w:color="auto"/>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0,02279</w:t>
            </w:r>
          </w:p>
        </w:tc>
        <w:tc>
          <w:tcPr>
            <w:tcW w:w="640" w:type="dxa"/>
            <w:tcBorders>
              <w:top w:val="single" w:sz="12" w:space="0" w:color="auto"/>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0,03428</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-0,01044</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0,02358</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-0,02765</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-0,00869</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top w:val="nil"/>
              <w:bottom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80" w:type="dxa"/>
            <w:tcBorders>
              <w:top w:val="nil"/>
              <w:left w:val="single" w:sz="12" w:space="0" w:color="auto"/>
              <w:bottom w:val="single" w:sz="12" w:space="0" w:color="auto"/>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-0,05962</w:t>
            </w:r>
          </w:p>
        </w:tc>
        <w:tc>
          <w:tcPr>
            <w:tcW w:w="640" w:type="dxa"/>
            <w:tcBorders>
              <w:top w:val="nil"/>
              <w:left w:val="single" w:sz="12" w:space="0" w:color="auto"/>
              <w:bottom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top w:val="single" w:sz="12" w:space="0" w:color="auto"/>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00" w:type="dxa"/>
            <w:tcBorders>
              <w:top w:val="single" w:sz="12" w:space="0" w:color="auto"/>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80" w:type="dxa"/>
            <w:tcBorders>
              <w:top w:val="single" w:sz="12" w:space="0" w:color="auto"/>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0,03148</w:t>
            </w:r>
          </w:p>
        </w:tc>
        <w:tc>
          <w:tcPr>
            <w:tcW w:w="640" w:type="dxa"/>
            <w:tcBorders>
              <w:top w:val="single" w:sz="12" w:space="0" w:color="auto"/>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0,04297</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-0,00175</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0,03227</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-0,01896</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nil"/>
              <w:bottom w:val="nil"/>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nil"/>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0,00869</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top w:val="nil"/>
              <w:bottom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top w:val="nil"/>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80" w:type="dxa"/>
            <w:tcBorders>
              <w:top w:val="nil"/>
              <w:left w:val="single" w:sz="12" w:space="0" w:color="auto"/>
              <w:bottom w:val="single" w:sz="12" w:space="0" w:color="auto"/>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-0,05092</w:t>
            </w:r>
          </w:p>
        </w:tc>
        <w:tc>
          <w:tcPr>
            <w:tcW w:w="640" w:type="dxa"/>
            <w:tcBorders>
              <w:top w:val="nil"/>
              <w:left w:val="single" w:sz="12" w:space="0" w:color="auto"/>
              <w:bottom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tcBorders>
              <w:top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CEO/CFO/Other</w:t>
            </w:r>
          </w:p>
        </w:tc>
        <w:tc>
          <w:tcPr>
            <w:tcW w:w="1600" w:type="dxa"/>
            <w:tcBorders>
              <w:top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NONE</w:t>
            </w:r>
          </w:p>
        </w:tc>
        <w:tc>
          <w:tcPr>
            <w:tcW w:w="1680" w:type="dxa"/>
            <w:tcBorders>
              <w:top w:val="single" w:sz="12" w:space="0" w:color="auto"/>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0,0824</w:t>
            </w:r>
            <w:r>
              <w:rPr>
                <w:rFonts w:cs="Arial"/>
                <w:color w:val="000000"/>
                <w:sz w:val="20"/>
                <w:szCs w:val="20"/>
                <w:lang w:eastAsia="nl-NL"/>
              </w:rPr>
              <w:t>5</w:t>
            </w:r>
          </w:p>
        </w:tc>
        <w:tc>
          <w:tcPr>
            <w:tcW w:w="640" w:type="dxa"/>
            <w:tcBorders>
              <w:top w:val="single" w:sz="12" w:space="0" w:color="auto"/>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0,011</w:t>
            </w:r>
          </w:p>
        </w:tc>
      </w:tr>
      <w:tr w:rsidR="00DC7B1E" w:rsidRPr="002A68D7" w:rsidTr="002A68D7">
        <w:trPr>
          <w:cantSplit/>
          <w:trHeight w:val="300"/>
        </w:trPr>
        <w:tc>
          <w:tcPr>
            <w:tcW w:w="1600" w:type="dxa"/>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0,09389</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0,261</w:t>
            </w:r>
          </w:p>
        </w:tc>
      </w:tr>
      <w:tr w:rsidR="00DC7B1E" w:rsidRPr="002A68D7" w:rsidTr="002A68D7">
        <w:trPr>
          <w:cantSplit/>
          <w:trHeight w:val="300"/>
        </w:trPr>
        <w:tc>
          <w:tcPr>
            <w:tcW w:w="1600" w:type="dxa"/>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0,04918</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Other</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0,08319</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0,236</w:t>
            </w:r>
          </w:p>
        </w:tc>
      </w:tr>
      <w:tr w:rsidR="00DC7B1E" w:rsidRPr="002A68D7" w:rsidTr="002A68D7">
        <w:trPr>
          <w:cantSplit/>
          <w:trHeight w:val="300"/>
        </w:trPr>
        <w:tc>
          <w:tcPr>
            <w:tcW w:w="1600" w:type="dxa"/>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CEO/CFO</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0,03197</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00"/>
        </w:trPr>
        <w:tc>
          <w:tcPr>
            <w:tcW w:w="1600" w:type="dxa"/>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CEO/Other</w:t>
            </w:r>
          </w:p>
        </w:tc>
        <w:tc>
          <w:tcPr>
            <w:tcW w:w="1680" w:type="dxa"/>
            <w:tcBorders>
              <w:top w:val="nil"/>
              <w:left w:val="single" w:sz="12" w:space="0" w:color="auto"/>
              <w:bottom w:val="nil"/>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0,05962</w:t>
            </w:r>
          </w:p>
        </w:tc>
        <w:tc>
          <w:tcPr>
            <w:tcW w:w="640" w:type="dxa"/>
            <w:tcBorders>
              <w:top w:val="nil"/>
              <w:left w:val="single" w:sz="12" w:space="0" w:color="auto"/>
              <w:bottom w:val="nil"/>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r w:rsidR="00DC7B1E" w:rsidRPr="002A68D7" w:rsidTr="002A68D7">
        <w:trPr>
          <w:cantSplit/>
          <w:trHeight w:val="315"/>
        </w:trPr>
        <w:tc>
          <w:tcPr>
            <w:tcW w:w="1600" w:type="dxa"/>
            <w:tcBorders>
              <w:bottom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 </w:t>
            </w:r>
          </w:p>
        </w:tc>
        <w:tc>
          <w:tcPr>
            <w:tcW w:w="1600" w:type="dxa"/>
            <w:tcBorders>
              <w:bottom w:val="single" w:sz="12" w:space="0" w:color="auto"/>
              <w:right w:val="single" w:sz="12" w:space="0" w:color="auto"/>
            </w:tcBorders>
            <w:noWrap/>
            <w:vAlign w:val="center"/>
          </w:tcPr>
          <w:p w:rsidR="00DC7B1E" w:rsidRPr="002A68D7" w:rsidRDefault="00DC7B1E" w:rsidP="002A68D7">
            <w:pPr>
              <w:spacing w:after="0" w:line="240" w:lineRule="auto"/>
              <w:rPr>
                <w:color w:val="000000"/>
                <w:sz w:val="20"/>
                <w:szCs w:val="20"/>
                <w:lang w:val="nl-NL" w:eastAsia="nl-NL"/>
              </w:rPr>
            </w:pPr>
            <w:r w:rsidRPr="002A68D7">
              <w:rPr>
                <w:color w:val="000000"/>
                <w:sz w:val="20"/>
                <w:szCs w:val="20"/>
                <w:lang w:eastAsia="nl-NL"/>
              </w:rPr>
              <w:t>CFO/Other</w:t>
            </w:r>
          </w:p>
        </w:tc>
        <w:tc>
          <w:tcPr>
            <w:tcW w:w="1680" w:type="dxa"/>
            <w:tcBorders>
              <w:top w:val="nil"/>
              <w:left w:val="single" w:sz="12" w:space="0" w:color="auto"/>
              <w:bottom w:val="single" w:sz="12" w:space="0" w:color="auto"/>
              <w:right w:val="single" w:sz="12" w:space="0" w:color="auto"/>
            </w:tcBorders>
            <w:vAlign w:val="center"/>
          </w:tcPr>
          <w:p w:rsidR="00DC7B1E" w:rsidRPr="002A68D7" w:rsidRDefault="00DC7B1E" w:rsidP="002A68D7">
            <w:pPr>
              <w:spacing w:after="0" w:line="240" w:lineRule="auto"/>
              <w:jc w:val="right"/>
              <w:rPr>
                <w:rFonts w:cs="Arial"/>
                <w:color w:val="000000"/>
                <w:sz w:val="20"/>
                <w:szCs w:val="20"/>
                <w:lang w:val="nl-NL" w:eastAsia="nl-NL"/>
              </w:rPr>
            </w:pPr>
            <w:r w:rsidRPr="002A68D7">
              <w:rPr>
                <w:rFonts w:cs="Arial"/>
                <w:color w:val="000000"/>
                <w:sz w:val="20"/>
                <w:szCs w:val="20"/>
                <w:lang w:eastAsia="nl-NL"/>
              </w:rPr>
              <w:t>0,05092</w:t>
            </w:r>
          </w:p>
        </w:tc>
        <w:tc>
          <w:tcPr>
            <w:tcW w:w="640" w:type="dxa"/>
            <w:tcBorders>
              <w:top w:val="nil"/>
              <w:left w:val="single" w:sz="12" w:space="0" w:color="auto"/>
              <w:bottom w:val="single" w:sz="12" w:space="0" w:color="auto"/>
            </w:tcBorders>
            <w:noWrap/>
            <w:vAlign w:val="center"/>
          </w:tcPr>
          <w:p w:rsidR="00DC7B1E" w:rsidRPr="002A68D7" w:rsidRDefault="00DC7B1E" w:rsidP="002A68D7">
            <w:pPr>
              <w:spacing w:after="0" w:line="240" w:lineRule="auto"/>
              <w:jc w:val="right"/>
              <w:rPr>
                <w:color w:val="000000"/>
                <w:sz w:val="20"/>
                <w:szCs w:val="20"/>
                <w:lang w:val="nl-NL" w:eastAsia="nl-NL"/>
              </w:rPr>
            </w:pPr>
            <w:r w:rsidRPr="002A68D7">
              <w:rPr>
                <w:color w:val="000000"/>
                <w:sz w:val="20"/>
                <w:szCs w:val="20"/>
                <w:lang w:eastAsia="nl-NL"/>
              </w:rPr>
              <w:t>1</w:t>
            </w:r>
          </w:p>
        </w:tc>
      </w:tr>
    </w:tbl>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rsidP="00523096">
      <w:pPr>
        <w:autoSpaceDE w:val="0"/>
        <w:autoSpaceDN w:val="0"/>
        <w:adjustRightInd w:val="0"/>
        <w:spacing w:after="0" w:line="240" w:lineRule="auto"/>
      </w:pPr>
    </w:p>
    <w:p w:rsidR="00DC7B1E" w:rsidRDefault="00DC7B1E">
      <w:pPr>
        <w:sectPr w:rsidR="00DC7B1E" w:rsidSect="00C924B0">
          <w:footerReference w:type="default" r:id="rId8"/>
          <w:pgSz w:w="11907" w:h="16840" w:code="9"/>
          <w:pgMar w:top="1418" w:right="1418" w:bottom="1418" w:left="1418" w:header="709" w:footer="284" w:gutter="0"/>
          <w:pgNumType w:start="0"/>
          <w:cols w:space="708"/>
          <w:titlePg/>
          <w:docGrid w:linePitch="360"/>
        </w:sectPr>
      </w:pPr>
    </w:p>
    <w:p w:rsidR="00DC7B1E" w:rsidRPr="00421BFC" w:rsidRDefault="00DC7B1E" w:rsidP="00421BFC">
      <w:pPr>
        <w:pStyle w:val="Heading1"/>
        <w:spacing w:before="60" w:line="360" w:lineRule="auto"/>
        <w:contextualSpacing/>
        <w:rPr>
          <w:color w:val="245590"/>
        </w:rPr>
      </w:pPr>
      <w:bookmarkStart w:id="74" w:name="_Toc234568014"/>
      <w:r w:rsidRPr="00421BFC">
        <w:rPr>
          <w:color w:val="245590"/>
        </w:rPr>
        <w:t>Appendix 5 Pearson correlation exercise of executive stock option without variable outliers</w:t>
      </w:r>
      <w:bookmarkEnd w:id="74"/>
      <w:r w:rsidRPr="00421BFC">
        <w:rPr>
          <w:color w:val="245590"/>
        </w:rPr>
        <w:t xml:space="preserve"> </w:t>
      </w:r>
    </w:p>
    <w:p w:rsidR="00DC7B1E" w:rsidRDefault="00DC7B1E" w:rsidP="00CD11AC">
      <w:pPr>
        <w:spacing w:line="360" w:lineRule="auto"/>
        <w:contextualSpacing/>
        <w:rPr>
          <w:rFonts w:ascii="Cambria" w:hAnsi="Cambria"/>
          <w:b/>
        </w:rPr>
      </w:pPr>
    </w:p>
    <w:p w:rsidR="00DC7B1E" w:rsidRDefault="00DC7B1E" w:rsidP="00CD11AC">
      <w:pPr>
        <w:spacing w:line="360" w:lineRule="auto"/>
        <w:contextualSpacing/>
        <w:rPr>
          <w:rFonts w:ascii="Cambria" w:hAnsi="Cambria"/>
          <w:b/>
        </w:rPr>
      </w:pPr>
    </w:p>
    <w:tbl>
      <w:tblPr>
        <w:tblpPr w:leftFromText="141" w:rightFromText="141" w:vertAnchor="text" w:horzAnchor="margin" w:tblpY="-34"/>
        <w:tblW w:w="7728" w:type="dxa"/>
        <w:tblCellMar>
          <w:left w:w="70" w:type="dxa"/>
          <w:right w:w="70" w:type="dxa"/>
        </w:tblCellMar>
        <w:tblLook w:val="00A0"/>
      </w:tblPr>
      <w:tblGrid>
        <w:gridCol w:w="984"/>
        <w:gridCol w:w="960"/>
        <w:gridCol w:w="960"/>
        <w:gridCol w:w="960"/>
        <w:gridCol w:w="960"/>
        <w:gridCol w:w="984"/>
        <w:gridCol w:w="960"/>
        <w:gridCol w:w="960"/>
      </w:tblGrid>
      <w:tr w:rsidR="00DC7B1E" w:rsidRPr="00544566" w:rsidTr="005E773C">
        <w:trPr>
          <w:trHeight w:val="300"/>
        </w:trPr>
        <w:tc>
          <w:tcPr>
            <w:tcW w:w="984" w:type="dxa"/>
            <w:tcBorders>
              <w:top w:val="single" w:sz="4" w:space="0" w:color="auto"/>
              <w:left w:val="single" w:sz="4" w:space="0" w:color="auto"/>
              <w:bottom w:val="single" w:sz="4" w:space="0" w:color="auto"/>
              <w:right w:val="single" w:sz="4" w:space="0" w:color="auto"/>
            </w:tcBorders>
            <w:noWrap/>
            <w:vAlign w:val="bottom"/>
          </w:tcPr>
          <w:p w:rsidR="00DC7B1E" w:rsidRPr="004C654E" w:rsidRDefault="00DC7B1E" w:rsidP="005E773C">
            <w:pPr>
              <w:spacing w:after="0" w:line="240" w:lineRule="auto"/>
              <w:rPr>
                <w:color w:val="000000"/>
                <w:sz w:val="20"/>
                <w:szCs w:val="20"/>
                <w:lang w:eastAsia="nl-NL"/>
              </w:rPr>
            </w:pPr>
            <w:r w:rsidRPr="004C654E">
              <w:rPr>
                <w:color w:val="000000"/>
                <w:sz w:val="20"/>
                <w:szCs w:val="20"/>
                <w:lang w:eastAsia="nl-NL"/>
              </w:rPr>
              <w:t> </w:t>
            </w:r>
          </w:p>
        </w:tc>
        <w:tc>
          <w:tcPr>
            <w:tcW w:w="960" w:type="dxa"/>
            <w:tcBorders>
              <w:top w:val="single" w:sz="4" w:space="0" w:color="auto"/>
              <w:left w:val="nil"/>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DA</w:t>
            </w:r>
          </w:p>
        </w:tc>
        <w:tc>
          <w:tcPr>
            <w:tcW w:w="960" w:type="dxa"/>
            <w:tcBorders>
              <w:top w:val="single" w:sz="4" w:space="0" w:color="auto"/>
              <w:left w:val="nil"/>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OPTIONS</w:t>
            </w:r>
          </w:p>
        </w:tc>
        <w:tc>
          <w:tcPr>
            <w:tcW w:w="960" w:type="dxa"/>
            <w:tcBorders>
              <w:top w:val="single" w:sz="4" w:space="0" w:color="auto"/>
              <w:left w:val="nil"/>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GAIN</w:t>
            </w:r>
          </w:p>
        </w:tc>
        <w:tc>
          <w:tcPr>
            <w:tcW w:w="960" w:type="dxa"/>
            <w:tcBorders>
              <w:top w:val="single" w:sz="4" w:space="0" w:color="auto"/>
              <w:left w:val="nil"/>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LEV</w:t>
            </w:r>
          </w:p>
        </w:tc>
        <w:tc>
          <w:tcPr>
            <w:tcW w:w="984" w:type="dxa"/>
            <w:tcBorders>
              <w:top w:val="single" w:sz="4" w:space="0" w:color="auto"/>
              <w:left w:val="nil"/>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GROWTH</w:t>
            </w:r>
          </w:p>
        </w:tc>
        <w:tc>
          <w:tcPr>
            <w:tcW w:w="960" w:type="dxa"/>
            <w:tcBorders>
              <w:top w:val="single" w:sz="4" w:space="0" w:color="auto"/>
              <w:left w:val="nil"/>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SIZE</w:t>
            </w:r>
          </w:p>
        </w:tc>
        <w:tc>
          <w:tcPr>
            <w:tcW w:w="960" w:type="dxa"/>
            <w:tcBorders>
              <w:top w:val="single" w:sz="4" w:space="0" w:color="auto"/>
              <w:left w:val="nil"/>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MTBV</w:t>
            </w:r>
          </w:p>
        </w:tc>
      </w:tr>
      <w:tr w:rsidR="00DC7B1E" w:rsidRPr="00544566" w:rsidTr="005E773C">
        <w:trPr>
          <w:trHeight w:val="300"/>
        </w:trPr>
        <w:tc>
          <w:tcPr>
            <w:tcW w:w="984" w:type="dxa"/>
            <w:tcBorders>
              <w:top w:val="nil"/>
              <w:left w:val="single" w:sz="4" w:space="0" w:color="auto"/>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DA</w:t>
            </w:r>
          </w:p>
          <w:p w:rsidR="00DC7B1E" w:rsidRPr="004C654E" w:rsidRDefault="00DC7B1E" w:rsidP="005E773C">
            <w:pPr>
              <w:spacing w:after="0" w:line="240" w:lineRule="auto"/>
              <w:rPr>
                <w:color w:val="000000"/>
                <w:sz w:val="20"/>
                <w:szCs w:val="20"/>
                <w:lang w:val="nl-NL"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center"/>
              <w:rPr>
                <w:color w:val="000000"/>
                <w:sz w:val="20"/>
                <w:szCs w:val="20"/>
                <w:lang w:val="nl-NL" w:eastAsia="nl-NL"/>
              </w:rPr>
            </w:pPr>
            <w:r w:rsidRPr="004C654E">
              <w:rPr>
                <w:color w:val="000000"/>
                <w:sz w:val="20"/>
                <w:szCs w:val="20"/>
                <w:lang w:val="nl-NL" w:eastAsia="nl-NL"/>
              </w:rPr>
              <w:t>1</w:t>
            </w:r>
          </w:p>
          <w:p w:rsidR="00DC7B1E" w:rsidRPr="004C654E" w:rsidRDefault="00DC7B1E" w:rsidP="005E773C">
            <w:pPr>
              <w:spacing w:after="0" w:line="240" w:lineRule="auto"/>
              <w:jc w:val="center"/>
              <w:rPr>
                <w:color w:val="000000"/>
                <w:sz w:val="20"/>
                <w:szCs w:val="20"/>
                <w:lang w:val="nl-NL"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val="nl-NL" w:eastAsia="nl-NL"/>
              </w:rPr>
            </w:pPr>
            <w:r w:rsidRPr="004C654E">
              <w:rPr>
                <w:color w:val="000000"/>
                <w:sz w:val="20"/>
                <w:szCs w:val="20"/>
                <w:lang w:val="nl-NL"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val="nl-NL" w:eastAsia="nl-NL"/>
              </w:rPr>
            </w:pPr>
            <w:r w:rsidRPr="004C654E">
              <w:rPr>
                <w:color w:val="000000"/>
                <w:sz w:val="20"/>
                <w:szCs w:val="20"/>
                <w:lang w:val="nl-NL"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val="nl-NL" w:eastAsia="nl-NL"/>
              </w:rPr>
            </w:pPr>
            <w:r w:rsidRPr="004C654E">
              <w:rPr>
                <w:color w:val="000000"/>
                <w:sz w:val="20"/>
                <w:szCs w:val="20"/>
                <w:lang w:val="nl-NL" w:eastAsia="nl-NL"/>
              </w:rPr>
              <w:t> </w:t>
            </w:r>
          </w:p>
        </w:tc>
        <w:tc>
          <w:tcPr>
            <w:tcW w:w="984"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val="nl-NL" w:eastAsia="nl-NL"/>
              </w:rPr>
            </w:pPr>
            <w:r w:rsidRPr="004C654E">
              <w:rPr>
                <w:color w:val="000000"/>
                <w:sz w:val="20"/>
                <w:szCs w:val="20"/>
                <w:lang w:val="nl-NL"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val="nl-NL" w:eastAsia="nl-NL"/>
              </w:rPr>
            </w:pPr>
            <w:r w:rsidRPr="004C654E">
              <w:rPr>
                <w:color w:val="000000"/>
                <w:sz w:val="20"/>
                <w:szCs w:val="20"/>
                <w:lang w:val="nl-NL"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val="nl-NL" w:eastAsia="nl-NL"/>
              </w:rPr>
            </w:pPr>
            <w:r w:rsidRPr="004C654E">
              <w:rPr>
                <w:color w:val="000000"/>
                <w:sz w:val="20"/>
                <w:szCs w:val="20"/>
                <w:lang w:val="nl-NL" w:eastAsia="nl-NL"/>
              </w:rPr>
              <w:t> </w:t>
            </w:r>
          </w:p>
        </w:tc>
      </w:tr>
      <w:tr w:rsidR="00DC7B1E" w:rsidRPr="00544566" w:rsidTr="005E773C">
        <w:trPr>
          <w:trHeight w:val="300"/>
        </w:trPr>
        <w:tc>
          <w:tcPr>
            <w:tcW w:w="984" w:type="dxa"/>
            <w:tcBorders>
              <w:top w:val="nil"/>
              <w:left w:val="single" w:sz="4" w:space="0" w:color="auto"/>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val="nl-NL" w:eastAsia="nl-NL"/>
              </w:rPr>
            </w:pPr>
            <w:r w:rsidRPr="004C654E">
              <w:rPr>
                <w:color w:val="000000"/>
                <w:sz w:val="20"/>
                <w:szCs w:val="20"/>
                <w:lang w:val="nl-NL" w:eastAsia="nl-NL"/>
              </w:rPr>
              <w:t>OPTIONS</w:t>
            </w:r>
          </w:p>
          <w:p w:rsidR="00DC7B1E" w:rsidRPr="004C654E" w:rsidRDefault="00DC7B1E" w:rsidP="005E773C">
            <w:pPr>
              <w:spacing w:after="0" w:line="240" w:lineRule="auto"/>
              <w:rPr>
                <w:color w:val="000000"/>
                <w:sz w:val="20"/>
                <w:szCs w:val="20"/>
                <w:lang w:val="nl-NL"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0.079</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0.085</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center"/>
              <w:rPr>
                <w:color w:val="000000"/>
                <w:sz w:val="20"/>
                <w:szCs w:val="20"/>
                <w:lang w:eastAsia="nl-NL"/>
              </w:rPr>
            </w:pPr>
            <w:r w:rsidRPr="004C654E">
              <w:rPr>
                <w:color w:val="000000"/>
                <w:sz w:val="20"/>
                <w:szCs w:val="20"/>
                <w:lang w:eastAsia="nl-NL"/>
              </w:rPr>
              <w:t>1</w:t>
            </w:r>
          </w:p>
          <w:p w:rsidR="00DC7B1E" w:rsidRPr="004C654E" w:rsidRDefault="00DC7B1E" w:rsidP="005E773C">
            <w:pPr>
              <w:spacing w:after="0" w:line="240" w:lineRule="auto"/>
              <w:jc w:val="center"/>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84"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r>
      <w:tr w:rsidR="00DC7B1E" w:rsidRPr="00544566" w:rsidTr="005E773C">
        <w:trPr>
          <w:trHeight w:val="300"/>
        </w:trPr>
        <w:tc>
          <w:tcPr>
            <w:tcW w:w="984" w:type="dxa"/>
            <w:tcBorders>
              <w:top w:val="nil"/>
              <w:left w:val="single" w:sz="4" w:space="0" w:color="auto"/>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eastAsia="nl-NL"/>
              </w:rPr>
            </w:pPr>
            <w:r w:rsidRPr="004C654E">
              <w:rPr>
                <w:color w:val="000000"/>
                <w:sz w:val="20"/>
                <w:szCs w:val="20"/>
                <w:lang w:eastAsia="nl-NL"/>
              </w:rPr>
              <w:t>GAIN</w:t>
            </w:r>
          </w:p>
          <w:p w:rsidR="00DC7B1E" w:rsidRPr="004C654E" w:rsidRDefault="00DC7B1E" w:rsidP="005E773C">
            <w:pPr>
              <w:spacing w:after="0" w:line="240" w:lineRule="auto"/>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0.147”</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0.006</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0.715”</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0.000 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center"/>
              <w:rPr>
                <w:color w:val="000000"/>
                <w:sz w:val="20"/>
                <w:szCs w:val="20"/>
                <w:lang w:eastAsia="nl-NL"/>
              </w:rPr>
            </w:pPr>
            <w:r w:rsidRPr="004C654E">
              <w:rPr>
                <w:color w:val="000000"/>
                <w:sz w:val="20"/>
                <w:szCs w:val="20"/>
                <w:lang w:eastAsia="nl-NL"/>
              </w:rPr>
              <w:t>1</w:t>
            </w:r>
          </w:p>
          <w:p w:rsidR="00DC7B1E" w:rsidRPr="004C654E" w:rsidRDefault="00DC7B1E" w:rsidP="005E773C">
            <w:pPr>
              <w:spacing w:after="0" w:line="240" w:lineRule="auto"/>
              <w:jc w:val="center"/>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84"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r>
      <w:tr w:rsidR="00DC7B1E" w:rsidRPr="00544566" w:rsidTr="005E773C">
        <w:trPr>
          <w:trHeight w:val="300"/>
        </w:trPr>
        <w:tc>
          <w:tcPr>
            <w:tcW w:w="984" w:type="dxa"/>
            <w:tcBorders>
              <w:top w:val="nil"/>
              <w:left w:val="single" w:sz="4" w:space="0" w:color="auto"/>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eastAsia="nl-NL"/>
              </w:rPr>
            </w:pPr>
            <w:r w:rsidRPr="004C654E">
              <w:rPr>
                <w:color w:val="000000"/>
                <w:sz w:val="20"/>
                <w:szCs w:val="20"/>
                <w:lang w:eastAsia="nl-NL"/>
              </w:rPr>
              <w:t>LEV</w:t>
            </w:r>
          </w:p>
          <w:p w:rsidR="00DC7B1E" w:rsidRPr="004C654E" w:rsidRDefault="00DC7B1E" w:rsidP="005E773C">
            <w:pPr>
              <w:spacing w:after="0" w:line="240" w:lineRule="auto"/>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-0.020</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0.365</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0.001</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0.491</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-0.007</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0.454</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center"/>
              <w:rPr>
                <w:color w:val="000000"/>
                <w:sz w:val="20"/>
                <w:szCs w:val="20"/>
                <w:lang w:eastAsia="nl-NL"/>
              </w:rPr>
            </w:pPr>
            <w:r w:rsidRPr="004C654E">
              <w:rPr>
                <w:color w:val="000000"/>
                <w:sz w:val="20"/>
                <w:szCs w:val="20"/>
                <w:lang w:eastAsia="nl-NL"/>
              </w:rPr>
              <w:t>1</w:t>
            </w:r>
          </w:p>
          <w:p w:rsidR="00DC7B1E" w:rsidRPr="004C654E" w:rsidRDefault="00DC7B1E" w:rsidP="005E773C">
            <w:pPr>
              <w:spacing w:after="0" w:line="240" w:lineRule="auto"/>
              <w:jc w:val="center"/>
              <w:rPr>
                <w:color w:val="000000"/>
                <w:sz w:val="20"/>
                <w:szCs w:val="20"/>
                <w:lang w:eastAsia="nl-NL"/>
              </w:rPr>
            </w:pPr>
          </w:p>
        </w:tc>
        <w:tc>
          <w:tcPr>
            <w:tcW w:w="984"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r>
      <w:tr w:rsidR="00DC7B1E" w:rsidRPr="00544566" w:rsidTr="005E773C">
        <w:trPr>
          <w:trHeight w:val="300"/>
        </w:trPr>
        <w:tc>
          <w:tcPr>
            <w:tcW w:w="984" w:type="dxa"/>
            <w:tcBorders>
              <w:top w:val="nil"/>
              <w:left w:val="single" w:sz="4" w:space="0" w:color="auto"/>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eastAsia="nl-NL"/>
              </w:rPr>
            </w:pPr>
            <w:r w:rsidRPr="004C654E">
              <w:rPr>
                <w:color w:val="000000"/>
                <w:sz w:val="20"/>
                <w:szCs w:val="20"/>
                <w:lang w:eastAsia="nl-NL"/>
              </w:rPr>
              <w:t>GROWTH</w:t>
            </w:r>
          </w:p>
          <w:p w:rsidR="00DC7B1E" w:rsidRPr="004C654E" w:rsidRDefault="00DC7B1E" w:rsidP="005E773C">
            <w:pPr>
              <w:spacing w:after="0" w:line="240" w:lineRule="auto"/>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0.032</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0.293</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0.174”</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0.001</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0.174”</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0.001</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-0.028</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0.312</w:t>
            </w:r>
          </w:p>
        </w:tc>
        <w:tc>
          <w:tcPr>
            <w:tcW w:w="984"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center"/>
              <w:rPr>
                <w:color w:val="000000"/>
                <w:sz w:val="20"/>
                <w:szCs w:val="20"/>
                <w:lang w:eastAsia="nl-NL"/>
              </w:rPr>
            </w:pPr>
            <w:r w:rsidRPr="004C654E">
              <w:rPr>
                <w:color w:val="000000"/>
                <w:sz w:val="20"/>
                <w:szCs w:val="20"/>
                <w:lang w:eastAsia="nl-NL"/>
              </w:rPr>
              <w:t>1</w:t>
            </w:r>
          </w:p>
          <w:p w:rsidR="00DC7B1E" w:rsidRPr="004C654E" w:rsidRDefault="00DC7B1E" w:rsidP="005E773C">
            <w:pPr>
              <w:spacing w:after="0" w:line="240" w:lineRule="auto"/>
              <w:jc w:val="center"/>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r>
      <w:tr w:rsidR="00DC7B1E" w:rsidRPr="00544566" w:rsidTr="005E773C">
        <w:trPr>
          <w:trHeight w:val="300"/>
        </w:trPr>
        <w:tc>
          <w:tcPr>
            <w:tcW w:w="984" w:type="dxa"/>
            <w:tcBorders>
              <w:top w:val="nil"/>
              <w:left w:val="single" w:sz="4" w:space="0" w:color="auto"/>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eastAsia="nl-NL"/>
              </w:rPr>
            </w:pPr>
            <w:r w:rsidRPr="004C654E">
              <w:rPr>
                <w:color w:val="000000"/>
                <w:sz w:val="20"/>
                <w:szCs w:val="20"/>
                <w:lang w:eastAsia="nl-NL"/>
              </w:rPr>
              <w:t>SIZE</w:t>
            </w:r>
          </w:p>
          <w:p w:rsidR="00DC7B1E" w:rsidRPr="004C654E" w:rsidRDefault="00DC7B1E" w:rsidP="005E773C">
            <w:pPr>
              <w:spacing w:after="0" w:line="240" w:lineRule="auto"/>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-0.040</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0.248</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0.280”</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0.000</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0.280”</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0.000</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0.262”</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0.000</w:t>
            </w:r>
          </w:p>
        </w:tc>
        <w:tc>
          <w:tcPr>
            <w:tcW w:w="984"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0.370”</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0.000 </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center"/>
              <w:rPr>
                <w:color w:val="000000"/>
                <w:sz w:val="20"/>
                <w:szCs w:val="20"/>
                <w:lang w:eastAsia="nl-NL"/>
              </w:rPr>
            </w:pPr>
            <w:r w:rsidRPr="004C654E">
              <w:rPr>
                <w:color w:val="000000"/>
                <w:sz w:val="20"/>
                <w:szCs w:val="20"/>
                <w:lang w:eastAsia="nl-NL"/>
              </w:rPr>
              <w:t>1</w:t>
            </w:r>
          </w:p>
          <w:p w:rsidR="00DC7B1E" w:rsidRPr="004C654E" w:rsidRDefault="00DC7B1E" w:rsidP="005E773C">
            <w:pPr>
              <w:spacing w:after="0" w:line="240" w:lineRule="auto"/>
              <w:jc w:val="center"/>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w:t>
            </w:r>
          </w:p>
        </w:tc>
      </w:tr>
      <w:tr w:rsidR="00DC7B1E" w:rsidRPr="00544566" w:rsidTr="005E773C">
        <w:trPr>
          <w:trHeight w:val="300"/>
        </w:trPr>
        <w:tc>
          <w:tcPr>
            <w:tcW w:w="984" w:type="dxa"/>
            <w:tcBorders>
              <w:top w:val="nil"/>
              <w:left w:val="single" w:sz="4" w:space="0" w:color="auto"/>
              <w:bottom w:val="single" w:sz="4" w:space="0" w:color="auto"/>
              <w:right w:val="single" w:sz="4" w:space="0" w:color="auto"/>
            </w:tcBorders>
            <w:noWrap/>
            <w:vAlign w:val="center"/>
          </w:tcPr>
          <w:p w:rsidR="00DC7B1E" w:rsidRPr="004C654E" w:rsidRDefault="00DC7B1E" w:rsidP="005E773C">
            <w:pPr>
              <w:spacing w:after="0" w:line="240" w:lineRule="auto"/>
              <w:rPr>
                <w:color w:val="000000"/>
                <w:sz w:val="20"/>
                <w:szCs w:val="20"/>
                <w:lang w:eastAsia="nl-NL"/>
              </w:rPr>
            </w:pPr>
            <w:r w:rsidRPr="004C654E">
              <w:rPr>
                <w:color w:val="000000"/>
                <w:sz w:val="20"/>
                <w:szCs w:val="20"/>
                <w:lang w:eastAsia="nl-NL"/>
              </w:rPr>
              <w:t>MTBV</w:t>
            </w:r>
          </w:p>
          <w:p w:rsidR="00DC7B1E" w:rsidRPr="004C654E" w:rsidRDefault="00DC7B1E" w:rsidP="005E773C">
            <w:pPr>
              <w:spacing w:after="0" w:line="240" w:lineRule="auto"/>
              <w:rPr>
                <w:color w:val="000000"/>
                <w:sz w:val="20"/>
                <w:szCs w:val="20"/>
                <w:lang w:eastAsia="nl-NL"/>
              </w:rPr>
            </w:pP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-0.039</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0.253</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0.053</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0.181</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0.053</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0.181</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 0.030</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0.303</w:t>
            </w:r>
          </w:p>
        </w:tc>
        <w:tc>
          <w:tcPr>
            <w:tcW w:w="984"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0.025</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0.334</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0.057</w:t>
            </w:r>
          </w:p>
          <w:p w:rsidR="00DC7B1E" w:rsidRPr="004C654E" w:rsidRDefault="00DC7B1E" w:rsidP="005E773C">
            <w:pPr>
              <w:spacing w:after="0" w:line="240" w:lineRule="auto"/>
              <w:jc w:val="right"/>
              <w:rPr>
                <w:color w:val="000000"/>
                <w:sz w:val="20"/>
                <w:szCs w:val="20"/>
                <w:lang w:eastAsia="nl-NL"/>
              </w:rPr>
            </w:pPr>
            <w:r w:rsidRPr="004C654E">
              <w:rPr>
                <w:color w:val="000000"/>
                <w:sz w:val="20"/>
                <w:szCs w:val="20"/>
                <w:lang w:eastAsia="nl-NL"/>
              </w:rPr>
              <w:t>0.161</w:t>
            </w:r>
          </w:p>
        </w:tc>
        <w:tc>
          <w:tcPr>
            <w:tcW w:w="960" w:type="dxa"/>
            <w:tcBorders>
              <w:top w:val="nil"/>
              <w:left w:val="nil"/>
              <w:bottom w:val="single" w:sz="4" w:space="0" w:color="auto"/>
              <w:right w:val="single" w:sz="4" w:space="0" w:color="auto"/>
            </w:tcBorders>
            <w:noWrap/>
            <w:vAlign w:val="center"/>
          </w:tcPr>
          <w:p w:rsidR="00DC7B1E" w:rsidRPr="004C654E" w:rsidRDefault="00DC7B1E" w:rsidP="005E773C">
            <w:pPr>
              <w:spacing w:after="0" w:line="240" w:lineRule="auto"/>
              <w:jc w:val="center"/>
              <w:rPr>
                <w:color w:val="000000"/>
                <w:sz w:val="20"/>
                <w:szCs w:val="20"/>
                <w:lang w:eastAsia="nl-NL"/>
              </w:rPr>
            </w:pPr>
            <w:r w:rsidRPr="004C654E">
              <w:rPr>
                <w:color w:val="000000"/>
                <w:sz w:val="20"/>
                <w:szCs w:val="20"/>
                <w:lang w:eastAsia="nl-NL"/>
              </w:rPr>
              <w:t>1</w:t>
            </w:r>
          </w:p>
          <w:p w:rsidR="00DC7B1E" w:rsidRPr="004C654E" w:rsidRDefault="00DC7B1E" w:rsidP="005E773C">
            <w:pPr>
              <w:spacing w:after="0" w:line="240" w:lineRule="auto"/>
              <w:jc w:val="center"/>
              <w:rPr>
                <w:color w:val="000000"/>
                <w:sz w:val="20"/>
                <w:szCs w:val="20"/>
                <w:lang w:eastAsia="nl-NL"/>
              </w:rPr>
            </w:pPr>
          </w:p>
        </w:tc>
      </w:tr>
    </w:tbl>
    <w:p w:rsidR="00DC7B1E" w:rsidRPr="00861193" w:rsidRDefault="00DC7B1E" w:rsidP="00CD11AC">
      <w:pPr>
        <w:spacing w:line="360" w:lineRule="auto"/>
        <w:contextualSpacing/>
        <w:rPr>
          <w:rFonts w:ascii="Cambria" w:hAnsi="Cambria"/>
          <w:b/>
        </w:rPr>
      </w:pPr>
    </w:p>
    <w:p w:rsidR="00DC7B1E" w:rsidRDefault="00DC7B1E"/>
    <w:p w:rsidR="00DC7B1E" w:rsidRDefault="00DC7B1E" w:rsidP="00CD11AC">
      <w:pPr>
        <w:spacing w:line="360" w:lineRule="auto"/>
        <w:contextualSpacing/>
      </w:pPr>
    </w:p>
    <w:p w:rsidR="00DC7B1E" w:rsidRDefault="00DC7B1E" w:rsidP="00CD11AC">
      <w:pPr>
        <w:spacing w:line="360" w:lineRule="auto"/>
        <w:contextualSpacing/>
      </w:pPr>
    </w:p>
    <w:p w:rsidR="00DC7B1E" w:rsidRDefault="00DC7B1E" w:rsidP="00CD11AC">
      <w:pPr>
        <w:spacing w:line="360" w:lineRule="auto"/>
        <w:contextualSpacing/>
      </w:pPr>
    </w:p>
    <w:p w:rsidR="00DC7B1E" w:rsidRDefault="00DC7B1E" w:rsidP="00CD11AC">
      <w:pPr>
        <w:spacing w:line="360" w:lineRule="auto"/>
        <w:contextualSpacing/>
      </w:pPr>
    </w:p>
    <w:p w:rsidR="00DC7B1E" w:rsidRDefault="00DC7B1E" w:rsidP="00CD11AC">
      <w:pPr>
        <w:spacing w:line="360" w:lineRule="auto"/>
        <w:contextualSpacing/>
      </w:pPr>
    </w:p>
    <w:p w:rsidR="00DC7B1E" w:rsidRDefault="00DC7B1E" w:rsidP="00CD11AC">
      <w:pPr>
        <w:spacing w:line="360" w:lineRule="auto"/>
        <w:contextualSpacing/>
      </w:pPr>
    </w:p>
    <w:p w:rsidR="00DC7B1E" w:rsidRDefault="00DC7B1E" w:rsidP="00CD11AC">
      <w:pPr>
        <w:spacing w:line="360" w:lineRule="auto"/>
        <w:contextualSpacing/>
      </w:pPr>
    </w:p>
    <w:p w:rsidR="00DC7B1E" w:rsidRDefault="00DC7B1E" w:rsidP="00CD11AC">
      <w:pPr>
        <w:spacing w:line="360" w:lineRule="auto"/>
        <w:contextualSpacing/>
      </w:pPr>
    </w:p>
    <w:p w:rsidR="00DC7B1E" w:rsidRPr="004C654E" w:rsidRDefault="00DC7B1E" w:rsidP="0073198F">
      <w:pPr>
        <w:spacing w:line="240" w:lineRule="auto"/>
        <w:contextualSpacing/>
        <w:rPr>
          <w:sz w:val="18"/>
          <w:szCs w:val="18"/>
        </w:rPr>
      </w:pPr>
      <w:r w:rsidRPr="004C654E">
        <w:rPr>
          <w:sz w:val="18"/>
          <w:szCs w:val="18"/>
        </w:rPr>
        <w:t>“ Correlation is significant at the 0.01 level (1-tailed)</w:t>
      </w:r>
    </w:p>
    <w:p w:rsidR="00DC7B1E" w:rsidRPr="004C654E" w:rsidRDefault="00DC7B1E" w:rsidP="0073198F">
      <w:pPr>
        <w:spacing w:line="240" w:lineRule="auto"/>
        <w:contextualSpacing/>
        <w:rPr>
          <w:sz w:val="18"/>
          <w:szCs w:val="18"/>
        </w:rPr>
      </w:pPr>
      <w:r w:rsidRPr="004C654E">
        <w:rPr>
          <w:sz w:val="18"/>
          <w:szCs w:val="18"/>
        </w:rPr>
        <w:t>‘ Correlation is significant at 0.05 level (1-tailed)</w:t>
      </w:r>
    </w:p>
    <w:p w:rsidR="00DC7B1E" w:rsidRDefault="00DC7B1E" w:rsidP="005B2249">
      <w:pPr>
        <w:spacing w:line="360" w:lineRule="auto"/>
        <w:contextualSpacing/>
      </w:pPr>
    </w:p>
    <w:p w:rsidR="00DC7B1E" w:rsidRDefault="00DC7B1E">
      <w:pPr>
        <w:sectPr w:rsidR="00DC7B1E" w:rsidSect="00FD7DFB">
          <w:pgSz w:w="11907" w:h="16840" w:code="9"/>
          <w:pgMar w:top="1418" w:right="1418" w:bottom="1418" w:left="1418" w:header="709" w:footer="284" w:gutter="0"/>
          <w:cols w:space="708"/>
          <w:docGrid w:linePitch="360"/>
        </w:sectPr>
      </w:pPr>
    </w:p>
    <w:p w:rsidR="00DC7B1E" w:rsidRPr="00421BFC" w:rsidRDefault="00DC7B1E" w:rsidP="00421BFC">
      <w:pPr>
        <w:pStyle w:val="Heading1"/>
        <w:spacing w:before="60" w:line="360" w:lineRule="auto"/>
        <w:contextualSpacing/>
        <w:rPr>
          <w:color w:val="245590"/>
        </w:rPr>
      </w:pPr>
      <w:bookmarkStart w:id="75" w:name="_Toc234568015"/>
      <w:r w:rsidRPr="00421BFC">
        <w:rPr>
          <w:color w:val="245590"/>
        </w:rPr>
        <w:t>Appendix 6 Regression analysis exercise of executive stock option with regression outliers</w:t>
      </w:r>
      <w:bookmarkEnd w:id="75"/>
    </w:p>
    <w:p w:rsidR="00DC7B1E" w:rsidRPr="00232C4F" w:rsidRDefault="00DC7B1E" w:rsidP="00F43FBE">
      <w:pPr>
        <w:autoSpaceDE w:val="0"/>
        <w:autoSpaceDN w:val="0"/>
        <w:adjustRightInd w:val="0"/>
        <w:spacing w:after="0" w:line="400" w:lineRule="atLeast"/>
        <w:rPr>
          <w:rFonts w:ascii="Times New Roman" w:hAnsi="Times New Roman"/>
          <w:sz w:val="24"/>
          <w:szCs w:val="24"/>
        </w:rPr>
      </w:pPr>
    </w:p>
    <w:tbl>
      <w:tblPr>
        <w:tblW w:w="3845" w:type="dxa"/>
        <w:tblInd w:w="53" w:type="dxa"/>
        <w:tblCellMar>
          <w:left w:w="70" w:type="dxa"/>
          <w:right w:w="70" w:type="dxa"/>
        </w:tblCellMar>
        <w:tblLook w:val="00A0"/>
      </w:tblPr>
      <w:tblGrid>
        <w:gridCol w:w="1600"/>
        <w:gridCol w:w="1252"/>
        <w:gridCol w:w="993"/>
      </w:tblGrid>
      <w:tr w:rsidR="00DC7B1E" w:rsidRPr="00410B97" w:rsidTr="004C654E">
        <w:trPr>
          <w:trHeight w:val="300"/>
        </w:trPr>
        <w:tc>
          <w:tcPr>
            <w:tcW w:w="1600" w:type="dxa"/>
            <w:tcBorders>
              <w:bottom w:val="single" w:sz="4" w:space="0" w:color="auto"/>
              <w:right w:val="single" w:sz="4" w:space="0" w:color="auto"/>
            </w:tcBorders>
            <w:noWrap/>
            <w:vAlign w:val="bottom"/>
          </w:tcPr>
          <w:p w:rsidR="00DC7B1E" w:rsidRPr="00410B97" w:rsidRDefault="00DC7B1E" w:rsidP="00410B97">
            <w:pPr>
              <w:spacing w:after="0" w:line="240" w:lineRule="auto"/>
              <w:jc w:val="right"/>
              <w:rPr>
                <w:color w:val="000000"/>
                <w:lang w:eastAsia="nl-NL"/>
              </w:rPr>
            </w:pPr>
          </w:p>
        </w:tc>
        <w:tc>
          <w:tcPr>
            <w:tcW w:w="2245" w:type="dxa"/>
            <w:gridSpan w:val="2"/>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R square 0.090</w:t>
            </w:r>
          </w:p>
        </w:tc>
      </w:tr>
      <w:tr w:rsidR="00DC7B1E" w:rsidRPr="00410B97" w:rsidTr="004C654E">
        <w:trPr>
          <w:trHeight w:val="300"/>
        </w:trPr>
        <w:tc>
          <w:tcPr>
            <w:tcW w:w="1600" w:type="dxa"/>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b/>
                <w:color w:val="000000"/>
                <w:sz w:val="20"/>
                <w:szCs w:val="20"/>
                <w:lang w:eastAsia="nl-NL"/>
              </w:rPr>
            </w:pPr>
            <w:r w:rsidRPr="004C654E">
              <w:rPr>
                <w:b/>
                <w:color w:val="000000"/>
                <w:sz w:val="20"/>
                <w:szCs w:val="20"/>
                <w:lang w:eastAsia="nl-NL"/>
              </w:rPr>
              <w:t>DA </w:t>
            </w:r>
          </w:p>
        </w:tc>
        <w:tc>
          <w:tcPr>
            <w:tcW w:w="1252" w:type="dxa"/>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Coefficient</w:t>
            </w:r>
          </w:p>
        </w:tc>
        <w:tc>
          <w:tcPr>
            <w:tcW w:w="993"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p-value</w:t>
            </w:r>
          </w:p>
        </w:tc>
      </w:tr>
      <w:tr w:rsidR="00DC7B1E" w:rsidRPr="00410B97" w:rsidTr="004C654E">
        <w:trPr>
          <w:trHeight w:val="300"/>
        </w:trPr>
        <w:tc>
          <w:tcPr>
            <w:tcW w:w="1600" w:type="dxa"/>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Intercept</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-0.080</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0.000</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CEO</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-0.008 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0.805</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CFO</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0.035 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0.213</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0.006 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0.827</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CEO/CFO</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0.050 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0.147</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CEO/OTHER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0.030 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0.321</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CFO/OTHER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0.032 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0.278</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CEO/CFO/Other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0.081 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0.003</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OPTIONS</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-4.523</w:t>
            </w:r>
            <w:r w:rsidRPr="004C654E">
              <w:rPr>
                <w:color w:val="000000"/>
                <w:sz w:val="20"/>
                <w:szCs w:val="20"/>
                <w:vertAlign w:val="superscript"/>
                <w:lang w:eastAsia="nl-NL"/>
              </w:rPr>
              <w:t>E-8</w:t>
            </w:r>
            <w:r w:rsidRPr="004C654E">
              <w:rPr>
                <w:color w:val="000000"/>
                <w:sz w:val="20"/>
                <w:szCs w:val="20"/>
                <w:lang w:eastAsia="nl-NL"/>
              </w:rPr>
              <w:t>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0.174</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GAIN</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1.478</w:t>
            </w:r>
            <w:r w:rsidRPr="004C654E">
              <w:rPr>
                <w:color w:val="000000"/>
                <w:sz w:val="20"/>
                <w:szCs w:val="20"/>
                <w:vertAlign w:val="superscript"/>
                <w:lang w:eastAsia="nl-NL"/>
              </w:rPr>
              <w:t>E-8</w:t>
            </w:r>
            <w:r w:rsidRPr="004C654E">
              <w:rPr>
                <w:color w:val="000000"/>
                <w:sz w:val="20"/>
                <w:szCs w:val="20"/>
                <w:lang w:eastAsia="nl-NL"/>
              </w:rPr>
              <w:t>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0.240</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LEAVING</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0.008 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0.755</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LEV</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0.010 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0.855</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GROWTH</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6.448</w:t>
            </w:r>
            <w:r w:rsidRPr="004C654E">
              <w:rPr>
                <w:color w:val="000000"/>
                <w:sz w:val="20"/>
                <w:szCs w:val="20"/>
                <w:vertAlign w:val="superscript"/>
                <w:lang w:eastAsia="nl-NL"/>
              </w:rPr>
              <w:t>E-12</w:t>
            </w:r>
            <w:r w:rsidRPr="004C654E">
              <w:rPr>
                <w:color w:val="000000"/>
                <w:sz w:val="20"/>
                <w:szCs w:val="20"/>
                <w:lang w:eastAsia="nl-NL"/>
              </w:rPr>
              <w:t>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0.785</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SIZE</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-2.180</w:t>
            </w:r>
            <w:r w:rsidRPr="004C654E">
              <w:rPr>
                <w:color w:val="000000"/>
                <w:sz w:val="20"/>
                <w:szCs w:val="20"/>
                <w:vertAlign w:val="superscript"/>
                <w:lang w:eastAsia="nl-NL"/>
              </w:rPr>
              <w:t>E-12</w:t>
            </w:r>
            <w:r w:rsidRPr="004C654E">
              <w:rPr>
                <w:color w:val="000000"/>
                <w:sz w:val="20"/>
                <w:szCs w:val="20"/>
                <w:lang w:eastAsia="nl-NL"/>
              </w:rPr>
              <w:t>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0.202</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MTBV</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0.000 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0.343</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YEAR_2005</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0.006 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0.777</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YEAR_2006</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0.015 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0.463</w:t>
            </w:r>
          </w:p>
        </w:tc>
      </w:tr>
      <w:tr w:rsidR="00DC7B1E" w:rsidRPr="00410B97"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YEAR_2007</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0.050 </w:t>
            </w:r>
          </w:p>
        </w:tc>
        <w:tc>
          <w:tcPr>
            <w:tcW w:w="993"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0.016</w:t>
            </w:r>
          </w:p>
        </w:tc>
      </w:tr>
    </w:tbl>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Default="00DC7B1E"/>
    <w:p w:rsidR="00DC7B1E" w:rsidRPr="00421BFC" w:rsidRDefault="00DC7B1E" w:rsidP="00421BFC">
      <w:pPr>
        <w:pStyle w:val="Heading1"/>
        <w:spacing w:before="60" w:line="360" w:lineRule="auto"/>
        <w:contextualSpacing/>
        <w:rPr>
          <w:color w:val="245590"/>
        </w:rPr>
      </w:pPr>
      <w:bookmarkStart w:id="76" w:name="_Toc234568016"/>
      <w:r w:rsidRPr="00421BFC">
        <w:rPr>
          <w:color w:val="245590"/>
        </w:rPr>
        <w:t>Appendix 7 Separated regressions of the exercise of executive stock options</w:t>
      </w:r>
      <w:bookmarkEnd w:id="76"/>
    </w:p>
    <w:p w:rsidR="00DC7B1E" w:rsidRDefault="00DC7B1E"/>
    <w:tbl>
      <w:tblPr>
        <w:tblW w:w="6396" w:type="dxa"/>
        <w:tblInd w:w="53" w:type="dxa"/>
        <w:tblCellMar>
          <w:left w:w="70" w:type="dxa"/>
          <w:right w:w="70" w:type="dxa"/>
        </w:tblCellMar>
        <w:tblLook w:val="00A0"/>
      </w:tblPr>
      <w:tblGrid>
        <w:gridCol w:w="1600"/>
        <w:gridCol w:w="1252"/>
        <w:gridCol w:w="1134"/>
        <w:gridCol w:w="1276"/>
        <w:gridCol w:w="1134"/>
      </w:tblGrid>
      <w:tr w:rsidR="00DC7B1E" w:rsidRPr="00A60CEA" w:rsidTr="004C654E">
        <w:trPr>
          <w:trHeight w:val="300"/>
        </w:trPr>
        <w:tc>
          <w:tcPr>
            <w:tcW w:w="1600" w:type="dxa"/>
            <w:tcBorders>
              <w:bottom w:val="single" w:sz="4" w:space="0" w:color="auto"/>
              <w:right w:val="single" w:sz="4" w:space="0" w:color="auto"/>
            </w:tcBorders>
            <w:noWrap/>
            <w:vAlign w:val="bottom"/>
          </w:tcPr>
          <w:p w:rsidR="00DC7B1E" w:rsidRPr="004C654E" w:rsidRDefault="00DC7B1E" w:rsidP="00A60CEA">
            <w:pPr>
              <w:spacing w:after="0" w:line="240" w:lineRule="auto"/>
              <w:rPr>
                <w:color w:val="000000"/>
                <w:sz w:val="20"/>
                <w:szCs w:val="20"/>
                <w:lang w:eastAsia="nl-NL"/>
              </w:rPr>
            </w:pPr>
          </w:p>
        </w:tc>
        <w:tc>
          <w:tcPr>
            <w:tcW w:w="2386" w:type="dxa"/>
            <w:gridSpan w:val="2"/>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R square = 0.121</w:t>
            </w:r>
          </w:p>
        </w:tc>
        <w:tc>
          <w:tcPr>
            <w:tcW w:w="2410" w:type="dxa"/>
            <w:gridSpan w:val="2"/>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R square = 0.133</w:t>
            </w:r>
          </w:p>
        </w:tc>
      </w:tr>
      <w:tr w:rsidR="00DC7B1E" w:rsidRPr="00A60CEA" w:rsidTr="004C654E">
        <w:trPr>
          <w:trHeight w:val="300"/>
        </w:trPr>
        <w:tc>
          <w:tcPr>
            <w:tcW w:w="1600" w:type="dxa"/>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b/>
                <w:color w:val="000000"/>
                <w:sz w:val="20"/>
                <w:szCs w:val="20"/>
                <w:lang w:eastAsia="nl-NL"/>
              </w:rPr>
            </w:pPr>
            <w:r w:rsidRPr="004C654E">
              <w:rPr>
                <w:b/>
                <w:color w:val="000000"/>
                <w:sz w:val="20"/>
                <w:szCs w:val="20"/>
                <w:lang w:eastAsia="nl-NL"/>
              </w:rPr>
              <w:t>DA</w:t>
            </w:r>
          </w:p>
        </w:tc>
        <w:tc>
          <w:tcPr>
            <w:tcW w:w="1252"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Coefficient</w:t>
            </w:r>
          </w:p>
        </w:tc>
        <w:tc>
          <w:tcPr>
            <w:tcW w:w="1134"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p-value</w:t>
            </w:r>
          </w:p>
        </w:tc>
        <w:tc>
          <w:tcPr>
            <w:tcW w:w="1276"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Coefficient</w:t>
            </w:r>
          </w:p>
        </w:tc>
        <w:tc>
          <w:tcPr>
            <w:tcW w:w="1134"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p-value</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Intercept</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-0.078</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0.000 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-0.080 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0.000 </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CEO</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-0.015</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0.565 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-0.011 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0.656 </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CFO</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0.011</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0.617 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0.008 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0.711</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0.013 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0.540 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0.022 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0.282</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CEO/CFO</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0.039 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0.108 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0.032 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0.184</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CEO/OTHER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0.042 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0.065 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0.026 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0.230</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CFO/OTHER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0.019 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0.400 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0.016 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0.452</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CEO/CFO/Other</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0.077 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0.000 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0.066 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0.001</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OPTIONS</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-2.271E-8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0.200 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GAIN</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4.843E-9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0.510</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LEAVING</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0.009 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0.662 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0.004 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0.846</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LEV</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-0.019 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0.662 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-0.015 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0.717</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GROWTH</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-3.937E-12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0.828 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8.221E-12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0.639</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SIZE</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-5.680E-13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0.660 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-1.106E-12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0.395</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MTBV</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0.000 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0.442 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0.000 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0.415</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YEAR_2005</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0.013 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0.415 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0.017 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0.254</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YEAR_2006</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0.033 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0.039 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0.036 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 0.021</w:t>
            </w:r>
          </w:p>
        </w:tc>
      </w:tr>
      <w:tr w:rsidR="00DC7B1E" w:rsidRPr="00A60CEA" w:rsidTr="004C654E">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YEAR_2007</w:t>
            </w:r>
          </w:p>
        </w:tc>
        <w:tc>
          <w:tcPr>
            <w:tcW w:w="12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0.057 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0.000 </w:t>
            </w:r>
          </w:p>
        </w:tc>
        <w:tc>
          <w:tcPr>
            <w:tcW w:w="127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0.051 </w:t>
            </w:r>
          </w:p>
        </w:tc>
        <w:tc>
          <w:tcPr>
            <w:tcW w:w="113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eastAsia="nl-NL"/>
              </w:rPr>
            </w:pPr>
            <w:r w:rsidRPr="004C654E">
              <w:rPr>
                <w:color w:val="000000"/>
                <w:sz w:val="20"/>
                <w:szCs w:val="20"/>
                <w:lang w:eastAsia="nl-NL"/>
              </w:rPr>
              <w:t>0.001</w:t>
            </w:r>
          </w:p>
        </w:tc>
      </w:tr>
    </w:tbl>
    <w:p w:rsidR="00DC7B1E" w:rsidRDefault="00DC7B1E" w:rsidP="006605C1">
      <w:r>
        <w:t xml:space="preserve"> </w:t>
      </w:r>
    </w:p>
    <w:p w:rsidR="00DC7B1E" w:rsidRDefault="00DC7B1E" w:rsidP="006605C1"/>
    <w:p w:rsidR="00DC7B1E" w:rsidRPr="00421BFC" w:rsidRDefault="00DC7B1E" w:rsidP="00421BFC">
      <w:pPr>
        <w:pStyle w:val="Heading1"/>
        <w:spacing w:before="60" w:line="360" w:lineRule="auto"/>
        <w:contextualSpacing/>
        <w:rPr>
          <w:color w:val="245590"/>
        </w:rPr>
      </w:pPr>
      <w:bookmarkStart w:id="77" w:name="_Toc234568017"/>
      <w:r w:rsidRPr="00421BFC">
        <w:rPr>
          <w:color w:val="245590"/>
        </w:rPr>
        <w:t>Appendix 8 Descriptive statistics vesting of executive stock options with variable outliers</w:t>
      </w:r>
      <w:bookmarkEnd w:id="77"/>
    </w:p>
    <w:p w:rsidR="00DC7B1E" w:rsidRPr="00FA56D9" w:rsidRDefault="00DC7B1E" w:rsidP="00FA56D9">
      <w:pPr>
        <w:spacing w:line="360" w:lineRule="auto"/>
        <w:contextualSpacing/>
        <w:rPr>
          <w:rFonts w:ascii="Cambria" w:hAnsi="Cambria"/>
          <w:b/>
          <w:sz w:val="24"/>
          <w:szCs w:val="24"/>
        </w:rPr>
      </w:pPr>
    </w:p>
    <w:tbl>
      <w:tblPr>
        <w:tblW w:w="9798" w:type="dxa"/>
        <w:tblInd w:w="53" w:type="dxa"/>
        <w:tblCellMar>
          <w:left w:w="70" w:type="dxa"/>
          <w:right w:w="70" w:type="dxa"/>
        </w:tblCellMar>
        <w:tblLook w:val="00A0"/>
      </w:tblPr>
      <w:tblGrid>
        <w:gridCol w:w="1577"/>
        <w:gridCol w:w="1701"/>
        <w:gridCol w:w="1984"/>
        <w:gridCol w:w="1828"/>
        <w:gridCol w:w="1760"/>
        <w:gridCol w:w="952"/>
      </w:tblGrid>
      <w:tr w:rsidR="00DC7B1E" w:rsidRPr="00B94114" w:rsidTr="004C654E">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eastAsia="nl-NL"/>
              </w:rPr>
            </w:pPr>
            <w:r w:rsidRPr="004C654E">
              <w:rPr>
                <w:color w:val="000000"/>
                <w:sz w:val="20"/>
                <w:szCs w:val="20"/>
                <w:lang w:eastAsia="nl-NL"/>
              </w:rPr>
              <w:t> </w:t>
            </w:r>
          </w:p>
        </w:tc>
        <w:tc>
          <w:tcPr>
            <w:tcW w:w="1701"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Mean</w:t>
            </w:r>
          </w:p>
        </w:tc>
        <w:tc>
          <w:tcPr>
            <w:tcW w:w="1984"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Standard Deviation</w:t>
            </w:r>
          </w:p>
        </w:tc>
        <w:tc>
          <w:tcPr>
            <w:tcW w:w="1828"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Minimum</w:t>
            </w:r>
          </w:p>
        </w:tc>
        <w:tc>
          <w:tcPr>
            <w:tcW w:w="1756"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Maximum</w:t>
            </w:r>
          </w:p>
        </w:tc>
        <w:tc>
          <w:tcPr>
            <w:tcW w:w="952" w:type="dxa"/>
            <w:tcBorders>
              <w:top w:val="single" w:sz="4" w:space="0" w:color="auto"/>
              <w:left w:val="nil"/>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Count</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DA</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-0.108</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1.004</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-15.398</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0.621</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PSO%</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0.139</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0.222</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0.000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1.000</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TSO%</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0.140</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0.276</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0.000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1.000</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MONEY_PSO</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602</w:t>
            </w:r>
            <w:r>
              <w:rPr>
                <w:color w:val="000000"/>
                <w:sz w:val="20"/>
                <w:szCs w:val="20"/>
                <w:lang w:val="nl-NL" w:eastAsia="nl-NL"/>
              </w:rPr>
              <w:t>,</w:t>
            </w:r>
            <w:r w:rsidRPr="004C654E">
              <w:rPr>
                <w:color w:val="000000"/>
                <w:sz w:val="20"/>
                <w:szCs w:val="20"/>
                <w:lang w:val="nl-NL" w:eastAsia="nl-NL"/>
              </w:rPr>
              <w:t>255.570</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w:t>
            </w:r>
            <w:r>
              <w:rPr>
                <w:color w:val="000000"/>
                <w:sz w:val="20"/>
                <w:szCs w:val="20"/>
                <w:lang w:val="nl-NL" w:eastAsia="nl-NL"/>
              </w:rPr>
              <w:t>,</w:t>
            </w:r>
            <w:r w:rsidRPr="004C654E">
              <w:rPr>
                <w:color w:val="000000"/>
                <w:sz w:val="20"/>
                <w:szCs w:val="20"/>
                <w:lang w:val="nl-NL" w:eastAsia="nl-NL"/>
              </w:rPr>
              <w:t>030</w:t>
            </w:r>
            <w:r>
              <w:rPr>
                <w:color w:val="000000"/>
                <w:sz w:val="20"/>
                <w:szCs w:val="20"/>
                <w:lang w:val="nl-NL" w:eastAsia="nl-NL"/>
              </w:rPr>
              <w:t>,</w:t>
            </w:r>
            <w:r w:rsidRPr="004C654E">
              <w:rPr>
                <w:color w:val="000000"/>
                <w:sz w:val="20"/>
                <w:szCs w:val="20"/>
                <w:lang w:val="nl-NL" w:eastAsia="nl-NL"/>
              </w:rPr>
              <w:t>480.484</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w:t>
            </w:r>
            <w:r>
              <w:rPr>
                <w:color w:val="000000"/>
                <w:sz w:val="20"/>
                <w:szCs w:val="20"/>
                <w:lang w:val="nl-NL" w:eastAsia="nl-NL"/>
              </w:rPr>
              <w:t>,</w:t>
            </w:r>
            <w:r w:rsidRPr="004C654E">
              <w:rPr>
                <w:color w:val="000000"/>
                <w:sz w:val="20"/>
                <w:szCs w:val="20"/>
                <w:lang w:val="nl-NL" w:eastAsia="nl-NL"/>
              </w:rPr>
              <w:t>892</w:t>
            </w:r>
            <w:r>
              <w:rPr>
                <w:color w:val="000000"/>
                <w:sz w:val="20"/>
                <w:szCs w:val="20"/>
                <w:lang w:val="nl-NL" w:eastAsia="nl-NL"/>
              </w:rPr>
              <w:t>,</w:t>
            </w:r>
            <w:r w:rsidRPr="004C654E">
              <w:rPr>
                <w:color w:val="000000"/>
                <w:sz w:val="20"/>
                <w:szCs w:val="20"/>
                <w:lang w:val="nl-NL" w:eastAsia="nl-NL"/>
              </w:rPr>
              <w:t>281.000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18</w:t>
            </w:r>
            <w:r>
              <w:rPr>
                <w:color w:val="000000"/>
                <w:sz w:val="20"/>
                <w:szCs w:val="20"/>
                <w:lang w:val="nl-NL" w:eastAsia="nl-NL"/>
              </w:rPr>
              <w:t>,</w:t>
            </w:r>
            <w:r w:rsidRPr="004C654E">
              <w:rPr>
                <w:color w:val="000000"/>
                <w:sz w:val="20"/>
                <w:szCs w:val="20"/>
                <w:lang w:val="nl-NL" w:eastAsia="nl-NL"/>
              </w:rPr>
              <w:t>228</w:t>
            </w:r>
            <w:r>
              <w:rPr>
                <w:color w:val="000000"/>
                <w:sz w:val="20"/>
                <w:szCs w:val="20"/>
                <w:lang w:val="nl-NL" w:eastAsia="nl-NL"/>
              </w:rPr>
              <w:t>,</w:t>
            </w:r>
            <w:r w:rsidRPr="004C654E">
              <w:rPr>
                <w:color w:val="000000"/>
                <w:sz w:val="20"/>
                <w:szCs w:val="20"/>
                <w:lang w:val="nl-NL" w:eastAsia="nl-NL"/>
              </w:rPr>
              <w:t>058.000</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MONEY_TSO</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38</w:t>
            </w:r>
            <w:r>
              <w:rPr>
                <w:color w:val="000000"/>
                <w:sz w:val="20"/>
                <w:szCs w:val="20"/>
                <w:lang w:val="nl-NL" w:eastAsia="nl-NL"/>
              </w:rPr>
              <w:t>,</w:t>
            </w:r>
            <w:r w:rsidRPr="004C654E">
              <w:rPr>
                <w:color w:val="000000"/>
                <w:sz w:val="20"/>
                <w:szCs w:val="20"/>
                <w:lang w:val="nl-NL" w:eastAsia="nl-NL"/>
              </w:rPr>
              <w:t>230.843</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279</w:t>
            </w:r>
            <w:r>
              <w:rPr>
                <w:color w:val="000000"/>
                <w:sz w:val="20"/>
                <w:szCs w:val="20"/>
                <w:lang w:val="nl-NL" w:eastAsia="nl-NL"/>
              </w:rPr>
              <w:t>,</w:t>
            </w:r>
            <w:r w:rsidRPr="004C654E">
              <w:rPr>
                <w:color w:val="000000"/>
                <w:sz w:val="20"/>
                <w:szCs w:val="20"/>
                <w:lang w:val="nl-NL" w:eastAsia="nl-NL"/>
              </w:rPr>
              <w:t>197.090</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w:t>
            </w:r>
            <w:r>
              <w:rPr>
                <w:color w:val="000000"/>
                <w:sz w:val="20"/>
                <w:szCs w:val="20"/>
                <w:lang w:val="nl-NL" w:eastAsia="nl-NL"/>
              </w:rPr>
              <w:t>,</w:t>
            </w:r>
            <w:r w:rsidRPr="004C654E">
              <w:rPr>
                <w:color w:val="000000"/>
                <w:sz w:val="20"/>
                <w:szCs w:val="20"/>
                <w:lang w:val="nl-NL" w:eastAsia="nl-NL"/>
              </w:rPr>
              <w:t>684.400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3</w:t>
            </w:r>
            <w:r>
              <w:rPr>
                <w:color w:val="000000"/>
                <w:sz w:val="20"/>
                <w:szCs w:val="20"/>
                <w:lang w:val="nl-NL" w:eastAsia="nl-NL"/>
              </w:rPr>
              <w:t>,</w:t>
            </w:r>
            <w:r w:rsidRPr="004C654E">
              <w:rPr>
                <w:color w:val="000000"/>
                <w:sz w:val="20"/>
                <w:szCs w:val="20"/>
                <w:lang w:val="nl-NL" w:eastAsia="nl-NL"/>
              </w:rPr>
              <w:t>442</w:t>
            </w:r>
            <w:r>
              <w:rPr>
                <w:color w:val="000000"/>
                <w:sz w:val="20"/>
                <w:szCs w:val="20"/>
                <w:lang w:val="nl-NL" w:eastAsia="nl-NL"/>
              </w:rPr>
              <w:t>,</w:t>
            </w:r>
            <w:r w:rsidRPr="004C654E">
              <w:rPr>
                <w:color w:val="000000"/>
                <w:sz w:val="20"/>
                <w:szCs w:val="20"/>
                <w:lang w:val="nl-NL" w:eastAsia="nl-NL"/>
              </w:rPr>
              <w:t>794.180</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LEV</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0.249</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0.172</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0.000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0.714</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GROWTH</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136</w:t>
            </w:r>
            <w:r>
              <w:rPr>
                <w:color w:val="000000"/>
                <w:sz w:val="20"/>
                <w:szCs w:val="20"/>
                <w:lang w:val="nl-NL" w:eastAsia="nl-NL"/>
              </w:rPr>
              <w:t>,</w:t>
            </w:r>
            <w:r w:rsidRPr="004C654E">
              <w:rPr>
                <w:color w:val="000000"/>
                <w:sz w:val="20"/>
                <w:szCs w:val="20"/>
                <w:lang w:val="nl-NL" w:eastAsia="nl-NL"/>
              </w:rPr>
              <w:t>441</w:t>
            </w:r>
            <w:r>
              <w:rPr>
                <w:color w:val="000000"/>
                <w:sz w:val="20"/>
                <w:szCs w:val="20"/>
                <w:lang w:val="nl-NL" w:eastAsia="nl-NL"/>
              </w:rPr>
              <w:t>,</w:t>
            </w:r>
            <w:r w:rsidRPr="004C654E">
              <w:rPr>
                <w:color w:val="000000"/>
                <w:sz w:val="20"/>
                <w:szCs w:val="20"/>
                <w:lang w:val="nl-NL" w:eastAsia="nl-NL"/>
              </w:rPr>
              <w:t>050.096</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796</w:t>
            </w:r>
            <w:r>
              <w:rPr>
                <w:color w:val="000000"/>
                <w:sz w:val="20"/>
                <w:szCs w:val="20"/>
                <w:lang w:val="nl-NL" w:eastAsia="nl-NL"/>
              </w:rPr>
              <w:t>,</w:t>
            </w:r>
            <w:r w:rsidRPr="004C654E">
              <w:rPr>
                <w:color w:val="000000"/>
                <w:sz w:val="20"/>
                <w:szCs w:val="20"/>
                <w:lang w:val="nl-NL" w:eastAsia="nl-NL"/>
              </w:rPr>
              <w:t>868</w:t>
            </w:r>
            <w:r>
              <w:rPr>
                <w:color w:val="000000"/>
                <w:sz w:val="20"/>
                <w:szCs w:val="20"/>
                <w:lang w:val="nl-NL" w:eastAsia="nl-NL"/>
              </w:rPr>
              <w:t>,</w:t>
            </w:r>
            <w:r w:rsidRPr="004C654E">
              <w:rPr>
                <w:color w:val="000000"/>
                <w:sz w:val="20"/>
                <w:szCs w:val="20"/>
                <w:lang w:val="nl-NL" w:eastAsia="nl-NL"/>
              </w:rPr>
              <w:t>205.536</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-9</w:t>
            </w:r>
            <w:r>
              <w:rPr>
                <w:color w:val="000000"/>
                <w:sz w:val="20"/>
                <w:szCs w:val="20"/>
                <w:lang w:val="nl-NL" w:eastAsia="nl-NL"/>
              </w:rPr>
              <w:t>,</w:t>
            </w:r>
            <w:r w:rsidRPr="004C654E">
              <w:rPr>
                <w:color w:val="000000"/>
                <w:sz w:val="20"/>
                <w:szCs w:val="20"/>
                <w:lang w:val="nl-NL" w:eastAsia="nl-NL"/>
              </w:rPr>
              <w:t>851</w:t>
            </w:r>
            <w:r>
              <w:rPr>
                <w:color w:val="000000"/>
                <w:sz w:val="20"/>
                <w:szCs w:val="20"/>
                <w:lang w:val="nl-NL" w:eastAsia="nl-NL"/>
              </w:rPr>
              <w:t>,</w:t>
            </w:r>
            <w:r w:rsidRPr="004C654E">
              <w:rPr>
                <w:color w:val="000000"/>
                <w:sz w:val="20"/>
                <w:szCs w:val="20"/>
                <w:lang w:val="nl-NL" w:eastAsia="nl-NL"/>
              </w:rPr>
              <w:t>900</w:t>
            </w:r>
            <w:r>
              <w:rPr>
                <w:color w:val="000000"/>
                <w:sz w:val="20"/>
                <w:szCs w:val="20"/>
                <w:lang w:val="nl-NL" w:eastAsia="nl-NL"/>
              </w:rPr>
              <w:t>,</w:t>
            </w:r>
            <w:r w:rsidRPr="004C654E">
              <w:rPr>
                <w:color w:val="000000"/>
                <w:sz w:val="20"/>
                <w:szCs w:val="20"/>
                <w:lang w:val="nl-NL" w:eastAsia="nl-NL"/>
              </w:rPr>
              <w:t>000.000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w:t>
            </w:r>
            <w:r>
              <w:rPr>
                <w:color w:val="000000"/>
                <w:sz w:val="20"/>
                <w:szCs w:val="20"/>
                <w:lang w:val="nl-NL" w:eastAsia="nl-NL"/>
              </w:rPr>
              <w:t>,</w:t>
            </w:r>
            <w:r w:rsidRPr="004C654E">
              <w:rPr>
                <w:color w:val="000000"/>
                <w:sz w:val="20"/>
                <w:szCs w:val="20"/>
                <w:lang w:val="nl-NL" w:eastAsia="nl-NL"/>
              </w:rPr>
              <w:t>900</w:t>
            </w:r>
            <w:r>
              <w:rPr>
                <w:color w:val="000000"/>
                <w:sz w:val="20"/>
                <w:szCs w:val="20"/>
                <w:lang w:val="nl-NL" w:eastAsia="nl-NL"/>
              </w:rPr>
              <w:t>,</w:t>
            </w:r>
            <w:r w:rsidRPr="004C654E">
              <w:rPr>
                <w:color w:val="000000"/>
                <w:sz w:val="20"/>
                <w:szCs w:val="20"/>
                <w:lang w:val="nl-NL" w:eastAsia="nl-NL"/>
              </w:rPr>
              <w:t>300</w:t>
            </w:r>
            <w:r>
              <w:rPr>
                <w:color w:val="000000"/>
                <w:sz w:val="20"/>
                <w:szCs w:val="20"/>
                <w:lang w:val="nl-NL" w:eastAsia="nl-NL"/>
              </w:rPr>
              <w:t>,</w:t>
            </w:r>
            <w:r w:rsidRPr="004C654E">
              <w:rPr>
                <w:color w:val="000000"/>
                <w:sz w:val="20"/>
                <w:szCs w:val="20"/>
                <w:lang w:val="nl-NL" w:eastAsia="nl-NL"/>
              </w:rPr>
              <w:t>000.000</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SIZE</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w:t>
            </w:r>
            <w:r>
              <w:rPr>
                <w:color w:val="000000"/>
                <w:sz w:val="20"/>
                <w:szCs w:val="20"/>
                <w:lang w:val="nl-NL" w:eastAsia="nl-NL"/>
              </w:rPr>
              <w:t>,</w:t>
            </w:r>
            <w:r w:rsidRPr="004C654E">
              <w:rPr>
                <w:color w:val="000000"/>
                <w:sz w:val="20"/>
                <w:szCs w:val="20"/>
                <w:lang w:val="nl-NL" w:eastAsia="nl-NL"/>
              </w:rPr>
              <w:t>983</w:t>
            </w:r>
            <w:r>
              <w:rPr>
                <w:color w:val="000000"/>
                <w:sz w:val="20"/>
                <w:szCs w:val="20"/>
                <w:lang w:val="nl-NL" w:eastAsia="nl-NL"/>
              </w:rPr>
              <w:t>,</w:t>
            </w:r>
            <w:r w:rsidRPr="004C654E">
              <w:rPr>
                <w:color w:val="000000"/>
                <w:sz w:val="20"/>
                <w:szCs w:val="20"/>
                <w:lang w:val="nl-NL" w:eastAsia="nl-NL"/>
              </w:rPr>
              <w:t>812</w:t>
            </w:r>
            <w:r>
              <w:rPr>
                <w:color w:val="000000"/>
                <w:sz w:val="20"/>
                <w:szCs w:val="20"/>
                <w:lang w:val="nl-NL" w:eastAsia="nl-NL"/>
              </w:rPr>
              <w:t>,</w:t>
            </w:r>
            <w:r w:rsidRPr="004C654E">
              <w:rPr>
                <w:color w:val="000000"/>
                <w:sz w:val="20"/>
                <w:szCs w:val="20"/>
                <w:lang w:val="nl-NL" w:eastAsia="nl-NL"/>
              </w:rPr>
              <w:t>891.213</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4</w:t>
            </w:r>
            <w:r>
              <w:rPr>
                <w:color w:val="000000"/>
                <w:sz w:val="20"/>
                <w:szCs w:val="20"/>
                <w:lang w:val="nl-NL" w:eastAsia="nl-NL"/>
              </w:rPr>
              <w:t>,</w:t>
            </w:r>
            <w:r w:rsidRPr="004C654E">
              <w:rPr>
                <w:color w:val="000000"/>
                <w:sz w:val="20"/>
                <w:szCs w:val="20"/>
                <w:lang w:val="nl-NL" w:eastAsia="nl-NL"/>
              </w:rPr>
              <w:t>997</w:t>
            </w:r>
            <w:r>
              <w:rPr>
                <w:color w:val="000000"/>
                <w:sz w:val="20"/>
                <w:szCs w:val="20"/>
                <w:lang w:val="nl-NL" w:eastAsia="nl-NL"/>
              </w:rPr>
              <w:t>,</w:t>
            </w:r>
            <w:r w:rsidRPr="004C654E">
              <w:rPr>
                <w:color w:val="000000"/>
                <w:sz w:val="20"/>
                <w:szCs w:val="20"/>
                <w:lang w:val="nl-NL" w:eastAsia="nl-NL"/>
              </w:rPr>
              <w:t>609</w:t>
            </w:r>
            <w:r>
              <w:rPr>
                <w:color w:val="000000"/>
                <w:sz w:val="20"/>
                <w:szCs w:val="20"/>
                <w:lang w:val="nl-NL" w:eastAsia="nl-NL"/>
              </w:rPr>
              <w:t>,</w:t>
            </w:r>
            <w:r w:rsidRPr="004C654E">
              <w:rPr>
                <w:color w:val="000000"/>
                <w:sz w:val="20"/>
                <w:szCs w:val="20"/>
                <w:lang w:val="nl-NL" w:eastAsia="nl-NL"/>
              </w:rPr>
              <w:t>045.178</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36</w:t>
            </w:r>
            <w:r>
              <w:rPr>
                <w:color w:val="000000"/>
                <w:sz w:val="20"/>
                <w:szCs w:val="20"/>
                <w:lang w:val="nl-NL" w:eastAsia="nl-NL"/>
              </w:rPr>
              <w:t>,</w:t>
            </w:r>
            <w:r w:rsidRPr="004C654E">
              <w:rPr>
                <w:color w:val="000000"/>
                <w:sz w:val="20"/>
                <w:szCs w:val="20"/>
                <w:lang w:val="nl-NL" w:eastAsia="nl-NL"/>
              </w:rPr>
              <w:t>096</w:t>
            </w:r>
            <w:r>
              <w:rPr>
                <w:color w:val="000000"/>
                <w:sz w:val="20"/>
                <w:szCs w:val="20"/>
                <w:lang w:val="nl-NL" w:eastAsia="nl-NL"/>
              </w:rPr>
              <w:t>,</w:t>
            </w:r>
            <w:r w:rsidRPr="004C654E">
              <w:rPr>
                <w:color w:val="000000"/>
                <w:sz w:val="20"/>
                <w:szCs w:val="20"/>
                <w:lang w:val="nl-NL" w:eastAsia="nl-NL"/>
              </w:rPr>
              <w:t>000.000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28</w:t>
            </w:r>
            <w:r>
              <w:rPr>
                <w:color w:val="000000"/>
                <w:sz w:val="20"/>
                <w:szCs w:val="20"/>
                <w:lang w:val="nl-NL" w:eastAsia="nl-NL"/>
              </w:rPr>
              <w:t>,</w:t>
            </w:r>
            <w:r w:rsidRPr="004C654E">
              <w:rPr>
                <w:color w:val="000000"/>
                <w:sz w:val="20"/>
                <w:szCs w:val="20"/>
                <w:lang w:val="nl-NL" w:eastAsia="nl-NL"/>
              </w:rPr>
              <w:t>807</w:t>
            </w:r>
            <w:r>
              <w:rPr>
                <w:color w:val="000000"/>
                <w:sz w:val="20"/>
                <w:szCs w:val="20"/>
                <w:lang w:val="nl-NL" w:eastAsia="nl-NL"/>
              </w:rPr>
              <w:t>,</w:t>
            </w:r>
            <w:r w:rsidRPr="004C654E">
              <w:rPr>
                <w:color w:val="000000"/>
                <w:sz w:val="20"/>
                <w:szCs w:val="20"/>
                <w:lang w:val="nl-NL" w:eastAsia="nl-NL"/>
              </w:rPr>
              <w:t>000</w:t>
            </w:r>
            <w:r>
              <w:rPr>
                <w:color w:val="000000"/>
                <w:sz w:val="20"/>
                <w:szCs w:val="20"/>
                <w:lang w:val="nl-NL" w:eastAsia="nl-NL"/>
              </w:rPr>
              <w:t>,</w:t>
            </w:r>
            <w:r w:rsidRPr="004C654E">
              <w:rPr>
                <w:color w:val="000000"/>
                <w:sz w:val="20"/>
                <w:szCs w:val="20"/>
                <w:lang w:val="nl-NL" w:eastAsia="nl-NL"/>
              </w:rPr>
              <w:t>000.000</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r w:rsidR="00DC7B1E" w:rsidRPr="00B94114" w:rsidTr="004C654E">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4C654E" w:rsidRDefault="00DC7B1E" w:rsidP="004C654E">
            <w:pPr>
              <w:spacing w:after="0" w:line="240" w:lineRule="auto"/>
              <w:rPr>
                <w:color w:val="000000"/>
                <w:sz w:val="20"/>
                <w:szCs w:val="20"/>
                <w:lang w:val="nl-NL" w:eastAsia="nl-NL"/>
              </w:rPr>
            </w:pPr>
            <w:r w:rsidRPr="004C654E">
              <w:rPr>
                <w:color w:val="000000"/>
                <w:sz w:val="20"/>
                <w:szCs w:val="20"/>
                <w:lang w:val="nl-NL" w:eastAsia="nl-NL"/>
              </w:rPr>
              <w:t>MTBV</w:t>
            </w:r>
          </w:p>
        </w:tc>
        <w:tc>
          <w:tcPr>
            <w:tcW w:w="1701"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-7.147</w:t>
            </w:r>
          </w:p>
        </w:tc>
        <w:tc>
          <w:tcPr>
            <w:tcW w:w="1984"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137.541</w:t>
            </w:r>
          </w:p>
        </w:tc>
        <w:tc>
          <w:tcPr>
            <w:tcW w:w="1828"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w:t>
            </w:r>
            <w:r>
              <w:rPr>
                <w:color w:val="000000"/>
                <w:sz w:val="20"/>
                <w:szCs w:val="20"/>
                <w:lang w:val="nl-NL" w:eastAsia="nl-NL"/>
              </w:rPr>
              <w:t>,</w:t>
            </w:r>
            <w:r w:rsidRPr="004C654E">
              <w:rPr>
                <w:color w:val="000000"/>
                <w:sz w:val="20"/>
                <w:szCs w:val="20"/>
                <w:lang w:val="nl-NL" w:eastAsia="nl-NL"/>
              </w:rPr>
              <w:t>068.800</w:t>
            </w:r>
          </w:p>
        </w:tc>
        <w:tc>
          <w:tcPr>
            <w:tcW w:w="1756"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172.760</w:t>
            </w:r>
          </w:p>
        </w:tc>
        <w:tc>
          <w:tcPr>
            <w:tcW w:w="952" w:type="dxa"/>
            <w:tcBorders>
              <w:top w:val="nil"/>
              <w:left w:val="nil"/>
              <w:bottom w:val="single" w:sz="4" w:space="0" w:color="auto"/>
              <w:right w:val="single" w:sz="4" w:space="0" w:color="auto"/>
            </w:tcBorders>
            <w:noWrap/>
            <w:vAlign w:val="center"/>
          </w:tcPr>
          <w:p w:rsidR="00DC7B1E" w:rsidRPr="004C654E" w:rsidRDefault="00DC7B1E" w:rsidP="004C654E">
            <w:pPr>
              <w:spacing w:after="0" w:line="240" w:lineRule="auto"/>
              <w:jc w:val="right"/>
              <w:rPr>
                <w:color w:val="000000"/>
                <w:sz w:val="20"/>
                <w:szCs w:val="20"/>
                <w:lang w:val="nl-NL" w:eastAsia="nl-NL"/>
              </w:rPr>
            </w:pPr>
            <w:r w:rsidRPr="004C654E">
              <w:rPr>
                <w:color w:val="000000"/>
                <w:sz w:val="20"/>
                <w:szCs w:val="20"/>
                <w:lang w:val="nl-NL" w:eastAsia="nl-NL"/>
              </w:rPr>
              <w:t>239</w:t>
            </w:r>
          </w:p>
        </w:tc>
      </w:tr>
    </w:tbl>
    <w:p w:rsidR="00DC7B1E" w:rsidRPr="00B94114" w:rsidRDefault="00DC7B1E" w:rsidP="00B94114">
      <w:pPr>
        <w:autoSpaceDE w:val="0"/>
        <w:autoSpaceDN w:val="0"/>
        <w:adjustRightInd w:val="0"/>
        <w:spacing w:after="0" w:line="240" w:lineRule="auto"/>
        <w:rPr>
          <w:rFonts w:ascii="Times New Roman" w:hAnsi="Times New Roman"/>
          <w:sz w:val="24"/>
          <w:szCs w:val="24"/>
          <w:lang w:val="nl-NL"/>
        </w:rPr>
      </w:pPr>
    </w:p>
    <w:p w:rsidR="00DC7B1E" w:rsidRPr="00421BFC" w:rsidRDefault="00DC7B1E" w:rsidP="00421BFC">
      <w:pPr>
        <w:pStyle w:val="Heading1"/>
        <w:spacing w:before="60" w:line="360" w:lineRule="auto"/>
        <w:contextualSpacing/>
        <w:rPr>
          <w:color w:val="245590"/>
        </w:rPr>
      </w:pPr>
      <w:bookmarkStart w:id="78" w:name="_Toc234568018"/>
      <w:r w:rsidRPr="00421BFC">
        <w:rPr>
          <w:color w:val="245590"/>
        </w:rPr>
        <w:t>Appendix 9 Pearson correlations vesting of executive stock options without variable outliers</w:t>
      </w:r>
      <w:bookmarkEnd w:id="78"/>
    </w:p>
    <w:p w:rsidR="00DC7B1E" w:rsidRPr="005470B0" w:rsidRDefault="00DC7B1E" w:rsidP="006605C1">
      <w:pPr>
        <w:rPr>
          <w:rFonts w:ascii="Cambria" w:hAnsi="Cambria"/>
          <w:b/>
          <w:sz w:val="24"/>
          <w:szCs w:val="24"/>
        </w:rPr>
      </w:pPr>
    </w:p>
    <w:tbl>
      <w:tblPr>
        <w:tblW w:w="0" w:type="auto"/>
        <w:tblInd w:w="53" w:type="dxa"/>
        <w:tblCellMar>
          <w:left w:w="70" w:type="dxa"/>
          <w:right w:w="70" w:type="dxa"/>
        </w:tblCellMar>
        <w:tblLook w:val="00A0"/>
      </w:tblPr>
      <w:tblGrid>
        <w:gridCol w:w="1141"/>
        <w:gridCol w:w="718"/>
        <w:gridCol w:w="718"/>
        <w:gridCol w:w="718"/>
        <w:gridCol w:w="766"/>
        <w:gridCol w:w="766"/>
        <w:gridCol w:w="718"/>
        <w:gridCol w:w="906"/>
        <w:gridCol w:w="718"/>
        <w:gridCol w:w="631"/>
      </w:tblGrid>
      <w:tr w:rsidR="00DC7B1E" w:rsidRPr="004C654E" w:rsidTr="005470B0">
        <w:trPr>
          <w:trHeight w:val="300"/>
        </w:trPr>
        <w:tc>
          <w:tcPr>
            <w:tcW w:w="0" w:type="auto"/>
            <w:tcBorders>
              <w:top w:val="single" w:sz="4" w:space="0" w:color="auto"/>
              <w:left w:val="single" w:sz="4" w:space="0" w:color="auto"/>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eastAsia="nl-NL"/>
              </w:rPr>
            </w:pP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val="nl-NL" w:eastAsia="nl-NL"/>
              </w:rPr>
            </w:pPr>
            <w:r w:rsidRPr="004C654E">
              <w:rPr>
                <w:i/>
                <w:iCs/>
                <w:color w:val="000000"/>
                <w:sz w:val="20"/>
                <w:szCs w:val="20"/>
                <w:lang w:val="nl-NL" w:eastAsia="nl-NL"/>
              </w:rPr>
              <w:t>DA</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val="nl-NL" w:eastAsia="nl-NL"/>
              </w:rPr>
            </w:pPr>
            <w:r w:rsidRPr="004C654E">
              <w:rPr>
                <w:i/>
                <w:iCs/>
                <w:color w:val="000000"/>
                <w:sz w:val="20"/>
                <w:szCs w:val="20"/>
                <w:lang w:val="nl-NL" w:eastAsia="nl-NL"/>
              </w:rPr>
              <w:t>PSO%</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val="nl-NL" w:eastAsia="nl-NL"/>
              </w:rPr>
            </w:pPr>
            <w:r w:rsidRPr="004C654E">
              <w:rPr>
                <w:i/>
                <w:iCs/>
                <w:color w:val="000000"/>
                <w:sz w:val="20"/>
                <w:szCs w:val="20"/>
                <w:lang w:val="nl-NL" w:eastAsia="nl-NL"/>
              </w:rPr>
              <w:t>TSO%</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i/>
                <w:iCs/>
                <w:color w:val="000000"/>
                <w:sz w:val="20"/>
                <w:szCs w:val="20"/>
                <w:lang w:val="nl-NL" w:eastAsia="nl-NL"/>
              </w:rPr>
            </w:pPr>
            <w:r w:rsidRPr="004C654E">
              <w:rPr>
                <w:i/>
                <w:iCs/>
                <w:color w:val="000000"/>
                <w:sz w:val="20"/>
                <w:szCs w:val="20"/>
                <w:lang w:val="nl-NL" w:eastAsia="nl-NL"/>
              </w:rPr>
              <w:t xml:space="preserve">MONEY </w:t>
            </w:r>
          </w:p>
          <w:p w:rsidR="00DC7B1E" w:rsidRPr="004C654E" w:rsidRDefault="00DC7B1E" w:rsidP="006F1D85">
            <w:pPr>
              <w:spacing w:after="0" w:line="240" w:lineRule="auto"/>
              <w:jc w:val="center"/>
              <w:rPr>
                <w:i/>
                <w:iCs/>
                <w:color w:val="000000"/>
                <w:sz w:val="20"/>
                <w:szCs w:val="20"/>
                <w:lang w:val="nl-NL" w:eastAsia="nl-NL"/>
              </w:rPr>
            </w:pPr>
            <w:r w:rsidRPr="004C654E">
              <w:rPr>
                <w:i/>
                <w:iCs/>
                <w:color w:val="000000"/>
                <w:sz w:val="20"/>
                <w:szCs w:val="20"/>
                <w:lang w:val="nl-NL" w:eastAsia="nl-NL"/>
              </w:rPr>
              <w:t>PSO</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i/>
                <w:iCs/>
                <w:color w:val="000000"/>
                <w:sz w:val="20"/>
                <w:szCs w:val="20"/>
                <w:lang w:val="nl-NL" w:eastAsia="nl-NL"/>
              </w:rPr>
            </w:pPr>
            <w:r w:rsidRPr="004C654E">
              <w:rPr>
                <w:i/>
                <w:iCs/>
                <w:color w:val="000000"/>
                <w:sz w:val="20"/>
                <w:szCs w:val="20"/>
                <w:lang w:val="nl-NL" w:eastAsia="nl-NL"/>
              </w:rPr>
              <w:t xml:space="preserve">MONEY </w:t>
            </w:r>
          </w:p>
          <w:p w:rsidR="00DC7B1E" w:rsidRPr="004C654E" w:rsidRDefault="00DC7B1E" w:rsidP="006F1D85">
            <w:pPr>
              <w:spacing w:after="0" w:line="240" w:lineRule="auto"/>
              <w:jc w:val="center"/>
              <w:rPr>
                <w:i/>
                <w:iCs/>
                <w:color w:val="000000"/>
                <w:sz w:val="20"/>
                <w:szCs w:val="20"/>
                <w:lang w:val="nl-NL" w:eastAsia="nl-NL"/>
              </w:rPr>
            </w:pPr>
            <w:r w:rsidRPr="004C654E">
              <w:rPr>
                <w:i/>
                <w:iCs/>
                <w:color w:val="000000"/>
                <w:sz w:val="20"/>
                <w:szCs w:val="20"/>
                <w:lang w:val="nl-NL" w:eastAsia="nl-NL"/>
              </w:rPr>
              <w:t>TSO</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val="nl-NL" w:eastAsia="nl-NL"/>
              </w:rPr>
            </w:pPr>
            <w:r w:rsidRPr="004C654E">
              <w:rPr>
                <w:i/>
                <w:iCs/>
                <w:color w:val="000000"/>
                <w:sz w:val="20"/>
                <w:szCs w:val="20"/>
                <w:lang w:val="nl-NL" w:eastAsia="nl-NL"/>
              </w:rPr>
              <w:t>LEV</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val="nl-NL" w:eastAsia="nl-NL"/>
              </w:rPr>
            </w:pPr>
            <w:r w:rsidRPr="004C654E">
              <w:rPr>
                <w:i/>
                <w:iCs/>
                <w:color w:val="000000"/>
                <w:sz w:val="20"/>
                <w:szCs w:val="20"/>
                <w:lang w:val="nl-NL" w:eastAsia="nl-NL"/>
              </w:rPr>
              <w:t>GROWTH</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val="nl-NL" w:eastAsia="nl-NL"/>
              </w:rPr>
            </w:pPr>
            <w:r w:rsidRPr="004C654E">
              <w:rPr>
                <w:i/>
                <w:iCs/>
                <w:color w:val="000000"/>
                <w:sz w:val="20"/>
                <w:szCs w:val="20"/>
                <w:lang w:val="nl-NL" w:eastAsia="nl-NL"/>
              </w:rPr>
              <w:t>SIZE</w:t>
            </w:r>
          </w:p>
        </w:tc>
        <w:tc>
          <w:tcPr>
            <w:tcW w:w="0" w:type="auto"/>
            <w:tcBorders>
              <w:top w:val="single" w:sz="4" w:space="0" w:color="auto"/>
              <w:left w:val="nil"/>
              <w:bottom w:val="single" w:sz="4" w:space="0" w:color="auto"/>
              <w:right w:val="single" w:sz="4" w:space="0" w:color="auto"/>
            </w:tcBorders>
            <w:noWrap/>
            <w:vAlign w:val="center"/>
          </w:tcPr>
          <w:p w:rsidR="00DC7B1E" w:rsidRPr="004C654E" w:rsidRDefault="00DC7B1E" w:rsidP="00D82E0F">
            <w:pPr>
              <w:spacing w:after="0" w:line="240" w:lineRule="auto"/>
              <w:jc w:val="center"/>
              <w:rPr>
                <w:i/>
                <w:iCs/>
                <w:color w:val="000000"/>
                <w:sz w:val="20"/>
                <w:szCs w:val="20"/>
                <w:lang w:val="nl-NL" w:eastAsia="nl-NL"/>
              </w:rPr>
            </w:pPr>
            <w:r w:rsidRPr="004C654E">
              <w:rPr>
                <w:i/>
                <w:iCs/>
                <w:color w:val="000000"/>
                <w:sz w:val="20"/>
                <w:szCs w:val="20"/>
                <w:lang w:val="nl-NL" w:eastAsia="nl-NL"/>
              </w:rPr>
              <w:t>MTBV</w:t>
            </w: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DA</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PSO%</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0.153’</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(0.023)</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TSO%</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0.146’</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(0.028)</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0.109</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(0.078)</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MONEY PSO</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0.088</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(0.127)</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0.418”</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0.240”</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MONEY TSO</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-0.114</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(0.069)</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-0.035</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(0.323)</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0.246”</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0.024</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(0.376)</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LEV</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0.004</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(0.477)</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0.143</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(0.031)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0.056</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(0.233)</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0.111</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(0.074)</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-0.105</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(0.087)</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GROWTH</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0.015</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(0.424)</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0.218</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(0.002)</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0.202”</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(0.004)</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0.382”</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0.050</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(0.260)</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-0.048</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(0.266)</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SIZE</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0.053</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(0.245)</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0.155</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(0.022)</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0.256”</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0.392”</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0.001</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(0.494)</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0.096</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(0.106)</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0.595”</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(0.000)</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p>
        </w:tc>
      </w:tr>
      <w:tr w:rsidR="00DC7B1E" w:rsidRPr="004C654E" w:rsidTr="005470B0">
        <w:trPr>
          <w:trHeight w:val="300"/>
        </w:trPr>
        <w:tc>
          <w:tcPr>
            <w:tcW w:w="0" w:type="auto"/>
            <w:tcBorders>
              <w:top w:val="nil"/>
              <w:left w:val="single" w:sz="4" w:space="0" w:color="auto"/>
              <w:bottom w:val="single" w:sz="4" w:space="0" w:color="auto"/>
              <w:right w:val="single" w:sz="4" w:space="0" w:color="auto"/>
            </w:tcBorders>
            <w:noWrap/>
            <w:vAlign w:val="center"/>
          </w:tcPr>
          <w:p w:rsidR="00DC7B1E" w:rsidRPr="004C654E" w:rsidRDefault="00DC7B1E" w:rsidP="006F1D85">
            <w:pPr>
              <w:spacing w:after="0" w:line="240" w:lineRule="auto"/>
              <w:rPr>
                <w:color w:val="000000"/>
                <w:sz w:val="20"/>
                <w:szCs w:val="20"/>
                <w:lang w:val="nl-NL" w:eastAsia="nl-NL"/>
              </w:rPr>
            </w:pPr>
            <w:r w:rsidRPr="004C654E">
              <w:rPr>
                <w:color w:val="000000"/>
                <w:sz w:val="20"/>
                <w:szCs w:val="20"/>
                <w:lang w:val="nl-NL" w:eastAsia="nl-NL"/>
              </w:rPr>
              <w:t>MTBV</w:t>
            </w:r>
          </w:p>
          <w:p w:rsidR="00DC7B1E" w:rsidRPr="004C654E" w:rsidRDefault="00DC7B1E" w:rsidP="006F1D85">
            <w:pPr>
              <w:spacing w:after="0" w:line="240" w:lineRule="auto"/>
              <w:rPr>
                <w:color w:val="000000"/>
                <w:sz w:val="20"/>
                <w:szCs w:val="20"/>
                <w:lang w:val="nl-NL" w:eastAsia="nl-NL"/>
              </w:rPr>
            </w:pP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-0.006</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(0.467)</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0.050</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(0.260)</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-0.045</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(0.281)</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-0.027</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(0.364)</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0.013</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(0.433)</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0.136’</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(0.038)</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0.005</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(0.477)</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-0.012</w:t>
            </w:r>
          </w:p>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(0.439)</w:t>
            </w:r>
          </w:p>
        </w:tc>
        <w:tc>
          <w:tcPr>
            <w:tcW w:w="0" w:type="auto"/>
            <w:tcBorders>
              <w:top w:val="nil"/>
              <w:left w:val="nil"/>
              <w:bottom w:val="single" w:sz="4" w:space="0" w:color="auto"/>
              <w:right w:val="single" w:sz="4" w:space="0" w:color="auto"/>
            </w:tcBorders>
            <w:noWrap/>
            <w:vAlign w:val="center"/>
          </w:tcPr>
          <w:p w:rsidR="00DC7B1E" w:rsidRPr="004C654E" w:rsidRDefault="00DC7B1E" w:rsidP="006F1D85">
            <w:pPr>
              <w:spacing w:after="0" w:line="240" w:lineRule="auto"/>
              <w:jc w:val="center"/>
              <w:rPr>
                <w:color w:val="000000"/>
                <w:sz w:val="20"/>
                <w:szCs w:val="20"/>
                <w:lang w:val="nl-NL" w:eastAsia="nl-NL"/>
              </w:rPr>
            </w:pPr>
            <w:r w:rsidRPr="004C654E">
              <w:rPr>
                <w:color w:val="000000"/>
                <w:sz w:val="20"/>
                <w:szCs w:val="20"/>
                <w:lang w:val="nl-NL" w:eastAsia="nl-NL"/>
              </w:rPr>
              <w:t>1</w:t>
            </w:r>
          </w:p>
        </w:tc>
      </w:tr>
    </w:tbl>
    <w:p w:rsidR="00DC7B1E" w:rsidRDefault="00DC7B1E" w:rsidP="005470B0">
      <w:pPr>
        <w:spacing w:after="0" w:line="240" w:lineRule="auto"/>
        <w:rPr>
          <w:color w:val="000000"/>
          <w:sz w:val="20"/>
          <w:szCs w:val="20"/>
          <w:lang w:eastAsia="nl-NL"/>
        </w:rPr>
      </w:pPr>
    </w:p>
    <w:p w:rsidR="00DC7B1E" w:rsidRPr="004C654E" w:rsidRDefault="00DC7B1E" w:rsidP="0073198F">
      <w:pPr>
        <w:spacing w:after="0" w:line="240" w:lineRule="auto"/>
        <w:contextualSpacing/>
        <w:rPr>
          <w:color w:val="000000"/>
          <w:sz w:val="20"/>
          <w:szCs w:val="20"/>
          <w:lang w:eastAsia="nl-NL"/>
        </w:rPr>
      </w:pPr>
      <w:r w:rsidRPr="004C654E">
        <w:rPr>
          <w:color w:val="000000"/>
          <w:sz w:val="20"/>
          <w:szCs w:val="20"/>
          <w:lang w:eastAsia="nl-NL"/>
        </w:rPr>
        <w:t>‘ Correlation is significant at the 0.05 level  (1-tailed)</w:t>
      </w:r>
    </w:p>
    <w:p w:rsidR="00DC7B1E" w:rsidRPr="004C654E" w:rsidRDefault="00DC7B1E" w:rsidP="0073198F">
      <w:pPr>
        <w:spacing w:line="240" w:lineRule="auto"/>
        <w:contextualSpacing/>
        <w:rPr>
          <w:sz w:val="20"/>
          <w:szCs w:val="20"/>
        </w:rPr>
      </w:pPr>
      <w:r w:rsidRPr="004C654E">
        <w:rPr>
          <w:color w:val="000000"/>
          <w:sz w:val="20"/>
          <w:szCs w:val="20"/>
          <w:lang w:eastAsia="nl-NL"/>
        </w:rPr>
        <w:t>“ Correlation is significant at the 0.01 level (1-tailed)</w:t>
      </w:r>
    </w:p>
    <w:p w:rsidR="00DC7B1E" w:rsidRDefault="00DC7B1E" w:rsidP="006605C1"/>
    <w:p w:rsidR="00DC7B1E" w:rsidRDefault="00DC7B1E" w:rsidP="00421BFC">
      <w:pPr>
        <w:pStyle w:val="Heading1"/>
        <w:spacing w:before="60" w:line="360" w:lineRule="auto"/>
        <w:contextualSpacing/>
        <w:rPr>
          <w:color w:val="245590"/>
        </w:rPr>
      </w:pPr>
      <w:bookmarkStart w:id="79" w:name="_Toc234568019"/>
    </w:p>
    <w:p w:rsidR="00DC7B1E" w:rsidRPr="00421BFC" w:rsidRDefault="00DC7B1E" w:rsidP="00421BFC">
      <w:pPr>
        <w:pStyle w:val="Heading1"/>
        <w:spacing w:before="60" w:line="360" w:lineRule="auto"/>
        <w:contextualSpacing/>
        <w:rPr>
          <w:color w:val="245590"/>
        </w:rPr>
      </w:pPr>
      <w:r w:rsidRPr="00421BFC">
        <w:rPr>
          <w:color w:val="245590"/>
        </w:rPr>
        <w:t>Appendix 10 Regression vesting of executive stock options with regression outliers</w:t>
      </w:r>
      <w:bookmarkEnd w:id="79"/>
    </w:p>
    <w:p w:rsidR="00DC7B1E" w:rsidRDefault="00DC7B1E" w:rsidP="006605C1"/>
    <w:tbl>
      <w:tblPr>
        <w:tblW w:w="4553" w:type="dxa"/>
        <w:tblInd w:w="53" w:type="dxa"/>
        <w:tblCellMar>
          <w:left w:w="70" w:type="dxa"/>
          <w:right w:w="70" w:type="dxa"/>
        </w:tblCellMar>
        <w:tblLook w:val="00A0"/>
      </w:tblPr>
      <w:tblGrid>
        <w:gridCol w:w="1577"/>
        <w:gridCol w:w="1559"/>
        <w:gridCol w:w="1417"/>
      </w:tblGrid>
      <w:tr w:rsidR="00DC7B1E" w:rsidRPr="00E75302" w:rsidTr="00C11AE8">
        <w:trPr>
          <w:trHeight w:val="300"/>
        </w:trPr>
        <w:tc>
          <w:tcPr>
            <w:tcW w:w="1577" w:type="dxa"/>
            <w:tcBorders>
              <w:bottom w:val="single" w:sz="4" w:space="0" w:color="auto"/>
              <w:right w:val="single" w:sz="4" w:space="0" w:color="auto"/>
            </w:tcBorders>
            <w:noWrap/>
            <w:vAlign w:val="bottom"/>
          </w:tcPr>
          <w:p w:rsidR="00DC7B1E" w:rsidRPr="00C11AE8" w:rsidRDefault="00DC7B1E" w:rsidP="00F65727">
            <w:pPr>
              <w:spacing w:after="0" w:line="240" w:lineRule="auto"/>
              <w:rPr>
                <w:color w:val="000000"/>
                <w:sz w:val="20"/>
                <w:szCs w:val="20"/>
                <w:lang w:eastAsia="nl-NL"/>
              </w:rPr>
            </w:pPr>
            <w:r w:rsidRPr="00C11AE8">
              <w:rPr>
                <w:color w:val="000000"/>
                <w:sz w:val="20"/>
                <w:szCs w:val="20"/>
                <w:lang w:eastAsia="nl-NL"/>
              </w:rPr>
              <w:t> </w:t>
            </w:r>
          </w:p>
        </w:tc>
        <w:tc>
          <w:tcPr>
            <w:tcW w:w="2976" w:type="dxa"/>
            <w:gridSpan w:val="2"/>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val="nl-NL" w:eastAsia="nl-NL"/>
              </w:rPr>
            </w:pPr>
            <w:r w:rsidRPr="00C11AE8">
              <w:rPr>
                <w:color w:val="000000"/>
                <w:sz w:val="20"/>
                <w:szCs w:val="20"/>
                <w:lang w:val="nl-NL" w:eastAsia="nl-NL"/>
              </w:rPr>
              <w:t>R square = 0.096</w:t>
            </w:r>
          </w:p>
        </w:tc>
      </w:tr>
      <w:tr w:rsidR="00DC7B1E" w:rsidRPr="00E75302" w:rsidTr="00C11AE8">
        <w:trPr>
          <w:trHeight w:val="300"/>
        </w:trPr>
        <w:tc>
          <w:tcPr>
            <w:tcW w:w="1577"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b/>
                <w:color w:val="000000"/>
                <w:sz w:val="20"/>
                <w:szCs w:val="20"/>
                <w:lang w:val="nl-NL" w:eastAsia="nl-NL"/>
              </w:rPr>
            </w:pPr>
            <w:r w:rsidRPr="00C11AE8">
              <w:rPr>
                <w:color w:val="000000"/>
                <w:sz w:val="20"/>
                <w:szCs w:val="20"/>
                <w:lang w:val="nl-NL" w:eastAsia="nl-NL"/>
              </w:rPr>
              <w:t> </w:t>
            </w:r>
            <w:r>
              <w:rPr>
                <w:b/>
                <w:color w:val="000000"/>
                <w:sz w:val="20"/>
                <w:szCs w:val="20"/>
                <w:lang w:val="nl-NL" w:eastAsia="nl-NL"/>
              </w:rPr>
              <w:t>DA</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val="nl-NL" w:eastAsia="nl-NL"/>
              </w:rPr>
            </w:pPr>
            <w:r w:rsidRPr="00C11AE8">
              <w:rPr>
                <w:color w:val="000000"/>
                <w:sz w:val="20"/>
                <w:szCs w:val="20"/>
                <w:lang w:val="nl-NL" w:eastAsia="nl-NL"/>
              </w:rPr>
              <w:t>Coefficient</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val="nl-NL" w:eastAsia="nl-NL"/>
              </w:rPr>
            </w:pPr>
            <w:r w:rsidRPr="00C11AE8">
              <w:rPr>
                <w:color w:val="000000"/>
                <w:sz w:val="20"/>
                <w:szCs w:val="20"/>
                <w:lang w:val="nl-NL" w:eastAsia="nl-NL"/>
              </w:rPr>
              <w:t>p-value</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val="nl-NL" w:eastAsia="nl-NL"/>
              </w:rPr>
            </w:pPr>
            <w:r w:rsidRPr="00C11AE8">
              <w:rPr>
                <w:color w:val="000000"/>
                <w:sz w:val="20"/>
                <w:szCs w:val="20"/>
                <w:lang w:val="nl-NL" w:eastAsia="nl-NL"/>
              </w:rPr>
              <w:t>Intercept</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val="nl-NL" w:eastAsia="nl-NL"/>
              </w:rPr>
            </w:pPr>
            <w:r w:rsidRPr="00C11AE8">
              <w:rPr>
                <w:color w:val="000000"/>
                <w:sz w:val="20"/>
                <w:szCs w:val="20"/>
                <w:lang w:val="nl-NL" w:eastAsia="nl-NL"/>
              </w:rPr>
              <w:t> -0.081</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0.005 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PSO%</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 0.127</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0.114 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TSO%</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0.179 </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0.019 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MONEY_PSO</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-7.985E-9 </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0.712 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MONEY_TSO</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-7.408E-7 </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0.074 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LEV</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-0.055 </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0.503 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GROWTH</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3.075E-11 </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0.556 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SIZE</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2.886E-12 </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0.651 </w:t>
            </w:r>
          </w:p>
        </w:tc>
      </w:tr>
      <w:tr w:rsidR="00DC7B1E" w:rsidRPr="00E75302" w:rsidTr="00C11AE8">
        <w:trPr>
          <w:trHeight w:val="300"/>
        </w:trPr>
        <w:tc>
          <w:tcPr>
            <w:tcW w:w="1577" w:type="dxa"/>
            <w:tcBorders>
              <w:top w:val="nil"/>
              <w:left w:val="single" w:sz="4" w:space="0" w:color="auto"/>
              <w:bottom w:val="single" w:sz="4" w:space="0" w:color="auto"/>
              <w:right w:val="single" w:sz="4" w:space="0" w:color="auto"/>
            </w:tcBorders>
            <w:noWrap/>
            <w:vAlign w:val="center"/>
          </w:tcPr>
          <w:p w:rsidR="00DC7B1E" w:rsidRPr="00C11AE8" w:rsidRDefault="00DC7B1E" w:rsidP="00C11AE8">
            <w:pPr>
              <w:spacing w:after="0" w:line="240" w:lineRule="auto"/>
              <w:rPr>
                <w:color w:val="000000"/>
                <w:sz w:val="20"/>
                <w:szCs w:val="20"/>
                <w:lang w:eastAsia="nl-NL"/>
              </w:rPr>
            </w:pPr>
            <w:r w:rsidRPr="00C11AE8">
              <w:rPr>
                <w:color w:val="000000"/>
                <w:sz w:val="20"/>
                <w:szCs w:val="20"/>
                <w:lang w:eastAsia="nl-NL"/>
              </w:rPr>
              <w:t>MTBV</w:t>
            </w:r>
          </w:p>
        </w:tc>
        <w:tc>
          <w:tcPr>
            <w:tcW w:w="1559"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0.000 </w:t>
            </w:r>
          </w:p>
        </w:tc>
        <w:tc>
          <w:tcPr>
            <w:tcW w:w="1417" w:type="dxa"/>
            <w:tcBorders>
              <w:top w:val="nil"/>
              <w:left w:val="nil"/>
              <w:bottom w:val="single" w:sz="4" w:space="0" w:color="auto"/>
              <w:right w:val="single" w:sz="4" w:space="0" w:color="auto"/>
            </w:tcBorders>
            <w:noWrap/>
            <w:vAlign w:val="center"/>
          </w:tcPr>
          <w:p w:rsidR="00DC7B1E" w:rsidRPr="00C11AE8" w:rsidRDefault="00DC7B1E" w:rsidP="00C11AE8">
            <w:pPr>
              <w:spacing w:after="0" w:line="240" w:lineRule="auto"/>
              <w:jc w:val="right"/>
              <w:rPr>
                <w:color w:val="000000"/>
                <w:sz w:val="20"/>
                <w:szCs w:val="20"/>
                <w:lang w:eastAsia="nl-NL"/>
              </w:rPr>
            </w:pPr>
            <w:r w:rsidRPr="00C11AE8">
              <w:rPr>
                <w:color w:val="000000"/>
                <w:sz w:val="20"/>
                <w:szCs w:val="20"/>
                <w:lang w:eastAsia="nl-NL"/>
              </w:rPr>
              <w:t>0.852 </w:t>
            </w:r>
          </w:p>
        </w:tc>
      </w:tr>
    </w:tbl>
    <w:p w:rsidR="00DC7B1E" w:rsidRPr="00421BFC" w:rsidRDefault="00DC7B1E" w:rsidP="00421BFC">
      <w:pPr>
        <w:pStyle w:val="Heading1"/>
        <w:spacing w:before="60" w:line="360" w:lineRule="auto"/>
        <w:contextualSpacing/>
        <w:rPr>
          <w:color w:val="245590"/>
        </w:rPr>
      </w:pPr>
      <w:bookmarkStart w:id="80" w:name="_Toc234568020"/>
      <w:r w:rsidRPr="00421BFC">
        <w:rPr>
          <w:color w:val="245590"/>
        </w:rPr>
        <w:t>Appendix 11 Separated regression of the vesting of executive stock options</w:t>
      </w:r>
      <w:bookmarkEnd w:id="80"/>
    </w:p>
    <w:p w:rsidR="00DC7B1E" w:rsidRDefault="00DC7B1E" w:rsidP="006605C1"/>
    <w:tbl>
      <w:tblPr>
        <w:tblW w:w="5554" w:type="dxa"/>
        <w:tblInd w:w="50" w:type="dxa"/>
        <w:tblCellMar>
          <w:left w:w="70" w:type="dxa"/>
          <w:right w:w="70" w:type="dxa"/>
        </w:tblCellMar>
        <w:tblLook w:val="00A0"/>
      </w:tblPr>
      <w:tblGrid>
        <w:gridCol w:w="1301"/>
        <w:gridCol w:w="1134"/>
        <w:gridCol w:w="1134"/>
        <w:gridCol w:w="1134"/>
        <w:gridCol w:w="851"/>
      </w:tblGrid>
      <w:tr w:rsidR="00DC7B1E" w:rsidRPr="00BE7CA3" w:rsidTr="00FD2D9A">
        <w:trPr>
          <w:trHeight w:val="300"/>
        </w:trPr>
        <w:tc>
          <w:tcPr>
            <w:tcW w:w="1301" w:type="dxa"/>
            <w:tcBorders>
              <w:bottom w:val="single" w:sz="4" w:space="0" w:color="auto"/>
              <w:right w:val="single" w:sz="4" w:space="0" w:color="auto"/>
            </w:tcBorders>
            <w:noWrap/>
            <w:vAlign w:val="bottom"/>
          </w:tcPr>
          <w:p w:rsidR="00DC7B1E" w:rsidRPr="00C11AE8" w:rsidRDefault="00DC7B1E" w:rsidP="00060C92">
            <w:pPr>
              <w:spacing w:after="0" w:line="240" w:lineRule="auto"/>
              <w:rPr>
                <w:color w:val="000000"/>
                <w:sz w:val="20"/>
                <w:szCs w:val="20"/>
                <w:lang w:eastAsia="nl-NL"/>
              </w:rPr>
            </w:pPr>
            <w:r w:rsidRPr="00C11AE8">
              <w:rPr>
                <w:color w:val="000000"/>
                <w:sz w:val="20"/>
                <w:szCs w:val="20"/>
                <w:lang w:eastAsia="nl-NL"/>
              </w:rPr>
              <w:t> </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R square = 0.096</w:t>
            </w:r>
          </w:p>
        </w:tc>
        <w:tc>
          <w:tcPr>
            <w:tcW w:w="1985" w:type="dxa"/>
            <w:gridSpan w:val="2"/>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R square  = 0.066</w:t>
            </w:r>
          </w:p>
        </w:tc>
      </w:tr>
      <w:tr w:rsidR="00DC7B1E" w:rsidRPr="00BE7CA3" w:rsidTr="00FD2D9A">
        <w:trPr>
          <w:trHeight w:val="300"/>
        </w:trPr>
        <w:tc>
          <w:tcPr>
            <w:tcW w:w="1301" w:type="dxa"/>
            <w:tcBorders>
              <w:top w:val="single" w:sz="4" w:space="0" w:color="auto"/>
              <w:left w:val="single" w:sz="4" w:space="0" w:color="auto"/>
              <w:bottom w:val="single" w:sz="4" w:space="0" w:color="auto"/>
              <w:right w:val="single" w:sz="4" w:space="0" w:color="auto"/>
            </w:tcBorders>
            <w:noWrap/>
            <w:vAlign w:val="bottom"/>
          </w:tcPr>
          <w:p w:rsidR="00DC7B1E" w:rsidRPr="00FD2D9A" w:rsidRDefault="00DC7B1E" w:rsidP="00060C92">
            <w:pPr>
              <w:spacing w:after="0" w:line="240" w:lineRule="auto"/>
              <w:rPr>
                <w:b/>
                <w:color w:val="000000"/>
                <w:sz w:val="20"/>
                <w:szCs w:val="20"/>
                <w:lang w:val="nl-NL" w:eastAsia="nl-NL"/>
              </w:rPr>
            </w:pPr>
            <w:r w:rsidRPr="00FD2D9A">
              <w:rPr>
                <w:b/>
                <w:color w:val="000000"/>
                <w:sz w:val="20"/>
                <w:szCs w:val="20"/>
                <w:lang w:val="nl-NL" w:eastAsia="nl-NL"/>
              </w:rPr>
              <w:t>DA</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Coefficient</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p-value</w:t>
            </w:r>
          </w:p>
        </w:tc>
        <w:tc>
          <w:tcPr>
            <w:tcW w:w="1134" w:type="dxa"/>
            <w:tcBorders>
              <w:top w:val="nil"/>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Coefficient</w:t>
            </w:r>
          </w:p>
        </w:tc>
        <w:tc>
          <w:tcPr>
            <w:tcW w:w="851" w:type="dxa"/>
            <w:tcBorders>
              <w:top w:val="nil"/>
              <w:left w:val="nil"/>
              <w:bottom w:val="single" w:sz="4" w:space="0" w:color="auto"/>
              <w:right w:val="single" w:sz="4" w:space="0" w:color="auto"/>
            </w:tcBorders>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p-value</w:t>
            </w:r>
          </w:p>
        </w:tc>
      </w:tr>
      <w:tr w:rsidR="00DC7B1E" w:rsidRPr="00BE7CA3" w:rsidTr="00FD2D9A">
        <w:trPr>
          <w:trHeight w:val="300"/>
        </w:trPr>
        <w:tc>
          <w:tcPr>
            <w:tcW w:w="1301"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Intercept</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-0.071</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0.001</w:t>
            </w:r>
          </w:p>
        </w:tc>
        <w:tc>
          <w:tcPr>
            <w:tcW w:w="1134" w:type="dxa"/>
            <w:tcBorders>
              <w:top w:val="nil"/>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-0.065</w:t>
            </w:r>
          </w:p>
        </w:tc>
        <w:tc>
          <w:tcPr>
            <w:tcW w:w="851" w:type="dxa"/>
            <w:tcBorders>
              <w:top w:val="nil"/>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0.002</w:t>
            </w:r>
          </w:p>
        </w:tc>
      </w:tr>
      <w:tr w:rsidR="00DC7B1E" w:rsidRPr="00BE7CA3" w:rsidTr="00060C92">
        <w:trPr>
          <w:trHeight w:val="300"/>
        </w:trPr>
        <w:tc>
          <w:tcPr>
            <w:tcW w:w="1301"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PSO%</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0.142</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0.012</w:t>
            </w:r>
          </w:p>
        </w:tc>
        <w:tc>
          <w:tcPr>
            <w:tcW w:w="1134" w:type="dxa"/>
            <w:tcBorders>
              <w:top w:val="nil"/>
              <w:left w:val="single" w:sz="4" w:space="0" w:color="auto"/>
              <w:bottom w:val="single" w:sz="4" w:space="0" w:color="auto"/>
              <w:right w:val="single" w:sz="4" w:space="0" w:color="auto"/>
            </w:tcBorders>
          </w:tcPr>
          <w:p w:rsidR="00DC7B1E" w:rsidRPr="00C11AE8" w:rsidRDefault="00DC7B1E" w:rsidP="00060C92">
            <w:pPr>
              <w:spacing w:after="0" w:line="240" w:lineRule="auto"/>
              <w:jc w:val="right"/>
              <w:rPr>
                <w:color w:val="000000"/>
                <w:sz w:val="20"/>
                <w:szCs w:val="20"/>
                <w:lang w:val="nl-NL" w:eastAsia="nl-NL"/>
              </w:rPr>
            </w:pPr>
          </w:p>
        </w:tc>
        <w:tc>
          <w:tcPr>
            <w:tcW w:w="851" w:type="dxa"/>
            <w:tcBorders>
              <w:top w:val="nil"/>
              <w:left w:val="nil"/>
              <w:bottom w:val="single" w:sz="4" w:space="0" w:color="auto"/>
              <w:right w:val="single" w:sz="4" w:space="0" w:color="auto"/>
            </w:tcBorders>
          </w:tcPr>
          <w:p w:rsidR="00DC7B1E" w:rsidRPr="00C11AE8" w:rsidRDefault="00DC7B1E" w:rsidP="00060C92">
            <w:pPr>
              <w:spacing w:after="0" w:line="240" w:lineRule="auto"/>
              <w:jc w:val="right"/>
              <w:rPr>
                <w:color w:val="000000"/>
                <w:sz w:val="20"/>
                <w:szCs w:val="20"/>
                <w:lang w:val="nl-NL" w:eastAsia="nl-NL"/>
              </w:rPr>
            </w:pPr>
          </w:p>
        </w:tc>
      </w:tr>
      <w:tr w:rsidR="00DC7B1E" w:rsidRPr="00BE7CA3" w:rsidTr="00060C92">
        <w:trPr>
          <w:trHeight w:val="300"/>
        </w:trPr>
        <w:tc>
          <w:tcPr>
            <w:tcW w:w="1301"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TSO%</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0.045</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0.439</w:t>
            </w:r>
          </w:p>
        </w:tc>
        <w:tc>
          <w:tcPr>
            <w:tcW w:w="1134" w:type="dxa"/>
            <w:tcBorders>
              <w:top w:val="nil"/>
              <w:left w:val="single" w:sz="4" w:space="0" w:color="auto"/>
              <w:bottom w:val="single" w:sz="4" w:space="0" w:color="auto"/>
              <w:right w:val="single" w:sz="4" w:space="0" w:color="auto"/>
            </w:tcBorders>
          </w:tcPr>
          <w:p w:rsidR="00DC7B1E" w:rsidRPr="00C11AE8" w:rsidRDefault="00DC7B1E" w:rsidP="00060C92">
            <w:pPr>
              <w:spacing w:after="0" w:line="240" w:lineRule="auto"/>
              <w:jc w:val="right"/>
              <w:rPr>
                <w:color w:val="000000"/>
                <w:sz w:val="20"/>
                <w:szCs w:val="20"/>
                <w:lang w:val="nl-NL" w:eastAsia="nl-NL"/>
              </w:rPr>
            </w:pPr>
          </w:p>
        </w:tc>
        <w:tc>
          <w:tcPr>
            <w:tcW w:w="851" w:type="dxa"/>
            <w:tcBorders>
              <w:top w:val="nil"/>
              <w:left w:val="nil"/>
              <w:bottom w:val="single" w:sz="4" w:space="0" w:color="auto"/>
              <w:right w:val="single" w:sz="4" w:space="0" w:color="auto"/>
            </w:tcBorders>
          </w:tcPr>
          <w:p w:rsidR="00DC7B1E" w:rsidRPr="00C11AE8" w:rsidRDefault="00DC7B1E" w:rsidP="00060C92">
            <w:pPr>
              <w:spacing w:after="0" w:line="240" w:lineRule="auto"/>
              <w:jc w:val="right"/>
              <w:rPr>
                <w:color w:val="000000"/>
                <w:sz w:val="20"/>
                <w:szCs w:val="20"/>
                <w:lang w:val="nl-NL" w:eastAsia="nl-NL"/>
              </w:rPr>
            </w:pPr>
          </w:p>
        </w:tc>
      </w:tr>
      <w:tr w:rsidR="00DC7B1E" w:rsidRPr="00BE7CA3" w:rsidTr="00060C92">
        <w:trPr>
          <w:trHeight w:val="300"/>
        </w:trPr>
        <w:tc>
          <w:tcPr>
            <w:tcW w:w="1301" w:type="dxa"/>
            <w:tcBorders>
              <w:top w:val="nil"/>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MONEY_PSO</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p>
        </w:tc>
        <w:tc>
          <w:tcPr>
            <w:tcW w:w="1134" w:type="dxa"/>
            <w:tcBorders>
              <w:top w:val="nil"/>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- 1.146</w:t>
            </w:r>
            <w:r w:rsidRPr="00C11AE8">
              <w:rPr>
                <w:color w:val="000000"/>
                <w:sz w:val="20"/>
                <w:szCs w:val="20"/>
                <w:vertAlign w:val="superscript"/>
                <w:lang w:val="nl-NL" w:eastAsia="nl-NL"/>
              </w:rPr>
              <w:t>E</w:t>
            </w:r>
            <w:r w:rsidRPr="00C11AE8">
              <w:rPr>
                <w:color w:val="000000"/>
                <w:sz w:val="20"/>
                <w:szCs w:val="20"/>
                <w:lang w:val="nl-NL" w:eastAsia="nl-NL"/>
              </w:rPr>
              <w:t>-10</w:t>
            </w:r>
          </w:p>
        </w:tc>
        <w:tc>
          <w:tcPr>
            <w:tcW w:w="851" w:type="dxa"/>
            <w:tcBorders>
              <w:top w:val="nil"/>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0.994</w:t>
            </w:r>
          </w:p>
        </w:tc>
      </w:tr>
      <w:tr w:rsidR="00DC7B1E" w:rsidRPr="00BE7CA3" w:rsidTr="00060C92">
        <w:trPr>
          <w:trHeight w:val="300"/>
        </w:trPr>
        <w:tc>
          <w:tcPr>
            <w:tcW w:w="1301" w:type="dxa"/>
            <w:tcBorders>
              <w:top w:val="nil"/>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MONEY_TSO</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p>
        </w:tc>
        <w:tc>
          <w:tcPr>
            <w:tcW w:w="1134" w:type="dxa"/>
            <w:tcBorders>
              <w:top w:val="nil"/>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-2.837</w:t>
            </w:r>
            <w:r w:rsidRPr="00C11AE8">
              <w:rPr>
                <w:color w:val="000000"/>
                <w:sz w:val="20"/>
                <w:szCs w:val="20"/>
                <w:vertAlign w:val="superscript"/>
                <w:lang w:val="nl-NL" w:eastAsia="nl-NL"/>
              </w:rPr>
              <w:t>E</w:t>
            </w:r>
            <w:r w:rsidRPr="00C11AE8">
              <w:rPr>
                <w:color w:val="000000"/>
                <w:sz w:val="20"/>
                <w:szCs w:val="20"/>
                <w:lang w:val="nl-NL" w:eastAsia="nl-NL"/>
              </w:rPr>
              <w:t>-7</w:t>
            </w:r>
          </w:p>
        </w:tc>
        <w:tc>
          <w:tcPr>
            <w:tcW w:w="851" w:type="dxa"/>
            <w:tcBorders>
              <w:top w:val="nil"/>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0.205</w:t>
            </w:r>
          </w:p>
        </w:tc>
      </w:tr>
      <w:tr w:rsidR="00DC7B1E" w:rsidRPr="00BE7CA3" w:rsidTr="00060C92">
        <w:trPr>
          <w:trHeight w:val="300"/>
        </w:trPr>
        <w:tc>
          <w:tcPr>
            <w:tcW w:w="1301" w:type="dxa"/>
            <w:tcBorders>
              <w:top w:val="nil"/>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LEV</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-0.061</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0.334</w:t>
            </w:r>
          </w:p>
        </w:tc>
        <w:tc>
          <w:tcPr>
            <w:tcW w:w="1134" w:type="dxa"/>
            <w:tcBorders>
              <w:top w:val="nil"/>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-0.048</w:t>
            </w:r>
          </w:p>
        </w:tc>
        <w:tc>
          <w:tcPr>
            <w:tcW w:w="851" w:type="dxa"/>
            <w:tcBorders>
              <w:top w:val="nil"/>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0.421</w:t>
            </w:r>
          </w:p>
        </w:tc>
      </w:tr>
      <w:tr w:rsidR="00DC7B1E" w:rsidRPr="00BE7CA3" w:rsidTr="00060C92">
        <w:trPr>
          <w:trHeight w:val="300"/>
        </w:trPr>
        <w:tc>
          <w:tcPr>
            <w:tcW w:w="1301" w:type="dxa"/>
            <w:tcBorders>
              <w:top w:val="nil"/>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GROWTH</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-2.611</w:t>
            </w:r>
            <w:r w:rsidRPr="00C11AE8">
              <w:rPr>
                <w:color w:val="000000"/>
                <w:sz w:val="20"/>
                <w:szCs w:val="20"/>
                <w:vertAlign w:val="superscript"/>
                <w:lang w:val="nl-NL" w:eastAsia="nl-NL"/>
              </w:rPr>
              <w:t>E</w:t>
            </w:r>
            <w:r w:rsidRPr="00C11AE8">
              <w:rPr>
                <w:color w:val="000000"/>
                <w:sz w:val="20"/>
                <w:szCs w:val="20"/>
                <w:lang w:val="nl-NL" w:eastAsia="nl-NL"/>
              </w:rPr>
              <w:t>-11</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0.496</w:t>
            </w:r>
          </w:p>
        </w:tc>
        <w:tc>
          <w:tcPr>
            <w:tcW w:w="1134" w:type="dxa"/>
            <w:tcBorders>
              <w:top w:val="nil"/>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-6.225</w:t>
            </w:r>
            <w:r w:rsidRPr="00C11AE8">
              <w:rPr>
                <w:color w:val="000000"/>
                <w:sz w:val="20"/>
                <w:szCs w:val="20"/>
                <w:vertAlign w:val="superscript"/>
                <w:lang w:val="nl-NL" w:eastAsia="nl-NL"/>
              </w:rPr>
              <w:t>E</w:t>
            </w:r>
            <w:r w:rsidRPr="00C11AE8">
              <w:rPr>
                <w:color w:val="000000"/>
                <w:sz w:val="20"/>
                <w:szCs w:val="20"/>
                <w:lang w:val="nl-NL" w:eastAsia="nl-NL"/>
              </w:rPr>
              <w:t>-13</w:t>
            </w:r>
          </w:p>
        </w:tc>
        <w:tc>
          <w:tcPr>
            <w:tcW w:w="851" w:type="dxa"/>
            <w:tcBorders>
              <w:top w:val="nil"/>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0.986</w:t>
            </w:r>
          </w:p>
        </w:tc>
      </w:tr>
      <w:tr w:rsidR="00DC7B1E" w:rsidRPr="00BE7CA3" w:rsidTr="00060C92">
        <w:trPr>
          <w:trHeight w:val="300"/>
        </w:trPr>
        <w:tc>
          <w:tcPr>
            <w:tcW w:w="1301" w:type="dxa"/>
            <w:tcBorders>
              <w:top w:val="nil"/>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SIZE</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1.659</w:t>
            </w:r>
            <w:r w:rsidRPr="00C11AE8">
              <w:rPr>
                <w:color w:val="000000"/>
                <w:sz w:val="20"/>
                <w:szCs w:val="20"/>
                <w:vertAlign w:val="superscript"/>
                <w:lang w:val="nl-NL" w:eastAsia="nl-NL"/>
              </w:rPr>
              <w:t>E</w:t>
            </w:r>
            <w:r w:rsidRPr="00C11AE8">
              <w:rPr>
                <w:color w:val="000000"/>
                <w:sz w:val="20"/>
                <w:szCs w:val="20"/>
                <w:lang w:val="nl-NL" w:eastAsia="nl-NL"/>
              </w:rPr>
              <w:t>-13</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0.970</w:t>
            </w:r>
          </w:p>
        </w:tc>
        <w:tc>
          <w:tcPr>
            <w:tcW w:w="1134" w:type="dxa"/>
            <w:tcBorders>
              <w:top w:val="nil"/>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2.928</w:t>
            </w:r>
            <w:r w:rsidRPr="00C11AE8">
              <w:rPr>
                <w:color w:val="000000"/>
                <w:sz w:val="20"/>
                <w:szCs w:val="20"/>
                <w:vertAlign w:val="superscript"/>
                <w:lang w:val="nl-NL" w:eastAsia="nl-NL"/>
              </w:rPr>
              <w:t>E</w:t>
            </w:r>
            <w:r w:rsidRPr="00C11AE8">
              <w:rPr>
                <w:color w:val="000000"/>
                <w:sz w:val="20"/>
                <w:szCs w:val="20"/>
                <w:lang w:val="nl-NL" w:eastAsia="nl-NL"/>
              </w:rPr>
              <w:t>-12</w:t>
            </w:r>
          </w:p>
        </w:tc>
        <w:tc>
          <w:tcPr>
            <w:tcW w:w="851" w:type="dxa"/>
            <w:tcBorders>
              <w:top w:val="nil"/>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0.504</w:t>
            </w:r>
          </w:p>
        </w:tc>
      </w:tr>
      <w:tr w:rsidR="00DC7B1E" w:rsidRPr="00BE7CA3" w:rsidTr="00060C92">
        <w:trPr>
          <w:trHeight w:val="300"/>
        </w:trPr>
        <w:tc>
          <w:tcPr>
            <w:tcW w:w="1301"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MTBV</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0.001</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0.643</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0.000</w:t>
            </w:r>
          </w:p>
        </w:tc>
        <w:tc>
          <w:tcPr>
            <w:tcW w:w="851"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0.823</w:t>
            </w:r>
          </w:p>
        </w:tc>
      </w:tr>
      <w:tr w:rsidR="00DC7B1E" w:rsidRPr="00BE7CA3" w:rsidTr="00060C92">
        <w:trPr>
          <w:trHeight w:val="300"/>
        </w:trPr>
        <w:tc>
          <w:tcPr>
            <w:tcW w:w="1301"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YEAR_2005</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0.026</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0.241</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0.021</w:t>
            </w:r>
          </w:p>
        </w:tc>
        <w:tc>
          <w:tcPr>
            <w:tcW w:w="851"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0.330</w:t>
            </w:r>
          </w:p>
        </w:tc>
      </w:tr>
      <w:tr w:rsidR="00DC7B1E" w:rsidRPr="00BE7CA3" w:rsidTr="00060C92">
        <w:trPr>
          <w:trHeight w:val="300"/>
        </w:trPr>
        <w:tc>
          <w:tcPr>
            <w:tcW w:w="1301"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YEAR_2006</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0.021</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0.363</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0.045</w:t>
            </w:r>
          </w:p>
        </w:tc>
        <w:tc>
          <w:tcPr>
            <w:tcW w:w="851"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0.047</w:t>
            </w:r>
          </w:p>
        </w:tc>
      </w:tr>
      <w:tr w:rsidR="00DC7B1E" w:rsidRPr="00BE7CA3" w:rsidTr="00060C92">
        <w:trPr>
          <w:trHeight w:val="300"/>
        </w:trPr>
        <w:tc>
          <w:tcPr>
            <w:tcW w:w="1301" w:type="dxa"/>
            <w:tcBorders>
              <w:top w:val="single" w:sz="4" w:space="0" w:color="auto"/>
              <w:left w:val="single" w:sz="4" w:space="0" w:color="auto"/>
              <w:bottom w:val="single" w:sz="4" w:space="0" w:color="auto"/>
              <w:right w:val="single" w:sz="4" w:space="0" w:color="auto"/>
            </w:tcBorders>
            <w:noWrap/>
            <w:vAlign w:val="center"/>
          </w:tcPr>
          <w:p w:rsidR="00DC7B1E" w:rsidRPr="00C11AE8" w:rsidRDefault="00DC7B1E" w:rsidP="00060C92">
            <w:pPr>
              <w:spacing w:after="0" w:line="240" w:lineRule="auto"/>
              <w:rPr>
                <w:color w:val="000000"/>
                <w:sz w:val="20"/>
                <w:szCs w:val="20"/>
                <w:lang w:val="nl-NL" w:eastAsia="nl-NL"/>
              </w:rPr>
            </w:pPr>
            <w:r w:rsidRPr="00C11AE8">
              <w:rPr>
                <w:color w:val="000000"/>
                <w:sz w:val="20"/>
                <w:szCs w:val="20"/>
                <w:lang w:val="nl-NL" w:eastAsia="nl-NL"/>
              </w:rPr>
              <w:t>YEAR_2007</w:t>
            </w:r>
          </w:p>
        </w:tc>
        <w:tc>
          <w:tcPr>
            <w:tcW w:w="1134"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0.066</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0.006</w:t>
            </w:r>
          </w:p>
        </w:tc>
        <w:tc>
          <w:tcPr>
            <w:tcW w:w="1134" w:type="dxa"/>
            <w:tcBorders>
              <w:top w:val="single" w:sz="4" w:space="0" w:color="auto"/>
              <w:left w:val="single" w:sz="4" w:space="0" w:color="auto"/>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0.063</w:t>
            </w:r>
          </w:p>
        </w:tc>
        <w:tc>
          <w:tcPr>
            <w:tcW w:w="851" w:type="dxa"/>
            <w:tcBorders>
              <w:top w:val="single" w:sz="4" w:space="0" w:color="auto"/>
              <w:left w:val="nil"/>
              <w:bottom w:val="single" w:sz="4" w:space="0" w:color="auto"/>
              <w:right w:val="single" w:sz="4" w:space="0" w:color="auto"/>
            </w:tcBorders>
            <w:vAlign w:val="center"/>
          </w:tcPr>
          <w:p w:rsidR="00DC7B1E" w:rsidRPr="00C11AE8" w:rsidRDefault="00DC7B1E" w:rsidP="00060C92">
            <w:pPr>
              <w:spacing w:after="0" w:line="240" w:lineRule="auto"/>
              <w:jc w:val="right"/>
              <w:rPr>
                <w:color w:val="000000"/>
                <w:sz w:val="20"/>
                <w:szCs w:val="20"/>
                <w:lang w:val="nl-NL" w:eastAsia="nl-NL"/>
              </w:rPr>
            </w:pPr>
            <w:r w:rsidRPr="00C11AE8">
              <w:rPr>
                <w:color w:val="000000"/>
                <w:sz w:val="20"/>
                <w:szCs w:val="20"/>
                <w:lang w:val="nl-NL" w:eastAsia="nl-NL"/>
              </w:rPr>
              <w:t>0.007</w:t>
            </w:r>
          </w:p>
        </w:tc>
      </w:tr>
    </w:tbl>
    <w:p w:rsidR="00DC7B1E" w:rsidRDefault="00DC7B1E" w:rsidP="006605C1"/>
    <w:p w:rsidR="00DC7B1E" w:rsidRDefault="00DC7B1E" w:rsidP="006605C1"/>
    <w:p w:rsidR="00DC7B1E" w:rsidRPr="00421BFC" w:rsidRDefault="00DC7B1E" w:rsidP="00421BFC">
      <w:pPr>
        <w:pStyle w:val="Heading1"/>
        <w:spacing w:before="60" w:line="360" w:lineRule="auto"/>
        <w:contextualSpacing/>
        <w:rPr>
          <w:color w:val="245590"/>
        </w:rPr>
      </w:pPr>
      <w:bookmarkStart w:id="81" w:name="_Toc234568021"/>
      <w:r w:rsidRPr="00421BFC">
        <w:rPr>
          <w:color w:val="245590"/>
        </w:rPr>
        <w:t>Appendix 12 Separated regression change of stock option exercise</w:t>
      </w:r>
      <w:bookmarkEnd w:id="81"/>
    </w:p>
    <w:p w:rsidR="00DC7B1E" w:rsidRDefault="00DC7B1E" w:rsidP="006605C1"/>
    <w:tbl>
      <w:tblPr>
        <w:tblW w:w="5971" w:type="dxa"/>
        <w:tblInd w:w="91" w:type="dxa"/>
        <w:tblLayout w:type="fixed"/>
        <w:tblLook w:val="00A0"/>
      </w:tblPr>
      <w:tblGrid>
        <w:gridCol w:w="1293"/>
        <w:gridCol w:w="1276"/>
        <w:gridCol w:w="1134"/>
        <w:gridCol w:w="1276"/>
        <w:gridCol w:w="992"/>
      </w:tblGrid>
      <w:tr w:rsidR="00DC7B1E" w:rsidRPr="00B12C1D" w:rsidTr="00224643">
        <w:trPr>
          <w:trHeight w:val="300"/>
        </w:trPr>
        <w:tc>
          <w:tcPr>
            <w:tcW w:w="1293" w:type="dxa"/>
            <w:tcBorders>
              <w:bottom w:val="single" w:sz="4" w:space="0" w:color="auto"/>
              <w:right w:val="single" w:sz="4" w:space="0" w:color="auto"/>
            </w:tcBorders>
            <w:noWrap/>
            <w:vAlign w:val="bottom"/>
          </w:tcPr>
          <w:p w:rsidR="00DC7B1E" w:rsidRPr="00ED6CD3" w:rsidRDefault="00DC7B1E" w:rsidP="00224643">
            <w:pPr>
              <w:spacing w:after="0" w:line="240" w:lineRule="auto"/>
              <w:rPr>
                <w:color w:val="000000"/>
                <w:sz w:val="20"/>
                <w:szCs w:val="20"/>
              </w:rPr>
            </w:pPr>
            <w:r w:rsidRPr="00ED6CD3">
              <w:rPr>
                <w:color w:val="000000"/>
                <w:sz w:val="20"/>
                <w:szCs w:val="20"/>
              </w:rPr>
              <w:t> </w:t>
            </w:r>
          </w:p>
        </w:tc>
        <w:tc>
          <w:tcPr>
            <w:tcW w:w="2410" w:type="dxa"/>
            <w:gridSpan w:val="2"/>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rPr>
              <w:t>R square = 0.021</w:t>
            </w:r>
          </w:p>
        </w:tc>
        <w:tc>
          <w:tcPr>
            <w:tcW w:w="2268" w:type="dxa"/>
            <w:gridSpan w:val="2"/>
            <w:tcBorders>
              <w:top w:val="single" w:sz="4" w:space="0" w:color="auto"/>
              <w:left w:val="nil"/>
              <w:bottom w:val="single" w:sz="4" w:space="0" w:color="auto"/>
              <w:right w:val="single" w:sz="4" w:space="0" w:color="auto"/>
            </w:tcBorders>
            <w:vAlign w:val="center"/>
          </w:tcPr>
          <w:p w:rsidR="00DC7B1E" w:rsidRPr="00ED6CD3" w:rsidRDefault="00DC7B1E" w:rsidP="00224643">
            <w:pPr>
              <w:spacing w:after="0" w:line="240" w:lineRule="auto"/>
              <w:rPr>
                <w:color w:val="000000"/>
                <w:sz w:val="20"/>
                <w:szCs w:val="20"/>
              </w:rPr>
            </w:pPr>
            <w:r w:rsidRPr="00ED6CD3">
              <w:rPr>
                <w:color w:val="000000"/>
                <w:sz w:val="20"/>
                <w:szCs w:val="20"/>
              </w:rPr>
              <w:t>R square = 0.019</w:t>
            </w:r>
          </w:p>
        </w:tc>
      </w:tr>
      <w:tr w:rsidR="00DC7B1E" w:rsidRPr="00B12C1D" w:rsidTr="00224643">
        <w:trPr>
          <w:trHeight w:val="300"/>
        </w:trPr>
        <w:tc>
          <w:tcPr>
            <w:tcW w:w="1293" w:type="dxa"/>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b/>
                <w:color w:val="000000"/>
                <w:sz w:val="20"/>
                <w:szCs w:val="20"/>
              </w:rPr>
            </w:pPr>
            <w:r w:rsidRPr="00ED6CD3">
              <w:rPr>
                <w:b/>
                <w:color w:val="000000"/>
                <w:sz w:val="20"/>
                <w:szCs w:val="20"/>
              </w:rPr>
              <w:t>DA</w:t>
            </w:r>
          </w:p>
        </w:tc>
        <w:tc>
          <w:tcPr>
            <w:tcW w:w="1276" w:type="dxa"/>
            <w:tcBorders>
              <w:top w:val="nil"/>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rPr>
              <w:t>Coefficient</w:t>
            </w: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rPr>
              <w:t>p-value</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rPr>
                <w:color w:val="000000"/>
                <w:sz w:val="20"/>
                <w:szCs w:val="20"/>
              </w:rPr>
            </w:pPr>
            <w:r w:rsidRPr="00ED6CD3">
              <w:rPr>
                <w:color w:val="000000"/>
                <w:sz w:val="20"/>
                <w:szCs w:val="20"/>
              </w:rPr>
              <w:t>Coefficient</w:t>
            </w: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rPr>
                <w:color w:val="000000"/>
                <w:sz w:val="20"/>
                <w:szCs w:val="20"/>
              </w:rPr>
            </w:pPr>
            <w:r w:rsidRPr="00ED6CD3">
              <w:rPr>
                <w:color w:val="000000"/>
                <w:sz w:val="20"/>
                <w:szCs w:val="20"/>
              </w:rPr>
              <w:t>p- value</w:t>
            </w:r>
          </w:p>
        </w:tc>
      </w:tr>
      <w:tr w:rsidR="00DC7B1E" w:rsidRPr="00B12C1D" w:rsidTr="00224643">
        <w:trPr>
          <w:trHeight w:val="300"/>
        </w:trPr>
        <w:tc>
          <w:tcPr>
            <w:tcW w:w="1293" w:type="dxa"/>
            <w:tcBorders>
              <w:top w:val="single" w:sz="4" w:space="0" w:color="auto"/>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rPr>
              <w:t>Intercept</w:t>
            </w:r>
          </w:p>
        </w:tc>
        <w:tc>
          <w:tcPr>
            <w:tcW w:w="1276"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 0.020</w:t>
            </w: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0.029 </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0.020</w:t>
            </w: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0.023</w:t>
            </w:r>
          </w:p>
        </w:tc>
      </w:tr>
      <w:tr w:rsidR="00DC7B1E" w:rsidRPr="00B12C1D" w:rsidTr="00224643">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OPTIONS</w:t>
            </w:r>
          </w:p>
        </w:tc>
        <w:tc>
          <w:tcPr>
            <w:tcW w:w="1276"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1.980E-8</w:t>
            </w: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0.392 </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p>
        </w:tc>
      </w:tr>
      <w:tr w:rsidR="00DC7B1E" w:rsidRPr="00B12C1D" w:rsidTr="00224643">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GAIN</w:t>
            </w:r>
          </w:p>
        </w:tc>
        <w:tc>
          <w:tcPr>
            <w:tcW w:w="1276"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 </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9.722E-9</w:t>
            </w: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0.231</w:t>
            </w:r>
          </w:p>
        </w:tc>
      </w:tr>
      <w:tr w:rsidR="00DC7B1E" w:rsidRPr="00B12C1D" w:rsidTr="00224643">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LEV</w:t>
            </w:r>
          </w:p>
        </w:tc>
        <w:tc>
          <w:tcPr>
            <w:tcW w:w="1276"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0.133</w:t>
            </w: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0.437 </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0.171</w:t>
            </w: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0.318</w:t>
            </w:r>
          </w:p>
        </w:tc>
      </w:tr>
      <w:tr w:rsidR="00DC7B1E" w:rsidRPr="00B12C1D" w:rsidTr="00224643">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GROWTH</w:t>
            </w:r>
          </w:p>
        </w:tc>
        <w:tc>
          <w:tcPr>
            <w:tcW w:w="1276"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 -8.970E-12</w:t>
            </w: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0.744 </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5.049E-12</w:t>
            </w: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0.849</w:t>
            </w:r>
          </w:p>
        </w:tc>
      </w:tr>
      <w:tr w:rsidR="00DC7B1E" w:rsidRPr="00B12C1D" w:rsidTr="00224643">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lang w:val="nl-NL" w:eastAsia="nl-NL"/>
              </w:rPr>
              <w:t xml:space="preserve">∆ </w:t>
            </w:r>
            <w:r w:rsidRPr="00ED6CD3">
              <w:rPr>
                <w:color w:val="000000"/>
                <w:sz w:val="20"/>
                <w:szCs w:val="20"/>
              </w:rPr>
              <w:t>SIZE</w:t>
            </w:r>
          </w:p>
        </w:tc>
        <w:tc>
          <w:tcPr>
            <w:tcW w:w="1276"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 2.903E-11</w:t>
            </w: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0.081 </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-2.181E-11</w:t>
            </w: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0.179</w:t>
            </w:r>
          </w:p>
        </w:tc>
      </w:tr>
      <w:tr w:rsidR="00DC7B1E" w:rsidRPr="00B12C1D" w:rsidTr="00224643">
        <w:trPr>
          <w:trHeight w:val="300"/>
        </w:trPr>
        <w:tc>
          <w:tcPr>
            <w:tcW w:w="1293" w:type="dxa"/>
            <w:tcBorders>
              <w:top w:val="nil"/>
              <w:left w:val="single" w:sz="4" w:space="0" w:color="auto"/>
              <w:bottom w:val="single" w:sz="4" w:space="0" w:color="auto"/>
              <w:right w:val="single" w:sz="4" w:space="0" w:color="auto"/>
            </w:tcBorders>
            <w:noWrap/>
            <w:vAlign w:val="center"/>
          </w:tcPr>
          <w:p w:rsidR="00DC7B1E" w:rsidRPr="00ED6CD3" w:rsidRDefault="00DC7B1E" w:rsidP="00224643">
            <w:pPr>
              <w:spacing w:after="0" w:line="240" w:lineRule="auto"/>
              <w:rPr>
                <w:color w:val="000000"/>
                <w:sz w:val="20"/>
                <w:szCs w:val="20"/>
              </w:rPr>
            </w:pPr>
            <w:r w:rsidRPr="00ED6CD3">
              <w:rPr>
                <w:color w:val="000000"/>
                <w:sz w:val="20"/>
                <w:szCs w:val="20"/>
              </w:rPr>
              <w:t>MTBV</w:t>
            </w:r>
          </w:p>
        </w:tc>
        <w:tc>
          <w:tcPr>
            <w:tcW w:w="1276"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 -8.182E-5</w:t>
            </w:r>
          </w:p>
        </w:tc>
        <w:tc>
          <w:tcPr>
            <w:tcW w:w="1134" w:type="dxa"/>
            <w:tcBorders>
              <w:top w:val="nil"/>
              <w:left w:val="nil"/>
              <w:bottom w:val="single" w:sz="4" w:space="0" w:color="auto"/>
              <w:right w:val="single" w:sz="4" w:space="0" w:color="auto"/>
            </w:tcBorders>
            <w:noWrap/>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0.830 </w:t>
            </w:r>
          </w:p>
        </w:tc>
        <w:tc>
          <w:tcPr>
            <w:tcW w:w="1276"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-7.408E-5</w:t>
            </w:r>
          </w:p>
        </w:tc>
        <w:tc>
          <w:tcPr>
            <w:tcW w:w="992" w:type="dxa"/>
            <w:tcBorders>
              <w:top w:val="nil"/>
              <w:left w:val="nil"/>
              <w:bottom w:val="single" w:sz="4" w:space="0" w:color="auto"/>
              <w:right w:val="single" w:sz="4" w:space="0" w:color="auto"/>
            </w:tcBorders>
            <w:vAlign w:val="center"/>
          </w:tcPr>
          <w:p w:rsidR="00DC7B1E" w:rsidRPr="00ED6CD3" w:rsidRDefault="00DC7B1E" w:rsidP="00224643">
            <w:pPr>
              <w:spacing w:after="0" w:line="240" w:lineRule="auto"/>
              <w:jc w:val="right"/>
              <w:rPr>
                <w:color w:val="000000"/>
                <w:sz w:val="20"/>
                <w:szCs w:val="20"/>
              </w:rPr>
            </w:pPr>
            <w:r w:rsidRPr="00ED6CD3">
              <w:rPr>
                <w:color w:val="000000"/>
                <w:sz w:val="20"/>
                <w:szCs w:val="20"/>
              </w:rPr>
              <w:t>0.844</w:t>
            </w:r>
          </w:p>
        </w:tc>
      </w:tr>
    </w:tbl>
    <w:p w:rsidR="00DC7B1E" w:rsidRDefault="00DC7B1E" w:rsidP="006605C1"/>
    <w:p w:rsidR="00DC7B1E" w:rsidRDefault="00DC7B1E" w:rsidP="006605C1"/>
    <w:p w:rsidR="00DC7B1E" w:rsidRDefault="00DC7B1E" w:rsidP="006605C1"/>
    <w:p w:rsidR="00DC7B1E" w:rsidRDefault="00DC7B1E" w:rsidP="006605C1"/>
    <w:p w:rsidR="00DC7B1E" w:rsidRPr="00421BFC" w:rsidRDefault="00DC7B1E" w:rsidP="00421BFC">
      <w:pPr>
        <w:pStyle w:val="Heading1"/>
        <w:spacing w:before="60" w:line="360" w:lineRule="auto"/>
        <w:contextualSpacing/>
        <w:rPr>
          <w:color w:val="245590"/>
        </w:rPr>
      </w:pPr>
      <w:bookmarkStart w:id="82" w:name="_Toc234568022"/>
      <w:r w:rsidRPr="00421BFC">
        <w:rPr>
          <w:color w:val="245590"/>
        </w:rPr>
        <w:t>Appendix 13 Separated regression change of stock options vesting</w:t>
      </w:r>
      <w:bookmarkEnd w:id="82"/>
    </w:p>
    <w:p w:rsidR="00DC7B1E" w:rsidRDefault="00DC7B1E" w:rsidP="006605C1"/>
    <w:tbl>
      <w:tblPr>
        <w:tblW w:w="5641" w:type="dxa"/>
        <w:tblInd w:w="53" w:type="dxa"/>
        <w:tblCellMar>
          <w:left w:w="70" w:type="dxa"/>
          <w:right w:w="70" w:type="dxa"/>
        </w:tblCellMar>
        <w:tblLook w:val="00A0"/>
      </w:tblPr>
      <w:tblGrid>
        <w:gridCol w:w="1600"/>
        <w:gridCol w:w="1140"/>
        <w:gridCol w:w="963"/>
        <w:gridCol w:w="1110"/>
        <w:gridCol w:w="828"/>
      </w:tblGrid>
      <w:tr w:rsidR="00DC7B1E" w:rsidRPr="00730D64" w:rsidTr="00224643">
        <w:trPr>
          <w:trHeight w:val="300"/>
        </w:trPr>
        <w:tc>
          <w:tcPr>
            <w:tcW w:w="1600" w:type="dxa"/>
            <w:tcBorders>
              <w:bottom w:val="single" w:sz="4" w:space="0" w:color="auto"/>
              <w:right w:val="single" w:sz="4" w:space="0" w:color="auto"/>
            </w:tcBorders>
            <w:noWrap/>
            <w:vAlign w:val="bottom"/>
          </w:tcPr>
          <w:p w:rsidR="00DC7B1E" w:rsidRPr="00730D64" w:rsidRDefault="00DC7B1E" w:rsidP="00224643">
            <w:pPr>
              <w:spacing w:after="0" w:line="240" w:lineRule="auto"/>
              <w:rPr>
                <w:color w:val="000000"/>
                <w:lang w:eastAsia="nl-NL"/>
              </w:rPr>
            </w:pPr>
            <w:r w:rsidRPr="00730D64">
              <w:rPr>
                <w:color w:val="000000"/>
                <w:lang w:eastAsia="nl-NL"/>
              </w:rPr>
              <w:t> </w:t>
            </w:r>
          </w:p>
        </w:tc>
        <w:tc>
          <w:tcPr>
            <w:tcW w:w="2103" w:type="dxa"/>
            <w:gridSpan w:val="2"/>
            <w:tcBorders>
              <w:top w:val="single" w:sz="4" w:space="0" w:color="auto"/>
              <w:left w:val="single" w:sz="4" w:space="0" w:color="auto"/>
              <w:bottom w:val="single" w:sz="4" w:space="0" w:color="auto"/>
              <w:right w:val="single" w:sz="4" w:space="0" w:color="auto"/>
            </w:tcBorders>
            <w:noWrap/>
            <w:vAlign w:val="center"/>
          </w:tcPr>
          <w:p w:rsidR="00DC7B1E" w:rsidRPr="00493F3D" w:rsidRDefault="00DC7B1E" w:rsidP="00224643">
            <w:pPr>
              <w:spacing w:after="0" w:line="240" w:lineRule="auto"/>
              <w:rPr>
                <w:color w:val="000000"/>
                <w:lang w:eastAsia="nl-NL"/>
              </w:rPr>
            </w:pPr>
            <w:r w:rsidRPr="00493F3D">
              <w:rPr>
                <w:color w:val="000000"/>
                <w:lang w:eastAsia="nl-NL"/>
              </w:rPr>
              <w:t>R square = 0</w:t>
            </w:r>
            <w:r>
              <w:rPr>
                <w:color w:val="000000"/>
                <w:lang w:eastAsia="nl-NL"/>
              </w:rPr>
              <w:t>.162</w:t>
            </w:r>
          </w:p>
        </w:tc>
        <w:tc>
          <w:tcPr>
            <w:tcW w:w="1938" w:type="dxa"/>
            <w:gridSpan w:val="2"/>
            <w:tcBorders>
              <w:top w:val="single" w:sz="4" w:space="0" w:color="auto"/>
              <w:left w:val="nil"/>
              <w:bottom w:val="single" w:sz="4" w:space="0" w:color="auto"/>
              <w:right w:val="single" w:sz="4" w:space="0" w:color="auto"/>
            </w:tcBorders>
            <w:vAlign w:val="center"/>
          </w:tcPr>
          <w:p w:rsidR="00DC7B1E" w:rsidRPr="00493F3D" w:rsidRDefault="00DC7B1E" w:rsidP="00224643">
            <w:pPr>
              <w:spacing w:after="0" w:line="240" w:lineRule="auto"/>
              <w:rPr>
                <w:color w:val="000000"/>
                <w:lang w:eastAsia="nl-NL"/>
              </w:rPr>
            </w:pPr>
            <w:r>
              <w:rPr>
                <w:color w:val="000000"/>
                <w:lang w:eastAsia="nl-NL"/>
              </w:rPr>
              <w:t>R square = 0.134</w:t>
            </w:r>
          </w:p>
        </w:tc>
      </w:tr>
      <w:tr w:rsidR="00DC7B1E" w:rsidRPr="00730D64" w:rsidTr="00224643">
        <w:trPr>
          <w:trHeight w:val="300"/>
        </w:trPr>
        <w:tc>
          <w:tcPr>
            <w:tcW w:w="1600" w:type="dxa"/>
            <w:tcBorders>
              <w:top w:val="single" w:sz="4" w:space="0" w:color="auto"/>
              <w:left w:val="single" w:sz="4" w:space="0" w:color="auto"/>
              <w:bottom w:val="single" w:sz="4" w:space="0" w:color="auto"/>
              <w:right w:val="single" w:sz="4" w:space="0" w:color="auto"/>
            </w:tcBorders>
            <w:noWrap/>
            <w:vAlign w:val="bottom"/>
          </w:tcPr>
          <w:p w:rsidR="00DC7B1E" w:rsidRPr="00ED6CD3" w:rsidRDefault="00DC7B1E" w:rsidP="00224643">
            <w:pPr>
              <w:spacing w:after="0" w:line="240" w:lineRule="auto"/>
              <w:rPr>
                <w:b/>
                <w:color w:val="000000"/>
                <w:lang w:eastAsia="nl-NL"/>
              </w:rPr>
            </w:pPr>
            <w:r w:rsidRPr="00493F3D">
              <w:rPr>
                <w:color w:val="000000"/>
                <w:lang w:eastAsia="nl-NL"/>
              </w:rPr>
              <w:t> </w:t>
            </w:r>
            <w:r w:rsidRPr="00ED6CD3">
              <w:rPr>
                <w:b/>
                <w:color w:val="000000"/>
                <w:lang w:eastAsia="nl-NL"/>
              </w:rPr>
              <w:t>DA</w:t>
            </w:r>
          </w:p>
        </w:tc>
        <w:tc>
          <w:tcPr>
            <w:tcW w:w="1140" w:type="dxa"/>
            <w:tcBorders>
              <w:top w:val="nil"/>
              <w:left w:val="nil"/>
              <w:bottom w:val="single" w:sz="4" w:space="0" w:color="auto"/>
              <w:right w:val="single" w:sz="4" w:space="0" w:color="auto"/>
            </w:tcBorders>
            <w:noWrap/>
            <w:vAlign w:val="center"/>
          </w:tcPr>
          <w:p w:rsidR="00DC7B1E" w:rsidRPr="00493F3D" w:rsidRDefault="00DC7B1E" w:rsidP="00224643">
            <w:pPr>
              <w:spacing w:after="0" w:line="240" w:lineRule="auto"/>
              <w:rPr>
                <w:color w:val="000000"/>
                <w:lang w:eastAsia="nl-NL"/>
              </w:rPr>
            </w:pPr>
            <w:r w:rsidRPr="00493F3D">
              <w:rPr>
                <w:color w:val="000000"/>
                <w:lang w:eastAsia="nl-NL"/>
              </w:rPr>
              <w:t>Coefficient</w:t>
            </w:r>
          </w:p>
        </w:tc>
        <w:tc>
          <w:tcPr>
            <w:tcW w:w="963" w:type="dxa"/>
            <w:tcBorders>
              <w:top w:val="nil"/>
              <w:left w:val="nil"/>
              <w:bottom w:val="single" w:sz="4" w:space="0" w:color="auto"/>
              <w:right w:val="single" w:sz="4" w:space="0" w:color="auto"/>
            </w:tcBorders>
            <w:noWrap/>
            <w:vAlign w:val="center"/>
          </w:tcPr>
          <w:p w:rsidR="00DC7B1E" w:rsidRPr="00493F3D" w:rsidRDefault="00DC7B1E" w:rsidP="00224643">
            <w:pPr>
              <w:spacing w:after="0" w:line="240" w:lineRule="auto"/>
              <w:rPr>
                <w:color w:val="000000"/>
                <w:lang w:eastAsia="nl-NL"/>
              </w:rPr>
            </w:pPr>
            <w:r w:rsidRPr="00493F3D">
              <w:rPr>
                <w:color w:val="000000"/>
                <w:lang w:eastAsia="nl-NL"/>
              </w:rPr>
              <w:t>P-value</w:t>
            </w:r>
          </w:p>
        </w:tc>
        <w:tc>
          <w:tcPr>
            <w:tcW w:w="1110" w:type="dxa"/>
            <w:tcBorders>
              <w:top w:val="nil"/>
              <w:left w:val="nil"/>
              <w:bottom w:val="single" w:sz="4" w:space="0" w:color="auto"/>
              <w:right w:val="single" w:sz="4" w:space="0" w:color="auto"/>
            </w:tcBorders>
            <w:vAlign w:val="center"/>
          </w:tcPr>
          <w:p w:rsidR="00DC7B1E" w:rsidRPr="00493F3D" w:rsidRDefault="00DC7B1E" w:rsidP="00224643">
            <w:pPr>
              <w:spacing w:after="0" w:line="240" w:lineRule="auto"/>
              <w:rPr>
                <w:color w:val="000000"/>
                <w:lang w:eastAsia="nl-NL"/>
              </w:rPr>
            </w:pPr>
            <w:r w:rsidRPr="00493F3D">
              <w:rPr>
                <w:color w:val="000000"/>
                <w:lang w:eastAsia="nl-NL"/>
              </w:rPr>
              <w:t>Coefficient</w:t>
            </w:r>
          </w:p>
        </w:tc>
        <w:tc>
          <w:tcPr>
            <w:tcW w:w="828" w:type="dxa"/>
            <w:tcBorders>
              <w:top w:val="nil"/>
              <w:left w:val="nil"/>
              <w:bottom w:val="single" w:sz="4" w:space="0" w:color="auto"/>
              <w:right w:val="single" w:sz="4" w:space="0" w:color="auto"/>
            </w:tcBorders>
            <w:vAlign w:val="center"/>
          </w:tcPr>
          <w:p w:rsidR="00DC7B1E" w:rsidRPr="00493F3D" w:rsidRDefault="00DC7B1E" w:rsidP="00224643">
            <w:pPr>
              <w:spacing w:after="0" w:line="240" w:lineRule="auto"/>
              <w:rPr>
                <w:color w:val="000000"/>
                <w:lang w:eastAsia="nl-NL"/>
              </w:rPr>
            </w:pPr>
            <w:r w:rsidRPr="00493F3D">
              <w:rPr>
                <w:color w:val="000000"/>
                <w:lang w:eastAsia="nl-NL"/>
              </w:rPr>
              <w:t>P-value</w:t>
            </w: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val="nl-NL" w:eastAsia="nl-NL"/>
              </w:rPr>
            </w:pPr>
            <w:r>
              <w:rPr>
                <w:color w:val="000000"/>
                <w:lang w:val="nl-NL" w:eastAsia="nl-NL"/>
              </w:rPr>
              <w:t>Intercept</w:t>
            </w:r>
          </w:p>
        </w:tc>
        <w:tc>
          <w:tcPr>
            <w:tcW w:w="1140"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0.020</w:t>
            </w:r>
          </w:p>
        </w:tc>
        <w:tc>
          <w:tcPr>
            <w:tcW w:w="963"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0.138</w:t>
            </w: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0.027</w:t>
            </w: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0.102</w:t>
            </w: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eastAsia="nl-NL"/>
              </w:rPr>
            </w:pPr>
            <w:r>
              <w:rPr>
                <w:color w:val="000000"/>
                <w:lang w:val="nl-NL" w:eastAsia="nl-NL"/>
              </w:rPr>
              <w:t xml:space="preserve">∆ </w:t>
            </w:r>
            <w:r w:rsidRPr="00730D64">
              <w:rPr>
                <w:color w:val="000000"/>
                <w:lang w:eastAsia="nl-NL"/>
              </w:rPr>
              <w:t>PSO%</w:t>
            </w:r>
          </w:p>
        </w:tc>
        <w:tc>
          <w:tcPr>
            <w:tcW w:w="1140"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0.084</w:t>
            </w:r>
          </w:p>
        </w:tc>
        <w:tc>
          <w:tcPr>
            <w:tcW w:w="963"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0.241</w:t>
            </w: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eastAsia="nl-NL"/>
              </w:rPr>
            </w:pPr>
            <w:r>
              <w:rPr>
                <w:color w:val="000000"/>
                <w:lang w:val="nl-NL" w:eastAsia="nl-NL"/>
              </w:rPr>
              <w:t xml:space="preserve">∆ </w:t>
            </w:r>
            <w:r w:rsidRPr="00730D64">
              <w:rPr>
                <w:color w:val="000000"/>
                <w:lang w:eastAsia="nl-NL"/>
              </w:rPr>
              <w:t>TSO%</w:t>
            </w:r>
          </w:p>
        </w:tc>
        <w:tc>
          <w:tcPr>
            <w:tcW w:w="1140"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0.035</w:t>
            </w:r>
          </w:p>
        </w:tc>
        <w:tc>
          <w:tcPr>
            <w:tcW w:w="963"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0.510</w:t>
            </w: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eastAsia="nl-NL"/>
              </w:rPr>
            </w:pPr>
            <w:r>
              <w:rPr>
                <w:color w:val="000000"/>
                <w:lang w:val="nl-NL" w:eastAsia="nl-NL"/>
              </w:rPr>
              <w:t xml:space="preserve">∆ </w:t>
            </w:r>
            <w:r w:rsidRPr="00730D64">
              <w:rPr>
                <w:color w:val="000000"/>
                <w:lang w:eastAsia="nl-NL"/>
              </w:rPr>
              <w:t>MONEY_PSO</w:t>
            </w:r>
          </w:p>
        </w:tc>
        <w:tc>
          <w:tcPr>
            <w:tcW w:w="1140"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p>
        </w:tc>
        <w:tc>
          <w:tcPr>
            <w:tcW w:w="963"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2.554</w:t>
            </w:r>
            <w:r w:rsidRPr="00B91DAD">
              <w:rPr>
                <w:color w:val="000000"/>
                <w:vertAlign w:val="superscript"/>
                <w:lang w:val="nl-NL" w:eastAsia="nl-NL"/>
              </w:rPr>
              <w:t>E</w:t>
            </w:r>
            <w:r>
              <w:rPr>
                <w:color w:val="000000"/>
                <w:lang w:val="nl-NL" w:eastAsia="nl-NL"/>
              </w:rPr>
              <w:t>-9</w:t>
            </w: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0.914</w:t>
            </w: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val="nl-NL" w:eastAsia="nl-NL"/>
              </w:rPr>
            </w:pPr>
            <w:r>
              <w:rPr>
                <w:color w:val="000000"/>
                <w:lang w:val="nl-NL" w:eastAsia="nl-NL"/>
              </w:rPr>
              <w:t xml:space="preserve">∆ </w:t>
            </w:r>
            <w:r w:rsidRPr="00730D64">
              <w:rPr>
                <w:color w:val="000000"/>
                <w:lang w:val="nl-NL" w:eastAsia="nl-NL"/>
              </w:rPr>
              <w:t>MONEY_TSO</w:t>
            </w:r>
          </w:p>
        </w:tc>
        <w:tc>
          <w:tcPr>
            <w:tcW w:w="1140"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p>
        </w:tc>
        <w:tc>
          <w:tcPr>
            <w:tcW w:w="963"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2.820</w:t>
            </w:r>
            <w:r w:rsidRPr="00B91DAD">
              <w:rPr>
                <w:color w:val="000000"/>
                <w:vertAlign w:val="superscript"/>
                <w:lang w:val="nl-NL" w:eastAsia="nl-NL"/>
              </w:rPr>
              <w:t>E</w:t>
            </w:r>
            <w:r>
              <w:rPr>
                <w:color w:val="000000"/>
                <w:lang w:val="nl-NL" w:eastAsia="nl-NL"/>
              </w:rPr>
              <w:t>-7</w:t>
            </w: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0.273</w:t>
            </w: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val="nl-NL" w:eastAsia="nl-NL"/>
              </w:rPr>
            </w:pPr>
            <w:r>
              <w:rPr>
                <w:color w:val="000000"/>
                <w:lang w:val="nl-NL" w:eastAsia="nl-NL"/>
              </w:rPr>
              <w:t xml:space="preserve">∆ </w:t>
            </w:r>
            <w:r w:rsidRPr="00730D64">
              <w:rPr>
                <w:color w:val="000000"/>
                <w:lang w:val="nl-NL" w:eastAsia="nl-NL"/>
              </w:rPr>
              <w:t>LEV</w:t>
            </w:r>
          </w:p>
        </w:tc>
        <w:tc>
          <w:tcPr>
            <w:tcW w:w="1140"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0.120</w:t>
            </w:r>
          </w:p>
        </w:tc>
        <w:tc>
          <w:tcPr>
            <w:tcW w:w="963"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val="nl-NL" w:eastAsia="nl-NL"/>
              </w:rPr>
            </w:pPr>
            <w:r>
              <w:rPr>
                <w:color w:val="000000"/>
                <w:lang w:val="nl-NL" w:eastAsia="nl-NL"/>
              </w:rPr>
              <w:t>0.593</w:t>
            </w: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0.022</w:t>
            </w: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val="nl-NL" w:eastAsia="nl-NL"/>
              </w:rPr>
            </w:pPr>
            <w:r>
              <w:rPr>
                <w:color w:val="000000"/>
                <w:lang w:val="nl-NL" w:eastAsia="nl-NL"/>
              </w:rPr>
              <w:t>0.933</w:t>
            </w: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val="nl-NL" w:eastAsia="nl-NL"/>
              </w:rPr>
            </w:pPr>
            <w:r>
              <w:rPr>
                <w:color w:val="000000"/>
                <w:lang w:val="nl-NL" w:eastAsia="nl-NL"/>
              </w:rPr>
              <w:t xml:space="preserve">∆ </w:t>
            </w:r>
            <w:r w:rsidRPr="00730D64">
              <w:rPr>
                <w:color w:val="000000"/>
                <w:lang w:val="nl-NL" w:eastAsia="nl-NL"/>
              </w:rPr>
              <w:t>GROWTH</w:t>
            </w:r>
          </w:p>
        </w:tc>
        <w:tc>
          <w:tcPr>
            <w:tcW w:w="1140"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eastAsia="nl-NL"/>
              </w:rPr>
            </w:pPr>
            <w:r>
              <w:rPr>
                <w:color w:val="000000"/>
                <w:lang w:eastAsia="nl-NL"/>
              </w:rPr>
              <w:t>4.087E-12</w:t>
            </w:r>
          </w:p>
        </w:tc>
        <w:tc>
          <w:tcPr>
            <w:tcW w:w="963" w:type="dxa"/>
            <w:tcBorders>
              <w:top w:val="nil"/>
              <w:left w:val="nil"/>
              <w:bottom w:val="single" w:sz="4" w:space="0" w:color="auto"/>
              <w:right w:val="single" w:sz="4" w:space="0" w:color="auto"/>
            </w:tcBorders>
            <w:noWrap/>
            <w:vAlign w:val="center"/>
          </w:tcPr>
          <w:p w:rsidR="00DC7B1E" w:rsidRPr="00730D64" w:rsidRDefault="00DC7B1E" w:rsidP="00224643">
            <w:pPr>
              <w:spacing w:after="0" w:line="240" w:lineRule="auto"/>
              <w:jc w:val="right"/>
              <w:rPr>
                <w:color w:val="000000"/>
                <w:lang w:eastAsia="nl-NL"/>
              </w:rPr>
            </w:pPr>
            <w:r>
              <w:rPr>
                <w:color w:val="000000"/>
                <w:lang w:eastAsia="nl-NL"/>
              </w:rPr>
              <w:t>0.916</w:t>
            </w: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eastAsia="nl-NL"/>
              </w:rPr>
            </w:pPr>
            <w:r>
              <w:rPr>
                <w:color w:val="000000"/>
                <w:lang w:eastAsia="nl-NL"/>
              </w:rPr>
              <w:t>-1.905E-11</w:t>
            </w: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eastAsia="nl-NL"/>
              </w:rPr>
            </w:pPr>
            <w:r>
              <w:rPr>
                <w:color w:val="000000"/>
                <w:lang w:eastAsia="nl-NL"/>
              </w:rPr>
              <w:t>0.651</w:t>
            </w: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eastAsia="nl-NL"/>
              </w:rPr>
            </w:pPr>
            <w:r>
              <w:rPr>
                <w:color w:val="000000"/>
                <w:lang w:val="nl-NL" w:eastAsia="nl-NL"/>
              </w:rPr>
              <w:t xml:space="preserve">∆ </w:t>
            </w:r>
            <w:r w:rsidRPr="00730D64">
              <w:rPr>
                <w:color w:val="000000"/>
                <w:lang w:eastAsia="nl-NL"/>
              </w:rPr>
              <w:t>SIZE</w:t>
            </w:r>
          </w:p>
        </w:tc>
        <w:tc>
          <w:tcPr>
            <w:tcW w:w="1140" w:type="dxa"/>
            <w:tcBorders>
              <w:top w:val="nil"/>
              <w:left w:val="nil"/>
              <w:bottom w:val="single" w:sz="4" w:space="0" w:color="auto"/>
              <w:right w:val="single" w:sz="4" w:space="0" w:color="auto"/>
            </w:tcBorders>
            <w:noWrap/>
            <w:vAlign w:val="center"/>
          </w:tcPr>
          <w:p w:rsidR="00DC7B1E" w:rsidRDefault="00DC7B1E" w:rsidP="00224643">
            <w:pPr>
              <w:spacing w:after="0" w:line="240" w:lineRule="auto"/>
              <w:jc w:val="right"/>
              <w:rPr>
                <w:color w:val="000000"/>
                <w:lang w:eastAsia="nl-NL"/>
              </w:rPr>
            </w:pPr>
            <w:r>
              <w:rPr>
                <w:color w:val="000000"/>
                <w:lang w:eastAsia="nl-NL"/>
              </w:rPr>
              <w:t>2.987E-11</w:t>
            </w:r>
          </w:p>
        </w:tc>
        <w:tc>
          <w:tcPr>
            <w:tcW w:w="963" w:type="dxa"/>
            <w:tcBorders>
              <w:top w:val="nil"/>
              <w:left w:val="nil"/>
              <w:bottom w:val="single" w:sz="4" w:space="0" w:color="auto"/>
              <w:right w:val="single" w:sz="4" w:space="0" w:color="auto"/>
            </w:tcBorders>
            <w:noWrap/>
            <w:vAlign w:val="center"/>
          </w:tcPr>
          <w:p w:rsidR="00DC7B1E" w:rsidRDefault="00DC7B1E" w:rsidP="00224643">
            <w:pPr>
              <w:spacing w:after="0" w:line="240" w:lineRule="auto"/>
              <w:jc w:val="right"/>
              <w:rPr>
                <w:color w:val="000000"/>
                <w:lang w:eastAsia="nl-NL"/>
              </w:rPr>
            </w:pPr>
            <w:r>
              <w:rPr>
                <w:color w:val="000000"/>
                <w:lang w:eastAsia="nl-NL"/>
              </w:rPr>
              <w:t>0.263</w:t>
            </w: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eastAsia="nl-NL"/>
              </w:rPr>
            </w:pPr>
            <w:r>
              <w:rPr>
                <w:color w:val="000000"/>
                <w:lang w:val="nl-NL" w:eastAsia="nl-NL"/>
              </w:rPr>
              <w:t>-4.102</w:t>
            </w:r>
            <w:r w:rsidRPr="00B91DAD">
              <w:rPr>
                <w:color w:val="000000"/>
                <w:vertAlign w:val="superscript"/>
                <w:lang w:val="nl-NL" w:eastAsia="nl-NL"/>
              </w:rPr>
              <w:t>E</w:t>
            </w:r>
            <w:r>
              <w:rPr>
                <w:color w:val="000000"/>
                <w:lang w:val="nl-NL" w:eastAsia="nl-NL"/>
              </w:rPr>
              <w:t>-11</w:t>
            </w: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eastAsia="nl-NL"/>
              </w:rPr>
            </w:pPr>
            <w:r>
              <w:rPr>
                <w:color w:val="000000"/>
                <w:lang w:eastAsia="nl-NL"/>
              </w:rPr>
              <w:t>0.241</w:t>
            </w:r>
          </w:p>
        </w:tc>
      </w:tr>
      <w:tr w:rsidR="00DC7B1E" w:rsidRPr="00730D64" w:rsidTr="00224643">
        <w:trPr>
          <w:trHeight w:val="300"/>
        </w:trPr>
        <w:tc>
          <w:tcPr>
            <w:tcW w:w="1600" w:type="dxa"/>
            <w:tcBorders>
              <w:top w:val="nil"/>
              <w:left w:val="single" w:sz="4" w:space="0" w:color="auto"/>
              <w:bottom w:val="single" w:sz="4" w:space="0" w:color="auto"/>
              <w:right w:val="single" w:sz="4" w:space="0" w:color="auto"/>
            </w:tcBorders>
            <w:noWrap/>
            <w:vAlign w:val="center"/>
          </w:tcPr>
          <w:p w:rsidR="00DC7B1E" w:rsidRPr="00730D64" w:rsidRDefault="00DC7B1E" w:rsidP="00224643">
            <w:pPr>
              <w:spacing w:after="0" w:line="240" w:lineRule="auto"/>
              <w:rPr>
                <w:color w:val="000000"/>
                <w:lang w:eastAsia="nl-NL"/>
              </w:rPr>
            </w:pPr>
            <w:r>
              <w:rPr>
                <w:color w:val="000000"/>
                <w:lang w:val="nl-NL" w:eastAsia="nl-NL"/>
              </w:rPr>
              <w:t xml:space="preserve">∆ </w:t>
            </w:r>
            <w:r w:rsidRPr="00730D64">
              <w:rPr>
                <w:color w:val="000000"/>
                <w:lang w:eastAsia="nl-NL"/>
              </w:rPr>
              <w:t>MTBV</w:t>
            </w:r>
          </w:p>
        </w:tc>
        <w:tc>
          <w:tcPr>
            <w:tcW w:w="1140" w:type="dxa"/>
            <w:tcBorders>
              <w:top w:val="nil"/>
              <w:left w:val="nil"/>
              <w:bottom w:val="single" w:sz="4" w:space="0" w:color="auto"/>
              <w:right w:val="single" w:sz="4" w:space="0" w:color="auto"/>
            </w:tcBorders>
            <w:noWrap/>
            <w:vAlign w:val="center"/>
          </w:tcPr>
          <w:p w:rsidR="00DC7B1E" w:rsidRDefault="00DC7B1E" w:rsidP="00224643">
            <w:pPr>
              <w:spacing w:after="0" w:line="240" w:lineRule="auto"/>
              <w:jc w:val="right"/>
              <w:rPr>
                <w:color w:val="000000"/>
                <w:lang w:eastAsia="nl-NL"/>
              </w:rPr>
            </w:pPr>
            <w:r>
              <w:rPr>
                <w:color w:val="000000"/>
                <w:lang w:eastAsia="nl-NL"/>
              </w:rPr>
              <w:t>0.001</w:t>
            </w:r>
          </w:p>
        </w:tc>
        <w:tc>
          <w:tcPr>
            <w:tcW w:w="963" w:type="dxa"/>
            <w:tcBorders>
              <w:top w:val="nil"/>
              <w:left w:val="nil"/>
              <w:bottom w:val="single" w:sz="4" w:space="0" w:color="auto"/>
              <w:right w:val="single" w:sz="4" w:space="0" w:color="auto"/>
            </w:tcBorders>
            <w:noWrap/>
            <w:vAlign w:val="center"/>
          </w:tcPr>
          <w:p w:rsidR="00DC7B1E" w:rsidRDefault="00DC7B1E" w:rsidP="00224643">
            <w:pPr>
              <w:spacing w:after="0" w:line="240" w:lineRule="auto"/>
              <w:jc w:val="right"/>
              <w:rPr>
                <w:color w:val="000000"/>
                <w:lang w:eastAsia="nl-NL"/>
              </w:rPr>
            </w:pPr>
            <w:r>
              <w:rPr>
                <w:color w:val="000000"/>
                <w:lang w:eastAsia="nl-NL"/>
              </w:rPr>
              <w:t>0.000</w:t>
            </w:r>
          </w:p>
        </w:tc>
        <w:tc>
          <w:tcPr>
            <w:tcW w:w="1110"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eastAsia="nl-NL"/>
              </w:rPr>
            </w:pPr>
            <w:r>
              <w:rPr>
                <w:color w:val="000000"/>
                <w:lang w:eastAsia="nl-NL"/>
              </w:rPr>
              <w:t>0.001</w:t>
            </w:r>
          </w:p>
        </w:tc>
        <w:tc>
          <w:tcPr>
            <w:tcW w:w="828" w:type="dxa"/>
            <w:tcBorders>
              <w:top w:val="nil"/>
              <w:left w:val="nil"/>
              <w:bottom w:val="single" w:sz="4" w:space="0" w:color="auto"/>
              <w:right w:val="single" w:sz="4" w:space="0" w:color="auto"/>
            </w:tcBorders>
            <w:vAlign w:val="center"/>
          </w:tcPr>
          <w:p w:rsidR="00DC7B1E" w:rsidRDefault="00DC7B1E" w:rsidP="00224643">
            <w:pPr>
              <w:spacing w:after="0" w:line="240" w:lineRule="auto"/>
              <w:jc w:val="right"/>
              <w:rPr>
                <w:color w:val="000000"/>
                <w:lang w:eastAsia="nl-NL"/>
              </w:rPr>
            </w:pPr>
            <w:r>
              <w:rPr>
                <w:color w:val="000000"/>
                <w:lang w:eastAsia="nl-NL"/>
              </w:rPr>
              <w:t>0.000</w:t>
            </w:r>
          </w:p>
        </w:tc>
      </w:tr>
    </w:tbl>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Default="00DC7B1E" w:rsidP="006605C1"/>
    <w:p w:rsidR="00DC7B1E" w:rsidRPr="00AC7CE7" w:rsidRDefault="00DC7B1E" w:rsidP="006605C1"/>
    <w:sectPr w:rsidR="00DC7B1E" w:rsidRPr="00AC7CE7" w:rsidSect="00FD7DFB">
      <w:pgSz w:w="11907" w:h="16840" w:code="9"/>
      <w:pgMar w:top="1418" w:right="1418" w:bottom="1418" w:left="1418" w:header="709" w:footer="28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7B1E" w:rsidRDefault="00DC7B1E" w:rsidP="00A94509">
      <w:pPr>
        <w:spacing w:after="0" w:line="240" w:lineRule="auto"/>
      </w:pPr>
      <w:r>
        <w:separator/>
      </w:r>
    </w:p>
  </w:endnote>
  <w:endnote w:type="continuationSeparator" w:id="1">
    <w:p w:rsidR="00DC7B1E" w:rsidRDefault="00DC7B1E" w:rsidP="00A945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7B1E" w:rsidRPr="00C924B0" w:rsidRDefault="00DC7B1E">
    <w:pPr>
      <w:pStyle w:val="Footer"/>
      <w:jc w:val="center"/>
      <w:rPr>
        <w:rFonts w:ascii="Times New Roman" w:hAnsi="Times New Roman"/>
      </w:rPr>
    </w:pPr>
    <w:r w:rsidRPr="00C924B0">
      <w:rPr>
        <w:rFonts w:ascii="Times New Roman" w:hAnsi="Times New Roman"/>
      </w:rPr>
      <w:fldChar w:fldCharType="begin"/>
    </w:r>
    <w:r w:rsidRPr="00C924B0">
      <w:rPr>
        <w:rFonts w:ascii="Times New Roman" w:hAnsi="Times New Roman"/>
      </w:rPr>
      <w:instrText xml:space="preserve"> PAGE   \* MERGEFORMAT </w:instrText>
    </w:r>
    <w:r w:rsidRPr="00C924B0">
      <w:rPr>
        <w:rFonts w:ascii="Times New Roman" w:hAnsi="Times New Roman"/>
      </w:rPr>
      <w:fldChar w:fldCharType="separate"/>
    </w:r>
    <w:r>
      <w:rPr>
        <w:rFonts w:ascii="Times New Roman" w:hAnsi="Times New Roman"/>
        <w:noProof/>
      </w:rPr>
      <w:t>1</w:t>
    </w:r>
    <w:r w:rsidRPr="00C924B0">
      <w:rPr>
        <w:rFonts w:ascii="Times New Roman" w:hAnsi="Times New Roman"/>
      </w:rPr>
      <w:fldChar w:fldCharType="end"/>
    </w:r>
  </w:p>
  <w:p w:rsidR="00DC7B1E" w:rsidRDefault="00DC7B1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7B1E" w:rsidRDefault="00DC7B1E" w:rsidP="00A94509">
      <w:pPr>
        <w:spacing w:after="0" w:line="240" w:lineRule="auto"/>
      </w:pPr>
      <w:r>
        <w:separator/>
      </w:r>
    </w:p>
  </w:footnote>
  <w:footnote w:type="continuationSeparator" w:id="1">
    <w:p w:rsidR="00DC7B1E" w:rsidRDefault="00DC7B1E" w:rsidP="00A94509">
      <w:pPr>
        <w:spacing w:after="0" w:line="240" w:lineRule="auto"/>
      </w:pPr>
      <w:r>
        <w:continuationSeparator/>
      </w:r>
    </w:p>
  </w:footnote>
  <w:footnote w:id="2">
    <w:p w:rsidR="00DC7B1E" w:rsidRDefault="00DC7B1E" w:rsidP="006F12EB">
      <w:pPr>
        <w:pStyle w:val="FootnoteText"/>
        <w:contextualSpacing/>
        <w:jc w:val="both"/>
      </w:pPr>
      <w:r w:rsidRPr="00A84A74">
        <w:rPr>
          <w:rStyle w:val="FootnoteReference"/>
          <w:rFonts w:ascii="Times New Roman" w:hAnsi="Times New Roman"/>
          <w:sz w:val="18"/>
          <w:szCs w:val="18"/>
        </w:rPr>
        <w:footnoteRef/>
      </w:r>
      <w:r w:rsidRPr="00A84A74">
        <w:rPr>
          <w:rFonts w:ascii="Times New Roman" w:hAnsi="Times New Roman" w:cs="Times New Roman"/>
          <w:sz w:val="18"/>
          <w:szCs w:val="18"/>
        </w:rPr>
        <w:t xml:space="preserve"> Cash flow from operations (CFO) measures the amount of cash generated or used by the firm as a result of its production and sales of goods and services.</w:t>
      </w:r>
    </w:p>
  </w:footnote>
  <w:footnote w:id="3">
    <w:p w:rsidR="00DC7B1E" w:rsidRDefault="00DC7B1E" w:rsidP="006E7030">
      <w:pPr>
        <w:pStyle w:val="FootnoteText"/>
        <w:contextualSpacing/>
        <w:jc w:val="both"/>
      </w:pPr>
      <w:r w:rsidRPr="00A84A74">
        <w:rPr>
          <w:rStyle w:val="FootnoteReference"/>
          <w:rFonts w:ascii="Times New Roman" w:hAnsi="Times New Roman"/>
          <w:sz w:val="18"/>
          <w:szCs w:val="18"/>
        </w:rPr>
        <w:footnoteRef/>
      </w:r>
      <w:r w:rsidRPr="00A84A74">
        <w:rPr>
          <w:rFonts w:ascii="Times New Roman" w:hAnsi="Times New Roman" w:cs="Times New Roman"/>
          <w:sz w:val="18"/>
          <w:szCs w:val="18"/>
        </w:rPr>
        <w:t xml:space="preserve"> Working capital is a measure of a company’s short time financial health. It refers to the operating liquidity that is available to a business. The working capital is calculated as: Working capital = Current assets - Current liabilities. If the current assets do not exceed the current liabilities, it means that the company is unable to meet its current liabilities with its current assets. Therefore, the company may have trouble in paying off its short term debt. A positive working capital is required to ensure that a firm is able to continue its operations. </w:t>
      </w:r>
    </w:p>
  </w:footnote>
  <w:footnote w:id="4">
    <w:p w:rsidR="00DC7B1E" w:rsidRDefault="00DC7B1E" w:rsidP="006E7030">
      <w:pPr>
        <w:pStyle w:val="FootnoteText"/>
        <w:jc w:val="both"/>
      </w:pPr>
      <w:r w:rsidRPr="00A84A74">
        <w:rPr>
          <w:rStyle w:val="FootnoteReference"/>
          <w:rFonts w:ascii="Times New Roman" w:hAnsi="Times New Roman"/>
          <w:sz w:val="18"/>
          <w:szCs w:val="18"/>
        </w:rPr>
        <w:footnoteRef/>
      </w:r>
      <w:r w:rsidRPr="00A84A74">
        <w:rPr>
          <w:rFonts w:ascii="Times New Roman" w:hAnsi="Times New Roman" w:cs="Times New Roman"/>
          <w:sz w:val="18"/>
          <w:szCs w:val="18"/>
        </w:rPr>
        <w:t xml:space="preserve"> Gao and Shrieves (2002) examine also the other components of executive compensation. Results show that bonus is positively and salary negatively related with the level of earnings management. Regarding to Long Term Incentive Plans or stock compensation, their results do not reliably show a negative or positive relation with the extent of earnings management. </w:t>
      </w:r>
    </w:p>
  </w:footnote>
  <w:footnote w:id="5">
    <w:p w:rsidR="00DC7B1E" w:rsidRDefault="00DC7B1E" w:rsidP="00A94509">
      <w:pPr>
        <w:pStyle w:val="FootnoteText"/>
      </w:pPr>
      <w:r w:rsidRPr="00A84A74">
        <w:rPr>
          <w:rStyle w:val="FootnoteReference"/>
          <w:rFonts w:ascii="Times New Roman" w:hAnsi="Times New Roman"/>
          <w:sz w:val="18"/>
          <w:szCs w:val="18"/>
        </w:rPr>
        <w:footnoteRef/>
      </w:r>
      <w:r w:rsidRPr="00A84A74">
        <w:rPr>
          <w:rFonts w:ascii="Times New Roman" w:hAnsi="Times New Roman" w:cs="Times New Roman"/>
          <w:sz w:val="18"/>
          <w:szCs w:val="18"/>
        </w:rPr>
        <w:t xml:space="preserve"> Earnings forecast is used as a proxy for investors’ expectations</w:t>
      </w:r>
    </w:p>
  </w:footnote>
  <w:footnote w:id="6">
    <w:p w:rsidR="00DC7B1E" w:rsidRDefault="00DC7B1E" w:rsidP="006E7030">
      <w:pPr>
        <w:autoSpaceDE w:val="0"/>
        <w:autoSpaceDN w:val="0"/>
        <w:adjustRightInd w:val="0"/>
        <w:spacing w:after="0" w:line="240" w:lineRule="auto"/>
        <w:contextualSpacing/>
        <w:jc w:val="both"/>
      </w:pPr>
      <w:r w:rsidRPr="00A84A74">
        <w:rPr>
          <w:rStyle w:val="FootnoteReference"/>
          <w:rFonts w:ascii="Times New Roman" w:hAnsi="Times New Roman"/>
          <w:sz w:val="18"/>
          <w:szCs w:val="18"/>
        </w:rPr>
        <w:footnoteRef/>
      </w:r>
      <w:r w:rsidRPr="00A84A74">
        <w:rPr>
          <w:rFonts w:ascii="Times New Roman" w:hAnsi="Times New Roman"/>
          <w:sz w:val="18"/>
          <w:szCs w:val="18"/>
        </w:rPr>
        <w:t xml:space="preserve"> In this study utility and financial service firms are excluded because operations of these firms are significantly different from other industrial firms.</w:t>
      </w:r>
      <w:r w:rsidRPr="00815235">
        <w:rPr>
          <w:rFonts w:ascii="Arial" w:hAnsi="Arial" w:cs="Arial"/>
          <w:sz w:val="18"/>
          <w:szCs w:val="18"/>
        </w:rPr>
        <w:t xml:space="preserve"> </w:t>
      </w:r>
    </w:p>
  </w:footnote>
  <w:footnote w:id="7">
    <w:p w:rsidR="00DC7B1E" w:rsidRDefault="00DC7B1E" w:rsidP="006E7030">
      <w:pPr>
        <w:pStyle w:val="FootnoteText"/>
        <w:jc w:val="both"/>
      </w:pPr>
      <w:r w:rsidRPr="00A84A74">
        <w:rPr>
          <w:rStyle w:val="FootnoteReference"/>
          <w:rFonts w:ascii="Times New Roman" w:hAnsi="Times New Roman"/>
          <w:sz w:val="18"/>
          <w:szCs w:val="18"/>
        </w:rPr>
        <w:footnoteRef/>
      </w:r>
      <w:r w:rsidRPr="00A84A74">
        <w:rPr>
          <w:rFonts w:ascii="Times New Roman" w:hAnsi="Times New Roman" w:cs="Times New Roman"/>
          <w:sz w:val="18"/>
          <w:szCs w:val="18"/>
        </w:rPr>
        <w:t xml:space="preserve"> The evaluation of the five accrual based models for detecting discretionary accruals by Dechow et al. (1995) includes the Healy Model (1985), the DeAngelo Model (1986), the Jones Model (1991) and the modified Jones Model (1995). </w:t>
      </w:r>
    </w:p>
  </w:footnote>
  <w:footnote w:id="8">
    <w:p w:rsidR="00DC7B1E" w:rsidRDefault="00DC7B1E" w:rsidP="006E7030">
      <w:pPr>
        <w:pStyle w:val="FootnoteText"/>
        <w:jc w:val="both"/>
      </w:pPr>
      <w:r w:rsidRPr="00A84A74">
        <w:rPr>
          <w:rStyle w:val="FootnoteReference"/>
          <w:rFonts w:ascii="Times New Roman" w:hAnsi="Times New Roman"/>
          <w:sz w:val="18"/>
          <w:szCs w:val="18"/>
        </w:rPr>
        <w:footnoteRef/>
      </w:r>
      <w:r w:rsidRPr="00A84A74">
        <w:rPr>
          <w:rFonts w:ascii="Times New Roman" w:hAnsi="Times New Roman" w:cs="Times New Roman"/>
          <w:sz w:val="18"/>
          <w:szCs w:val="18"/>
        </w:rPr>
        <w:t xml:space="preserve"> However, as Jones (1991) already admitted, revenues are not exogenous because they could be managed to some extent by managers to increase or decrease reported earnings. </w:t>
      </w:r>
    </w:p>
  </w:footnote>
  <w:footnote w:id="9">
    <w:p w:rsidR="00DC7B1E" w:rsidRDefault="00DC7B1E" w:rsidP="006E7030">
      <w:pPr>
        <w:pStyle w:val="FootnoteText"/>
        <w:jc w:val="both"/>
      </w:pPr>
      <w:r w:rsidRPr="00A84A74">
        <w:rPr>
          <w:rStyle w:val="FootnoteReference"/>
          <w:rFonts w:ascii="Times New Roman" w:hAnsi="Times New Roman"/>
          <w:sz w:val="18"/>
          <w:szCs w:val="18"/>
        </w:rPr>
        <w:footnoteRef/>
      </w:r>
      <w:r w:rsidRPr="00A84A74">
        <w:rPr>
          <w:rFonts w:ascii="Times New Roman" w:hAnsi="Times New Roman" w:cs="Times New Roman"/>
          <w:sz w:val="18"/>
          <w:szCs w:val="18"/>
        </w:rPr>
        <w:t xml:space="preserve"> This assumption is not only made in the modified Jones Model, but also in the original Jones Model and several other models to detect earnings management. This is a limitation of the earnings management detection models because in practice earnings management could occur in the estimation stage. If earnings management does take place in the estimation stage, it will bias the estimation of the parameters. Although this assumption is known under scientist, this model is recognized as the most powerful method and it is still the most used approach to detect earnings management. Remember that this research adopted this approach for these reasons. The purpose of this research is not to strive to develop a better technique to measure earnings management.</w:t>
      </w:r>
      <w:r>
        <w:t xml:space="preserve"> </w:t>
      </w:r>
    </w:p>
  </w:footnote>
  <w:footnote w:id="10">
    <w:p w:rsidR="00DC7B1E" w:rsidRDefault="00DC7B1E" w:rsidP="00021716">
      <w:pPr>
        <w:pStyle w:val="FootnoteText"/>
        <w:jc w:val="both"/>
      </w:pPr>
      <w:r w:rsidRPr="0073198F">
        <w:rPr>
          <w:rStyle w:val="FootnoteReference"/>
          <w:rFonts w:ascii="Times New Roman" w:hAnsi="Times New Roman"/>
          <w:sz w:val="18"/>
          <w:szCs w:val="18"/>
        </w:rPr>
        <w:footnoteRef/>
      </w:r>
      <w:r w:rsidRPr="0073198F">
        <w:rPr>
          <w:rFonts w:ascii="Times New Roman" w:hAnsi="Times New Roman" w:cs="Times New Roman"/>
          <w:sz w:val="18"/>
          <w:szCs w:val="18"/>
        </w:rPr>
        <w:t xml:space="preserve"> Or firm specific parameters, depending on the use of time series approach or cross sectional approach to estimate the parameters.</w:t>
      </w:r>
    </w:p>
  </w:footnote>
  <w:footnote w:id="11">
    <w:p w:rsidR="00DC7B1E" w:rsidRDefault="00DC7B1E">
      <w:pPr>
        <w:pStyle w:val="FootnoteText"/>
      </w:pPr>
      <w:r w:rsidRPr="0073198F">
        <w:rPr>
          <w:rStyle w:val="FootnoteReference"/>
          <w:rFonts w:ascii="Times New Roman" w:hAnsi="Times New Roman"/>
          <w:sz w:val="18"/>
          <w:szCs w:val="18"/>
        </w:rPr>
        <w:footnoteRef/>
      </w:r>
      <w:r w:rsidRPr="0073198F">
        <w:rPr>
          <w:rFonts w:ascii="Times New Roman" w:hAnsi="Times New Roman" w:cs="Times New Roman"/>
          <w:sz w:val="18"/>
          <w:szCs w:val="18"/>
        </w:rPr>
        <w:t xml:space="preserve"> Except for the dummy variables.</w:t>
      </w:r>
    </w:p>
  </w:footnote>
  <w:footnote w:id="12">
    <w:p w:rsidR="00DC7B1E" w:rsidRDefault="00DC7B1E" w:rsidP="006E4185">
      <w:pPr>
        <w:pStyle w:val="FootnoteText"/>
      </w:pPr>
      <w:r w:rsidRPr="007C08B2">
        <w:rPr>
          <w:rStyle w:val="FootnoteReference"/>
          <w:rFonts w:ascii="Times New Roman" w:hAnsi="Times New Roman"/>
          <w:sz w:val="18"/>
          <w:szCs w:val="18"/>
        </w:rPr>
        <w:footnoteRef/>
      </w:r>
      <w:r w:rsidRPr="007C08B2">
        <w:rPr>
          <w:rFonts w:ascii="Times New Roman" w:hAnsi="Times New Roman" w:cs="Times New Roman"/>
          <w:sz w:val="18"/>
          <w:szCs w:val="18"/>
        </w:rPr>
        <w:t xml:space="preserve"> Definitions of the variables are gathered from the Worldscope Manual, Thomson One Banker, 2003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D5B90"/>
    <w:multiLevelType w:val="hybridMultilevel"/>
    <w:tmpl w:val="DC66DD6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
    <w:nsid w:val="13403AAC"/>
    <w:multiLevelType w:val="hybridMultilevel"/>
    <w:tmpl w:val="11541EC4"/>
    <w:lvl w:ilvl="0" w:tplc="04130011">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
    <w:nsid w:val="1B20466E"/>
    <w:multiLevelType w:val="hybridMultilevel"/>
    <w:tmpl w:val="A1ACF0B2"/>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
    <w:nsid w:val="1D341222"/>
    <w:multiLevelType w:val="hybridMultilevel"/>
    <w:tmpl w:val="DBB6788C"/>
    <w:lvl w:ilvl="0" w:tplc="CFACA56E">
      <w:start w:val="1"/>
      <w:numFmt w:val="bullet"/>
      <w:lvlText w:val=""/>
      <w:lvlJc w:val="left"/>
      <w:pPr>
        <w:ind w:left="720" w:hanging="360"/>
      </w:pPr>
      <w:rPr>
        <w:rFonts w:ascii="Wingdings" w:eastAsia="Times New Roman"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0EA3C6A"/>
    <w:multiLevelType w:val="hybridMultilevel"/>
    <w:tmpl w:val="73922E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F6792B"/>
    <w:multiLevelType w:val="hybridMultilevel"/>
    <w:tmpl w:val="1FE87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DA11503"/>
    <w:multiLevelType w:val="hybridMultilevel"/>
    <w:tmpl w:val="CA941B04"/>
    <w:lvl w:ilvl="0" w:tplc="0638D054">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9835931"/>
    <w:multiLevelType w:val="hybridMultilevel"/>
    <w:tmpl w:val="803A9098"/>
    <w:lvl w:ilvl="0" w:tplc="874629EA">
      <w:start w:val="1"/>
      <w:numFmt w:val="bullet"/>
      <w:lvlText w:val=""/>
      <w:lvlJc w:val="left"/>
      <w:pPr>
        <w:ind w:left="720" w:hanging="360"/>
      </w:pPr>
      <w:rPr>
        <w:rFonts w:ascii="Symbol" w:eastAsia="Times New Roman"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4CC02BE6"/>
    <w:multiLevelType w:val="multilevel"/>
    <w:tmpl w:val="C838A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F5D5ADF"/>
    <w:multiLevelType w:val="hybridMultilevel"/>
    <w:tmpl w:val="AA8E9D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4FF82102"/>
    <w:multiLevelType w:val="hybridMultilevel"/>
    <w:tmpl w:val="7AD0DD1E"/>
    <w:lvl w:ilvl="0" w:tplc="36F24AEA">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527E78BA"/>
    <w:multiLevelType w:val="hybridMultilevel"/>
    <w:tmpl w:val="AE00D174"/>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4EA5AD8"/>
    <w:multiLevelType w:val="hybridMultilevel"/>
    <w:tmpl w:val="8DE411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652F030D"/>
    <w:multiLevelType w:val="hybridMultilevel"/>
    <w:tmpl w:val="9C0028D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673E1224"/>
    <w:multiLevelType w:val="hybridMultilevel"/>
    <w:tmpl w:val="BE66C754"/>
    <w:lvl w:ilvl="0" w:tplc="DB5ACFF0">
      <w:start w:val="1"/>
      <w:numFmt w:val="decimal"/>
      <w:lvlText w:val="(%1)"/>
      <w:lvlJc w:val="left"/>
      <w:pPr>
        <w:ind w:left="1800" w:hanging="108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5">
    <w:nsid w:val="71EA6CBD"/>
    <w:multiLevelType w:val="hybridMultilevel"/>
    <w:tmpl w:val="3E98E19A"/>
    <w:lvl w:ilvl="0" w:tplc="18749CF8">
      <w:start w:val="1"/>
      <w:numFmt w:val="bullet"/>
      <w:lvlText w:val="-"/>
      <w:lvlJc w:val="left"/>
      <w:pPr>
        <w:ind w:left="1931" w:hanging="360"/>
      </w:pPr>
      <w:rPr>
        <w:rFonts w:ascii="Arial" w:eastAsia="Times New Roman" w:hAnsi="Arial" w:hint="default"/>
      </w:rPr>
    </w:lvl>
    <w:lvl w:ilvl="1" w:tplc="04090003" w:tentative="1">
      <w:start w:val="1"/>
      <w:numFmt w:val="bullet"/>
      <w:lvlText w:val="o"/>
      <w:lvlJc w:val="left"/>
      <w:pPr>
        <w:ind w:left="2651" w:hanging="360"/>
      </w:pPr>
      <w:rPr>
        <w:rFonts w:ascii="Courier New" w:hAnsi="Courier New" w:hint="default"/>
      </w:rPr>
    </w:lvl>
    <w:lvl w:ilvl="2" w:tplc="04090005" w:tentative="1">
      <w:start w:val="1"/>
      <w:numFmt w:val="bullet"/>
      <w:lvlText w:val=""/>
      <w:lvlJc w:val="left"/>
      <w:pPr>
        <w:ind w:left="3371" w:hanging="360"/>
      </w:pPr>
      <w:rPr>
        <w:rFonts w:ascii="Wingdings" w:hAnsi="Wingdings" w:hint="default"/>
      </w:rPr>
    </w:lvl>
    <w:lvl w:ilvl="3" w:tplc="04090001" w:tentative="1">
      <w:start w:val="1"/>
      <w:numFmt w:val="bullet"/>
      <w:lvlText w:val=""/>
      <w:lvlJc w:val="left"/>
      <w:pPr>
        <w:ind w:left="4091" w:hanging="360"/>
      </w:pPr>
      <w:rPr>
        <w:rFonts w:ascii="Symbol" w:hAnsi="Symbol" w:hint="default"/>
      </w:rPr>
    </w:lvl>
    <w:lvl w:ilvl="4" w:tplc="04090003" w:tentative="1">
      <w:start w:val="1"/>
      <w:numFmt w:val="bullet"/>
      <w:lvlText w:val="o"/>
      <w:lvlJc w:val="left"/>
      <w:pPr>
        <w:ind w:left="4811" w:hanging="360"/>
      </w:pPr>
      <w:rPr>
        <w:rFonts w:ascii="Courier New" w:hAnsi="Courier New" w:hint="default"/>
      </w:rPr>
    </w:lvl>
    <w:lvl w:ilvl="5" w:tplc="04090005" w:tentative="1">
      <w:start w:val="1"/>
      <w:numFmt w:val="bullet"/>
      <w:lvlText w:val=""/>
      <w:lvlJc w:val="left"/>
      <w:pPr>
        <w:ind w:left="5531" w:hanging="360"/>
      </w:pPr>
      <w:rPr>
        <w:rFonts w:ascii="Wingdings" w:hAnsi="Wingdings" w:hint="default"/>
      </w:rPr>
    </w:lvl>
    <w:lvl w:ilvl="6" w:tplc="04090001" w:tentative="1">
      <w:start w:val="1"/>
      <w:numFmt w:val="bullet"/>
      <w:lvlText w:val=""/>
      <w:lvlJc w:val="left"/>
      <w:pPr>
        <w:ind w:left="6251" w:hanging="360"/>
      </w:pPr>
      <w:rPr>
        <w:rFonts w:ascii="Symbol" w:hAnsi="Symbol" w:hint="default"/>
      </w:rPr>
    </w:lvl>
    <w:lvl w:ilvl="7" w:tplc="04090003" w:tentative="1">
      <w:start w:val="1"/>
      <w:numFmt w:val="bullet"/>
      <w:lvlText w:val="o"/>
      <w:lvlJc w:val="left"/>
      <w:pPr>
        <w:ind w:left="6971" w:hanging="360"/>
      </w:pPr>
      <w:rPr>
        <w:rFonts w:ascii="Courier New" w:hAnsi="Courier New" w:hint="default"/>
      </w:rPr>
    </w:lvl>
    <w:lvl w:ilvl="8" w:tplc="04090005" w:tentative="1">
      <w:start w:val="1"/>
      <w:numFmt w:val="bullet"/>
      <w:lvlText w:val=""/>
      <w:lvlJc w:val="left"/>
      <w:pPr>
        <w:ind w:left="7691" w:hanging="360"/>
      </w:pPr>
      <w:rPr>
        <w:rFonts w:ascii="Wingdings" w:hAnsi="Wingdings" w:hint="default"/>
      </w:rPr>
    </w:lvl>
  </w:abstractNum>
  <w:abstractNum w:abstractNumId="16">
    <w:nsid w:val="7B3E3E1B"/>
    <w:multiLevelType w:val="hybridMultilevel"/>
    <w:tmpl w:val="845AF34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4"/>
  </w:num>
  <w:num w:numId="2">
    <w:abstractNumId w:val="15"/>
  </w:num>
  <w:num w:numId="3">
    <w:abstractNumId w:val="6"/>
  </w:num>
  <w:num w:numId="4">
    <w:abstractNumId w:val="12"/>
  </w:num>
  <w:num w:numId="5">
    <w:abstractNumId w:val="13"/>
  </w:num>
  <w:num w:numId="6">
    <w:abstractNumId w:val="9"/>
  </w:num>
  <w:num w:numId="7">
    <w:abstractNumId w:val="4"/>
  </w:num>
  <w:num w:numId="8">
    <w:abstractNumId w:val="5"/>
  </w:num>
  <w:num w:numId="9">
    <w:abstractNumId w:val="11"/>
  </w:num>
  <w:num w:numId="10">
    <w:abstractNumId w:val="3"/>
  </w:num>
  <w:num w:numId="11">
    <w:abstractNumId w:val="7"/>
  </w:num>
  <w:num w:numId="12">
    <w:abstractNumId w:val="10"/>
  </w:num>
  <w:num w:numId="13">
    <w:abstractNumId w:val="0"/>
  </w:num>
  <w:num w:numId="14">
    <w:abstractNumId w:val="2"/>
  </w:num>
  <w:num w:numId="15">
    <w:abstractNumId w:val="8"/>
  </w:num>
  <w:num w:numId="16">
    <w:abstractNumId w:val="16"/>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94509"/>
    <w:rsid w:val="00006741"/>
    <w:rsid w:val="000072FC"/>
    <w:rsid w:val="00007596"/>
    <w:rsid w:val="000076D6"/>
    <w:rsid w:val="00007EA1"/>
    <w:rsid w:val="00011858"/>
    <w:rsid w:val="0001213F"/>
    <w:rsid w:val="00012B3C"/>
    <w:rsid w:val="00014F8F"/>
    <w:rsid w:val="000153EC"/>
    <w:rsid w:val="00016C78"/>
    <w:rsid w:val="00017A87"/>
    <w:rsid w:val="00020003"/>
    <w:rsid w:val="00021716"/>
    <w:rsid w:val="00026010"/>
    <w:rsid w:val="00026383"/>
    <w:rsid w:val="0003101A"/>
    <w:rsid w:val="00036720"/>
    <w:rsid w:val="0004060A"/>
    <w:rsid w:val="000409A4"/>
    <w:rsid w:val="00041A2A"/>
    <w:rsid w:val="00043C51"/>
    <w:rsid w:val="00044B41"/>
    <w:rsid w:val="00045146"/>
    <w:rsid w:val="00047E6C"/>
    <w:rsid w:val="000501AC"/>
    <w:rsid w:val="000501E5"/>
    <w:rsid w:val="00051C82"/>
    <w:rsid w:val="00052CA2"/>
    <w:rsid w:val="00053721"/>
    <w:rsid w:val="000556BC"/>
    <w:rsid w:val="00055982"/>
    <w:rsid w:val="0006006A"/>
    <w:rsid w:val="00060BFF"/>
    <w:rsid w:val="00060C92"/>
    <w:rsid w:val="00062FAD"/>
    <w:rsid w:val="0006604A"/>
    <w:rsid w:val="000662D5"/>
    <w:rsid w:val="0006633B"/>
    <w:rsid w:val="00066DFA"/>
    <w:rsid w:val="000674BB"/>
    <w:rsid w:val="000678C7"/>
    <w:rsid w:val="00071A40"/>
    <w:rsid w:val="00072BCF"/>
    <w:rsid w:val="000732EA"/>
    <w:rsid w:val="000735CB"/>
    <w:rsid w:val="00074FDF"/>
    <w:rsid w:val="000763C3"/>
    <w:rsid w:val="00076456"/>
    <w:rsid w:val="000820DF"/>
    <w:rsid w:val="00083BFA"/>
    <w:rsid w:val="00086BB4"/>
    <w:rsid w:val="00087DB5"/>
    <w:rsid w:val="0009069C"/>
    <w:rsid w:val="0009128C"/>
    <w:rsid w:val="000912C3"/>
    <w:rsid w:val="00096BAE"/>
    <w:rsid w:val="00096F54"/>
    <w:rsid w:val="000A0B8E"/>
    <w:rsid w:val="000A1881"/>
    <w:rsid w:val="000A4F73"/>
    <w:rsid w:val="000A557E"/>
    <w:rsid w:val="000A593D"/>
    <w:rsid w:val="000A596A"/>
    <w:rsid w:val="000B1F70"/>
    <w:rsid w:val="000B30BA"/>
    <w:rsid w:val="000B3E52"/>
    <w:rsid w:val="000B4A3F"/>
    <w:rsid w:val="000B4F7E"/>
    <w:rsid w:val="000B512A"/>
    <w:rsid w:val="000B5704"/>
    <w:rsid w:val="000B6F78"/>
    <w:rsid w:val="000B7508"/>
    <w:rsid w:val="000B75F2"/>
    <w:rsid w:val="000C1BF4"/>
    <w:rsid w:val="000C3672"/>
    <w:rsid w:val="000C3C4F"/>
    <w:rsid w:val="000C756B"/>
    <w:rsid w:val="000D00CF"/>
    <w:rsid w:val="000D2863"/>
    <w:rsid w:val="000D3E91"/>
    <w:rsid w:val="000D4307"/>
    <w:rsid w:val="000D4A79"/>
    <w:rsid w:val="000D5614"/>
    <w:rsid w:val="000D5C5E"/>
    <w:rsid w:val="000D634F"/>
    <w:rsid w:val="000D7580"/>
    <w:rsid w:val="000E08AF"/>
    <w:rsid w:val="000E7117"/>
    <w:rsid w:val="000E718D"/>
    <w:rsid w:val="000E7227"/>
    <w:rsid w:val="000F0A60"/>
    <w:rsid w:val="000F0EF4"/>
    <w:rsid w:val="000F11E0"/>
    <w:rsid w:val="000F3373"/>
    <w:rsid w:val="000F461C"/>
    <w:rsid w:val="000F4AAD"/>
    <w:rsid w:val="000F5AFC"/>
    <w:rsid w:val="00103477"/>
    <w:rsid w:val="00110298"/>
    <w:rsid w:val="00115D85"/>
    <w:rsid w:val="00117BF8"/>
    <w:rsid w:val="00120EF6"/>
    <w:rsid w:val="0012266E"/>
    <w:rsid w:val="001233BE"/>
    <w:rsid w:val="00123448"/>
    <w:rsid w:val="00125334"/>
    <w:rsid w:val="001302BB"/>
    <w:rsid w:val="0013163F"/>
    <w:rsid w:val="001328C1"/>
    <w:rsid w:val="0013412C"/>
    <w:rsid w:val="00140505"/>
    <w:rsid w:val="00140801"/>
    <w:rsid w:val="001408B1"/>
    <w:rsid w:val="00141DC8"/>
    <w:rsid w:val="00141E31"/>
    <w:rsid w:val="00142ADA"/>
    <w:rsid w:val="00142EB6"/>
    <w:rsid w:val="00142F7D"/>
    <w:rsid w:val="00143199"/>
    <w:rsid w:val="00151125"/>
    <w:rsid w:val="00152839"/>
    <w:rsid w:val="00153B17"/>
    <w:rsid w:val="00153DA9"/>
    <w:rsid w:val="00153E64"/>
    <w:rsid w:val="00155D14"/>
    <w:rsid w:val="00157AF9"/>
    <w:rsid w:val="001607E2"/>
    <w:rsid w:val="00162E27"/>
    <w:rsid w:val="0016643B"/>
    <w:rsid w:val="00166EF4"/>
    <w:rsid w:val="0016783F"/>
    <w:rsid w:val="00170DF3"/>
    <w:rsid w:val="0017210F"/>
    <w:rsid w:val="00174CD3"/>
    <w:rsid w:val="00176DE3"/>
    <w:rsid w:val="001771F2"/>
    <w:rsid w:val="00177A74"/>
    <w:rsid w:val="00181D27"/>
    <w:rsid w:val="00182C45"/>
    <w:rsid w:val="00183AA3"/>
    <w:rsid w:val="001858B4"/>
    <w:rsid w:val="0018659B"/>
    <w:rsid w:val="00186615"/>
    <w:rsid w:val="00186686"/>
    <w:rsid w:val="001866B4"/>
    <w:rsid w:val="0018714D"/>
    <w:rsid w:val="00187690"/>
    <w:rsid w:val="00190D80"/>
    <w:rsid w:val="00190E97"/>
    <w:rsid w:val="001918FC"/>
    <w:rsid w:val="00191ABF"/>
    <w:rsid w:val="001922C0"/>
    <w:rsid w:val="0019331F"/>
    <w:rsid w:val="001936F0"/>
    <w:rsid w:val="001945F6"/>
    <w:rsid w:val="001954CA"/>
    <w:rsid w:val="00197EC3"/>
    <w:rsid w:val="001A017B"/>
    <w:rsid w:val="001A1B4F"/>
    <w:rsid w:val="001A7514"/>
    <w:rsid w:val="001A789F"/>
    <w:rsid w:val="001A7F0A"/>
    <w:rsid w:val="001B014D"/>
    <w:rsid w:val="001B0D1D"/>
    <w:rsid w:val="001B3359"/>
    <w:rsid w:val="001B5394"/>
    <w:rsid w:val="001B56C0"/>
    <w:rsid w:val="001C5AB1"/>
    <w:rsid w:val="001C6E32"/>
    <w:rsid w:val="001D4A1D"/>
    <w:rsid w:val="001D682B"/>
    <w:rsid w:val="001D7886"/>
    <w:rsid w:val="001E0DF3"/>
    <w:rsid w:val="001E4832"/>
    <w:rsid w:val="001E706F"/>
    <w:rsid w:val="001E773E"/>
    <w:rsid w:val="001F040D"/>
    <w:rsid w:val="001F290C"/>
    <w:rsid w:val="001F2C7D"/>
    <w:rsid w:val="001F5534"/>
    <w:rsid w:val="001F7322"/>
    <w:rsid w:val="00200FA8"/>
    <w:rsid w:val="00201A0D"/>
    <w:rsid w:val="0020794F"/>
    <w:rsid w:val="002100B4"/>
    <w:rsid w:val="002123A5"/>
    <w:rsid w:val="002133E3"/>
    <w:rsid w:val="0021442F"/>
    <w:rsid w:val="00216C6A"/>
    <w:rsid w:val="002209E2"/>
    <w:rsid w:val="00220CF0"/>
    <w:rsid w:val="00224643"/>
    <w:rsid w:val="00224BF8"/>
    <w:rsid w:val="00225568"/>
    <w:rsid w:val="00232C4F"/>
    <w:rsid w:val="0023569B"/>
    <w:rsid w:val="00235C58"/>
    <w:rsid w:val="002369C5"/>
    <w:rsid w:val="00236C8C"/>
    <w:rsid w:val="00241B6E"/>
    <w:rsid w:val="00242131"/>
    <w:rsid w:val="002464B6"/>
    <w:rsid w:val="002466A8"/>
    <w:rsid w:val="00250F05"/>
    <w:rsid w:val="00251874"/>
    <w:rsid w:val="0025222E"/>
    <w:rsid w:val="00252AA6"/>
    <w:rsid w:val="002548FB"/>
    <w:rsid w:val="0026244F"/>
    <w:rsid w:val="00262588"/>
    <w:rsid w:val="00262AB9"/>
    <w:rsid w:val="0026339E"/>
    <w:rsid w:val="0026456A"/>
    <w:rsid w:val="00264E67"/>
    <w:rsid w:val="00265DFC"/>
    <w:rsid w:val="002665E3"/>
    <w:rsid w:val="002716D3"/>
    <w:rsid w:val="00272CBD"/>
    <w:rsid w:val="00272D30"/>
    <w:rsid w:val="0027626D"/>
    <w:rsid w:val="00280BE0"/>
    <w:rsid w:val="002838E0"/>
    <w:rsid w:val="00286125"/>
    <w:rsid w:val="00287258"/>
    <w:rsid w:val="00291CF7"/>
    <w:rsid w:val="00292E86"/>
    <w:rsid w:val="002930ED"/>
    <w:rsid w:val="002935E1"/>
    <w:rsid w:val="00293FC5"/>
    <w:rsid w:val="00295DF3"/>
    <w:rsid w:val="002964F2"/>
    <w:rsid w:val="00297774"/>
    <w:rsid w:val="002A6380"/>
    <w:rsid w:val="002A68D7"/>
    <w:rsid w:val="002A7511"/>
    <w:rsid w:val="002B00D1"/>
    <w:rsid w:val="002B0185"/>
    <w:rsid w:val="002B2229"/>
    <w:rsid w:val="002B4AEF"/>
    <w:rsid w:val="002B5045"/>
    <w:rsid w:val="002B7113"/>
    <w:rsid w:val="002B74AB"/>
    <w:rsid w:val="002B7C48"/>
    <w:rsid w:val="002C2470"/>
    <w:rsid w:val="002C6C7B"/>
    <w:rsid w:val="002D0F96"/>
    <w:rsid w:val="002D35E1"/>
    <w:rsid w:val="002E385B"/>
    <w:rsid w:val="002E4826"/>
    <w:rsid w:val="002E4E30"/>
    <w:rsid w:val="002E56B9"/>
    <w:rsid w:val="002E62D0"/>
    <w:rsid w:val="002E64E1"/>
    <w:rsid w:val="002E66FF"/>
    <w:rsid w:val="002E768B"/>
    <w:rsid w:val="002E795D"/>
    <w:rsid w:val="002E7C39"/>
    <w:rsid w:val="002F29DF"/>
    <w:rsid w:val="002F3C26"/>
    <w:rsid w:val="002F3FBA"/>
    <w:rsid w:val="002F58A2"/>
    <w:rsid w:val="002F79E9"/>
    <w:rsid w:val="00300A98"/>
    <w:rsid w:val="003010F5"/>
    <w:rsid w:val="003017EB"/>
    <w:rsid w:val="00310090"/>
    <w:rsid w:val="00312EC0"/>
    <w:rsid w:val="00314A85"/>
    <w:rsid w:val="00314AD2"/>
    <w:rsid w:val="00315988"/>
    <w:rsid w:val="00315D26"/>
    <w:rsid w:val="0031603F"/>
    <w:rsid w:val="0031723B"/>
    <w:rsid w:val="00321130"/>
    <w:rsid w:val="00321B89"/>
    <w:rsid w:val="00321C59"/>
    <w:rsid w:val="00321C86"/>
    <w:rsid w:val="00322B9C"/>
    <w:rsid w:val="003233C5"/>
    <w:rsid w:val="00323CDE"/>
    <w:rsid w:val="00324F46"/>
    <w:rsid w:val="003258A1"/>
    <w:rsid w:val="00325F59"/>
    <w:rsid w:val="00326210"/>
    <w:rsid w:val="0032642F"/>
    <w:rsid w:val="00327807"/>
    <w:rsid w:val="00330557"/>
    <w:rsid w:val="0033169A"/>
    <w:rsid w:val="00331A89"/>
    <w:rsid w:val="00333BBE"/>
    <w:rsid w:val="0033458E"/>
    <w:rsid w:val="00334F9E"/>
    <w:rsid w:val="00336D38"/>
    <w:rsid w:val="00342B7B"/>
    <w:rsid w:val="00343B6A"/>
    <w:rsid w:val="00344334"/>
    <w:rsid w:val="00347174"/>
    <w:rsid w:val="00347F9B"/>
    <w:rsid w:val="003528F6"/>
    <w:rsid w:val="00352D58"/>
    <w:rsid w:val="003543E4"/>
    <w:rsid w:val="00355D26"/>
    <w:rsid w:val="00355EEF"/>
    <w:rsid w:val="00357B9F"/>
    <w:rsid w:val="003602FF"/>
    <w:rsid w:val="0036103B"/>
    <w:rsid w:val="00361884"/>
    <w:rsid w:val="00361D48"/>
    <w:rsid w:val="0036229D"/>
    <w:rsid w:val="00363ECB"/>
    <w:rsid w:val="0036571B"/>
    <w:rsid w:val="00367D1D"/>
    <w:rsid w:val="00373018"/>
    <w:rsid w:val="00377595"/>
    <w:rsid w:val="00381598"/>
    <w:rsid w:val="00381EEA"/>
    <w:rsid w:val="00382B2D"/>
    <w:rsid w:val="00382EAC"/>
    <w:rsid w:val="00383620"/>
    <w:rsid w:val="00383EF3"/>
    <w:rsid w:val="00385706"/>
    <w:rsid w:val="00387134"/>
    <w:rsid w:val="00387CF1"/>
    <w:rsid w:val="0039225A"/>
    <w:rsid w:val="003924E5"/>
    <w:rsid w:val="003925CE"/>
    <w:rsid w:val="00392B0C"/>
    <w:rsid w:val="003936EA"/>
    <w:rsid w:val="003939C5"/>
    <w:rsid w:val="00393B1A"/>
    <w:rsid w:val="00393BD5"/>
    <w:rsid w:val="003944DE"/>
    <w:rsid w:val="00394CCA"/>
    <w:rsid w:val="003A1299"/>
    <w:rsid w:val="003A1BED"/>
    <w:rsid w:val="003A2976"/>
    <w:rsid w:val="003A3E2F"/>
    <w:rsid w:val="003A400D"/>
    <w:rsid w:val="003A5E12"/>
    <w:rsid w:val="003A7790"/>
    <w:rsid w:val="003B7D6F"/>
    <w:rsid w:val="003C21D4"/>
    <w:rsid w:val="003C5602"/>
    <w:rsid w:val="003C5E56"/>
    <w:rsid w:val="003C641B"/>
    <w:rsid w:val="003D1A8F"/>
    <w:rsid w:val="003D3705"/>
    <w:rsid w:val="003D52CF"/>
    <w:rsid w:val="003D605D"/>
    <w:rsid w:val="003D6516"/>
    <w:rsid w:val="003D6A07"/>
    <w:rsid w:val="003E0837"/>
    <w:rsid w:val="003E163B"/>
    <w:rsid w:val="003E3EF7"/>
    <w:rsid w:val="003E5286"/>
    <w:rsid w:val="003F017E"/>
    <w:rsid w:val="003F0C8A"/>
    <w:rsid w:val="003F1193"/>
    <w:rsid w:val="003F1E0C"/>
    <w:rsid w:val="003F2035"/>
    <w:rsid w:val="003F2E5B"/>
    <w:rsid w:val="003F3043"/>
    <w:rsid w:val="003F46D2"/>
    <w:rsid w:val="003F551A"/>
    <w:rsid w:val="0040059F"/>
    <w:rsid w:val="004008DA"/>
    <w:rsid w:val="00401DCE"/>
    <w:rsid w:val="00402F5D"/>
    <w:rsid w:val="004053DD"/>
    <w:rsid w:val="004055A4"/>
    <w:rsid w:val="00407A07"/>
    <w:rsid w:val="00410223"/>
    <w:rsid w:val="004106ED"/>
    <w:rsid w:val="00410B97"/>
    <w:rsid w:val="00411389"/>
    <w:rsid w:val="0041235E"/>
    <w:rsid w:val="00412F02"/>
    <w:rsid w:val="00413309"/>
    <w:rsid w:val="00416885"/>
    <w:rsid w:val="00416C7A"/>
    <w:rsid w:val="004172A7"/>
    <w:rsid w:val="0042101C"/>
    <w:rsid w:val="00421BFC"/>
    <w:rsid w:val="00421C67"/>
    <w:rsid w:val="00426053"/>
    <w:rsid w:val="00426D58"/>
    <w:rsid w:val="00426F29"/>
    <w:rsid w:val="00433A19"/>
    <w:rsid w:val="00433D5C"/>
    <w:rsid w:val="004347D1"/>
    <w:rsid w:val="00435500"/>
    <w:rsid w:val="00440BFC"/>
    <w:rsid w:val="00442DB4"/>
    <w:rsid w:val="0044327D"/>
    <w:rsid w:val="0044365D"/>
    <w:rsid w:val="00445B6D"/>
    <w:rsid w:val="00450714"/>
    <w:rsid w:val="00454036"/>
    <w:rsid w:val="004564FC"/>
    <w:rsid w:val="00456C22"/>
    <w:rsid w:val="00462FDA"/>
    <w:rsid w:val="00463301"/>
    <w:rsid w:val="00466423"/>
    <w:rsid w:val="00466EA2"/>
    <w:rsid w:val="00470A1B"/>
    <w:rsid w:val="004712BB"/>
    <w:rsid w:val="00471A79"/>
    <w:rsid w:val="00471B74"/>
    <w:rsid w:val="00472B2B"/>
    <w:rsid w:val="00473097"/>
    <w:rsid w:val="004731E7"/>
    <w:rsid w:val="0047499B"/>
    <w:rsid w:val="00474E48"/>
    <w:rsid w:val="00480200"/>
    <w:rsid w:val="00480EAF"/>
    <w:rsid w:val="00481848"/>
    <w:rsid w:val="004844A5"/>
    <w:rsid w:val="00484B9F"/>
    <w:rsid w:val="00485002"/>
    <w:rsid w:val="00487355"/>
    <w:rsid w:val="00491B42"/>
    <w:rsid w:val="00492E45"/>
    <w:rsid w:val="004938F1"/>
    <w:rsid w:val="0049396A"/>
    <w:rsid w:val="00493F3D"/>
    <w:rsid w:val="00494AA8"/>
    <w:rsid w:val="00495850"/>
    <w:rsid w:val="004958D4"/>
    <w:rsid w:val="004A5377"/>
    <w:rsid w:val="004B1008"/>
    <w:rsid w:val="004B119F"/>
    <w:rsid w:val="004B1585"/>
    <w:rsid w:val="004B349B"/>
    <w:rsid w:val="004B5FDE"/>
    <w:rsid w:val="004B6338"/>
    <w:rsid w:val="004C179D"/>
    <w:rsid w:val="004C2469"/>
    <w:rsid w:val="004C456F"/>
    <w:rsid w:val="004C5935"/>
    <w:rsid w:val="004C654E"/>
    <w:rsid w:val="004C6F16"/>
    <w:rsid w:val="004D1256"/>
    <w:rsid w:val="004D28E9"/>
    <w:rsid w:val="004D2A6D"/>
    <w:rsid w:val="004D3CCC"/>
    <w:rsid w:val="004D7137"/>
    <w:rsid w:val="004D7EE9"/>
    <w:rsid w:val="004E02F2"/>
    <w:rsid w:val="004E2671"/>
    <w:rsid w:val="004E30FC"/>
    <w:rsid w:val="004E3635"/>
    <w:rsid w:val="004E3DFC"/>
    <w:rsid w:val="004E5712"/>
    <w:rsid w:val="004F2200"/>
    <w:rsid w:val="004F5434"/>
    <w:rsid w:val="004F6BF2"/>
    <w:rsid w:val="004F6E7F"/>
    <w:rsid w:val="004F6FB0"/>
    <w:rsid w:val="0050202D"/>
    <w:rsid w:val="00502A97"/>
    <w:rsid w:val="0050319B"/>
    <w:rsid w:val="005043C0"/>
    <w:rsid w:val="0050699C"/>
    <w:rsid w:val="00506DED"/>
    <w:rsid w:val="0051176B"/>
    <w:rsid w:val="00511E42"/>
    <w:rsid w:val="00512935"/>
    <w:rsid w:val="00515ED7"/>
    <w:rsid w:val="00516350"/>
    <w:rsid w:val="00516D7C"/>
    <w:rsid w:val="005177AF"/>
    <w:rsid w:val="00520852"/>
    <w:rsid w:val="00520F8F"/>
    <w:rsid w:val="00523096"/>
    <w:rsid w:val="00523DA4"/>
    <w:rsid w:val="00524320"/>
    <w:rsid w:val="00525422"/>
    <w:rsid w:val="00527FA0"/>
    <w:rsid w:val="00532A79"/>
    <w:rsid w:val="0053331E"/>
    <w:rsid w:val="00536CD2"/>
    <w:rsid w:val="005408CC"/>
    <w:rsid w:val="00540B57"/>
    <w:rsid w:val="00541D19"/>
    <w:rsid w:val="005428D5"/>
    <w:rsid w:val="005436D4"/>
    <w:rsid w:val="00543B77"/>
    <w:rsid w:val="00544566"/>
    <w:rsid w:val="00544897"/>
    <w:rsid w:val="00546760"/>
    <w:rsid w:val="00546FE1"/>
    <w:rsid w:val="005470B0"/>
    <w:rsid w:val="0055148E"/>
    <w:rsid w:val="00552783"/>
    <w:rsid w:val="00554609"/>
    <w:rsid w:val="005563C3"/>
    <w:rsid w:val="00556608"/>
    <w:rsid w:val="00557B2F"/>
    <w:rsid w:val="00561B18"/>
    <w:rsid w:val="00561C1C"/>
    <w:rsid w:val="00563AE6"/>
    <w:rsid w:val="005640D3"/>
    <w:rsid w:val="00566B6C"/>
    <w:rsid w:val="00567E9D"/>
    <w:rsid w:val="005713D4"/>
    <w:rsid w:val="005714C1"/>
    <w:rsid w:val="00571B5C"/>
    <w:rsid w:val="00571FF0"/>
    <w:rsid w:val="00574CBF"/>
    <w:rsid w:val="00574CFC"/>
    <w:rsid w:val="00576462"/>
    <w:rsid w:val="00581E2D"/>
    <w:rsid w:val="00582551"/>
    <w:rsid w:val="00584DA7"/>
    <w:rsid w:val="00586A84"/>
    <w:rsid w:val="00587349"/>
    <w:rsid w:val="00590512"/>
    <w:rsid w:val="00590EE7"/>
    <w:rsid w:val="00594CFE"/>
    <w:rsid w:val="005A1862"/>
    <w:rsid w:val="005A7181"/>
    <w:rsid w:val="005B2249"/>
    <w:rsid w:val="005B49F2"/>
    <w:rsid w:val="005B4A44"/>
    <w:rsid w:val="005B5534"/>
    <w:rsid w:val="005B5744"/>
    <w:rsid w:val="005B778D"/>
    <w:rsid w:val="005C3DFE"/>
    <w:rsid w:val="005C4B09"/>
    <w:rsid w:val="005C4E92"/>
    <w:rsid w:val="005C7A4F"/>
    <w:rsid w:val="005D0667"/>
    <w:rsid w:val="005D0890"/>
    <w:rsid w:val="005D0B07"/>
    <w:rsid w:val="005D2A16"/>
    <w:rsid w:val="005D3270"/>
    <w:rsid w:val="005D6B45"/>
    <w:rsid w:val="005D789E"/>
    <w:rsid w:val="005D7E27"/>
    <w:rsid w:val="005E0888"/>
    <w:rsid w:val="005E0BB3"/>
    <w:rsid w:val="005E29AE"/>
    <w:rsid w:val="005E3383"/>
    <w:rsid w:val="005E68D3"/>
    <w:rsid w:val="005E773C"/>
    <w:rsid w:val="005F28B6"/>
    <w:rsid w:val="005F342D"/>
    <w:rsid w:val="005F37E0"/>
    <w:rsid w:val="005F45AA"/>
    <w:rsid w:val="005F525D"/>
    <w:rsid w:val="005F6EA3"/>
    <w:rsid w:val="006004B1"/>
    <w:rsid w:val="00600F4E"/>
    <w:rsid w:val="00604C73"/>
    <w:rsid w:val="00605732"/>
    <w:rsid w:val="00606719"/>
    <w:rsid w:val="0061079A"/>
    <w:rsid w:val="00611535"/>
    <w:rsid w:val="0061403F"/>
    <w:rsid w:val="006174B3"/>
    <w:rsid w:val="00620597"/>
    <w:rsid w:val="006217BC"/>
    <w:rsid w:val="00625699"/>
    <w:rsid w:val="00626046"/>
    <w:rsid w:val="006260D2"/>
    <w:rsid w:val="0062649C"/>
    <w:rsid w:val="00627904"/>
    <w:rsid w:val="006300D1"/>
    <w:rsid w:val="006340A8"/>
    <w:rsid w:val="00634820"/>
    <w:rsid w:val="0063484C"/>
    <w:rsid w:val="006359E3"/>
    <w:rsid w:val="00635FBB"/>
    <w:rsid w:val="00636295"/>
    <w:rsid w:val="006379E6"/>
    <w:rsid w:val="00637E80"/>
    <w:rsid w:val="006416FE"/>
    <w:rsid w:val="006418D1"/>
    <w:rsid w:val="00641F0D"/>
    <w:rsid w:val="006427B7"/>
    <w:rsid w:val="006435B5"/>
    <w:rsid w:val="006458C2"/>
    <w:rsid w:val="00646A1E"/>
    <w:rsid w:val="00647E45"/>
    <w:rsid w:val="0065185F"/>
    <w:rsid w:val="006524D1"/>
    <w:rsid w:val="00655BD8"/>
    <w:rsid w:val="00656A7D"/>
    <w:rsid w:val="00657605"/>
    <w:rsid w:val="006605C1"/>
    <w:rsid w:val="00661F6D"/>
    <w:rsid w:val="00662A1E"/>
    <w:rsid w:val="006634CD"/>
    <w:rsid w:val="00666EBE"/>
    <w:rsid w:val="0066771B"/>
    <w:rsid w:val="00667DA6"/>
    <w:rsid w:val="00671C77"/>
    <w:rsid w:val="00672FC9"/>
    <w:rsid w:val="00673C80"/>
    <w:rsid w:val="00674F03"/>
    <w:rsid w:val="006764AB"/>
    <w:rsid w:val="0067663C"/>
    <w:rsid w:val="00680671"/>
    <w:rsid w:val="00682E78"/>
    <w:rsid w:val="0068316F"/>
    <w:rsid w:val="00684C14"/>
    <w:rsid w:val="00690ABA"/>
    <w:rsid w:val="0069333C"/>
    <w:rsid w:val="00695244"/>
    <w:rsid w:val="0069696E"/>
    <w:rsid w:val="00696DE9"/>
    <w:rsid w:val="006A3144"/>
    <w:rsid w:val="006A348F"/>
    <w:rsid w:val="006A57E0"/>
    <w:rsid w:val="006B1395"/>
    <w:rsid w:val="006B1926"/>
    <w:rsid w:val="006B2968"/>
    <w:rsid w:val="006B3E51"/>
    <w:rsid w:val="006B3E79"/>
    <w:rsid w:val="006B4580"/>
    <w:rsid w:val="006B6177"/>
    <w:rsid w:val="006C0DB4"/>
    <w:rsid w:val="006C27F9"/>
    <w:rsid w:val="006C316E"/>
    <w:rsid w:val="006C74BF"/>
    <w:rsid w:val="006C7D10"/>
    <w:rsid w:val="006D0E4D"/>
    <w:rsid w:val="006D33EC"/>
    <w:rsid w:val="006D520B"/>
    <w:rsid w:val="006D5347"/>
    <w:rsid w:val="006D5D3C"/>
    <w:rsid w:val="006D6823"/>
    <w:rsid w:val="006D6C5E"/>
    <w:rsid w:val="006D6C74"/>
    <w:rsid w:val="006E1591"/>
    <w:rsid w:val="006E31F1"/>
    <w:rsid w:val="006E38B9"/>
    <w:rsid w:val="006E4185"/>
    <w:rsid w:val="006E4A7A"/>
    <w:rsid w:val="006E7030"/>
    <w:rsid w:val="006F00AD"/>
    <w:rsid w:val="006F03D3"/>
    <w:rsid w:val="006F0A49"/>
    <w:rsid w:val="006F12EB"/>
    <w:rsid w:val="006F18AC"/>
    <w:rsid w:val="006F1D85"/>
    <w:rsid w:val="006F3FF9"/>
    <w:rsid w:val="006F4273"/>
    <w:rsid w:val="006F5B1C"/>
    <w:rsid w:val="00701AFC"/>
    <w:rsid w:val="00702B8F"/>
    <w:rsid w:val="00703F9A"/>
    <w:rsid w:val="00704000"/>
    <w:rsid w:val="0070436A"/>
    <w:rsid w:val="0070561A"/>
    <w:rsid w:val="00706CAC"/>
    <w:rsid w:val="0071143E"/>
    <w:rsid w:val="00712D46"/>
    <w:rsid w:val="0071300B"/>
    <w:rsid w:val="00713199"/>
    <w:rsid w:val="00713BA7"/>
    <w:rsid w:val="007142F3"/>
    <w:rsid w:val="00716C38"/>
    <w:rsid w:val="0072190B"/>
    <w:rsid w:val="0072318B"/>
    <w:rsid w:val="0072524D"/>
    <w:rsid w:val="00725EE8"/>
    <w:rsid w:val="00727BBB"/>
    <w:rsid w:val="00730D64"/>
    <w:rsid w:val="00731266"/>
    <w:rsid w:val="0073198F"/>
    <w:rsid w:val="007344B5"/>
    <w:rsid w:val="00735C16"/>
    <w:rsid w:val="0073665E"/>
    <w:rsid w:val="00740842"/>
    <w:rsid w:val="00742700"/>
    <w:rsid w:val="00742F49"/>
    <w:rsid w:val="007434C9"/>
    <w:rsid w:val="007463E8"/>
    <w:rsid w:val="00746738"/>
    <w:rsid w:val="00746836"/>
    <w:rsid w:val="00751CCF"/>
    <w:rsid w:val="00751DEF"/>
    <w:rsid w:val="00752606"/>
    <w:rsid w:val="007546C0"/>
    <w:rsid w:val="00754E73"/>
    <w:rsid w:val="00756175"/>
    <w:rsid w:val="00757574"/>
    <w:rsid w:val="0076028B"/>
    <w:rsid w:val="00763E92"/>
    <w:rsid w:val="00764A95"/>
    <w:rsid w:val="00773EFF"/>
    <w:rsid w:val="007764DF"/>
    <w:rsid w:val="00777239"/>
    <w:rsid w:val="00780062"/>
    <w:rsid w:val="00780E60"/>
    <w:rsid w:val="00782AD1"/>
    <w:rsid w:val="0078337B"/>
    <w:rsid w:val="00784BB7"/>
    <w:rsid w:val="00787191"/>
    <w:rsid w:val="007874CE"/>
    <w:rsid w:val="00791A5A"/>
    <w:rsid w:val="00791EC2"/>
    <w:rsid w:val="0079229C"/>
    <w:rsid w:val="00792B5F"/>
    <w:rsid w:val="007967A9"/>
    <w:rsid w:val="0079779B"/>
    <w:rsid w:val="007A63AA"/>
    <w:rsid w:val="007A69FC"/>
    <w:rsid w:val="007A74C0"/>
    <w:rsid w:val="007B068B"/>
    <w:rsid w:val="007B2FB6"/>
    <w:rsid w:val="007B3E41"/>
    <w:rsid w:val="007B65E1"/>
    <w:rsid w:val="007C08B2"/>
    <w:rsid w:val="007C0CAD"/>
    <w:rsid w:val="007C5909"/>
    <w:rsid w:val="007C5CE0"/>
    <w:rsid w:val="007C69B5"/>
    <w:rsid w:val="007D2119"/>
    <w:rsid w:val="007E025E"/>
    <w:rsid w:val="007E10AD"/>
    <w:rsid w:val="007E3A9E"/>
    <w:rsid w:val="007E3C5E"/>
    <w:rsid w:val="007E5258"/>
    <w:rsid w:val="007E5845"/>
    <w:rsid w:val="007E6D7B"/>
    <w:rsid w:val="007E7FA1"/>
    <w:rsid w:val="007F1569"/>
    <w:rsid w:val="007F318E"/>
    <w:rsid w:val="007F3995"/>
    <w:rsid w:val="007F437B"/>
    <w:rsid w:val="007F542F"/>
    <w:rsid w:val="007F6182"/>
    <w:rsid w:val="007F6973"/>
    <w:rsid w:val="007F6D0E"/>
    <w:rsid w:val="007F7481"/>
    <w:rsid w:val="00807010"/>
    <w:rsid w:val="0080727F"/>
    <w:rsid w:val="008116B8"/>
    <w:rsid w:val="00815235"/>
    <w:rsid w:val="0081689B"/>
    <w:rsid w:val="00817138"/>
    <w:rsid w:val="00820164"/>
    <w:rsid w:val="008205A5"/>
    <w:rsid w:val="00821016"/>
    <w:rsid w:val="00822675"/>
    <w:rsid w:val="008238C8"/>
    <w:rsid w:val="00823E56"/>
    <w:rsid w:val="00830A46"/>
    <w:rsid w:val="0083172F"/>
    <w:rsid w:val="00831C54"/>
    <w:rsid w:val="00832004"/>
    <w:rsid w:val="0083384C"/>
    <w:rsid w:val="008343F2"/>
    <w:rsid w:val="00834482"/>
    <w:rsid w:val="00835828"/>
    <w:rsid w:val="00835D2C"/>
    <w:rsid w:val="0084174E"/>
    <w:rsid w:val="00842346"/>
    <w:rsid w:val="00843A39"/>
    <w:rsid w:val="00843A81"/>
    <w:rsid w:val="00844209"/>
    <w:rsid w:val="00845823"/>
    <w:rsid w:val="00845CAF"/>
    <w:rsid w:val="008462DC"/>
    <w:rsid w:val="00846758"/>
    <w:rsid w:val="00852301"/>
    <w:rsid w:val="008525FA"/>
    <w:rsid w:val="00854146"/>
    <w:rsid w:val="008566BB"/>
    <w:rsid w:val="00857C07"/>
    <w:rsid w:val="00861193"/>
    <w:rsid w:val="008622D3"/>
    <w:rsid w:val="008625AF"/>
    <w:rsid w:val="00862BB1"/>
    <w:rsid w:val="0086550B"/>
    <w:rsid w:val="00865F11"/>
    <w:rsid w:val="00871BD5"/>
    <w:rsid w:val="00873274"/>
    <w:rsid w:val="00874A5D"/>
    <w:rsid w:val="00874B8E"/>
    <w:rsid w:val="00877CDB"/>
    <w:rsid w:val="008803C5"/>
    <w:rsid w:val="00881631"/>
    <w:rsid w:val="00885985"/>
    <w:rsid w:val="00887A16"/>
    <w:rsid w:val="00891C7C"/>
    <w:rsid w:val="00891D3C"/>
    <w:rsid w:val="00891DFE"/>
    <w:rsid w:val="008926E4"/>
    <w:rsid w:val="00892906"/>
    <w:rsid w:val="00894767"/>
    <w:rsid w:val="0089480E"/>
    <w:rsid w:val="00894B67"/>
    <w:rsid w:val="008A0F5F"/>
    <w:rsid w:val="008A221B"/>
    <w:rsid w:val="008A3247"/>
    <w:rsid w:val="008A3E0A"/>
    <w:rsid w:val="008A58F7"/>
    <w:rsid w:val="008B006D"/>
    <w:rsid w:val="008B1010"/>
    <w:rsid w:val="008B178D"/>
    <w:rsid w:val="008B2847"/>
    <w:rsid w:val="008B36C5"/>
    <w:rsid w:val="008B5D97"/>
    <w:rsid w:val="008B6999"/>
    <w:rsid w:val="008B7D22"/>
    <w:rsid w:val="008C08FB"/>
    <w:rsid w:val="008C13DC"/>
    <w:rsid w:val="008C1608"/>
    <w:rsid w:val="008C1ED7"/>
    <w:rsid w:val="008C36AD"/>
    <w:rsid w:val="008C40AD"/>
    <w:rsid w:val="008C5CCC"/>
    <w:rsid w:val="008C71EC"/>
    <w:rsid w:val="008D01AC"/>
    <w:rsid w:val="008D0D6B"/>
    <w:rsid w:val="008D119C"/>
    <w:rsid w:val="008D2091"/>
    <w:rsid w:val="008D23E5"/>
    <w:rsid w:val="008D2A76"/>
    <w:rsid w:val="008D3481"/>
    <w:rsid w:val="008D3D0D"/>
    <w:rsid w:val="008D4EEA"/>
    <w:rsid w:val="008E20BE"/>
    <w:rsid w:val="008E367B"/>
    <w:rsid w:val="008E4A4C"/>
    <w:rsid w:val="008E4F18"/>
    <w:rsid w:val="008E50FC"/>
    <w:rsid w:val="008E533C"/>
    <w:rsid w:val="008E5D05"/>
    <w:rsid w:val="008E6098"/>
    <w:rsid w:val="008E7F21"/>
    <w:rsid w:val="008F01A7"/>
    <w:rsid w:val="008F06F2"/>
    <w:rsid w:val="008F08EC"/>
    <w:rsid w:val="008F1235"/>
    <w:rsid w:val="008F14FF"/>
    <w:rsid w:val="008F4087"/>
    <w:rsid w:val="008F54CF"/>
    <w:rsid w:val="008F6E7E"/>
    <w:rsid w:val="00900B11"/>
    <w:rsid w:val="00904270"/>
    <w:rsid w:val="00905666"/>
    <w:rsid w:val="00905EF1"/>
    <w:rsid w:val="0090705C"/>
    <w:rsid w:val="0091377E"/>
    <w:rsid w:val="00913D0A"/>
    <w:rsid w:val="00913ED7"/>
    <w:rsid w:val="009150C2"/>
    <w:rsid w:val="0092160C"/>
    <w:rsid w:val="00923E54"/>
    <w:rsid w:val="00924331"/>
    <w:rsid w:val="009321C6"/>
    <w:rsid w:val="0093273A"/>
    <w:rsid w:val="00933463"/>
    <w:rsid w:val="0093455C"/>
    <w:rsid w:val="00934AC6"/>
    <w:rsid w:val="009407D5"/>
    <w:rsid w:val="00943C30"/>
    <w:rsid w:val="00945D8A"/>
    <w:rsid w:val="00946D99"/>
    <w:rsid w:val="00947E69"/>
    <w:rsid w:val="00950735"/>
    <w:rsid w:val="00960A21"/>
    <w:rsid w:val="00962223"/>
    <w:rsid w:val="009629D3"/>
    <w:rsid w:val="009639DA"/>
    <w:rsid w:val="0096481B"/>
    <w:rsid w:val="009648A0"/>
    <w:rsid w:val="009652E1"/>
    <w:rsid w:val="00965F17"/>
    <w:rsid w:val="00966142"/>
    <w:rsid w:val="009666A9"/>
    <w:rsid w:val="00966EEE"/>
    <w:rsid w:val="00971F95"/>
    <w:rsid w:val="00974604"/>
    <w:rsid w:val="00974664"/>
    <w:rsid w:val="0097521A"/>
    <w:rsid w:val="00982AB6"/>
    <w:rsid w:val="009832E2"/>
    <w:rsid w:val="00983E58"/>
    <w:rsid w:val="00984F24"/>
    <w:rsid w:val="009858A6"/>
    <w:rsid w:val="00991CD1"/>
    <w:rsid w:val="00991E5B"/>
    <w:rsid w:val="009930B0"/>
    <w:rsid w:val="009A01BD"/>
    <w:rsid w:val="009A3B3D"/>
    <w:rsid w:val="009A496D"/>
    <w:rsid w:val="009A498D"/>
    <w:rsid w:val="009A4A41"/>
    <w:rsid w:val="009A5534"/>
    <w:rsid w:val="009A7369"/>
    <w:rsid w:val="009A7404"/>
    <w:rsid w:val="009A7974"/>
    <w:rsid w:val="009A7B8B"/>
    <w:rsid w:val="009B2BB8"/>
    <w:rsid w:val="009B2BBF"/>
    <w:rsid w:val="009B4DD8"/>
    <w:rsid w:val="009B5414"/>
    <w:rsid w:val="009B5CCF"/>
    <w:rsid w:val="009C0E34"/>
    <w:rsid w:val="009C15A1"/>
    <w:rsid w:val="009C20E7"/>
    <w:rsid w:val="009C26C3"/>
    <w:rsid w:val="009C613A"/>
    <w:rsid w:val="009C78B6"/>
    <w:rsid w:val="009D0CBA"/>
    <w:rsid w:val="009D1D3F"/>
    <w:rsid w:val="009D2C9E"/>
    <w:rsid w:val="009D2CC4"/>
    <w:rsid w:val="009D3671"/>
    <w:rsid w:val="009D4124"/>
    <w:rsid w:val="009D41FF"/>
    <w:rsid w:val="009D5EAF"/>
    <w:rsid w:val="009D64CE"/>
    <w:rsid w:val="009E18B8"/>
    <w:rsid w:val="009E1C87"/>
    <w:rsid w:val="009E1F4C"/>
    <w:rsid w:val="009E4E9D"/>
    <w:rsid w:val="009E5CF9"/>
    <w:rsid w:val="009E6A9A"/>
    <w:rsid w:val="009E758F"/>
    <w:rsid w:val="009F019B"/>
    <w:rsid w:val="009F2C70"/>
    <w:rsid w:val="009F48E8"/>
    <w:rsid w:val="009F52EA"/>
    <w:rsid w:val="00A00483"/>
    <w:rsid w:val="00A05264"/>
    <w:rsid w:val="00A0566B"/>
    <w:rsid w:val="00A059FF"/>
    <w:rsid w:val="00A12A8A"/>
    <w:rsid w:val="00A13942"/>
    <w:rsid w:val="00A14024"/>
    <w:rsid w:val="00A15CBA"/>
    <w:rsid w:val="00A16E85"/>
    <w:rsid w:val="00A16F5B"/>
    <w:rsid w:val="00A20027"/>
    <w:rsid w:val="00A207F1"/>
    <w:rsid w:val="00A2234B"/>
    <w:rsid w:val="00A24448"/>
    <w:rsid w:val="00A26529"/>
    <w:rsid w:val="00A266AA"/>
    <w:rsid w:val="00A27132"/>
    <w:rsid w:val="00A33B8F"/>
    <w:rsid w:val="00A3575F"/>
    <w:rsid w:val="00A36236"/>
    <w:rsid w:val="00A37ED1"/>
    <w:rsid w:val="00A41723"/>
    <w:rsid w:val="00A444CF"/>
    <w:rsid w:val="00A52377"/>
    <w:rsid w:val="00A53FCA"/>
    <w:rsid w:val="00A55FF1"/>
    <w:rsid w:val="00A60CEA"/>
    <w:rsid w:val="00A60D31"/>
    <w:rsid w:val="00A620C6"/>
    <w:rsid w:val="00A6232E"/>
    <w:rsid w:val="00A650F8"/>
    <w:rsid w:val="00A655A1"/>
    <w:rsid w:val="00A66D5E"/>
    <w:rsid w:val="00A70676"/>
    <w:rsid w:val="00A70FF4"/>
    <w:rsid w:val="00A7516E"/>
    <w:rsid w:val="00A770B8"/>
    <w:rsid w:val="00A77C76"/>
    <w:rsid w:val="00A801B1"/>
    <w:rsid w:val="00A84A65"/>
    <w:rsid w:val="00A84A74"/>
    <w:rsid w:val="00A851EC"/>
    <w:rsid w:val="00A859A5"/>
    <w:rsid w:val="00A86C63"/>
    <w:rsid w:val="00A874C1"/>
    <w:rsid w:val="00A9064D"/>
    <w:rsid w:val="00A90661"/>
    <w:rsid w:val="00A93466"/>
    <w:rsid w:val="00A94509"/>
    <w:rsid w:val="00A96C5F"/>
    <w:rsid w:val="00A97792"/>
    <w:rsid w:val="00AA0A8F"/>
    <w:rsid w:val="00AA0C5E"/>
    <w:rsid w:val="00AA260F"/>
    <w:rsid w:val="00AA47EA"/>
    <w:rsid w:val="00AA5727"/>
    <w:rsid w:val="00AA6A4B"/>
    <w:rsid w:val="00AA7B4C"/>
    <w:rsid w:val="00AB12F2"/>
    <w:rsid w:val="00AB297D"/>
    <w:rsid w:val="00AB3446"/>
    <w:rsid w:val="00AB4F2D"/>
    <w:rsid w:val="00AB53EC"/>
    <w:rsid w:val="00AB64E2"/>
    <w:rsid w:val="00AC157B"/>
    <w:rsid w:val="00AC6373"/>
    <w:rsid w:val="00AC664A"/>
    <w:rsid w:val="00AC7CE7"/>
    <w:rsid w:val="00AD0865"/>
    <w:rsid w:val="00AD17CE"/>
    <w:rsid w:val="00AD27EE"/>
    <w:rsid w:val="00AD2905"/>
    <w:rsid w:val="00AD39B5"/>
    <w:rsid w:val="00AD51A4"/>
    <w:rsid w:val="00AD7375"/>
    <w:rsid w:val="00AE0055"/>
    <w:rsid w:val="00AE0F9A"/>
    <w:rsid w:val="00AE2E54"/>
    <w:rsid w:val="00AE4555"/>
    <w:rsid w:val="00AE49D1"/>
    <w:rsid w:val="00AE4A5A"/>
    <w:rsid w:val="00AE4E53"/>
    <w:rsid w:val="00AF01EE"/>
    <w:rsid w:val="00AF1650"/>
    <w:rsid w:val="00AF1FAE"/>
    <w:rsid w:val="00AF2660"/>
    <w:rsid w:val="00AF3E68"/>
    <w:rsid w:val="00AF5835"/>
    <w:rsid w:val="00AF7ABD"/>
    <w:rsid w:val="00B042E7"/>
    <w:rsid w:val="00B047F0"/>
    <w:rsid w:val="00B06C73"/>
    <w:rsid w:val="00B10C2E"/>
    <w:rsid w:val="00B12C1D"/>
    <w:rsid w:val="00B13004"/>
    <w:rsid w:val="00B20660"/>
    <w:rsid w:val="00B218CF"/>
    <w:rsid w:val="00B25E4E"/>
    <w:rsid w:val="00B277C8"/>
    <w:rsid w:val="00B3197B"/>
    <w:rsid w:val="00B33382"/>
    <w:rsid w:val="00B3424B"/>
    <w:rsid w:val="00B36DCE"/>
    <w:rsid w:val="00B36EB7"/>
    <w:rsid w:val="00B3741E"/>
    <w:rsid w:val="00B42A44"/>
    <w:rsid w:val="00B4336C"/>
    <w:rsid w:val="00B43656"/>
    <w:rsid w:val="00B46EAC"/>
    <w:rsid w:val="00B50A22"/>
    <w:rsid w:val="00B52B87"/>
    <w:rsid w:val="00B53D12"/>
    <w:rsid w:val="00B54046"/>
    <w:rsid w:val="00B57373"/>
    <w:rsid w:val="00B575C4"/>
    <w:rsid w:val="00B57C91"/>
    <w:rsid w:val="00B60343"/>
    <w:rsid w:val="00B612CC"/>
    <w:rsid w:val="00B61845"/>
    <w:rsid w:val="00B61B77"/>
    <w:rsid w:val="00B62A6D"/>
    <w:rsid w:val="00B63731"/>
    <w:rsid w:val="00B66617"/>
    <w:rsid w:val="00B672B0"/>
    <w:rsid w:val="00B67721"/>
    <w:rsid w:val="00B74653"/>
    <w:rsid w:val="00B755A9"/>
    <w:rsid w:val="00B756DC"/>
    <w:rsid w:val="00B756F4"/>
    <w:rsid w:val="00B76108"/>
    <w:rsid w:val="00B7624F"/>
    <w:rsid w:val="00B769B4"/>
    <w:rsid w:val="00B77F01"/>
    <w:rsid w:val="00B82BB4"/>
    <w:rsid w:val="00B84D82"/>
    <w:rsid w:val="00B86D49"/>
    <w:rsid w:val="00B86DF9"/>
    <w:rsid w:val="00B870C5"/>
    <w:rsid w:val="00B9168F"/>
    <w:rsid w:val="00B91DAD"/>
    <w:rsid w:val="00B92F3A"/>
    <w:rsid w:val="00B93A32"/>
    <w:rsid w:val="00B94114"/>
    <w:rsid w:val="00B94B65"/>
    <w:rsid w:val="00B951C2"/>
    <w:rsid w:val="00B96453"/>
    <w:rsid w:val="00B967D8"/>
    <w:rsid w:val="00B968FE"/>
    <w:rsid w:val="00BA050A"/>
    <w:rsid w:val="00BA0B09"/>
    <w:rsid w:val="00BA1535"/>
    <w:rsid w:val="00BA4074"/>
    <w:rsid w:val="00BA4F66"/>
    <w:rsid w:val="00BA6EDC"/>
    <w:rsid w:val="00BB0A64"/>
    <w:rsid w:val="00BB0A7A"/>
    <w:rsid w:val="00BB1001"/>
    <w:rsid w:val="00BB1187"/>
    <w:rsid w:val="00BB259E"/>
    <w:rsid w:val="00BB27DE"/>
    <w:rsid w:val="00BB3085"/>
    <w:rsid w:val="00BB4207"/>
    <w:rsid w:val="00BB580E"/>
    <w:rsid w:val="00BB6D1E"/>
    <w:rsid w:val="00BC0ACA"/>
    <w:rsid w:val="00BC0F53"/>
    <w:rsid w:val="00BC1391"/>
    <w:rsid w:val="00BC212C"/>
    <w:rsid w:val="00BC41BB"/>
    <w:rsid w:val="00BC4864"/>
    <w:rsid w:val="00BC5ECC"/>
    <w:rsid w:val="00BC6225"/>
    <w:rsid w:val="00BC6F15"/>
    <w:rsid w:val="00BD00B9"/>
    <w:rsid w:val="00BD12B1"/>
    <w:rsid w:val="00BD1F80"/>
    <w:rsid w:val="00BD2A16"/>
    <w:rsid w:val="00BD380F"/>
    <w:rsid w:val="00BD39C8"/>
    <w:rsid w:val="00BD3C1E"/>
    <w:rsid w:val="00BD3CDD"/>
    <w:rsid w:val="00BD4A16"/>
    <w:rsid w:val="00BD59F0"/>
    <w:rsid w:val="00BD70E4"/>
    <w:rsid w:val="00BE0372"/>
    <w:rsid w:val="00BE0551"/>
    <w:rsid w:val="00BE160C"/>
    <w:rsid w:val="00BE207D"/>
    <w:rsid w:val="00BE3295"/>
    <w:rsid w:val="00BE58A2"/>
    <w:rsid w:val="00BE6D26"/>
    <w:rsid w:val="00BE7CA3"/>
    <w:rsid w:val="00BF17A1"/>
    <w:rsid w:val="00BF1AAC"/>
    <w:rsid w:val="00BF3435"/>
    <w:rsid w:val="00BF6ABC"/>
    <w:rsid w:val="00C02D41"/>
    <w:rsid w:val="00C034A1"/>
    <w:rsid w:val="00C04AE9"/>
    <w:rsid w:val="00C05A27"/>
    <w:rsid w:val="00C073E9"/>
    <w:rsid w:val="00C104F6"/>
    <w:rsid w:val="00C10765"/>
    <w:rsid w:val="00C10DB1"/>
    <w:rsid w:val="00C11AE8"/>
    <w:rsid w:val="00C14020"/>
    <w:rsid w:val="00C158B9"/>
    <w:rsid w:val="00C15DA0"/>
    <w:rsid w:val="00C15E9D"/>
    <w:rsid w:val="00C16493"/>
    <w:rsid w:val="00C17168"/>
    <w:rsid w:val="00C176A8"/>
    <w:rsid w:val="00C211B7"/>
    <w:rsid w:val="00C21E16"/>
    <w:rsid w:val="00C22413"/>
    <w:rsid w:val="00C2245A"/>
    <w:rsid w:val="00C23886"/>
    <w:rsid w:val="00C249F2"/>
    <w:rsid w:val="00C24F1E"/>
    <w:rsid w:val="00C2564F"/>
    <w:rsid w:val="00C2662D"/>
    <w:rsid w:val="00C2679A"/>
    <w:rsid w:val="00C27B00"/>
    <w:rsid w:val="00C312A3"/>
    <w:rsid w:val="00C31E65"/>
    <w:rsid w:val="00C31ECE"/>
    <w:rsid w:val="00C3222E"/>
    <w:rsid w:val="00C333B8"/>
    <w:rsid w:val="00C33794"/>
    <w:rsid w:val="00C3501D"/>
    <w:rsid w:val="00C374E4"/>
    <w:rsid w:val="00C402CA"/>
    <w:rsid w:val="00C41E05"/>
    <w:rsid w:val="00C421A1"/>
    <w:rsid w:val="00C45587"/>
    <w:rsid w:val="00C510AE"/>
    <w:rsid w:val="00C51E0D"/>
    <w:rsid w:val="00C526E5"/>
    <w:rsid w:val="00C542D3"/>
    <w:rsid w:val="00C556BE"/>
    <w:rsid w:val="00C561AF"/>
    <w:rsid w:val="00C56A16"/>
    <w:rsid w:val="00C579B6"/>
    <w:rsid w:val="00C6008A"/>
    <w:rsid w:val="00C600CD"/>
    <w:rsid w:val="00C6115A"/>
    <w:rsid w:val="00C61A8E"/>
    <w:rsid w:val="00C64295"/>
    <w:rsid w:val="00C65B68"/>
    <w:rsid w:val="00C7340C"/>
    <w:rsid w:val="00C7611A"/>
    <w:rsid w:val="00C83EF3"/>
    <w:rsid w:val="00C90102"/>
    <w:rsid w:val="00C924B0"/>
    <w:rsid w:val="00C946D9"/>
    <w:rsid w:val="00C94F31"/>
    <w:rsid w:val="00C96445"/>
    <w:rsid w:val="00C9714E"/>
    <w:rsid w:val="00CA2CED"/>
    <w:rsid w:val="00CA548F"/>
    <w:rsid w:val="00CA5590"/>
    <w:rsid w:val="00CA5F55"/>
    <w:rsid w:val="00CB1BC4"/>
    <w:rsid w:val="00CB2265"/>
    <w:rsid w:val="00CB226D"/>
    <w:rsid w:val="00CB22FB"/>
    <w:rsid w:val="00CB62D7"/>
    <w:rsid w:val="00CC3E76"/>
    <w:rsid w:val="00CC4A41"/>
    <w:rsid w:val="00CC7BF9"/>
    <w:rsid w:val="00CD09CA"/>
    <w:rsid w:val="00CD11AC"/>
    <w:rsid w:val="00CD1324"/>
    <w:rsid w:val="00CD2DEA"/>
    <w:rsid w:val="00CD3C86"/>
    <w:rsid w:val="00CD4015"/>
    <w:rsid w:val="00CD4FE7"/>
    <w:rsid w:val="00CD516E"/>
    <w:rsid w:val="00CD6AA3"/>
    <w:rsid w:val="00CD7510"/>
    <w:rsid w:val="00CE307D"/>
    <w:rsid w:val="00CE39CF"/>
    <w:rsid w:val="00CF0BD7"/>
    <w:rsid w:val="00CF26DE"/>
    <w:rsid w:val="00CF34A4"/>
    <w:rsid w:val="00CF4244"/>
    <w:rsid w:val="00CF44F1"/>
    <w:rsid w:val="00CF6A98"/>
    <w:rsid w:val="00CF731B"/>
    <w:rsid w:val="00D02593"/>
    <w:rsid w:val="00D03ACC"/>
    <w:rsid w:val="00D06E39"/>
    <w:rsid w:val="00D14372"/>
    <w:rsid w:val="00D15D55"/>
    <w:rsid w:val="00D206C3"/>
    <w:rsid w:val="00D232B9"/>
    <w:rsid w:val="00D26609"/>
    <w:rsid w:val="00D26E4B"/>
    <w:rsid w:val="00D27EEE"/>
    <w:rsid w:val="00D32A76"/>
    <w:rsid w:val="00D32B29"/>
    <w:rsid w:val="00D32D26"/>
    <w:rsid w:val="00D33FBC"/>
    <w:rsid w:val="00D3518F"/>
    <w:rsid w:val="00D37F05"/>
    <w:rsid w:val="00D40111"/>
    <w:rsid w:val="00D403BA"/>
    <w:rsid w:val="00D415C6"/>
    <w:rsid w:val="00D41AD1"/>
    <w:rsid w:val="00D42AB8"/>
    <w:rsid w:val="00D43F14"/>
    <w:rsid w:val="00D46884"/>
    <w:rsid w:val="00D46989"/>
    <w:rsid w:val="00D4786C"/>
    <w:rsid w:val="00D51D8B"/>
    <w:rsid w:val="00D5208F"/>
    <w:rsid w:val="00D52448"/>
    <w:rsid w:val="00D53E07"/>
    <w:rsid w:val="00D55032"/>
    <w:rsid w:val="00D62F87"/>
    <w:rsid w:val="00D63037"/>
    <w:rsid w:val="00D63425"/>
    <w:rsid w:val="00D6694A"/>
    <w:rsid w:val="00D67609"/>
    <w:rsid w:val="00D67751"/>
    <w:rsid w:val="00D76F68"/>
    <w:rsid w:val="00D7701F"/>
    <w:rsid w:val="00D77941"/>
    <w:rsid w:val="00D77EC4"/>
    <w:rsid w:val="00D803EB"/>
    <w:rsid w:val="00D82E0F"/>
    <w:rsid w:val="00D83C51"/>
    <w:rsid w:val="00D842C7"/>
    <w:rsid w:val="00D84AA2"/>
    <w:rsid w:val="00D8520A"/>
    <w:rsid w:val="00D87F3F"/>
    <w:rsid w:val="00D91592"/>
    <w:rsid w:val="00D91F8C"/>
    <w:rsid w:val="00D93422"/>
    <w:rsid w:val="00D95463"/>
    <w:rsid w:val="00DA1A90"/>
    <w:rsid w:val="00DA3A5F"/>
    <w:rsid w:val="00DA7492"/>
    <w:rsid w:val="00DB4AF7"/>
    <w:rsid w:val="00DB6B43"/>
    <w:rsid w:val="00DB7CB1"/>
    <w:rsid w:val="00DC1B68"/>
    <w:rsid w:val="00DC2AF2"/>
    <w:rsid w:val="00DC2D01"/>
    <w:rsid w:val="00DC489F"/>
    <w:rsid w:val="00DC4D60"/>
    <w:rsid w:val="00DC6CC8"/>
    <w:rsid w:val="00DC7B1E"/>
    <w:rsid w:val="00DD47B9"/>
    <w:rsid w:val="00DD7BF4"/>
    <w:rsid w:val="00DE58DD"/>
    <w:rsid w:val="00DE5A93"/>
    <w:rsid w:val="00DE7B59"/>
    <w:rsid w:val="00DF0A8E"/>
    <w:rsid w:val="00DF0E2F"/>
    <w:rsid w:val="00DF229D"/>
    <w:rsid w:val="00DF33CC"/>
    <w:rsid w:val="00DF4895"/>
    <w:rsid w:val="00DF5753"/>
    <w:rsid w:val="00DF6E46"/>
    <w:rsid w:val="00DF7375"/>
    <w:rsid w:val="00E01359"/>
    <w:rsid w:val="00E01798"/>
    <w:rsid w:val="00E022CB"/>
    <w:rsid w:val="00E0680D"/>
    <w:rsid w:val="00E06DBB"/>
    <w:rsid w:val="00E10BFB"/>
    <w:rsid w:val="00E1396F"/>
    <w:rsid w:val="00E13A49"/>
    <w:rsid w:val="00E1682A"/>
    <w:rsid w:val="00E212B6"/>
    <w:rsid w:val="00E222EF"/>
    <w:rsid w:val="00E23006"/>
    <w:rsid w:val="00E23275"/>
    <w:rsid w:val="00E239EE"/>
    <w:rsid w:val="00E24486"/>
    <w:rsid w:val="00E25C65"/>
    <w:rsid w:val="00E25DF5"/>
    <w:rsid w:val="00E2689A"/>
    <w:rsid w:val="00E30255"/>
    <w:rsid w:val="00E30706"/>
    <w:rsid w:val="00E32710"/>
    <w:rsid w:val="00E336C6"/>
    <w:rsid w:val="00E33772"/>
    <w:rsid w:val="00E3449F"/>
    <w:rsid w:val="00E41491"/>
    <w:rsid w:val="00E41ED3"/>
    <w:rsid w:val="00E46A12"/>
    <w:rsid w:val="00E46F7D"/>
    <w:rsid w:val="00E50069"/>
    <w:rsid w:val="00E514B6"/>
    <w:rsid w:val="00E53469"/>
    <w:rsid w:val="00E53A1C"/>
    <w:rsid w:val="00E53CD1"/>
    <w:rsid w:val="00E53EA3"/>
    <w:rsid w:val="00E575FA"/>
    <w:rsid w:val="00E57E50"/>
    <w:rsid w:val="00E60A10"/>
    <w:rsid w:val="00E60C8C"/>
    <w:rsid w:val="00E611F6"/>
    <w:rsid w:val="00E619FA"/>
    <w:rsid w:val="00E61ABB"/>
    <w:rsid w:val="00E61F00"/>
    <w:rsid w:val="00E63AEA"/>
    <w:rsid w:val="00E6432B"/>
    <w:rsid w:val="00E645B9"/>
    <w:rsid w:val="00E64CDB"/>
    <w:rsid w:val="00E65638"/>
    <w:rsid w:val="00E668ED"/>
    <w:rsid w:val="00E66CCB"/>
    <w:rsid w:val="00E67A38"/>
    <w:rsid w:val="00E722B1"/>
    <w:rsid w:val="00E72382"/>
    <w:rsid w:val="00E7422A"/>
    <w:rsid w:val="00E75302"/>
    <w:rsid w:val="00E765B4"/>
    <w:rsid w:val="00E777D3"/>
    <w:rsid w:val="00E80027"/>
    <w:rsid w:val="00E80548"/>
    <w:rsid w:val="00E807C3"/>
    <w:rsid w:val="00E80AEB"/>
    <w:rsid w:val="00E816BA"/>
    <w:rsid w:val="00E83722"/>
    <w:rsid w:val="00E83B69"/>
    <w:rsid w:val="00E850DA"/>
    <w:rsid w:val="00E8609E"/>
    <w:rsid w:val="00E86284"/>
    <w:rsid w:val="00E90A90"/>
    <w:rsid w:val="00E918A3"/>
    <w:rsid w:val="00E932D3"/>
    <w:rsid w:val="00E93602"/>
    <w:rsid w:val="00E93F70"/>
    <w:rsid w:val="00E9588A"/>
    <w:rsid w:val="00EA00ED"/>
    <w:rsid w:val="00EA0A20"/>
    <w:rsid w:val="00EA1EF9"/>
    <w:rsid w:val="00EA2262"/>
    <w:rsid w:val="00EA26B2"/>
    <w:rsid w:val="00EA4ACE"/>
    <w:rsid w:val="00EA643B"/>
    <w:rsid w:val="00EB0024"/>
    <w:rsid w:val="00EB3BAF"/>
    <w:rsid w:val="00EB616D"/>
    <w:rsid w:val="00EC2A6A"/>
    <w:rsid w:val="00EC65F1"/>
    <w:rsid w:val="00ED1001"/>
    <w:rsid w:val="00ED1E89"/>
    <w:rsid w:val="00ED2BB0"/>
    <w:rsid w:val="00ED2C7B"/>
    <w:rsid w:val="00ED64DD"/>
    <w:rsid w:val="00ED6743"/>
    <w:rsid w:val="00ED6CD3"/>
    <w:rsid w:val="00ED77DB"/>
    <w:rsid w:val="00ED7A01"/>
    <w:rsid w:val="00EE2119"/>
    <w:rsid w:val="00EE23DA"/>
    <w:rsid w:val="00EE2E27"/>
    <w:rsid w:val="00EE2E7F"/>
    <w:rsid w:val="00EE6239"/>
    <w:rsid w:val="00EF2B40"/>
    <w:rsid w:val="00EF2D69"/>
    <w:rsid w:val="00EF361B"/>
    <w:rsid w:val="00EF37EE"/>
    <w:rsid w:val="00EF4DCC"/>
    <w:rsid w:val="00EF51F1"/>
    <w:rsid w:val="00EF6775"/>
    <w:rsid w:val="00F02E0E"/>
    <w:rsid w:val="00F05281"/>
    <w:rsid w:val="00F077B8"/>
    <w:rsid w:val="00F12325"/>
    <w:rsid w:val="00F1737F"/>
    <w:rsid w:val="00F20009"/>
    <w:rsid w:val="00F201D4"/>
    <w:rsid w:val="00F20C96"/>
    <w:rsid w:val="00F212BD"/>
    <w:rsid w:val="00F21E1D"/>
    <w:rsid w:val="00F22756"/>
    <w:rsid w:val="00F227E0"/>
    <w:rsid w:val="00F24DB7"/>
    <w:rsid w:val="00F27DFB"/>
    <w:rsid w:val="00F30D37"/>
    <w:rsid w:val="00F320B3"/>
    <w:rsid w:val="00F339D5"/>
    <w:rsid w:val="00F34B0F"/>
    <w:rsid w:val="00F351D7"/>
    <w:rsid w:val="00F35327"/>
    <w:rsid w:val="00F36C9D"/>
    <w:rsid w:val="00F403A4"/>
    <w:rsid w:val="00F43774"/>
    <w:rsid w:val="00F43FBE"/>
    <w:rsid w:val="00F44829"/>
    <w:rsid w:val="00F44956"/>
    <w:rsid w:val="00F44EF2"/>
    <w:rsid w:val="00F470AD"/>
    <w:rsid w:val="00F51A82"/>
    <w:rsid w:val="00F54127"/>
    <w:rsid w:val="00F54481"/>
    <w:rsid w:val="00F544ED"/>
    <w:rsid w:val="00F56501"/>
    <w:rsid w:val="00F57DD8"/>
    <w:rsid w:val="00F60BC8"/>
    <w:rsid w:val="00F6141F"/>
    <w:rsid w:val="00F65727"/>
    <w:rsid w:val="00F66493"/>
    <w:rsid w:val="00F66C20"/>
    <w:rsid w:val="00F7010B"/>
    <w:rsid w:val="00F75E76"/>
    <w:rsid w:val="00F77672"/>
    <w:rsid w:val="00F8144A"/>
    <w:rsid w:val="00F81A8C"/>
    <w:rsid w:val="00F81BFF"/>
    <w:rsid w:val="00F8378B"/>
    <w:rsid w:val="00F849A5"/>
    <w:rsid w:val="00F86082"/>
    <w:rsid w:val="00F876D3"/>
    <w:rsid w:val="00F90D5C"/>
    <w:rsid w:val="00F910C5"/>
    <w:rsid w:val="00F9137B"/>
    <w:rsid w:val="00F91BE3"/>
    <w:rsid w:val="00F91C3A"/>
    <w:rsid w:val="00F93775"/>
    <w:rsid w:val="00F96F54"/>
    <w:rsid w:val="00F97A7B"/>
    <w:rsid w:val="00FA0307"/>
    <w:rsid w:val="00FA03A4"/>
    <w:rsid w:val="00FA16A2"/>
    <w:rsid w:val="00FA31F8"/>
    <w:rsid w:val="00FA3730"/>
    <w:rsid w:val="00FA4CB9"/>
    <w:rsid w:val="00FA4CD1"/>
    <w:rsid w:val="00FA56D9"/>
    <w:rsid w:val="00FA60C3"/>
    <w:rsid w:val="00FA6525"/>
    <w:rsid w:val="00FA6728"/>
    <w:rsid w:val="00FA72DC"/>
    <w:rsid w:val="00FB1203"/>
    <w:rsid w:val="00FB233F"/>
    <w:rsid w:val="00FB42F5"/>
    <w:rsid w:val="00FB4EFA"/>
    <w:rsid w:val="00FB5055"/>
    <w:rsid w:val="00FB5770"/>
    <w:rsid w:val="00FC07F6"/>
    <w:rsid w:val="00FC1B63"/>
    <w:rsid w:val="00FC23C6"/>
    <w:rsid w:val="00FC4C2F"/>
    <w:rsid w:val="00FC739C"/>
    <w:rsid w:val="00FD2159"/>
    <w:rsid w:val="00FD2352"/>
    <w:rsid w:val="00FD2D9A"/>
    <w:rsid w:val="00FD315A"/>
    <w:rsid w:val="00FD3906"/>
    <w:rsid w:val="00FD4BE6"/>
    <w:rsid w:val="00FD5494"/>
    <w:rsid w:val="00FD7B2C"/>
    <w:rsid w:val="00FD7DFB"/>
    <w:rsid w:val="00FE0B7E"/>
    <w:rsid w:val="00FE4715"/>
    <w:rsid w:val="00FE4FDE"/>
    <w:rsid w:val="00FE564D"/>
    <w:rsid w:val="00FE6736"/>
    <w:rsid w:val="00FE7F77"/>
    <w:rsid w:val="00FF0C8A"/>
    <w:rsid w:val="00FF22C5"/>
    <w:rsid w:val="00FF2798"/>
    <w:rsid w:val="00FF353D"/>
    <w:rsid w:val="00FF38C2"/>
    <w:rsid w:val="00FF5138"/>
    <w:rsid w:val="00FF57C8"/>
    <w:rsid w:val="00FF5EFA"/>
    <w:rsid w:val="00FF63F5"/>
    <w:rsid w:val="00FF6CC6"/>
    <w:rsid w:val="00FF743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94509"/>
    <w:pPr>
      <w:spacing w:after="200" w:line="276" w:lineRule="auto"/>
    </w:pPr>
    <w:rPr>
      <w:rFonts w:cs="Times New Roman"/>
    </w:rPr>
  </w:style>
  <w:style w:type="paragraph" w:styleId="Heading1">
    <w:name w:val="heading 1"/>
    <w:basedOn w:val="Normal"/>
    <w:next w:val="Normal"/>
    <w:link w:val="Heading1Char"/>
    <w:uiPriority w:val="99"/>
    <w:qFormat/>
    <w:rsid w:val="00A94509"/>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9"/>
    <w:qFormat/>
    <w:rsid w:val="00A94509"/>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9"/>
    <w:qFormat/>
    <w:rsid w:val="00A94509"/>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94509"/>
    <w:rPr>
      <w:rFonts w:ascii="Cambria" w:hAnsi="Cambria" w:cs="Times New Roman"/>
      <w:b/>
      <w:bCs/>
      <w:kern w:val="32"/>
      <w:sz w:val="32"/>
      <w:szCs w:val="32"/>
    </w:rPr>
  </w:style>
  <w:style w:type="character" w:customStyle="1" w:styleId="Heading2Char">
    <w:name w:val="Heading 2 Char"/>
    <w:basedOn w:val="DefaultParagraphFont"/>
    <w:link w:val="Heading2"/>
    <w:uiPriority w:val="99"/>
    <w:locked/>
    <w:rsid w:val="00A94509"/>
    <w:rPr>
      <w:rFonts w:ascii="Cambria" w:hAnsi="Cambria" w:cs="Times New Roman"/>
      <w:b/>
      <w:bCs/>
      <w:i/>
      <w:iCs/>
      <w:sz w:val="28"/>
      <w:szCs w:val="28"/>
    </w:rPr>
  </w:style>
  <w:style w:type="character" w:customStyle="1" w:styleId="Heading3Char">
    <w:name w:val="Heading 3 Char"/>
    <w:basedOn w:val="DefaultParagraphFont"/>
    <w:link w:val="Heading3"/>
    <w:uiPriority w:val="99"/>
    <w:locked/>
    <w:rsid w:val="00A94509"/>
    <w:rPr>
      <w:rFonts w:ascii="Cambria" w:hAnsi="Cambria" w:cs="Times New Roman"/>
      <w:b/>
      <w:bCs/>
      <w:sz w:val="26"/>
      <w:szCs w:val="26"/>
    </w:rPr>
  </w:style>
  <w:style w:type="paragraph" w:styleId="NoSpacing">
    <w:name w:val="No Spacing"/>
    <w:uiPriority w:val="99"/>
    <w:qFormat/>
    <w:rsid w:val="00A94509"/>
    <w:rPr>
      <w:rFonts w:cs="Times New Roman"/>
    </w:rPr>
  </w:style>
  <w:style w:type="paragraph" w:styleId="FootnoteText">
    <w:name w:val="footnote text"/>
    <w:basedOn w:val="Normal"/>
    <w:link w:val="FootnoteTextChar"/>
    <w:uiPriority w:val="99"/>
    <w:semiHidden/>
    <w:rsid w:val="00A94509"/>
    <w:pPr>
      <w:spacing w:after="0" w:line="240" w:lineRule="auto"/>
    </w:pPr>
    <w:rPr>
      <w:rFonts w:cs="Arial"/>
      <w:sz w:val="20"/>
      <w:szCs w:val="20"/>
    </w:rPr>
  </w:style>
  <w:style w:type="character" w:customStyle="1" w:styleId="FootnoteTextChar">
    <w:name w:val="Footnote Text Char"/>
    <w:basedOn w:val="DefaultParagraphFont"/>
    <w:link w:val="FootnoteText"/>
    <w:uiPriority w:val="99"/>
    <w:semiHidden/>
    <w:locked/>
    <w:rsid w:val="00A94509"/>
    <w:rPr>
      <w:rFonts w:ascii="Calibri" w:hAnsi="Calibri" w:cs="Arial"/>
      <w:sz w:val="20"/>
      <w:szCs w:val="20"/>
    </w:rPr>
  </w:style>
  <w:style w:type="character" w:styleId="FootnoteReference">
    <w:name w:val="footnote reference"/>
    <w:basedOn w:val="DefaultParagraphFont"/>
    <w:uiPriority w:val="99"/>
    <w:semiHidden/>
    <w:rsid w:val="00A94509"/>
    <w:rPr>
      <w:rFonts w:cs="Times New Roman"/>
      <w:vertAlign w:val="superscript"/>
    </w:rPr>
  </w:style>
  <w:style w:type="paragraph" w:styleId="ListParagraph">
    <w:name w:val="List Paragraph"/>
    <w:basedOn w:val="Normal"/>
    <w:uiPriority w:val="99"/>
    <w:qFormat/>
    <w:rsid w:val="00A94509"/>
    <w:pPr>
      <w:ind w:left="720"/>
      <w:contextualSpacing/>
    </w:pPr>
    <w:rPr>
      <w:rFonts w:cs="Arial"/>
    </w:rPr>
  </w:style>
  <w:style w:type="character" w:customStyle="1" w:styleId="HeaderChar">
    <w:name w:val="Header Char"/>
    <w:uiPriority w:val="99"/>
    <w:semiHidden/>
    <w:locked/>
    <w:rsid w:val="00A94509"/>
    <w:rPr>
      <w:rFonts w:ascii="Calibri" w:hAnsi="Calibri"/>
    </w:rPr>
  </w:style>
  <w:style w:type="paragraph" w:styleId="Header">
    <w:name w:val="header"/>
    <w:basedOn w:val="Normal"/>
    <w:link w:val="HeaderChar1"/>
    <w:uiPriority w:val="99"/>
    <w:semiHidden/>
    <w:rsid w:val="00A94509"/>
    <w:pPr>
      <w:tabs>
        <w:tab w:val="center" w:pos="4536"/>
        <w:tab w:val="right" w:pos="9072"/>
      </w:tabs>
    </w:pPr>
    <w:rPr>
      <w:rFonts w:eastAsia="Times New Roman"/>
      <w:sz w:val="20"/>
      <w:szCs w:val="20"/>
    </w:rPr>
  </w:style>
  <w:style w:type="character" w:customStyle="1" w:styleId="HeaderChar1">
    <w:name w:val="Header Char1"/>
    <w:basedOn w:val="DefaultParagraphFont"/>
    <w:link w:val="Header"/>
    <w:uiPriority w:val="99"/>
    <w:semiHidden/>
    <w:locked/>
    <w:rsid w:val="00A94509"/>
    <w:rPr>
      <w:rFonts w:ascii="Calibri" w:hAnsi="Calibri" w:cs="Times New Roman"/>
    </w:rPr>
  </w:style>
  <w:style w:type="paragraph" w:styleId="Footer">
    <w:name w:val="footer"/>
    <w:basedOn w:val="Normal"/>
    <w:link w:val="FooterChar"/>
    <w:uiPriority w:val="99"/>
    <w:rsid w:val="00A94509"/>
    <w:pPr>
      <w:tabs>
        <w:tab w:val="center" w:pos="4536"/>
        <w:tab w:val="right" w:pos="9072"/>
      </w:tabs>
    </w:pPr>
  </w:style>
  <w:style w:type="character" w:customStyle="1" w:styleId="FooterChar">
    <w:name w:val="Footer Char"/>
    <w:basedOn w:val="DefaultParagraphFont"/>
    <w:link w:val="Footer"/>
    <w:uiPriority w:val="99"/>
    <w:locked/>
    <w:rsid w:val="00A94509"/>
    <w:rPr>
      <w:rFonts w:ascii="Calibri" w:hAnsi="Calibri" w:cs="Times New Roman"/>
    </w:rPr>
  </w:style>
  <w:style w:type="paragraph" w:styleId="Bibliography">
    <w:name w:val="Bibliography"/>
    <w:basedOn w:val="Normal"/>
    <w:next w:val="Normal"/>
    <w:uiPriority w:val="99"/>
    <w:rsid w:val="00A94509"/>
  </w:style>
  <w:style w:type="paragraph" w:styleId="TOCHeading">
    <w:name w:val="TOC Heading"/>
    <w:basedOn w:val="Heading1"/>
    <w:next w:val="Normal"/>
    <w:uiPriority w:val="99"/>
    <w:qFormat/>
    <w:rsid w:val="00A94509"/>
    <w:pPr>
      <w:keepLines/>
      <w:spacing w:before="480" w:after="0"/>
      <w:outlineLvl w:val="9"/>
    </w:pPr>
    <w:rPr>
      <w:color w:val="365F91"/>
      <w:kern w:val="0"/>
      <w:sz w:val="28"/>
      <w:szCs w:val="28"/>
    </w:rPr>
  </w:style>
  <w:style w:type="paragraph" w:styleId="TOC2">
    <w:name w:val="toc 2"/>
    <w:basedOn w:val="Normal"/>
    <w:next w:val="Normal"/>
    <w:autoRedefine/>
    <w:uiPriority w:val="99"/>
    <w:rsid w:val="00A94509"/>
    <w:pPr>
      <w:spacing w:after="100"/>
      <w:ind w:left="220"/>
    </w:pPr>
    <w:rPr>
      <w:rFonts w:eastAsia="Times New Roman"/>
    </w:rPr>
  </w:style>
  <w:style w:type="paragraph" w:styleId="TOC1">
    <w:name w:val="toc 1"/>
    <w:basedOn w:val="Normal"/>
    <w:next w:val="Normal"/>
    <w:autoRedefine/>
    <w:uiPriority w:val="99"/>
    <w:rsid w:val="00F66C20"/>
    <w:pPr>
      <w:tabs>
        <w:tab w:val="left" w:pos="440"/>
        <w:tab w:val="right" w:leader="dot" w:pos="9061"/>
      </w:tabs>
      <w:spacing w:after="100"/>
    </w:pPr>
    <w:rPr>
      <w:rFonts w:eastAsia="Times New Roman"/>
      <w:b/>
      <w:noProof/>
    </w:rPr>
  </w:style>
  <w:style w:type="paragraph" w:styleId="TOC3">
    <w:name w:val="toc 3"/>
    <w:basedOn w:val="Normal"/>
    <w:next w:val="Normal"/>
    <w:autoRedefine/>
    <w:uiPriority w:val="99"/>
    <w:rsid w:val="00A94509"/>
    <w:pPr>
      <w:spacing w:after="100"/>
      <w:ind w:left="440"/>
    </w:pPr>
    <w:rPr>
      <w:rFonts w:eastAsia="Times New Roman"/>
    </w:rPr>
  </w:style>
  <w:style w:type="character" w:customStyle="1" w:styleId="BalloonTextChar">
    <w:name w:val="Balloon Text Char"/>
    <w:uiPriority w:val="99"/>
    <w:semiHidden/>
    <w:locked/>
    <w:rsid w:val="00A94509"/>
    <w:rPr>
      <w:rFonts w:ascii="Tahoma" w:hAnsi="Tahoma"/>
      <w:sz w:val="16"/>
    </w:rPr>
  </w:style>
  <w:style w:type="paragraph" w:styleId="BalloonText">
    <w:name w:val="Balloon Text"/>
    <w:basedOn w:val="Normal"/>
    <w:link w:val="BalloonTextChar1"/>
    <w:uiPriority w:val="99"/>
    <w:semiHidden/>
    <w:rsid w:val="00A94509"/>
    <w:pPr>
      <w:spacing w:after="0" w:line="240" w:lineRule="auto"/>
    </w:pPr>
    <w:rPr>
      <w:rFonts w:ascii="Tahoma" w:eastAsia="Times New Roman" w:hAnsi="Tahoma"/>
      <w:sz w:val="16"/>
      <w:szCs w:val="16"/>
    </w:rPr>
  </w:style>
  <w:style w:type="character" w:customStyle="1" w:styleId="BalloonTextChar1">
    <w:name w:val="Balloon Text Char1"/>
    <w:basedOn w:val="DefaultParagraphFont"/>
    <w:link w:val="BalloonText"/>
    <w:uiPriority w:val="99"/>
    <w:semiHidden/>
    <w:locked/>
    <w:rsid w:val="00A94509"/>
    <w:rPr>
      <w:rFonts w:ascii="Tahoma" w:hAnsi="Tahoma" w:cs="Tahoma"/>
      <w:sz w:val="16"/>
      <w:szCs w:val="16"/>
    </w:rPr>
  </w:style>
  <w:style w:type="character" w:styleId="Hyperlink">
    <w:name w:val="Hyperlink"/>
    <w:basedOn w:val="DefaultParagraphFont"/>
    <w:uiPriority w:val="99"/>
    <w:rsid w:val="00A94509"/>
    <w:rPr>
      <w:rFonts w:cs="Times New Roman"/>
      <w:color w:val="0000FF"/>
      <w:u w:val="single"/>
    </w:rPr>
  </w:style>
  <w:style w:type="table" w:styleId="TableGrid">
    <w:name w:val="Table Grid"/>
    <w:basedOn w:val="TableNormal"/>
    <w:uiPriority w:val="99"/>
    <w:rsid w:val="00923E54"/>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List1">
    <w:name w:val="Light List1"/>
    <w:uiPriority w:val="99"/>
    <w:rsid w:val="00923E54"/>
    <w:rPr>
      <w:sz w:val="20"/>
      <w:szCs w:val="20"/>
      <w:lang w:val="nl-NL" w:eastAsia="nl-NL"/>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style>
  <w:style w:type="table" w:customStyle="1" w:styleId="MediumShading11">
    <w:name w:val="Medium Shading 11"/>
    <w:uiPriority w:val="99"/>
    <w:rsid w:val="00A60D31"/>
    <w:rPr>
      <w:sz w:val="20"/>
      <w:szCs w:val="20"/>
      <w:lang w:val="nl-NL" w:eastAsia="nl-NL"/>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style>
  <w:style w:type="table" w:styleId="LightShading-Accent2">
    <w:name w:val="Light Shading Accent 2"/>
    <w:basedOn w:val="TableNormal"/>
    <w:uiPriority w:val="99"/>
    <w:rsid w:val="00FF38C2"/>
    <w:rPr>
      <w:color w:val="943634"/>
      <w:sz w:val="20"/>
      <w:szCs w:val="20"/>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pPr>
      <w:rPr>
        <w:rFonts w:cs="Arial"/>
        <w:b/>
        <w:bCs/>
      </w:rPr>
      <w:tblPr/>
      <w:tcPr>
        <w:tcBorders>
          <w:top w:val="single" w:sz="8" w:space="0" w:color="C0504D"/>
          <w:left w:val="nil"/>
          <w:bottom w:val="single" w:sz="8" w:space="0" w:color="C0504D"/>
          <w:right w:val="nil"/>
          <w:insideH w:val="nil"/>
          <w:insideV w:val="nil"/>
        </w:tcBorders>
      </w:tcPr>
    </w:tblStylePr>
    <w:tblStylePr w:type="lastRow">
      <w:pPr>
        <w:spacing w:before="0" w:after="0"/>
      </w:pPr>
      <w:rPr>
        <w:rFonts w:cs="Arial"/>
        <w:b/>
        <w:bCs/>
      </w:rPr>
      <w:tblPr/>
      <w:tcPr>
        <w:tcBorders>
          <w:top w:val="single" w:sz="8" w:space="0" w:color="C0504D"/>
          <w:left w:val="nil"/>
          <w:bottom w:val="single" w:sz="8" w:space="0" w:color="C0504D"/>
          <w:right w:val="nil"/>
          <w:insideH w:val="nil"/>
          <w:insideV w:val="nil"/>
        </w:tcBorders>
      </w:tcPr>
    </w:tblStylePr>
    <w:tblStylePr w:type="firstCol">
      <w:rPr>
        <w:rFonts w:cs="Arial"/>
        <w:b/>
        <w:bCs/>
      </w:rPr>
    </w:tblStylePr>
    <w:tblStylePr w:type="lastCol">
      <w:rPr>
        <w:rFonts w:cs="Arial"/>
        <w:b/>
        <w:bCs/>
      </w:rPr>
    </w:tblStylePr>
    <w:tblStylePr w:type="band1Vert">
      <w:rPr>
        <w:rFonts w:cs="Arial"/>
      </w:rPr>
      <w:tblPr/>
      <w:tcPr>
        <w:tcBorders>
          <w:left w:val="nil"/>
          <w:right w:val="nil"/>
          <w:insideH w:val="nil"/>
          <w:insideV w:val="nil"/>
        </w:tcBorders>
        <w:shd w:val="clear" w:color="auto" w:fill="EFD3D2"/>
      </w:tcPr>
    </w:tblStylePr>
    <w:tblStylePr w:type="band1Horz">
      <w:rPr>
        <w:rFonts w:cs="Arial"/>
      </w:rPr>
      <w:tblPr/>
      <w:tcPr>
        <w:tcBorders>
          <w:left w:val="nil"/>
          <w:right w:val="nil"/>
          <w:insideH w:val="nil"/>
          <w:insideV w:val="nil"/>
        </w:tcBorders>
        <w:shd w:val="clear" w:color="auto" w:fill="EFD3D2"/>
      </w:tcPr>
    </w:tblStylePr>
  </w:style>
  <w:style w:type="table" w:customStyle="1" w:styleId="LightShading-Accent11">
    <w:name w:val="Light Shading - Accent 11"/>
    <w:uiPriority w:val="99"/>
    <w:rsid w:val="00FF38C2"/>
    <w:rPr>
      <w:color w:val="365F91"/>
      <w:sz w:val="20"/>
      <w:szCs w:val="20"/>
      <w:lang w:val="nl-NL" w:eastAsia="nl-NL"/>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styleId="LightShading-Accent3">
    <w:name w:val="Light Shading Accent 3"/>
    <w:basedOn w:val="TableNormal"/>
    <w:uiPriority w:val="99"/>
    <w:rsid w:val="00FF38C2"/>
    <w:rPr>
      <w:color w:val="76923C"/>
      <w:sz w:val="20"/>
      <w:szCs w:val="20"/>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pPr>
      <w:rPr>
        <w:rFonts w:cs="Arial"/>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rFonts w:cs="Arial"/>
        <w:b/>
        <w:bCs/>
      </w:rPr>
      <w:tblPr/>
      <w:tcPr>
        <w:tcBorders>
          <w:top w:val="single" w:sz="8" w:space="0" w:color="9BBB59"/>
          <w:left w:val="nil"/>
          <w:bottom w:val="single" w:sz="8" w:space="0" w:color="9BBB59"/>
          <w:right w:val="nil"/>
          <w:insideH w:val="nil"/>
          <w:insideV w:val="nil"/>
        </w:tcBorders>
      </w:tcPr>
    </w:tblStylePr>
    <w:tblStylePr w:type="firstCol">
      <w:rPr>
        <w:rFonts w:cs="Arial"/>
        <w:b/>
        <w:bCs/>
      </w:rPr>
    </w:tblStylePr>
    <w:tblStylePr w:type="lastCol">
      <w:rPr>
        <w:rFonts w:cs="Arial"/>
        <w:b/>
        <w:bCs/>
      </w:rPr>
    </w:tblStylePr>
    <w:tblStylePr w:type="band1Vert">
      <w:rPr>
        <w:rFonts w:cs="Arial"/>
      </w:rPr>
      <w:tblPr/>
      <w:tcPr>
        <w:tcBorders>
          <w:left w:val="nil"/>
          <w:right w:val="nil"/>
          <w:insideH w:val="nil"/>
          <w:insideV w:val="nil"/>
        </w:tcBorders>
        <w:shd w:val="clear" w:color="auto" w:fill="E6EED5"/>
      </w:tcPr>
    </w:tblStylePr>
    <w:tblStylePr w:type="band1Horz">
      <w:rPr>
        <w:rFonts w:cs="Arial"/>
      </w:rPr>
      <w:tblPr/>
      <w:tcPr>
        <w:tcBorders>
          <w:left w:val="nil"/>
          <w:right w:val="nil"/>
          <w:insideH w:val="nil"/>
          <w:insideV w:val="nil"/>
        </w:tcBorders>
        <w:shd w:val="clear" w:color="auto" w:fill="E6EED5"/>
      </w:tcPr>
    </w:tblStylePr>
  </w:style>
  <w:style w:type="table" w:styleId="LightList-Accent5">
    <w:name w:val="Light List Accent 5"/>
    <w:basedOn w:val="TableNormal"/>
    <w:uiPriority w:val="99"/>
    <w:rsid w:val="00FF38C2"/>
    <w:rPr>
      <w:sz w:val="20"/>
      <w:szCs w:val="20"/>
    </w:rPr>
    <w:tblPr>
      <w:tblStyleRowBandSize w:val="1"/>
      <w:tblStyleColBandSize w:val="1"/>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pPr>
      <w:rPr>
        <w:rFonts w:cs="Arial"/>
        <w:b/>
        <w:bCs/>
        <w:color w:val="FFFFFF"/>
      </w:rPr>
      <w:tblPr/>
      <w:tcPr>
        <w:shd w:val="clear" w:color="auto" w:fill="4BACC6"/>
      </w:tcPr>
    </w:tblStylePr>
    <w:tblStylePr w:type="lastRow">
      <w:pPr>
        <w:spacing w:before="0" w:after="0"/>
      </w:pPr>
      <w:rPr>
        <w:rFonts w:cs="Arial"/>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Arial"/>
        <w:b/>
        <w:bCs/>
      </w:rPr>
    </w:tblStylePr>
    <w:tblStylePr w:type="lastCol">
      <w:rPr>
        <w:rFonts w:cs="Arial"/>
        <w:b/>
        <w:bCs/>
      </w:rPr>
    </w:tblStylePr>
    <w:tblStylePr w:type="band1Vert">
      <w:rPr>
        <w:rFonts w:cs="Arial"/>
      </w:rPr>
      <w:tblPr/>
      <w:tcPr>
        <w:tcBorders>
          <w:top w:val="single" w:sz="8" w:space="0" w:color="4BACC6"/>
          <w:left w:val="single" w:sz="8" w:space="0" w:color="4BACC6"/>
          <w:bottom w:val="single" w:sz="8" w:space="0" w:color="4BACC6"/>
          <w:right w:val="single" w:sz="8" w:space="0" w:color="4BACC6"/>
        </w:tcBorders>
      </w:tcPr>
    </w:tblStylePr>
    <w:tblStylePr w:type="band1Horz">
      <w:rPr>
        <w:rFonts w:cs="Arial"/>
      </w:rPr>
      <w:tblPr/>
      <w:tcPr>
        <w:tcBorders>
          <w:top w:val="single" w:sz="8" w:space="0" w:color="4BACC6"/>
          <w:left w:val="single" w:sz="8" w:space="0" w:color="4BACC6"/>
          <w:bottom w:val="single" w:sz="8" w:space="0" w:color="4BACC6"/>
          <w:right w:val="single" w:sz="8" w:space="0" w:color="4BACC6"/>
        </w:tcBorders>
      </w:tcPr>
    </w:tblStylePr>
  </w:style>
  <w:style w:type="table" w:styleId="LightShading-Accent5">
    <w:name w:val="Light Shading Accent 5"/>
    <w:basedOn w:val="TableNormal"/>
    <w:uiPriority w:val="99"/>
    <w:rsid w:val="00FF38C2"/>
    <w:rPr>
      <w:color w:val="31849B"/>
      <w:sz w:val="20"/>
      <w:szCs w:val="20"/>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pPr>
      <w:rPr>
        <w:rFonts w:cs="Arial"/>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rFonts w:cs="Arial"/>
        <w:b/>
        <w:bCs/>
      </w:rPr>
      <w:tblPr/>
      <w:tcPr>
        <w:tcBorders>
          <w:top w:val="single" w:sz="8" w:space="0" w:color="4BACC6"/>
          <w:left w:val="nil"/>
          <w:bottom w:val="single" w:sz="8" w:space="0" w:color="4BACC6"/>
          <w:right w:val="nil"/>
          <w:insideH w:val="nil"/>
          <w:insideV w:val="nil"/>
        </w:tcBorders>
      </w:tcPr>
    </w:tblStylePr>
    <w:tblStylePr w:type="firstCol">
      <w:rPr>
        <w:rFonts w:cs="Arial"/>
        <w:b/>
        <w:bCs/>
      </w:rPr>
    </w:tblStylePr>
    <w:tblStylePr w:type="lastCol">
      <w:rPr>
        <w:rFonts w:cs="Arial"/>
        <w:b/>
        <w:bCs/>
      </w:rPr>
    </w:tblStylePr>
    <w:tblStylePr w:type="band1Vert">
      <w:rPr>
        <w:rFonts w:cs="Arial"/>
      </w:rPr>
      <w:tblPr/>
      <w:tcPr>
        <w:tcBorders>
          <w:left w:val="nil"/>
          <w:right w:val="nil"/>
          <w:insideH w:val="nil"/>
          <w:insideV w:val="nil"/>
        </w:tcBorders>
        <w:shd w:val="clear" w:color="auto" w:fill="D2EAF1"/>
      </w:tcPr>
    </w:tblStylePr>
    <w:tblStylePr w:type="band1Horz">
      <w:rPr>
        <w:rFonts w:cs="Arial"/>
      </w:rPr>
      <w:tblPr/>
      <w:tcPr>
        <w:tcBorders>
          <w:left w:val="nil"/>
          <w:right w:val="nil"/>
          <w:insideH w:val="nil"/>
          <w:insideV w:val="nil"/>
        </w:tcBorders>
        <w:shd w:val="clear" w:color="auto" w:fill="D2EAF1"/>
      </w:tcPr>
    </w:tblStylePr>
  </w:style>
  <w:style w:type="table" w:styleId="ColorfulGrid-Accent2">
    <w:name w:val="Colorful Grid Accent 2"/>
    <w:basedOn w:val="TableNormal"/>
    <w:uiPriority w:val="99"/>
    <w:rsid w:val="004E5712"/>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rFonts w:cs="Arial"/>
        <w:b/>
        <w:bCs/>
      </w:rPr>
      <w:tblPr/>
      <w:tcPr>
        <w:shd w:val="clear" w:color="auto" w:fill="E5B8B7"/>
      </w:tcPr>
    </w:tblStylePr>
    <w:tblStylePr w:type="lastRow">
      <w:rPr>
        <w:rFonts w:cs="Arial"/>
        <w:b/>
        <w:bCs/>
        <w:color w:val="000000"/>
      </w:rPr>
      <w:tblPr/>
      <w:tcPr>
        <w:shd w:val="clear" w:color="auto" w:fill="E5B8B7"/>
      </w:tcPr>
    </w:tblStylePr>
    <w:tblStylePr w:type="firstCol">
      <w:rPr>
        <w:rFonts w:cs="Arial"/>
        <w:color w:val="FFFFFF"/>
      </w:rPr>
      <w:tblPr/>
      <w:tcPr>
        <w:shd w:val="clear" w:color="auto" w:fill="943634"/>
      </w:tcPr>
    </w:tblStylePr>
    <w:tblStylePr w:type="lastCol">
      <w:rPr>
        <w:rFonts w:cs="Arial"/>
        <w:color w:val="FFFFFF"/>
      </w:rPr>
      <w:tblPr/>
      <w:tcPr>
        <w:shd w:val="clear" w:color="auto" w:fill="943634"/>
      </w:tcPr>
    </w:tblStylePr>
    <w:tblStylePr w:type="band1Vert">
      <w:rPr>
        <w:rFonts w:cs="Arial"/>
      </w:rPr>
      <w:tblPr/>
      <w:tcPr>
        <w:shd w:val="clear" w:color="auto" w:fill="DFA7A6"/>
      </w:tcPr>
    </w:tblStylePr>
    <w:tblStylePr w:type="band1Horz">
      <w:rPr>
        <w:rFonts w:cs="Arial"/>
      </w:rPr>
      <w:tblPr/>
      <w:tcPr>
        <w:shd w:val="clear" w:color="auto" w:fill="DFA7A6"/>
      </w:tcPr>
    </w:tblStylePr>
  </w:style>
  <w:style w:type="table" w:customStyle="1" w:styleId="MediumShading21">
    <w:name w:val="Medium Shading 21"/>
    <w:uiPriority w:val="99"/>
    <w:rsid w:val="00982AB6"/>
    <w:rPr>
      <w:sz w:val="20"/>
      <w:szCs w:val="20"/>
      <w:lang w:val="nl-NL" w:eastAsia="nl-NL"/>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paragraph" w:styleId="NormalWeb">
    <w:name w:val="Normal (Web)"/>
    <w:basedOn w:val="Normal"/>
    <w:uiPriority w:val="99"/>
    <w:semiHidden/>
    <w:rsid w:val="00D91592"/>
    <w:pPr>
      <w:spacing w:before="100" w:beforeAutospacing="1" w:after="100" w:afterAutospacing="1" w:line="240" w:lineRule="auto"/>
    </w:pPr>
    <w:rPr>
      <w:rFonts w:ascii="Times New Roman" w:eastAsia="Times New Roman" w:hAnsi="Times New Roman"/>
      <w:sz w:val="24"/>
      <w:szCs w:val="24"/>
      <w:lang w:val="nl-NL" w:eastAsia="nl-NL"/>
    </w:rPr>
  </w:style>
  <w:style w:type="character" w:styleId="Strong">
    <w:name w:val="Strong"/>
    <w:basedOn w:val="DefaultParagraphFont"/>
    <w:uiPriority w:val="99"/>
    <w:qFormat/>
    <w:locked/>
    <w:rsid w:val="00D91592"/>
    <w:rPr>
      <w:rFonts w:cs="Times New Roman"/>
      <w:b/>
      <w:bCs/>
    </w:rPr>
  </w:style>
  <w:style w:type="character" w:styleId="FollowedHyperlink">
    <w:name w:val="FollowedHyperlink"/>
    <w:basedOn w:val="DefaultParagraphFont"/>
    <w:uiPriority w:val="99"/>
    <w:semiHidden/>
    <w:rsid w:val="007546C0"/>
    <w:rPr>
      <w:rFonts w:cs="Times New Roman"/>
      <w:color w:val="800080"/>
      <w:u w:val="single"/>
    </w:rPr>
  </w:style>
  <w:style w:type="paragraph" w:customStyle="1" w:styleId="Style1">
    <w:name w:val="Style1"/>
    <w:basedOn w:val="Normal"/>
    <w:uiPriority w:val="99"/>
    <w:rsid w:val="00832004"/>
    <w:pPr>
      <w:spacing w:line="360" w:lineRule="auto"/>
      <w:contextualSpacing/>
      <w:jc w:val="center"/>
    </w:pPr>
    <w:rPr>
      <w:rFonts w:ascii="Times New Roman" w:hAnsi="Times New Roman"/>
      <w:szCs w:val="32"/>
    </w:rPr>
  </w:style>
  <w:style w:type="paragraph" w:customStyle="1" w:styleId="Style2">
    <w:name w:val="Style2"/>
    <w:basedOn w:val="Normal"/>
    <w:uiPriority w:val="99"/>
    <w:rsid w:val="00832004"/>
    <w:pPr>
      <w:spacing w:line="360" w:lineRule="auto"/>
      <w:contextualSpacing/>
    </w:pPr>
    <w:rPr>
      <w:rFonts w:ascii="Times New Roman" w:hAnsi="Times New Roman"/>
      <w:lang w:val="en-GB"/>
    </w:rPr>
  </w:style>
</w:styles>
</file>

<file path=word/webSettings.xml><?xml version="1.0" encoding="utf-8"?>
<w:webSettings xmlns:r="http://schemas.openxmlformats.org/officeDocument/2006/relationships" xmlns:w="http://schemas.openxmlformats.org/wordprocessingml/2006/main">
  <w:divs>
    <w:div w:id="1988439626">
      <w:marLeft w:val="0"/>
      <w:marRight w:val="0"/>
      <w:marTop w:val="0"/>
      <w:marBottom w:val="0"/>
      <w:divBdr>
        <w:top w:val="none" w:sz="0" w:space="0" w:color="auto"/>
        <w:left w:val="none" w:sz="0" w:space="0" w:color="auto"/>
        <w:bottom w:val="none" w:sz="0" w:space="0" w:color="auto"/>
        <w:right w:val="none" w:sz="0" w:space="0" w:color="auto"/>
      </w:divBdr>
    </w:div>
    <w:div w:id="1988439627">
      <w:marLeft w:val="0"/>
      <w:marRight w:val="0"/>
      <w:marTop w:val="0"/>
      <w:marBottom w:val="0"/>
      <w:divBdr>
        <w:top w:val="none" w:sz="0" w:space="0" w:color="auto"/>
        <w:left w:val="none" w:sz="0" w:space="0" w:color="auto"/>
        <w:bottom w:val="none" w:sz="0" w:space="0" w:color="auto"/>
        <w:right w:val="none" w:sz="0" w:space="0" w:color="auto"/>
      </w:divBdr>
    </w:div>
    <w:div w:id="1988439628">
      <w:marLeft w:val="0"/>
      <w:marRight w:val="0"/>
      <w:marTop w:val="0"/>
      <w:marBottom w:val="0"/>
      <w:divBdr>
        <w:top w:val="none" w:sz="0" w:space="0" w:color="auto"/>
        <w:left w:val="none" w:sz="0" w:space="0" w:color="auto"/>
        <w:bottom w:val="none" w:sz="0" w:space="0" w:color="auto"/>
        <w:right w:val="none" w:sz="0" w:space="0" w:color="auto"/>
      </w:divBdr>
    </w:div>
    <w:div w:id="1988439629">
      <w:marLeft w:val="0"/>
      <w:marRight w:val="0"/>
      <w:marTop w:val="0"/>
      <w:marBottom w:val="0"/>
      <w:divBdr>
        <w:top w:val="none" w:sz="0" w:space="0" w:color="auto"/>
        <w:left w:val="none" w:sz="0" w:space="0" w:color="auto"/>
        <w:bottom w:val="none" w:sz="0" w:space="0" w:color="auto"/>
        <w:right w:val="none" w:sz="0" w:space="0" w:color="auto"/>
      </w:divBdr>
    </w:div>
    <w:div w:id="1988439630">
      <w:marLeft w:val="0"/>
      <w:marRight w:val="0"/>
      <w:marTop w:val="0"/>
      <w:marBottom w:val="0"/>
      <w:divBdr>
        <w:top w:val="none" w:sz="0" w:space="0" w:color="auto"/>
        <w:left w:val="none" w:sz="0" w:space="0" w:color="auto"/>
        <w:bottom w:val="none" w:sz="0" w:space="0" w:color="auto"/>
        <w:right w:val="none" w:sz="0" w:space="0" w:color="auto"/>
      </w:divBdr>
    </w:div>
    <w:div w:id="1988439631">
      <w:marLeft w:val="0"/>
      <w:marRight w:val="0"/>
      <w:marTop w:val="0"/>
      <w:marBottom w:val="0"/>
      <w:divBdr>
        <w:top w:val="none" w:sz="0" w:space="0" w:color="auto"/>
        <w:left w:val="none" w:sz="0" w:space="0" w:color="auto"/>
        <w:bottom w:val="none" w:sz="0" w:space="0" w:color="auto"/>
        <w:right w:val="none" w:sz="0" w:space="0" w:color="auto"/>
      </w:divBdr>
    </w:div>
    <w:div w:id="1988439632">
      <w:marLeft w:val="0"/>
      <w:marRight w:val="0"/>
      <w:marTop w:val="0"/>
      <w:marBottom w:val="0"/>
      <w:divBdr>
        <w:top w:val="none" w:sz="0" w:space="0" w:color="auto"/>
        <w:left w:val="none" w:sz="0" w:space="0" w:color="auto"/>
        <w:bottom w:val="none" w:sz="0" w:space="0" w:color="auto"/>
        <w:right w:val="none" w:sz="0" w:space="0" w:color="auto"/>
      </w:divBdr>
    </w:div>
    <w:div w:id="1988439633">
      <w:marLeft w:val="0"/>
      <w:marRight w:val="0"/>
      <w:marTop w:val="0"/>
      <w:marBottom w:val="0"/>
      <w:divBdr>
        <w:top w:val="none" w:sz="0" w:space="0" w:color="auto"/>
        <w:left w:val="none" w:sz="0" w:space="0" w:color="auto"/>
        <w:bottom w:val="none" w:sz="0" w:space="0" w:color="auto"/>
        <w:right w:val="none" w:sz="0" w:space="0" w:color="auto"/>
      </w:divBdr>
    </w:div>
    <w:div w:id="1988439635">
      <w:marLeft w:val="0"/>
      <w:marRight w:val="0"/>
      <w:marTop w:val="0"/>
      <w:marBottom w:val="0"/>
      <w:divBdr>
        <w:top w:val="none" w:sz="0" w:space="0" w:color="auto"/>
        <w:left w:val="none" w:sz="0" w:space="0" w:color="auto"/>
        <w:bottom w:val="none" w:sz="0" w:space="0" w:color="auto"/>
        <w:right w:val="none" w:sz="0" w:space="0" w:color="auto"/>
      </w:divBdr>
    </w:div>
    <w:div w:id="1988439636">
      <w:marLeft w:val="0"/>
      <w:marRight w:val="0"/>
      <w:marTop w:val="0"/>
      <w:marBottom w:val="0"/>
      <w:divBdr>
        <w:top w:val="none" w:sz="0" w:space="0" w:color="auto"/>
        <w:left w:val="none" w:sz="0" w:space="0" w:color="auto"/>
        <w:bottom w:val="none" w:sz="0" w:space="0" w:color="auto"/>
        <w:right w:val="none" w:sz="0" w:space="0" w:color="auto"/>
      </w:divBdr>
    </w:div>
    <w:div w:id="1988439637">
      <w:marLeft w:val="0"/>
      <w:marRight w:val="0"/>
      <w:marTop w:val="0"/>
      <w:marBottom w:val="0"/>
      <w:divBdr>
        <w:top w:val="none" w:sz="0" w:space="0" w:color="auto"/>
        <w:left w:val="none" w:sz="0" w:space="0" w:color="auto"/>
        <w:bottom w:val="none" w:sz="0" w:space="0" w:color="auto"/>
        <w:right w:val="none" w:sz="0" w:space="0" w:color="auto"/>
      </w:divBdr>
    </w:div>
    <w:div w:id="1988439638">
      <w:marLeft w:val="0"/>
      <w:marRight w:val="0"/>
      <w:marTop w:val="0"/>
      <w:marBottom w:val="0"/>
      <w:divBdr>
        <w:top w:val="none" w:sz="0" w:space="0" w:color="auto"/>
        <w:left w:val="none" w:sz="0" w:space="0" w:color="auto"/>
        <w:bottom w:val="none" w:sz="0" w:space="0" w:color="auto"/>
        <w:right w:val="none" w:sz="0" w:space="0" w:color="auto"/>
      </w:divBdr>
    </w:div>
    <w:div w:id="1988439639">
      <w:marLeft w:val="0"/>
      <w:marRight w:val="0"/>
      <w:marTop w:val="0"/>
      <w:marBottom w:val="0"/>
      <w:divBdr>
        <w:top w:val="none" w:sz="0" w:space="0" w:color="auto"/>
        <w:left w:val="none" w:sz="0" w:space="0" w:color="auto"/>
        <w:bottom w:val="none" w:sz="0" w:space="0" w:color="auto"/>
        <w:right w:val="none" w:sz="0" w:space="0" w:color="auto"/>
      </w:divBdr>
    </w:div>
    <w:div w:id="1988439640">
      <w:marLeft w:val="0"/>
      <w:marRight w:val="0"/>
      <w:marTop w:val="0"/>
      <w:marBottom w:val="0"/>
      <w:divBdr>
        <w:top w:val="none" w:sz="0" w:space="0" w:color="auto"/>
        <w:left w:val="none" w:sz="0" w:space="0" w:color="auto"/>
        <w:bottom w:val="none" w:sz="0" w:space="0" w:color="auto"/>
        <w:right w:val="none" w:sz="0" w:space="0" w:color="auto"/>
      </w:divBdr>
    </w:div>
    <w:div w:id="1988439641">
      <w:marLeft w:val="0"/>
      <w:marRight w:val="0"/>
      <w:marTop w:val="0"/>
      <w:marBottom w:val="0"/>
      <w:divBdr>
        <w:top w:val="none" w:sz="0" w:space="0" w:color="auto"/>
        <w:left w:val="none" w:sz="0" w:space="0" w:color="auto"/>
        <w:bottom w:val="none" w:sz="0" w:space="0" w:color="auto"/>
        <w:right w:val="none" w:sz="0" w:space="0" w:color="auto"/>
      </w:divBdr>
    </w:div>
    <w:div w:id="1988439642">
      <w:marLeft w:val="0"/>
      <w:marRight w:val="0"/>
      <w:marTop w:val="0"/>
      <w:marBottom w:val="0"/>
      <w:divBdr>
        <w:top w:val="none" w:sz="0" w:space="0" w:color="auto"/>
        <w:left w:val="none" w:sz="0" w:space="0" w:color="auto"/>
        <w:bottom w:val="none" w:sz="0" w:space="0" w:color="auto"/>
        <w:right w:val="none" w:sz="0" w:space="0" w:color="auto"/>
      </w:divBdr>
    </w:div>
    <w:div w:id="1988439643">
      <w:marLeft w:val="0"/>
      <w:marRight w:val="0"/>
      <w:marTop w:val="0"/>
      <w:marBottom w:val="0"/>
      <w:divBdr>
        <w:top w:val="none" w:sz="0" w:space="0" w:color="auto"/>
        <w:left w:val="none" w:sz="0" w:space="0" w:color="auto"/>
        <w:bottom w:val="none" w:sz="0" w:space="0" w:color="auto"/>
        <w:right w:val="none" w:sz="0" w:space="0" w:color="auto"/>
      </w:divBdr>
    </w:div>
    <w:div w:id="1988439644">
      <w:marLeft w:val="0"/>
      <w:marRight w:val="0"/>
      <w:marTop w:val="0"/>
      <w:marBottom w:val="0"/>
      <w:divBdr>
        <w:top w:val="none" w:sz="0" w:space="0" w:color="auto"/>
        <w:left w:val="none" w:sz="0" w:space="0" w:color="auto"/>
        <w:bottom w:val="none" w:sz="0" w:space="0" w:color="auto"/>
        <w:right w:val="none" w:sz="0" w:space="0" w:color="auto"/>
      </w:divBdr>
    </w:div>
    <w:div w:id="1988439645">
      <w:marLeft w:val="0"/>
      <w:marRight w:val="0"/>
      <w:marTop w:val="0"/>
      <w:marBottom w:val="0"/>
      <w:divBdr>
        <w:top w:val="none" w:sz="0" w:space="0" w:color="auto"/>
        <w:left w:val="none" w:sz="0" w:space="0" w:color="auto"/>
        <w:bottom w:val="none" w:sz="0" w:space="0" w:color="auto"/>
        <w:right w:val="none" w:sz="0" w:space="0" w:color="auto"/>
      </w:divBdr>
    </w:div>
    <w:div w:id="1988439646">
      <w:marLeft w:val="0"/>
      <w:marRight w:val="0"/>
      <w:marTop w:val="0"/>
      <w:marBottom w:val="0"/>
      <w:divBdr>
        <w:top w:val="none" w:sz="0" w:space="0" w:color="auto"/>
        <w:left w:val="none" w:sz="0" w:space="0" w:color="auto"/>
        <w:bottom w:val="none" w:sz="0" w:space="0" w:color="auto"/>
        <w:right w:val="none" w:sz="0" w:space="0" w:color="auto"/>
      </w:divBdr>
    </w:div>
    <w:div w:id="1988439647">
      <w:marLeft w:val="0"/>
      <w:marRight w:val="0"/>
      <w:marTop w:val="0"/>
      <w:marBottom w:val="0"/>
      <w:divBdr>
        <w:top w:val="none" w:sz="0" w:space="0" w:color="auto"/>
        <w:left w:val="none" w:sz="0" w:space="0" w:color="auto"/>
        <w:bottom w:val="none" w:sz="0" w:space="0" w:color="auto"/>
        <w:right w:val="none" w:sz="0" w:space="0" w:color="auto"/>
      </w:divBdr>
    </w:div>
    <w:div w:id="1988439648">
      <w:marLeft w:val="0"/>
      <w:marRight w:val="0"/>
      <w:marTop w:val="0"/>
      <w:marBottom w:val="0"/>
      <w:divBdr>
        <w:top w:val="none" w:sz="0" w:space="0" w:color="auto"/>
        <w:left w:val="none" w:sz="0" w:space="0" w:color="auto"/>
        <w:bottom w:val="none" w:sz="0" w:space="0" w:color="auto"/>
        <w:right w:val="none" w:sz="0" w:space="0" w:color="auto"/>
      </w:divBdr>
    </w:div>
    <w:div w:id="1988439649">
      <w:marLeft w:val="0"/>
      <w:marRight w:val="0"/>
      <w:marTop w:val="0"/>
      <w:marBottom w:val="0"/>
      <w:divBdr>
        <w:top w:val="none" w:sz="0" w:space="0" w:color="auto"/>
        <w:left w:val="none" w:sz="0" w:space="0" w:color="auto"/>
        <w:bottom w:val="none" w:sz="0" w:space="0" w:color="auto"/>
        <w:right w:val="none" w:sz="0" w:space="0" w:color="auto"/>
      </w:divBdr>
    </w:div>
    <w:div w:id="1988439650">
      <w:marLeft w:val="0"/>
      <w:marRight w:val="0"/>
      <w:marTop w:val="0"/>
      <w:marBottom w:val="0"/>
      <w:divBdr>
        <w:top w:val="none" w:sz="0" w:space="0" w:color="auto"/>
        <w:left w:val="none" w:sz="0" w:space="0" w:color="auto"/>
        <w:bottom w:val="none" w:sz="0" w:space="0" w:color="auto"/>
        <w:right w:val="none" w:sz="0" w:space="0" w:color="auto"/>
      </w:divBdr>
    </w:div>
    <w:div w:id="1988439651">
      <w:marLeft w:val="0"/>
      <w:marRight w:val="0"/>
      <w:marTop w:val="0"/>
      <w:marBottom w:val="0"/>
      <w:divBdr>
        <w:top w:val="none" w:sz="0" w:space="0" w:color="auto"/>
        <w:left w:val="none" w:sz="0" w:space="0" w:color="auto"/>
        <w:bottom w:val="none" w:sz="0" w:space="0" w:color="auto"/>
        <w:right w:val="none" w:sz="0" w:space="0" w:color="auto"/>
      </w:divBdr>
    </w:div>
    <w:div w:id="1988439652">
      <w:marLeft w:val="0"/>
      <w:marRight w:val="0"/>
      <w:marTop w:val="0"/>
      <w:marBottom w:val="0"/>
      <w:divBdr>
        <w:top w:val="none" w:sz="0" w:space="0" w:color="auto"/>
        <w:left w:val="none" w:sz="0" w:space="0" w:color="auto"/>
        <w:bottom w:val="none" w:sz="0" w:space="0" w:color="auto"/>
        <w:right w:val="none" w:sz="0" w:space="0" w:color="auto"/>
      </w:divBdr>
    </w:div>
    <w:div w:id="1988439653">
      <w:marLeft w:val="0"/>
      <w:marRight w:val="0"/>
      <w:marTop w:val="0"/>
      <w:marBottom w:val="0"/>
      <w:divBdr>
        <w:top w:val="none" w:sz="0" w:space="0" w:color="auto"/>
        <w:left w:val="none" w:sz="0" w:space="0" w:color="auto"/>
        <w:bottom w:val="none" w:sz="0" w:space="0" w:color="auto"/>
        <w:right w:val="none" w:sz="0" w:space="0" w:color="auto"/>
      </w:divBdr>
    </w:div>
    <w:div w:id="1988439654">
      <w:marLeft w:val="0"/>
      <w:marRight w:val="0"/>
      <w:marTop w:val="0"/>
      <w:marBottom w:val="0"/>
      <w:divBdr>
        <w:top w:val="none" w:sz="0" w:space="0" w:color="auto"/>
        <w:left w:val="none" w:sz="0" w:space="0" w:color="auto"/>
        <w:bottom w:val="none" w:sz="0" w:space="0" w:color="auto"/>
        <w:right w:val="none" w:sz="0" w:space="0" w:color="auto"/>
      </w:divBdr>
    </w:div>
    <w:div w:id="1988439655">
      <w:marLeft w:val="0"/>
      <w:marRight w:val="0"/>
      <w:marTop w:val="0"/>
      <w:marBottom w:val="0"/>
      <w:divBdr>
        <w:top w:val="none" w:sz="0" w:space="0" w:color="auto"/>
        <w:left w:val="none" w:sz="0" w:space="0" w:color="auto"/>
        <w:bottom w:val="none" w:sz="0" w:space="0" w:color="auto"/>
        <w:right w:val="none" w:sz="0" w:space="0" w:color="auto"/>
      </w:divBdr>
    </w:div>
    <w:div w:id="1988439656">
      <w:marLeft w:val="0"/>
      <w:marRight w:val="0"/>
      <w:marTop w:val="0"/>
      <w:marBottom w:val="0"/>
      <w:divBdr>
        <w:top w:val="none" w:sz="0" w:space="0" w:color="auto"/>
        <w:left w:val="none" w:sz="0" w:space="0" w:color="auto"/>
        <w:bottom w:val="none" w:sz="0" w:space="0" w:color="auto"/>
        <w:right w:val="none" w:sz="0" w:space="0" w:color="auto"/>
      </w:divBdr>
    </w:div>
    <w:div w:id="1988439657">
      <w:marLeft w:val="0"/>
      <w:marRight w:val="0"/>
      <w:marTop w:val="0"/>
      <w:marBottom w:val="0"/>
      <w:divBdr>
        <w:top w:val="none" w:sz="0" w:space="0" w:color="auto"/>
        <w:left w:val="none" w:sz="0" w:space="0" w:color="auto"/>
        <w:bottom w:val="none" w:sz="0" w:space="0" w:color="auto"/>
        <w:right w:val="none" w:sz="0" w:space="0" w:color="auto"/>
      </w:divBdr>
    </w:div>
    <w:div w:id="1988439658">
      <w:marLeft w:val="0"/>
      <w:marRight w:val="0"/>
      <w:marTop w:val="0"/>
      <w:marBottom w:val="0"/>
      <w:divBdr>
        <w:top w:val="none" w:sz="0" w:space="0" w:color="auto"/>
        <w:left w:val="none" w:sz="0" w:space="0" w:color="auto"/>
        <w:bottom w:val="none" w:sz="0" w:space="0" w:color="auto"/>
        <w:right w:val="none" w:sz="0" w:space="0" w:color="auto"/>
      </w:divBdr>
    </w:div>
    <w:div w:id="1988439659">
      <w:marLeft w:val="0"/>
      <w:marRight w:val="0"/>
      <w:marTop w:val="0"/>
      <w:marBottom w:val="0"/>
      <w:divBdr>
        <w:top w:val="none" w:sz="0" w:space="0" w:color="auto"/>
        <w:left w:val="none" w:sz="0" w:space="0" w:color="auto"/>
        <w:bottom w:val="none" w:sz="0" w:space="0" w:color="auto"/>
        <w:right w:val="none" w:sz="0" w:space="0" w:color="auto"/>
      </w:divBdr>
    </w:div>
    <w:div w:id="1988439660">
      <w:marLeft w:val="0"/>
      <w:marRight w:val="0"/>
      <w:marTop w:val="0"/>
      <w:marBottom w:val="0"/>
      <w:divBdr>
        <w:top w:val="none" w:sz="0" w:space="0" w:color="auto"/>
        <w:left w:val="none" w:sz="0" w:space="0" w:color="auto"/>
        <w:bottom w:val="none" w:sz="0" w:space="0" w:color="auto"/>
        <w:right w:val="none" w:sz="0" w:space="0" w:color="auto"/>
      </w:divBdr>
    </w:div>
    <w:div w:id="1988439661">
      <w:marLeft w:val="0"/>
      <w:marRight w:val="0"/>
      <w:marTop w:val="0"/>
      <w:marBottom w:val="0"/>
      <w:divBdr>
        <w:top w:val="none" w:sz="0" w:space="0" w:color="auto"/>
        <w:left w:val="none" w:sz="0" w:space="0" w:color="auto"/>
        <w:bottom w:val="none" w:sz="0" w:space="0" w:color="auto"/>
        <w:right w:val="none" w:sz="0" w:space="0" w:color="auto"/>
      </w:divBdr>
    </w:div>
    <w:div w:id="1988439662">
      <w:marLeft w:val="0"/>
      <w:marRight w:val="0"/>
      <w:marTop w:val="0"/>
      <w:marBottom w:val="0"/>
      <w:divBdr>
        <w:top w:val="none" w:sz="0" w:space="0" w:color="auto"/>
        <w:left w:val="none" w:sz="0" w:space="0" w:color="auto"/>
        <w:bottom w:val="none" w:sz="0" w:space="0" w:color="auto"/>
        <w:right w:val="none" w:sz="0" w:space="0" w:color="auto"/>
      </w:divBdr>
    </w:div>
    <w:div w:id="1988439663">
      <w:marLeft w:val="0"/>
      <w:marRight w:val="0"/>
      <w:marTop w:val="0"/>
      <w:marBottom w:val="0"/>
      <w:divBdr>
        <w:top w:val="none" w:sz="0" w:space="0" w:color="auto"/>
        <w:left w:val="none" w:sz="0" w:space="0" w:color="auto"/>
        <w:bottom w:val="none" w:sz="0" w:space="0" w:color="auto"/>
        <w:right w:val="none" w:sz="0" w:space="0" w:color="auto"/>
      </w:divBdr>
    </w:div>
    <w:div w:id="1988439665">
      <w:marLeft w:val="0"/>
      <w:marRight w:val="0"/>
      <w:marTop w:val="0"/>
      <w:marBottom w:val="0"/>
      <w:divBdr>
        <w:top w:val="none" w:sz="0" w:space="0" w:color="auto"/>
        <w:left w:val="none" w:sz="0" w:space="0" w:color="auto"/>
        <w:bottom w:val="none" w:sz="0" w:space="0" w:color="auto"/>
        <w:right w:val="none" w:sz="0" w:space="0" w:color="auto"/>
      </w:divBdr>
    </w:div>
    <w:div w:id="1988439666">
      <w:marLeft w:val="0"/>
      <w:marRight w:val="0"/>
      <w:marTop w:val="0"/>
      <w:marBottom w:val="0"/>
      <w:divBdr>
        <w:top w:val="none" w:sz="0" w:space="0" w:color="auto"/>
        <w:left w:val="none" w:sz="0" w:space="0" w:color="auto"/>
        <w:bottom w:val="none" w:sz="0" w:space="0" w:color="auto"/>
        <w:right w:val="none" w:sz="0" w:space="0" w:color="auto"/>
      </w:divBdr>
    </w:div>
    <w:div w:id="1988439667">
      <w:marLeft w:val="0"/>
      <w:marRight w:val="0"/>
      <w:marTop w:val="0"/>
      <w:marBottom w:val="0"/>
      <w:divBdr>
        <w:top w:val="none" w:sz="0" w:space="0" w:color="auto"/>
        <w:left w:val="none" w:sz="0" w:space="0" w:color="auto"/>
        <w:bottom w:val="none" w:sz="0" w:space="0" w:color="auto"/>
        <w:right w:val="none" w:sz="0" w:space="0" w:color="auto"/>
      </w:divBdr>
    </w:div>
    <w:div w:id="1988439668">
      <w:marLeft w:val="0"/>
      <w:marRight w:val="0"/>
      <w:marTop w:val="0"/>
      <w:marBottom w:val="0"/>
      <w:divBdr>
        <w:top w:val="none" w:sz="0" w:space="0" w:color="auto"/>
        <w:left w:val="none" w:sz="0" w:space="0" w:color="auto"/>
        <w:bottom w:val="none" w:sz="0" w:space="0" w:color="auto"/>
        <w:right w:val="none" w:sz="0" w:space="0" w:color="auto"/>
      </w:divBdr>
    </w:div>
    <w:div w:id="1988439669">
      <w:marLeft w:val="0"/>
      <w:marRight w:val="0"/>
      <w:marTop w:val="0"/>
      <w:marBottom w:val="0"/>
      <w:divBdr>
        <w:top w:val="none" w:sz="0" w:space="0" w:color="auto"/>
        <w:left w:val="none" w:sz="0" w:space="0" w:color="auto"/>
        <w:bottom w:val="none" w:sz="0" w:space="0" w:color="auto"/>
        <w:right w:val="none" w:sz="0" w:space="0" w:color="auto"/>
      </w:divBdr>
    </w:div>
    <w:div w:id="1988439670">
      <w:marLeft w:val="0"/>
      <w:marRight w:val="0"/>
      <w:marTop w:val="0"/>
      <w:marBottom w:val="0"/>
      <w:divBdr>
        <w:top w:val="none" w:sz="0" w:space="0" w:color="auto"/>
        <w:left w:val="none" w:sz="0" w:space="0" w:color="auto"/>
        <w:bottom w:val="none" w:sz="0" w:space="0" w:color="auto"/>
        <w:right w:val="none" w:sz="0" w:space="0" w:color="auto"/>
      </w:divBdr>
    </w:div>
    <w:div w:id="1988439671">
      <w:marLeft w:val="0"/>
      <w:marRight w:val="0"/>
      <w:marTop w:val="0"/>
      <w:marBottom w:val="0"/>
      <w:divBdr>
        <w:top w:val="none" w:sz="0" w:space="0" w:color="auto"/>
        <w:left w:val="none" w:sz="0" w:space="0" w:color="auto"/>
        <w:bottom w:val="none" w:sz="0" w:space="0" w:color="auto"/>
        <w:right w:val="none" w:sz="0" w:space="0" w:color="auto"/>
      </w:divBdr>
    </w:div>
    <w:div w:id="1988439672">
      <w:marLeft w:val="0"/>
      <w:marRight w:val="0"/>
      <w:marTop w:val="0"/>
      <w:marBottom w:val="0"/>
      <w:divBdr>
        <w:top w:val="none" w:sz="0" w:space="0" w:color="auto"/>
        <w:left w:val="none" w:sz="0" w:space="0" w:color="auto"/>
        <w:bottom w:val="none" w:sz="0" w:space="0" w:color="auto"/>
        <w:right w:val="none" w:sz="0" w:space="0" w:color="auto"/>
      </w:divBdr>
    </w:div>
    <w:div w:id="1988439673">
      <w:marLeft w:val="0"/>
      <w:marRight w:val="0"/>
      <w:marTop w:val="0"/>
      <w:marBottom w:val="0"/>
      <w:divBdr>
        <w:top w:val="none" w:sz="0" w:space="0" w:color="auto"/>
        <w:left w:val="none" w:sz="0" w:space="0" w:color="auto"/>
        <w:bottom w:val="none" w:sz="0" w:space="0" w:color="auto"/>
        <w:right w:val="none" w:sz="0" w:space="0" w:color="auto"/>
      </w:divBdr>
    </w:div>
    <w:div w:id="1988439674">
      <w:marLeft w:val="0"/>
      <w:marRight w:val="0"/>
      <w:marTop w:val="0"/>
      <w:marBottom w:val="0"/>
      <w:divBdr>
        <w:top w:val="none" w:sz="0" w:space="0" w:color="auto"/>
        <w:left w:val="none" w:sz="0" w:space="0" w:color="auto"/>
        <w:bottom w:val="none" w:sz="0" w:space="0" w:color="auto"/>
        <w:right w:val="none" w:sz="0" w:space="0" w:color="auto"/>
      </w:divBdr>
    </w:div>
    <w:div w:id="1988439675">
      <w:marLeft w:val="0"/>
      <w:marRight w:val="0"/>
      <w:marTop w:val="0"/>
      <w:marBottom w:val="0"/>
      <w:divBdr>
        <w:top w:val="none" w:sz="0" w:space="0" w:color="auto"/>
        <w:left w:val="none" w:sz="0" w:space="0" w:color="auto"/>
        <w:bottom w:val="none" w:sz="0" w:space="0" w:color="auto"/>
        <w:right w:val="none" w:sz="0" w:space="0" w:color="auto"/>
      </w:divBdr>
    </w:div>
    <w:div w:id="1988439676">
      <w:marLeft w:val="0"/>
      <w:marRight w:val="0"/>
      <w:marTop w:val="0"/>
      <w:marBottom w:val="0"/>
      <w:divBdr>
        <w:top w:val="none" w:sz="0" w:space="0" w:color="auto"/>
        <w:left w:val="none" w:sz="0" w:space="0" w:color="auto"/>
        <w:bottom w:val="none" w:sz="0" w:space="0" w:color="auto"/>
        <w:right w:val="none" w:sz="0" w:space="0" w:color="auto"/>
      </w:divBdr>
    </w:div>
    <w:div w:id="1988439677">
      <w:marLeft w:val="0"/>
      <w:marRight w:val="0"/>
      <w:marTop w:val="0"/>
      <w:marBottom w:val="0"/>
      <w:divBdr>
        <w:top w:val="none" w:sz="0" w:space="0" w:color="auto"/>
        <w:left w:val="none" w:sz="0" w:space="0" w:color="auto"/>
        <w:bottom w:val="none" w:sz="0" w:space="0" w:color="auto"/>
        <w:right w:val="none" w:sz="0" w:space="0" w:color="auto"/>
      </w:divBdr>
    </w:div>
    <w:div w:id="1988439678">
      <w:marLeft w:val="0"/>
      <w:marRight w:val="0"/>
      <w:marTop w:val="0"/>
      <w:marBottom w:val="0"/>
      <w:divBdr>
        <w:top w:val="none" w:sz="0" w:space="0" w:color="auto"/>
        <w:left w:val="none" w:sz="0" w:space="0" w:color="auto"/>
        <w:bottom w:val="none" w:sz="0" w:space="0" w:color="auto"/>
        <w:right w:val="none" w:sz="0" w:space="0" w:color="auto"/>
      </w:divBdr>
    </w:div>
    <w:div w:id="1988439679">
      <w:marLeft w:val="0"/>
      <w:marRight w:val="0"/>
      <w:marTop w:val="0"/>
      <w:marBottom w:val="0"/>
      <w:divBdr>
        <w:top w:val="none" w:sz="0" w:space="0" w:color="auto"/>
        <w:left w:val="none" w:sz="0" w:space="0" w:color="auto"/>
        <w:bottom w:val="none" w:sz="0" w:space="0" w:color="auto"/>
        <w:right w:val="none" w:sz="0" w:space="0" w:color="auto"/>
      </w:divBdr>
    </w:div>
    <w:div w:id="1988439680">
      <w:marLeft w:val="0"/>
      <w:marRight w:val="0"/>
      <w:marTop w:val="0"/>
      <w:marBottom w:val="0"/>
      <w:divBdr>
        <w:top w:val="none" w:sz="0" w:space="0" w:color="auto"/>
        <w:left w:val="none" w:sz="0" w:space="0" w:color="auto"/>
        <w:bottom w:val="none" w:sz="0" w:space="0" w:color="auto"/>
        <w:right w:val="none" w:sz="0" w:space="0" w:color="auto"/>
      </w:divBdr>
    </w:div>
    <w:div w:id="1988439681">
      <w:marLeft w:val="0"/>
      <w:marRight w:val="0"/>
      <w:marTop w:val="0"/>
      <w:marBottom w:val="0"/>
      <w:divBdr>
        <w:top w:val="none" w:sz="0" w:space="0" w:color="auto"/>
        <w:left w:val="none" w:sz="0" w:space="0" w:color="auto"/>
        <w:bottom w:val="none" w:sz="0" w:space="0" w:color="auto"/>
        <w:right w:val="none" w:sz="0" w:space="0" w:color="auto"/>
      </w:divBdr>
    </w:div>
    <w:div w:id="1988439682">
      <w:marLeft w:val="0"/>
      <w:marRight w:val="0"/>
      <w:marTop w:val="0"/>
      <w:marBottom w:val="0"/>
      <w:divBdr>
        <w:top w:val="none" w:sz="0" w:space="0" w:color="auto"/>
        <w:left w:val="none" w:sz="0" w:space="0" w:color="auto"/>
        <w:bottom w:val="none" w:sz="0" w:space="0" w:color="auto"/>
        <w:right w:val="none" w:sz="0" w:space="0" w:color="auto"/>
      </w:divBdr>
    </w:div>
    <w:div w:id="1988439683">
      <w:marLeft w:val="0"/>
      <w:marRight w:val="0"/>
      <w:marTop w:val="0"/>
      <w:marBottom w:val="0"/>
      <w:divBdr>
        <w:top w:val="none" w:sz="0" w:space="0" w:color="auto"/>
        <w:left w:val="none" w:sz="0" w:space="0" w:color="auto"/>
        <w:bottom w:val="none" w:sz="0" w:space="0" w:color="auto"/>
        <w:right w:val="none" w:sz="0" w:space="0" w:color="auto"/>
      </w:divBdr>
    </w:div>
    <w:div w:id="1988439684">
      <w:marLeft w:val="0"/>
      <w:marRight w:val="0"/>
      <w:marTop w:val="0"/>
      <w:marBottom w:val="0"/>
      <w:divBdr>
        <w:top w:val="none" w:sz="0" w:space="0" w:color="auto"/>
        <w:left w:val="none" w:sz="0" w:space="0" w:color="auto"/>
        <w:bottom w:val="none" w:sz="0" w:space="0" w:color="auto"/>
        <w:right w:val="none" w:sz="0" w:space="0" w:color="auto"/>
      </w:divBdr>
    </w:div>
    <w:div w:id="1988439685">
      <w:marLeft w:val="0"/>
      <w:marRight w:val="0"/>
      <w:marTop w:val="0"/>
      <w:marBottom w:val="0"/>
      <w:divBdr>
        <w:top w:val="none" w:sz="0" w:space="0" w:color="auto"/>
        <w:left w:val="none" w:sz="0" w:space="0" w:color="auto"/>
        <w:bottom w:val="none" w:sz="0" w:space="0" w:color="auto"/>
        <w:right w:val="none" w:sz="0" w:space="0" w:color="auto"/>
      </w:divBdr>
    </w:div>
    <w:div w:id="1988439687">
      <w:marLeft w:val="0"/>
      <w:marRight w:val="0"/>
      <w:marTop w:val="0"/>
      <w:marBottom w:val="0"/>
      <w:divBdr>
        <w:top w:val="none" w:sz="0" w:space="0" w:color="auto"/>
        <w:left w:val="none" w:sz="0" w:space="0" w:color="auto"/>
        <w:bottom w:val="none" w:sz="0" w:space="0" w:color="auto"/>
        <w:right w:val="none" w:sz="0" w:space="0" w:color="auto"/>
      </w:divBdr>
    </w:div>
    <w:div w:id="1988439688">
      <w:marLeft w:val="0"/>
      <w:marRight w:val="0"/>
      <w:marTop w:val="0"/>
      <w:marBottom w:val="0"/>
      <w:divBdr>
        <w:top w:val="none" w:sz="0" w:space="0" w:color="auto"/>
        <w:left w:val="none" w:sz="0" w:space="0" w:color="auto"/>
        <w:bottom w:val="none" w:sz="0" w:space="0" w:color="auto"/>
        <w:right w:val="none" w:sz="0" w:space="0" w:color="auto"/>
      </w:divBdr>
    </w:div>
    <w:div w:id="1988439689">
      <w:marLeft w:val="0"/>
      <w:marRight w:val="0"/>
      <w:marTop w:val="0"/>
      <w:marBottom w:val="0"/>
      <w:divBdr>
        <w:top w:val="none" w:sz="0" w:space="0" w:color="auto"/>
        <w:left w:val="none" w:sz="0" w:space="0" w:color="auto"/>
        <w:bottom w:val="none" w:sz="0" w:space="0" w:color="auto"/>
        <w:right w:val="none" w:sz="0" w:space="0" w:color="auto"/>
      </w:divBdr>
    </w:div>
    <w:div w:id="1988439690">
      <w:marLeft w:val="0"/>
      <w:marRight w:val="0"/>
      <w:marTop w:val="0"/>
      <w:marBottom w:val="0"/>
      <w:divBdr>
        <w:top w:val="none" w:sz="0" w:space="0" w:color="auto"/>
        <w:left w:val="none" w:sz="0" w:space="0" w:color="auto"/>
        <w:bottom w:val="none" w:sz="0" w:space="0" w:color="auto"/>
        <w:right w:val="none" w:sz="0" w:space="0" w:color="auto"/>
      </w:divBdr>
    </w:div>
    <w:div w:id="1988439691">
      <w:marLeft w:val="0"/>
      <w:marRight w:val="0"/>
      <w:marTop w:val="0"/>
      <w:marBottom w:val="0"/>
      <w:divBdr>
        <w:top w:val="none" w:sz="0" w:space="0" w:color="auto"/>
        <w:left w:val="none" w:sz="0" w:space="0" w:color="auto"/>
        <w:bottom w:val="none" w:sz="0" w:space="0" w:color="auto"/>
        <w:right w:val="none" w:sz="0" w:space="0" w:color="auto"/>
      </w:divBdr>
    </w:div>
    <w:div w:id="1988439692">
      <w:marLeft w:val="0"/>
      <w:marRight w:val="0"/>
      <w:marTop w:val="0"/>
      <w:marBottom w:val="0"/>
      <w:divBdr>
        <w:top w:val="none" w:sz="0" w:space="0" w:color="auto"/>
        <w:left w:val="none" w:sz="0" w:space="0" w:color="auto"/>
        <w:bottom w:val="none" w:sz="0" w:space="0" w:color="auto"/>
        <w:right w:val="none" w:sz="0" w:space="0" w:color="auto"/>
      </w:divBdr>
    </w:div>
    <w:div w:id="1988439693">
      <w:marLeft w:val="0"/>
      <w:marRight w:val="0"/>
      <w:marTop w:val="0"/>
      <w:marBottom w:val="0"/>
      <w:divBdr>
        <w:top w:val="none" w:sz="0" w:space="0" w:color="auto"/>
        <w:left w:val="none" w:sz="0" w:space="0" w:color="auto"/>
        <w:bottom w:val="none" w:sz="0" w:space="0" w:color="auto"/>
        <w:right w:val="none" w:sz="0" w:space="0" w:color="auto"/>
      </w:divBdr>
    </w:div>
    <w:div w:id="1988439694">
      <w:marLeft w:val="0"/>
      <w:marRight w:val="0"/>
      <w:marTop w:val="0"/>
      <w:marBottom w:val="0"/>
      <w:divBdr>
        <w:top w:val="none" w:sz="0" w:space="0" w:color="auto"/>
        <w:left w:val="none" w:sz="0" w:space="0" w:color="auto"/>
        <w:bottom w:val="none" w:sz="0" w:space="0" w:color="auto"/>
        <w:right w:val="none" w:sz="0" w:space="0" w:color="auto"/>
      </w:divBdr>
    </w:div>
    <w:div w:id="1988439695">
      <w:marLeft w:val="0"/>
      <w:marRight w:val="0"/>
      <w:marTop w:val="0"/>
      <w:marBottom w:val="0"/>
      <w:divBdr>
        <w:top w:val="none" w:sz="0" w:space="0" w:color="auto"/>
        <w:left w:val="none" w:sz="0" w:space="0" w:color="auto"/>
        <w:bottom w:val="none" w:sz="0" w:space="0" w:color="auto"/>
        <w:right w:val="none" w:sz="0" w:space="0" w:color="auto"/>
      </w:divBdr>
    </w:div>
    <w:div w:id="1988439696">
      <w:marLeft w:val="0"/>
      <w:marRight w:val="0"/>
      <w:marTop w:val="0"/>
      <w:marBottom w:val="0"/>
      <w:divBdr>
        <w:top w:val="none" w:sz="0" w:space="0" w:color="auto"/>
        <w:left w:val="none" w:sz="0" w:space="0" w:color="auto"/>
        <w:bottom w:val="none" w:sz="0" w:space="0" w:color="auto"/>
        <w:right w:val="none" w:sz="0" w:space="0" w:color="auto"/>
      </w:divBdr>
    </w:div>
    <w:div w:id="1988439697">
      <w:marLeft w:val="0"/>
      <w:marRight w:val="0"/>
      <w:marTop w:val="0"/>
      <w:marBottom w:val="0"/>
      <w:divBdr>
        <w:top w:val="none" w:sz="0" w:space="0" w:color="auto"/>
        <w:left w:val="none" w:sz="0" w:space="0" w:color="auto"/>
        <w:bottom w:val="none" w:sz="0" w:space="0" w:color="auto"/>
        <w:right w:val="none" w:sz="0" w:space="0" w:color="auto"/>
      </w:divBdr>
    </w:div>
    <w:div w:id="1988439698">
      <w:marLeft w:val="0"/>
      <w:marRight w:val="0"/>
      <w:marTop w:val="0"/>
      <w:marBottom w:val="0"/>
      <w:divBdr>
        <w:top w:val="none" w:sz="0" w:space="0" w:color="auto"/>
        <w:left w:val="none" w:sz="0" w:space="0" w:color="auto"/>
        <w:bottom w:val="none" w:sz="0" w:space="0" w:color="auto"/>
        <w:right w:val="none" w:sz="0" w:space="0" w:color="auto"/>
      </w:divBdr>
    </w:div>
    <w:div w:id="1988439699">
      <w:marLeft w:val="0"/>
      <w:marRight w:val="0"/>
      <w:marTop w:val="0"/>
      <w:marBottom w:val="0"/>
      <w:divBdr>
        <w:top w:val="none" w:sz="0" w:space="0" w:color="auto"/>
        <w:left w:val="none" w:sz="0" w:space="0" w:color="auto"/>
        <w:bottom w:val="none" w:sz="0" w:space="0" w:color="auto"/>
        <w:right w:val="none" w:sz="0" w:space="0" w:color="auto"/>
      </w:divBdr>
    </w:div>
    <w:div w:id="1988439700">
      <w:marLeft w:val="0"/>
      <w:marRight w:val="0"/>
      <w:marTop w:val="0"/>
      <w:marBottom w:val="0"/>
      <w:divBdr>
        <w:top w:val="none" w:sz="0" w:space="0" w:color="auto"/>
        <w:left w:val="none" w:sz="0" w:space="0" w:color="auto"/>
        <w:bottom w:val="none" w:sz="0" w:space="0" w:color="auto"/>
        <w:right w:val="none" w:sz="0" w:space="0" w:color="auto"/>
      </w:divBdr>
    </w:div>
    <w:div w:id="1988439701">
      <w:marLeft w:val="0"/>
      <w:marRight w:val="0"/>
      <w:marTop w:val="0"/>
      <w:marBottom w:val="0"/>
      <w:divBdr>
        <w:top w:val="none" w:sz="0" w:space="0" w:color="auto"/>
        <w:left w:val="none" w:sz="0" w:space="0" w:color="auto"/>
        <w:bottom w:val="none" w:sz="0" w:space="0" w:color="auto"/>
        <w:right w:val="none" w:sz="0" w:space="0" w:color="auto"/>
      </w:divBdr>
    </w:div>
    <w:div w:id="1988439702">
      <w:marLeft w:val="0"/>
      <w:marRight w:val="0"/>
      <w:marTop w:val="0"/>
      <w:marBottom w:val="0"/>
      <w:divBdr>
        <w:top w:val="none" w:sz="0" w:space="0" w:color="auto"/>
        <w:left w:val="none" w:sz="0" w:space="0" w:color="auto"/>
        <w:bottom w:val="none" w:sz="0" w:space="0" w:color="auto"/>
        <w:right w:val="none" w:sz="0" w:space="0" w:color="auto"/>
      </w:divBdr>
    </w:div>
    <w:div w:id="1988439703">
      <w:marLeft w:val="0"/>
      <w:marRight w:val="0"/>
      <w:marTop w:val="0"/>
      <w:marBottom w:val="0"/>
      <w:divBdr>
        <w:top w:val="none" w:sz="0" w:space="0" w:color="auto"/>
        <w:left w:val="none" w:sz="0" w:space="0" w:color="auto"/>
        <w:bottom w:val="none" w:sz="0" w:space="0" w:color="auto"/>
        <w:right w:val="none" w:sz="0" w:space="0" w:color="auto"/>
      </w:divBdr>
    </w:div>
    <w:div w:id="1988439704">
      <w:marLeft w:val="0"/>
      <w:marRight w:val="0"/>
      <w:marTop w:val="0"/>
      <w:marBottom w:val="0"/>
      <w:divBdr>
        <w:top w:val="none" w:sz="0" w:space="0" w:color="auto"/>
        <w:left w:val="none" w:sz="0" w:space="0" w:color="auto"/>
        <w:bottom w:val="none" w:sz="0" w:space="0" w:color="auto"/>
        <w:right w:val="none" w:sz="0" w:space="0" w:color="auto"/>
      </w:divBdr>
    </w:div>
    <w:div w:id="1988439705">
      <w:marLeft w:val="0"/>
      <w:marRight w:val="0"/>
      <w:marTop w:val="0"/>
      <w:marBottom w:val="0"/>
      <w:divBdr>
        <w:top w:val="none" w:sz="0" w:space="0" w:color="auto"/>
        <w:left w:val="none" w:sz="0" w:space="0" w:color="auto"/>
        <w:bottom w:val="none" w:sz="0" w:space="0" w:color="auto"/>
        <w:right w:val="none" w:sz="0" w:space="0" w:color="auto"/>
      </w:divBdr>
    </w:div>
    <w:div w:id="1988439706">
      <w:marLeft w:val="0"/>
      <w:marRight w:val="0"/>
      <w:marTop w:val="0"/>
      <w:marBottom w:val="0"/>
      <w:divBdr>
        <w:top w:val="none" w:sz="0" w:space="0" w:color="auto"/>
        <w:left w:val="none" w:sz="0" w:space="0" w:color="auto"/>
        <w:bottom w:val="none" w:sz="0" w:space="0" w:color="auto"/>
        <w:right w:val="none" w:sz="0" w:space="0" w:color="auto"/>
      </w:divBdr>
    </w:div>
    <w:div w:id="1988439707">
      <w:marLeft w:val="0"/>
      <w:marRight w:val="0"/>
      <w:marTop w:val="0"/>
      <w:marBottom w:val="0"/>
      <w:divBdr>
        <w:top w:val="none" w:sz="0" w:space="0" w:color="auto"/>
        <w:left w:val="none" w:sz="0" w:space="0" w:color="auto"/>
        <w:bottom w:val="none" w:sz="0" w:space="0" w:color="auto"/>
        <w:right w:val="none" w:sz="0" w:space="0" w:color="auto"/>
      </w:divBdr>
    </w:div>
    <w:div w:id="1988439708">
      <w:marLeft w:val="0"/>
      <w:marRight w:val="0"/>
      <w:marTop w:val="0"/>
      <w:marBottom w:val="0"/>
      <w:divBdr>
        <w:top w:val="none" w:sz="0" w:space="0" w:color="auto"/>
        <w:left w:val="none" w:sz="0" w:space="0" w:color="auto"/>
        <w:bottom w:val="none" w:sz="0" w:space="0" w:color="auto"/>
        <w:right w:val="none" w:sz="0" w:space="0" w:color="auto"/>
      </w:divBdr>
    </w:div>
    <w:div w:id="1988439709">
      <w:marLeft w:val="0"/>
      <w:marRight w:val="0"/>
      <w:marTop w:val="0"/>
      <w:marBottom w:val="0"/>
      <w:divBdr>
        <w:top w:val="none" w:sz="0" w:space="0" w:color="auto"/>
        <w:left w:val="none" w:sz="0" w:space="0" w:color="auto"/>
        <w:bottom w:val="none" w:sz="0" w:space="0" w:color="auto"/>
        <w:right w:val="none" w:sz="0" w:space="0" w:color="auto"/>
      </w:divBdr>
    </w:div>
    <w:div w:id="1988439710">
      <w:marLeft w:val="0"/>
      <w:marRight w:val="0"/>
      <w:marTop w:val="0"/>
      <w:marBottom w:val="0"/>
      <w:divBdr>
        <w:top w:val="none" w:sz="0" w:space="0" w:color="auto"/>
        <w:left w:val="none" w:sz="0" w:space="0" w:color="auto"/>
        <w:bottom w:val="none" w:sz="0" w:space="0" w:color="auto"/>
        <w:right w:val="none" w:sz="0" w:space="0" w:color="auto"/>
      </w:divBdr>
    </w:div>
    <w:div w:id="1988439711">
      <w:marLeft w:val="0"/>
      <w:marRight w:val="0"/>
      <w:marTop w:val="0"/>
      <w:marBottom w:val="0"/>
      <w:divBdr>
        <w:top w:val="none" w:sz="0" w:space="0" w:color="auto"/>
        <w:left w:val="none" w:sz="0" w:space="0" w:color="auto"/>
        <w:bottom w:val="none" w:sz="0" w:space="0" w:color="auto"/>
        <w:right w:val="none" w:sz="0" w:space="0" w:color="auto"/>
      </w:divBdr>
    </w:div>
    <w:div w:id="1988439712">
      <w:marLeft w:val="0"/>
      <w:marRight w:val="0"/>
      <w:marTop w:val="0"/>
      <w:marBottom w:val="0"/>
      <w:divBdr>
        <w:top w:val="none" w:sz="0" w:space="0" w:color="auto"/>
        <w:left w:val="none" w:sz="0" w:space="0" w:color="auto"/>
        <w:bottom w:val="none" w:sz="0" w:space="0" w:color="auto"/>
        <w:right w:val="none" w:sz="0" w:space="0" w:color="auto"/>
      </w:divBdr>
    </w:div>
    <w:div w:id="1988439713">
      <w:marLeft w:val="0"/>
      <w:marRight w:val="0"/>
      <w:marTop w:val="0"/>
      <w:marBottom w:val="0"/>
      <w:divBdr>
        <w:top w:val="none" w:sz="0" w:space="0" w:color="auto"/>
        <w:left w:val="none" w:sz="0" w:space="0" w:color="auto"/>
        <w:bottom w:val="none" w:sz="0" w:space="0" w:color="auto"/>
        <w:right w:val="none" w:sz="0" w:space="0" w:color="auto"/>
      </w:divBdr>
    </w:div>
    <w:div w:id="1988439714">
      <w:marLeft w:val="0"/>
      <w:marRight w:val="0"/>
      <w:marTop w:val="0"/>
      <w:marBottom w:val="0"/>
      <w:divBdr>
        <w:top w:val="none" w:sz="0" w:space="0" w:color="auto"/>
        <w:left w:val="none" w:sz="0" w:space="0" w:color="auto"/>
        <w:bottom w:val="none" w:sz="0" w:space="0" w:color="auto"/>
        <w:right w:val="none" w:sz="0" w:space="0" w:color="auto"/>
      </w:divBdr>
    </w:div>
    <w:div w:id="1988439715">
      <w:marLeft w:val="0"/>
      <w:marRight w:val="0"/>
      <w:marTop w:val="0"/>
      <w:marBottom w:val="0"/>
      <w:divBdr>
        <w:top w:val="none" w:sz="0" w:space="0" w:color="auto"/>
        <w:left w:val="none" w:sz="0" w:space="0" w:color="auto"/>
        <w:bottom w:val="none" w:sz="0" w:space="0" w:color="auto"/>
        <w:right w:val="none" w:sz="0" w:space="0" w:color="auto"/>
      </w:divBdr>
    </w:div>
    <w:div w:id="1988439716">
      <w:marLeft w:val="0"/>
      <w:marRight w:val="0"/>
      <w:marTop w:val="0"/>
      <w:marBottom w:val="0"/>
      <w:divBdr>
        <w:top w:val="none" w:sz="0" w:space="0" w:color="auto"/>
        <w:left w:val="none" w:sz="0" w:space="0" w:color="auto"/>
        <w:bottom w:val="none" w:sz="0" w:space="0" w:color="auto"/>
        <w:right w:val="none" w:sz="0" w:space="0" w:color="auto"/>
      </w:divBdr>
    </w:div>
    <w:div w:id="1988439717">
      <w:marLeft w:val="0"/>
      <w:marRight w:val="0"/>
      <w:marTop w:val="0"/>
      <w:marBottom w:val="0"/>
      <w:divBdr>
        <w:top w:val="none" w:sz="0" w:space="0" w:color="auto"/>
        <w:left w:val="none" w:sz="0" w:space="0" w:color="auto"/>
        <w:bottom w:val="none" w:sz="0" w:space="0" w:color="auto"/>
        <w:right w:val="none" w:sz="0" w:space="0" w:color="auto"/>
      </w:divBdr>
    </w:div>
    <w:div w:id="1988439718">
      <w:marLeft w:val="0"/>
      <w:marRight w:val="0"/>
      <w:marTop w:val="0"/>
      <w:marBottom w:val="0"/>
      <w:divBdr>
        <w:top w:val="none" w:sz="0" w:space="0" w:color="auto"/>
        <w:left w:val="none" w:sz="0" w:space="0" w:color="auto"/>
        <w:bottom w:val="none" w:sz="0" w:space="0" w:color="auto"/>
        <w:right w:val="none" w:sz="0" w:space="0" w:color="auto"/>
      </w:divBdr>
    </w:div>
    <w:div w:id="1988439719">
      <w:marLeft w:val="0"/>
      <w:marRight w:val="0"/>
      <w:marTop w:val="0"/>
      <w:marBottom w:val="0"/>
      <w:divBdr>
        <w:top w:val="none" w:sz="0" w:space="0" w:color="auto"/>
        <w:left w:val="none" w:sz="0" w:space="0" w:color="auto"/>
        <w:bottom w:val="none" w:sz="0" w:space="0" w:color="auto"/>
        <w:right w:val="none" w:sz="0" w:space="0" w:color="auto"/>
      </w:divBdr>
    </w:div>
    <w:div w:id="1988439720">
      <w:marLeft w:val="0"/>
      <w:marRight w:val="0"/>
      <w:marTop w:val="0"/>
      <w:marBottom w:val="0"/>
      <w:divBdr>
        <w:top w:val="none" w:sz="0" w:space="0" w:color="auto"/>
        <w:left w:val="none" w:sz="0" w:space="0" w:color="auto"/>
        <w:bottom w:val="none" w:sz="0" w:space="0" w:color="auto"/>
        <w:right w:val="none" w:sz="0" w:space="0" w:color="auto"/>
      </w:divBdr>
    </w:div>
    <w:div w:id="1988439721">
      <w:marLeft w:val="0"/>
      <w:marRight w:val="0"/>
      <w:marTop w:val="0"/>
      <w:marBottom w:val="0"/>
      <w:divBdr>
        <w:top w:val="none" w:sz="0" w:space="0" w:color="auto"/>
        <w:left w:val="none" w:sz="0" w:space="0" w:color="auto"/>
        <w:bottom w:val="none" w:sz="0" w:space="0" w:color="auto"/>
        <w:right w:val="none" w:sz="0" w:space="0" w:color="auto"/>
      </w:divBdr>
    </w:div>
    <w:div w:id="1988439722">
      <w:marLeft w:val="0"/>
      <w:marRight w:val="0"/>
      <w:marTop w:val="0"/>
      <w:marBottom w:val="0"/>
      <w:divBdr>
        <w:top w:val="none" w:sz="0" w:space="0" w:color="auto"/>
        <w:left w:val="none" w:sz="0" w:space="0" w:color="auto"/>
        <w:bottom w:val="none" w:sz="0" w:space="0" w:color="auto"/>
        <w:right w:val="none" w:sz="0" w:space="0" w:color="auto"/>
      </w:divBdr>
    </w:div>
    <w:div w:id="1988439723">
      <w:marLeft w:val="0"/>
      <w:marRight w:val="0"/>
      <w:marTop w:val="0"/>
      <w:marBottom w:val="0"/>
      <w:divBdr>
        <w:top w:val="none" w:sz="0" w:space="0" w:color="auto"/>
        <w:left w:val="none" w:sz="0" w:space="0" w:color="auto"/>
        <w:bottom w:val="none" w:sz="0" w:space="0" w:color="auto"/>
        <w:right w:val="none" w:sz="0" w:space="0" w:color="auto"/>
      </w:divBdr>
    </w:div>
    <w:div w:id="1988439724">
      <w:marLeft w:val="0"/>
      <w:marRight w:val="0"/>
      <w:marTop w:val="0"/>
      <w:marBottom w:val="0"/>
      <w:divBdr>
        <w:top w:val="none" w:sz="0" w:space="0" w:color="auto"/>
        <w:left w:val="none" w:sz="0" w:space="0" w:color="auto"/>
        <w:bottom w:val="none" w:sz="0" w:space="0" w:color="auto"/>
        <w:right w:val="none" w:sz="0" w:space="0" w:color="auto"/>
      </w:divBdr>
    </w:div>
    <w:div w:id="1988439725">
      <w:marLeft w:val="0"/>
      <w:marRight w:val="0"/>
      <w:marTop w:val="0"/>
      <w:marBottom w:val="0"/>
      <w:divBdr>
        <w:top w:val="none" w:sz="0" w:space="0" w:color="auto"/>
        <w:left w:val="none" w:sz="0" w:space="0" w:color="auto"/>
        <w:bottom w:val="none" w:sz="0" w:space="0" w:color="auto"/>
        <w:right w:val="none" w:sz="0" w:space="0" w:color="auto"/>
      </w:divBdr>
    </w:div>
    <w:div w:id="1988439726">
      <w:marLeft w:val="0"/>
      <w:marRight w:val="0"/>
      <w:marTop w:val="0"/>
      <w:marBottom w:val="0"/>
      <w:divBdr>
        <w:top w:val="none" w:sz="0" w:space="0" w:color="auto"/>
        <w:left w:val="none" w:sz="0" w:space="0" w:color="auto"/>
        <w:bottom w:val="none" w:sz="0" w:space="0" w:color="auto"/>
        <w:right w:val="none" w:sz="0" w:space="0" w:color="auto"/>
      </w:divBdr>
    </w:div>
    <w:div w:id="1988439727">
      <w:marLeft w:val="0"/>
      <w:marRight w:val="0"/>
      <w:marTop w:val="0"/>
      <w:marBottom w:val="0"/>
      <w:divBdr>
        <w:top w:val="none" w:sz="0" w:space="0" w:color="auto"/>
        <w:left w:val="none" w:sz="0" w:space="0" w:color="auto"/>
        <w:bottom w:val="none" w:sz="0" w:space="0" w:color="auto"/>
        <w:right w:val="none" w:sz="0" w:space="0" w:color="auto"/>
      </w:divBdr>
    </w:div>
    <w:div w:id="1988439728">
      <w:marLeft w:val="0"/>
      <w:marRight w:val="0"/>
      <w:marTop w:val="0"/>
      <w:marBottom w:val="0"/>
      <w:divBdr>
        <w:top w:val="none" w:sz="0" w:space="0" w:color="auto"/>
        <w:left w:val="none" w:sz="0" w:space="0" w:color="auto"/>
        <w:bottom w:val="none" w:sz="0" w:space="0" w:color="auto"/>
        <w:right w:val="none" w:sz="0" w:space="0" w:color="auto"/>
      </w:divBdr>
    </w:div>
    <w:div w:id="1988439729">
      <w:marLeft w:val="0"/>
      <w:marRight w:val="0"/>
      <w:marTop w:val="0"/>
      <w:marBottom w:val="0"/>
      <w:divBdr>
        <w:top w:val="none" w:sz="0" w:space="0" w:color="auto"/>
        <w:left w:val="none" w:sz="0" w:space="0" w:color="auto"/>
        <w:bottom w:val="none" w:sz="0" w:space="0" w:color="auto"/>
        <w:right w:val="none" w:sz="0" w:space="0" w:color="auto"/>
      </w:divBdr>
    </w:div>
    <w:div w:id="1988439730">
      <w:marLeft w:val="0"/>
      <w:marRight w:val="0"/>
      <w:marTop w:val="0"/>
      <w:marBottom w:val="0"/>
      <w:divBdr>
        <w:top w:val="none" w:sz="0" w:space="0" w:color="auto"/>
        <w:left w:val="none" w:sz="0" w:space="0" w:color="auto"/>
        <w:bottom w:val="none" w:sz="0" w:space="0" w:color="auto"/>
        <w:right w:val="none" w:sz="0" w:space="0" w:color="auto"/>
      </w:divBdr>
    </w:div>
    <w:div w:id="1988439731">
      <w:marLeft w:val="0"/>
      <w:marRight w:val="0"/>
      <w:marTop w:val="0"/>
      <w:marBottom w:val="0"/>
      <w:divBdr>
        <w:top w:val="none" w:sz="0" w:space="0" w:color="auto"/>
        <w:left w:val="none" w:sz="0" w:space="0" w:color="auto"/>
        <w:bottom w:val="none" w:sz="0" w:space="0" w:color="auto"/>
        <w:right w:val="none" w:sz="0" w:space="0" w:color="auto"/>
      </w:divBdr>
    </w:div>
    <w:div w:id="1988439732">
      <w:marLeft w:val="0"/>
      <w:marRight w:val="0"/>
      <w:marTop w:val="0"/>
      <w:marBottom w:val="0"/>
      <w:divBdr>
        <w:top w:val="none" w:sz="0" w:space="0" w:color="auto"/>
        <w:left w:val="none" w:sz="0" w:space="0" w:color="auto"/>
        <w:bottom w:val="none" w:sz="0" w:space="0" w:color="auto"/>
        <w:right w:val="none" w:sz="0" w:space="0" w:color="auto"/>
      </w:divBdr>
    </w:div>
    <w:div w:id="1988439733">
      <w:marLeft w:val="0"/>
      <w:marRight w:val="0"/>
      <w:marTop w:val="0"/>
      <w:marBottom w:val="0"/>
      <w:divBdr>
        <w:top w:val="none" w:sz="0" w:space="0" w:color="auto"/>
        <w:left w:val="none" w:sz="0" w:space="0" w:color="auto"/>
        <w:bottom w:val="none" w:sz="0" w:space="0" w:color="auto"/>
        <w:right w:val="none" w:sz="0" w:space="0" w:color="auto"/>
      </w:divBdr>
    </w:div>
    <w:div w:id="1988439734">
      <w:marLeft w:val="0"/>
      <w:marRight w:val="0"/>
      <w:marTop w:val="0"/>
      <w:marBottom w:val="0"/>
      <w:divBdr>
        <w:top w:val="none" w:sz="0" w:space="0" w:color="auto"/>
        <w:left w:val="none" w:sz="0" w:space="0" w:color="auto"/>
        <w:bottom w:val="none" w:sz="0" w:space="0" w:color="auto"/>
        <w:right w:val="none" w:sz="0" w:space="0" w:color="auto"/>
      </w:divBdr>
    </w:div>
    <w:div w:id="1988439735">
      <w:marLeft w:val="0"/>
      <w:marRight w:val="0"/>
      <w:marTop w:val="0"/>
      <w:marBottom w:val="0"/>
      <w:divBdr>
        <w:top w:val="none" w:sz="0" w:space="0" w:color="auto"/>
        <w:left w:val="none" w:sz="0" w:space="0" w:color="auto"/>
        <w:bottom w:val="none" w:sz="0" w:space="0" w:color="auto"/>
        <w:right w:val="none" w:sz="0" w:space="0" w:color="auto"/>
      </w:divBdr>
    </w:div>
    <w:div w:id="1988439736">
      <w:marLeft w:val="0"/>
      <w:marRight w:val="0"/>
      <w:marTop w:val="0"/>
      <w:marBottom w:val="0"/>
      <w:divBdr>
        <w:top w:val="none" w:sz="0" w:space="0" w:color="auto"/>
        <w:left w:val="none" w:sz="0" w:space="0" w:color="auto"/>
        <w:bottom w:val="none" w:sz="0" w:space="0" w:color="auto"/>
        <w:right w:val="none" w:sz="0" w:space="0" w:color="auto"/>
      </w:divBdr>
    </w:div>
    <w:div w:id="1988439737">
      <w:marLeft w:val="0"/>
      <w:marRight w:val="0"/>
      <w:marTop w:val="0"/>
      <w:marBottom w:val="0"/>
      <w:divBdr>
        <w:top w:val="none" w:sz="0" w:space="0" w:color="auto"/>
        <w:left w:val="none" w:sz="0" w:space="0" w:color="auto"/>
        <w:bottom w:val="none" w:sz="0" w:space="0" w:color="auto"/>
        <w:right w:val="none" w:sz="0" w:space="0" w:color="auto"/>
      </w:divBdr>
    </w:div>
    <w:div w:id="1988439738">
      <w:marLeft w:val="0"/>
      <w:marRight w:val="0"/>
      <w:marTop w:val="0"/>
      <w:marBottom w:val="0"/>
      <w:divBdr>
        <w:top w:val="none" w:sz="0" w:space="0" w:color="auto"/>
        <w:left w:val="none" w:sz="0" w:space="0" w:color="auto"/>
        <w:bottom w:val="none" w:sz="0" w:space="0" w:color="auto"/>
        <w:right w:val="none" w:sz="0" w:space="0" w:color="auto"/>
      </w:divBdr>
    </w:div>
    <w:div w:id="1988439739">
      <w:marLeft w:val="0"/>
      <w:marRight w:val="0"/>
      <w:marTop w:val="0"/>
      <w:marBottom w:val="0"/>
      <w:divBdr>
        <w:top w:val="none" w:sz="0" w:space="0" w:color="auto"/>
        <w:left w:val="none" w:sz="0" w:space="0" w:color="auto"/>
        <w:bottom w:val="none" w:sz="0" w:space="0" w:color="auto"/>
        <w:right w:val="none" w:sz="0" w:space="0" w:color="auto"/>
      </w:divBdr>
    </w:div>
    <w:div w:id="1988439740">
      <w:marLeft w:val="0"/>
      <w:marRight w:val="0"/>
      <w:marTop w:val="0"/>
      <w:marBottom w:val="0"/>
      <w:divBdr>
        <w:top w:val="none" w:sz="0" w:space="0" w:color="auto"/>
        <w:left w:val="none" w:sz="0" w:space="0" w:color="auto"/>
        <w:bottom w:val="none" w:sz="0" w:space="0" w:color="auto"/>
        <w:right w:val="none" w:sz="0" w:space="0" w:color="auto"/>
      </w:divBdr>
    </w:div>
    <w:div w:id="1988439741">
      <w:marLeft w:val="0"/>
      <w:marRight w:val="0"/>
      <w:marTop w:val="0"/>
      <w:marBottom w:val="0"/>
      <w:divBdr>
        <w:top w:val="none" w:sz="0" w:space="0" w:color="auto"/>
        <w:left w:val="none" w:sz="0" w:space="0" w:color="auto"/>
        <w:bottom w:val="none" w:sz="0" w:space="0" w:color="auto"/>
        <w:right w:val="none" w:sz="0" w:space="0" w:color="auto"/>
      </w:divBdr>
    </w:div>
    <w:div w:id="1988439742">
      <w:marLeft w:val="0"/>
      <w:marRight w:val="0"/>
      <w:marTop w:val="0"/>
      <w:marBottom w:val="0"/>
      <w:divBdr>
        <w:top w:val="none" w:sz="0" w:space="0" w:color="auto"/>
        <w:left w:val="none" w:sz="0" w:space="0" w:color="auto"/>
        <w:bottom w:val="none" w:sz="0" w:space="0" w:color="auto"/>
        <w:right w:val="none" w:sz="0" w:space="0" w:color="auto"/>
      </w:divBdr>
    </w:div>
    <w:div w:id="1988439743">
      <w:marLeft w:val="0"/>
      <w:marRight w:val="0"/>
      <w:marTop w:val="0"/>
      <w:marBottom w:val="0"/>
      <w:divBdr>
        <w:top w:val="none" w:sz="0" w:space="0" w:color="auto"/>
        <w:left w:val="none" w:sz="0" w:space="0" w:color="auto"/>
        <w:bottom w:val="none" w:sz="0" w:space="0" w:color="auto"/>
        <w:right w:val="none" w:sz="0" w:space="0" w:color="auto"/>
      </w:divBdr>
    </w:div>
    <w:div w:id="1988439744">
      <w:marLeft w:val="0"/>
      <w:marRight w:val="0"/>
      <w:marTop w:val="0"/>
      <w:marBottom w:val="0"/>
      <w:divBdr>
        <w:top w:val="none" w:sz="0" w:space="0" w:color="auto"/>
        <w:left w:val="none" w:sz="0" w:space="0" w:color="auto"/>
        <w:bottom w:val="none" w:sz="0" w:space="0" w:color="auto"/>
        <w:right w:val="none" w:sz="0" w:space="0" w:color="auto"/>
      </w:divBdr>
    </w:div>
    <w:div w:id="1988439745">
      <w:marLeft w:val="0"/>
      <w:marRight w:val="0"/>
      <w:marTop w:val="0"/>
      <w:marBottom w:val="0"/>
      <w:divBdr>
        <w:top w:val="none" w:sz="0" w:space="0" w:color="auto"/>
        <w:left w:val="none" w:sz="0" w:space="0" w:color="auto"/>
        <w:bottom w:val="none" w:sz="0" w:space="0" w:color="auto"/>
        <w:right w:val="none" w:sz="0" w:space="0" w:color="auto"/>
      </w:divBdr>
    </w:div>
    <w:div w:id="1988439746">
      <w:marLeft w:val="0"/>
      <w:marRight w:val="0"/>
      <w:marTop w:val="0"/>
      <w:marBottom w:val="0"/>
      <w:divBdr>
        <w:top w:val="none" w:sz="0" w:space="0" w:color="auto"/>
        <w:left w:val="none" w:sz="0" w:space="0" w:color="auto"/>
        <w:bottom w:val="none" w:sz="0" w:space="0" w:color="auto"/>
        <w:right w:val="none" w:sz="0" w:space="0" w:color="auto"/>
      </w:divBdr>
    </w:div>
    <w:div w:id="1988439749">
      <w:marLeft w:val="125"/>
      <w:marRight w:val="125"/>
      <w:marTop w:val="63"/>
      <w:marBottom w:val="125"/>
      <w:divBdr>
        <w:top w:val="none" w:sz="0" w:space="0" w:color="auto"/>
        <w:left w:val="none" w:sz="0" w:space="0" w:color="auto"/>
        <w:bottom w:val="none" w:sz="0" w:space="0" w:color="auto"/>
        <w:right w:val="none" w:sz="0" w:space="0" w:color="auto"/>
      </w:divBdr>
      <w:divsChild>
        <w:div w:id="1988439750">
          <w:marLeft w:val="0"/>
          <w:marRight w:val="0"/>
          <w:marTop w:val="0"/>
          <w:marBottom w:val="0"/>
          <w:divBdr>
            <w:top w:val="none" w:sz="0" w:space="0" w:color="auto"/>
            <w:left w:val="none" w:sz="0" w:space="0" w:color="auto"/>
            <w:bottom w:val="none" w:sz="0" w:space="0" w:color="auto"/>
            <w:right w:val="none" w:sz="0" w:space="0" w:color="auto"/>
          </w:divBdr>
          <w:divsChild>
            <w:div w:id="1988439747">
              <w:marLeft w:val="0"/>
              <w:marRight w:val="0"/>
              <w:marTop w:val="0"/>
              <w:marBottom w:val="0"/>
              <w:divBdr>
                <w:top w:val="none" w:sz="0" w:space="0" w:color="auto"/>
                <w:left w:val="none" w:sz="0" w:space="0" w:color="auto"/>
                <w:bottom w:val="none" w:sz="0" w:space="0" w:color="auto"/>
                <w:right w:val="none" w:sz="0" w:space="0" w:color="auto"/>
              </w:divBdr>
              <w:divsChild>
                <w:div w:id="198843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439751">
      <w:marLeft w:val="0"/>
      <w:marRight w:val="0"/>
      <w:marTop w:val="0"/>
      <w:marBottom w:val="0"/>
      <w:divBdr>
        <w:top w:val="none" w:sz="0" w:space="0" w:color="auto"/>
        <w:left w:val="none" w:sz="0" w:space="0" w:color="auto"/>
        <w:bottom w:val="none" w:sz="0" w:space="0" w:color="auto"/>
        <w:right w:val="none" w:sz="0" w:space="0" w:color="auto"/>
      </w:divBdr>
    </w:div>
    <w:div w:id="1988439752">
      <w:marLeft w:val="0"/>
      <w:marRight w:val="0"/>
      <w:marTop w:val="0"/>
      <w:marBottom w:val="0"/>
      <w:divBdr>
        <w:top w:val="none" w:sz="0" w:space="0" w:color="auto"/>
        <w:left w:val="none" w:sz="0" w:space="0" w:color="auto"/>
        <w:bottom w:val="none" w:sz="0" w:space="0" w:color="auto"/>
        <w:right w:val="none" w:sz="0" w:space="0" w:color="auto"/>
      </w:divBdr>
    </w:div>
    <w:div w:id="1988439753">
      <w:marLeft w:val="0"/>
      <w:marRight w:val="0"/>
      <w:marTop w:val="0"/>
      <w:marBottom w:val="0"/>
      <w:divBdr>
        <w:top w:val="none" w:sz="0" w:space="0" w:color="auto"/>
        <w:left w:val="none" w:sz="0" w:space="0" w:color="auto"/>
        <w:bottom w:val="none" w:sz="0" w:space="0" w:color="auto"/>
        <w:right w:val="none" w:sz="0" w:space="0" w:color="auto"/>
      </w:divBdr>
    </w:div>
    <w:div w:id="1988439754">
      <w:marLeft w:val="0"/>
      <w:marRight w:val="0"/>
      <w:marTop w:val="0"/>
      <w:marBottom w:val="0"/>
      <w:divBdr>
        <w:top w:val="none" w:sz="0" w:space="0" w:color="auto"/>
        <w:left w:val="none" w:sz="0" w:space="0" w:color="auto"/>
        <w:bottom w:val="none" w:sz="0" w:space="0" w:color="auto"/>
        <w:right w:val="none" w:sz="0" w:space="0" w:color="auto"/>
      </w:divBdr>
    </w:div>
    <w:div w:id="1988439755">
      <w:marLeft w:val="0"/>
      <w:marRight w:val="0"/>
      <w:marTop w:val="0"/>
      <w:marBottom w:val="0"/>
      <w:divBdr>
        <w:top w:val="none" w:sz="0" w:space="0" w:color="auto"/>
        <w:left w:val="none" w:sz="0" w:space="0" w:color="auto"/>
        <w:bottom w:val="none" w:sz="0" w:space="0" w:color="auto"/>
        <w:right w:val="none" w:sz="0" w:space="0" w:color="auto"/>
      </w:divBdr>
    </w:div>
    <w:div w:id="1988439756">
      <w:marLeft w:val="0"/>
      <w:marRight w:val="0"/>
      <w:marTop w:val="0"/>
      <w:marBottom w:val="0"/>
      <w:divBdr>
        <w:top w:val="none" w:sz="0" w:space="0" w:color="auto"/>
        <w:left w:val="none" w:sz="0" w:space="0" w:color="auto"/>
        <w:bottom w:val="none" w:sz="0" w:space="0" w:color="auto"/>
        <w:right w:val="none" w:sz="0" w:space="0" w:color="auto"/>
      </w:divBdr>
    </w:div>
    <w:div w:id="1988439757">
      <w:marLeft w:val="0"/>
      <w:marRight w:val="0"/>
      <w:marTop w:val="0"/>
      <w:marBottom w:val="0"/>
      <w:divBdr>
        <w:top w:val="none" w:sz="0" w:space="0" w:color="auto"/>
        <w:left w:val="none" w:sz="0" w:space="0" w:color="auto"/>
        <w:bottom w:val="none" w:sz="0" w:space="0" w:color="auto"/>
        <w:right w:val="none" w:sz="0" w:space="0" w:color="auto"/>
      </w:divBdr>
    </w:div>
    <w:div w:id="1988439758">
      <w:marLeft w:val="0"/>
      <w:marRight w:val="0"/>
      <w:marTop w:val="0"/>
      <w:marBottom w:val="0"/>
      <w:divBdr>
        <w:top w:val="none" w:sz="0" w:space="0" w:color="auto"/>
        <w:left w:val="none" w:sz="0" w:space="0" w:color="auto"/>
        <w:bottom w:val="none" w:sz="0" w:space="0" w:color="auto"/>
        <w:right w:val="none" w:sz="0" w:space="0" w:color="auto"/>
      </w:divBdr>
    </w:div>
    <w:div w:id="1988439759">
      <w:marLeft w:val="0"/>
      <w:marRight w:val="0"/>
      <w:marTop w:val="0"/>
      <w:marBottom w:val="0"/>
      <w:divBdr>
        <w:top w:val="none" w:sz="0" w:space="0" w:color="auto"/>
        <w:left w:val="none" w:sz="0" w:space="0" w:color="auto"/>
        <w:bottom w:val="none" w:sz="0" w:space="0" w:color="auto"/>
        <w:right w:val="none" w:sz="0" w:space="0" w:color="auto"/>
      </w:divBdr>
    </w:div>
    <w:div w:id="1988439760">
      <w:marLeft w:val="0"/>
      <w:marRight w:val="0"/>
      <w:marTop w:val="0"/>
      <w:marBottom w:val="0"/>
      <w:divBdr>
        <w:top w:val="none" w:sz="0" w:space="0" w:color="auto"/>
        <w:left w:val="none" w:sz="0" w:space="0" w:color="auto"/>
        <w:bottom w:val="none" w:sz="0" w:space="0" w:color="auto"/>
        <w:right w:val="none" w:sz="0" w:space="0" w:color="auto"/>
      </w:divBdr>
    </w:div>
    <w:div w:id="1988439761">
      <w:marLeft w:val="0"/>
      <w:marRight w:val="0"/>
      <w:marTop w:val="0"/>
      <w:marBottom w:val="0"/>
      <w:divBdr>
        <w:top w:val="none" w:sz="0" w:space="0" w:color="auto"/>
        <w:left w:val="none" w:sz="0" w:space="0" w:color="auto"/>
        <w:bottom w:val="none" w:sz="0" w:space="0" w:color="auto"/>
        <w:right w:val="none" w:sz="0" w:space="0" w:color="auto"/>
      </w:divBdr>
    </w:div>
    <w:div w:id="1988439762">
      <w:marLeft w:val="0"/>
      <w:marRight w:val="0"/>
      <w:marTop w:val="0"/>
      <w:marBottom w:val="0"/>
      <w:divBdr>
        <w:top w:val="none" w:sz="0" w:space="0" w:color="auto"/>
        <w:left w:val="none" w:sz="0" w:space="0" w:color="auto"/>
        <w:bottom w:val="none" w:sz="0" w:space="0" w:color="auto"/>
        <w:right w:val="none" w:sz="0" w:space="0" w:color="auto"/>
      </w:divBdr>
    </w:div>
    <w:div w:id="1988439763">
      <w:marLeft w:val="0"/>
      <w:marRight w:val="0"/>
      <w:marTop w:val="0"/>
      <w:marBottom w:val="0"/>
      <w:divBdr>
        <w:top w:val="none" w:sz="0" w:space="0" w:color="auto"/>
        <w:left w:val="none" w:sz="0" w:space="0" w:color="auto"/>
        <w:bottom w:val="none" w:sz="0" w:space="0" w:color="auto"/>
        <w:right w:val="none" w:sz="0" w:space="0" w:color="auto"/>
      </w:divBdr>
    </w:div>
    <w:div w:id="1988439764">
      <w:marLeft w:val="0"/>
      <w:marRight w:val="0"/>
      <w:marTop w:val="0"/>
      <w:marBottom w:val="0"/>
      <w:divBdr>
        <w:top w:val="none" w:sz="0" w:space="0" w:color="auto"/>
        <w:left w:val="none" w:sz="0" w:space="0" w:color="auto"/>
        <w:bottom w:val="none" w:sz="0" w:space="0" w:color="auto"/>
        <w:right w:val="none" w:sz="0" w:space="0" w:color="auto"/>
      </w:divBdr>
      <w:divsChild>
        <w:div w:id="1988439834">
          <w:marLeft w:val="720"/>
          <w:marRight w:val="720"/>
          <w:marTop w:val="100"/>
          <w:marBottom w:val="100"/>
          <w:divBdr>
            <w:top w:val="none" w:sz="0" w:space="0" w:color="auto"/>
            <w:left w:val="none" w:sz="0" w:space="0" w:color="auto"/>
            <w:bottom w:val="none" w:sz="0" w:space="0" w:color="auto"/>
            <w:right w:val="none" w:sz="0" w:space="0" w:color="auto"/>
          </w:divBdr>
        </w:div>
      </w:divsChild>
    </w:div>
    <w:div w:id="1988439765">
      <w:marLeft w:val="0"/>
      <w:marRight w:val="0"/>
      <w:marTop w:val="0"/>
      <w:marBottom w:val="0"/>
      <w:divBdr>
        <w:top w:val="none" w:sz="0" w:space="0" w:color="auto"/>
        <w:left w:val="none" w:sz="0" w:space="0" w:color="auto"/>
        <w:bottom w:val="none" w:sz="0" w:space="0" w:color="auto"/>
        <w:right w:val="none" w:sz="0" w:space="0" w:color="auto"/>
      </w:divBdr>
    </w:div>
    <w:div w:id="1988439766">
      <w:marLeft w:val="0"/>
      <w:marRight w:val="0"/>
      <w:marTop w:val="0"/>
      <w:marBottom w:val="0"/>
      <w:divBdr>
        <w:top w:val="none" w:sz="0" w:space="0" w:color="auto"/>
        <w:left w:val="none" w:sz="0" w:space="0" w:color="auto"/>
        <w:bottom w:val="none" w:sz="0" w:space="0" w:color="auto"/>
        <w:right w:val="none" w:sz="0" w:space="0" w:color="auto"/>
      </w:divBdr>
    </w:div>
    <w:div w:id="1988439767">
      <w:marLeft w:val="0"/>
      <w:marRight w:val="0"/>
      <w:marTop w:val="0"/>
      <w:marBottom w:val="0"/>
      <w:divBdr>
        <w:top w:val="none" w:sz="0" w:space="0" w:color="auto"/>
        <w:left w:val="none" w:sz="0" w:space="0" w:color="auto"/>
        <w:bottom w:val="none" w:sz="0" w:space="0" w:color="auto"/>
        <w:right w:val="none" w:sz="0" w:space="0" w:color="auto"/>
      </w:divBdr>
    </w:div>
    <w:div w:id="1988439768">
      <w:marLeft w:val="0"/>
      <w:marRight w:val="0"/>
      <w:marTop w:val="0"/>
      <w:marBottom w:val="0"/>
      <w:divBdr>
        <w:top w:val="none" w:sz="0" w:space="0" w:color="auto"/>
        <w:left w:val="none" w:sz="0" w:space="0" w:color="auto"/>
        <w:bottom w:val="none" w:sz="0" w:space="0" w:color="auto"/>
        <w:right w:val="none" w:sz="0" w:space="0" w:color="auto"/>
      </w:divBdr>
    </w:div>
    <w:div w:id="1988439769">
      <w:marLeft w:val="0"/>
      <w:marRight w:val="0"/>
      <w:marTop w:val="0"/>
      <w:marBottom w:val="0"/>
      <w:divBdr>
        <w:top w:val="none" w:sz="0" w:space="0" w:color="auto"/>
        <w:left w:val="none" w:sz="0" w:space="0" w:color="auto"/>
        <w:bottom w:val="none" w:sz="0" w:space="0" w:color="auto"/>
        <w:right w:val="none" w:sz="0" w:space="0" w:color="auto"/>
      </w:divBdr>
    </w:div>
    <w:div w:id="1988439770">
      <w:marLeft w:val="0"/>
      <w:marRight w:val="0"/>
      <w:marTop w:val="0"/>
      <w:marBottom w:val="0"/>
      <w:divBdr>
        <w:top w:val="none" w:sz="0" w:space="0" w:color="auto"/>
        <w:left w:val="none" w:sz="0" w:space="0" w:color="auto"/>
        <w:bottom w:val="none" w:sz="0" w:space="0" w:color="auto"/>
        <w:right w:val="none" w:sz="0" w:space="0" w:color="auto"/>
      </w:divBdr>
    </w:div>
    <w:div w:id="1988439771">
      <w:marLeft w:val="0"/>
      <w:marRight w:val="0"/>
      <w:marTop w:val="0"/>
      <w:marBottom w:val="0"/>
      <w:divBdr>
        <w:top w:val="none" w:sz="0" w:space="0" w:color="auto"/>
        <w:left w:val="none" w:sz="0" w:space="0" w:color="auto"/>
        <w:bottom w:val="none" w:sz="0" w:space="0" w:color="auto"/>
        <w:right w:val="none" w:sz="0" w:space="0" w:color="auto"/>
      </w:divBdr>
    </w:div>
    <w:div w:id="1988439772">
      <w:marLeft w:val="0"/>
      <w:marRight w:val="0"/>
      <w:marTop w:val="0"/>
      <w:marBottom w:val="0"/>
      <w:divBdr>
        <w:top w:val="none" w:sz="0" w:space="0" w:color="auto"/>
        <w:left w:val="none" w:sz="0" w:space="0" w:color="auto"/>
        <w:bottom w:val="none" w:sz="0" w:space="0" w:color="auto"/>
        <w:right w:val="none" w:sz="0" w:space="0" w:color="auto"/>
      </w:divBdr>
    </w:div>
    <w:div w:id="1988439773">
      <w:marLeft w:val="0"/>
      <w:marRight w:val="0"/>
      <w:marTop w:val="0"/>
      <w:marBottom w:val="0"/>
      <w:divBdr>
        <w:top w:val="none" w:sz="0" w:space="0" w:color="auto"/>
        <w:left w:val="none" w:sz="0" w:space="0" w:color="auto"/>
        <w:bottom w:val="none" w:sz="0" w:space="0" w:color="auto"/>
        <w:right w:val="none" w:sz="0" w:space="0" w:color="auto"/>
      </w:divBdr>
    </w:div>
    <w:div w:id="1988439774">
      <w:marLeft w:val="0"/>
      <w:marRight w:val="0"/>
      <w:marTop w:val="0"/>
      <w:marBottom w:val="0"/>
      <w:divBdr>
        <w:top w:val="none" w:sz="0" w:space="0" w:color="auto"/>
        <w:left w:val="none" w:sz="0" w:space="0" w:color="auto"/>
        <w:bottom w:val="none" w:sz="0" w:space="0" w:color="auto"/>
        <w:right w:val="none" w:sz="0" w:space="0" w:color="auto"/>
      </w:divBdr>
    </w:div>
    <w:div w:id="1988439775">
      <w:marLeft w:val="0"/>
      <w:marRight w:val="0"/>
      <w:marTop w:val="0"/>
      <w:marBottom w:val="0"/>
      <w:divBdr>
        <w:top w:val="none" w:sz="0" w:space="0" w:color="auto"/>
        <w:left w:val="none" w:sz="0" w:space="0" w:color="auto"/>
        <w:bottom w:val="none" w:sz="0" w:space="0" w:color="auto"/>
        <w:right w:val="none" w:sz="0" w:space="0" w:color="auto"/>
      </w:divBdr>
    </w:div>
    <w:div w:id="1988439776">
      <w:marLeft w:val="0"/>
      <w:marRight w:val="0"/>
      <w:marTop w:val="0"/>
      <w:marBottom w:val="0"/>
      <w:divBdr>
        <w:top w:val="none" w:sz="0" w:space="0" w:color="auto"/>
        <w:left w:val="none" w:sz="0" w:space="0" w:color="auto"/>
        <w:bottom w:val="none" w:sz="0" w:space="0" w:color="auto"/>
        <w:right w:val="none" w:sz="0" w:space="0" w:color="auto"/>
      </w:divBdr>
    </w:div>
    <w:div w:id="1988439777">
      <w:marLeft w:val="0"/>
      <w:marRight w:val="0"/>
      <w:marTop w:val="0"/>
      <w:marBottom w:val="0"/>
      <w:divBdr>
        <w:top w:val="none" w:sz="0" w:space="0" w:color="auto"/>
        <w:left w:val="none" w:sz="0" w:space="0" w:color="auto"/>
        <w:bottom w:val="none" w:sz="0" w:space="0" w:color="auto"/>
        <w:right w:val="none" w:sz="0" w:space="0" w:color="auto"/>
      </w:divBdr>
    </w:div>
    <w:div w:id="1988439778">
      <w:marLeft w:val="0"/>
      <w:marRight w:val="0"/>
      <w:marTop w:val="0"/>
      <w:marBottom w:val="0"/>
      <w:divBdr>
        <w:top w:val="none" w:sz="0" w:space="0" w:color="auto"/>
        <w:left w:val="none" w:sz="0" w:space="0" w:color="auto"/>
        <w:bottom w:val="none" w:sz="0" w:space="0" w:color="auto"/>
        <w:right w:val="none" w:sz="0" w:space="0" w:color="auto"/>
      </w:divBdr>
    </w:div>
    <w:div w:id="1988439779">
      <w:marLeft w:val="0"/>
      <w:marRight w:val="0"/>
      <w:marTop w:val="0"/>
      <w:marBottom w:val="0"/>
      <w:divBdr>
        <w:top w:val="none" w:sz="0" w:space="0" w:color="auto"/>
        <w:left w:val="none" w:sz="0" w:space="0" w:color="auto"/>
        <w:bottom w:val="none" w:sz="0" w:space="0" w:color="auto"/>
        <w:right w:val="none" w:sz="0" w:space="0" w:color="auto"/>
      </w:divBdr>
    </w:div>
    <w:div w:id="1988439780">
      <w:marLeft w:val="0"/>
      <w:marRight w:val="0"/>
      <w:marTop w:val="0"/>
      <w:marBottom w:val="0"/>
      <w:divBdr>
        <w:top w:val="none" w:sz="0" w:space="0" w:color="auto"/>
        <w:left w:val="none" w:sz="0" w:space="0" w:color="auto"/>
        <w:bottom w:val="none" w:sz="0" w:space="0" w:color="auto"/>
        <w:right w:val="none" w:sz="0" w:space="0" w:color="auto"/>
      </w:divBdr>
    </w:div>
    <w:div w:id="1988439781">
      <w:marLeft w:val="0"/>
      <w:marRight w:val="0"/>
      <w:marTop w:val="0"/>
      <w:marBottom w:val="0"/>
      <w:divBdr>
        <w:top w:val="none" w:sz="0" w:space="0" w:color="auto"/>
        <w:left w:val="none" w:sz="0" w:space="0" w:color="auto"/>
        <w:bottom w:val="none" w:sz="0" w:space="0" w:color="auto"/>
        <w:right w:val="none" w:sz="0" w:space="0" w:color="auto"/>
      </w:divBdr>
    </w:div>
    <w:div w:id="1988439782">
      <w:marLeft w:val="0"/>
      <w:marRight w:val="0"/>
      <w:marTop w:val="0"/>
      <w:marBottom w:val="0"/>
      <w:divBdr>
        <w:top w:val="none" w:sz="0" w:space="0" w:color="auto"/>
        <w:left w:val="none" w:sz="0" w:space="0" w:color="auto"/>
        <w:bottom w:val="none" w:sz="0" w:space="0" w:color="auto"/>
        <w:right w:val="none" w:sz="0" w:space="0" w:color="auto"/>
      </w:divBdr>
    </w:div>
    <w:div w:id="1988439783">
      <w:marLeft w:val="0"/>
      <w:marRight w:val="0"/>
      <w:marTop w:val="0"/>
      <w:marBottom w:val="0"/>
      <w:divBdr>
        <w:top w:val="none" w:sz="0" w:space="0" w:color="auto"/>
        <w:left w:val="none" w:sz="0" w:space="0" w:color="auto"/>
        <w:bottom w:val="none" w:sz="0" w:space="0" w:color="auto"/>
        <w:right w:val="none" w:sz="0" w:space="0" w:color="auto"/>
      </w:divBdr>
    </w:div>
    <w:div w:id="1988439784">
      <w:marLeft w:val="0"/>
      <w:marRight w:val="0"/>
      <w:marTop w:val="0"/>
      <w:marBottom w:val="0"/>
      <w:divBdr>
        <w:top w:val="none" w:sz="0" w:space="0" w:color="auto"/>
        <w:left w:val="none" w:sz="0" w:space="0" w:color="auto"/>
        <w:bottom w:val="none" w:sz="0" w:space="0" w:color="auto"/>
        <w:right w:val="none" w:sz="0" w:space="0" w:color="auto"/>
      </w:divBdr>
    </w:div>
    <w:div w:id="1988439785">
      <w:marLeft w:val="0"/>
      <w:marRight w:val="0"/>
      <w:marTop w:val="0"/>
      <w:marBottom w:val="0"/>
      <w:divBdr>
        <w:top w:val="none" w:sz="0" w:space="0" w:color="auto"/>
        <w:left w:val="none" w:sz="0" w:space="0" w:color="auto"/>
        <w:bottom w:val="none" w:sz="0" w:space="0" w:color="auto"/>
        <w:right w:val="none" w:sz="0" w:space="0" w:color="auto"/>
      </w:divBdr>
    </w:div>
    <w:div w:id="1988439786">
      <w:marLeft w:val="0"/>
      <w:marRight w:val="0"/>
      <w:marTop w:val="0"/>
      <w:marBottom w:val="0"/>
      <w:divBdr>
        <w:top w:val="none" w:sz="0" w:space="0" w:color="auto"/>
        <w:left w:val="none" w:sz="0" w:space="0" w:color="auto"/>
        <w:bottom w:val="none" w:sz="0" w:space="0" w:color="auto"/>
        <w:right w:val="none" w:sz="0" w:space="0" w:color="auto"/>
      </w:divBdr>
    </w:div>
    <w:div w:id="1988439787">
      <w:marLeft w:val="0"/>
      <w:marRight w:val="0"/>
      <w:marTop w:val="0"/>
      <w:marBottom w:val="0"/>
      <w:divBdr>
        <w:top w:val="none" w:sz="0" w:space="0" w:color="auto"/>
        <w:left w:val="none" w:sz="0" w:space="0" w:color="auto"/>
        <w:bottom w:val="none" w:sz="0" w:space="0" w:color="auto"/>
        <w:right w:val="none" w:sz="0" w:space="0" w:color="auto"/>
      </w:divBdr>
    </w:div>
    <w:div w:id="1988439788">
      <w:marLeft w:val="0"/>
      <w:marRight w:val="0"/>
      <w:marTop w:val="0"/>
      <w:marBottom w:val="0"/>
      <w:divBdr>
        <w:top w:val="none" w:sz="0" w:space="0" w:color="auto"/>
        <w:left w:val="none" w:sz="0" w:space="0" w:color="auto"/>
        <w:bottom w:val="none" w:sz="0" w:space="0" w:color="auto"/>
        <w:right w:val="none" w:sz="0" w:space="0" w:color="auto"/>
      </w:divBdr>
    </w:div>
    <w:div w:id="1988439789">
      <w:marLeft w:val="0"/>
      <w:marRight w:val="0"/>
      <w:marTop w:val="0"/>
      <w:marBottom w:val="0"/>
      <w:divBdr>
        <w:top w:val="none" w:sz="0" w:space="0" w:color="auto"/>
        <w:left w:val="none" w:sz="0" w:space="0" w:color="auto"/>
        <w:bottom w:val="none" w:sz="0" w:space="0" w:color="auto"/>
        <w:right w:val="none" w:sz="0" w:space="0" w:color="auto"/>
      </w:divBdr>
    </w:div>
    <w:div w:id="1988439790">
      <w:marLeft w:val="0"/>
      <w:marRight w:val="0"/>
      <w:marTop w:val="0"/>
      <w:marBottom w:val="0"/>
      <w:divBdr>
        <w:top w:val="none" w:sz="0" w:space="0" w:color="auto"/>
        <w:left w:val="none" w:sz="0" w:space="0" w:color="auto"/>
        <w:bottom w:val="none" w:sz="0" w:space="0" w:color="auto"/>
        <w:right w:val="none" w:sz="0" w:space="0" w:color="auto"/>
      </w:divBdr>
    </w:div>
    <w:div w:id="1988439791">
      <w:marLeft w:val="0"/>
      <w:marRight w:val="0"/>
      <w:marTop w:val="0"/>
      <w:marBottom w:val="0"/>
      <w:divBdr>
        <w:top w:val="none" w:sz="0" w:space="0" w:color="auto"/>
        <w:left w:val="none" w:sz="0" w:space="0" w:color="auto"/>
        <w:bottom w:val="none" w:sz="0" w:space="0" w:color="auto"/>
        <w:right w:val="none" w:sz="0" w:space="0" w:color="auto"/>
      </w:divBdr>
    </w:div>
    <w:div w:id="1988439792">
      <w:marLeft w:val="0"/>
      <w:marRight w:val="0"/>
      <w:marTop w:val="0"/>
      <w:marBottom w:val="0"/>
      <w:divBdr>
        <w:top w:val="none" w:sz="0" w:space="0" w:color="auto"/>
        <w:left w:val="none" w:sz="0" w:space="0" w:color="auto"/>
        <w:bottom w:val="none" w:sz="0" w:space="0" w:color="auto"/>
        <w:right w:val="none" w:sz="0" w:space="0" w:color="auto"/>
      </w:divBdr>
    </w:div>
    <w:div w:id="1988439793">
      <w:marLeft w:val="0"/>
      <w:marRight w:val="0"/>
      <w:marTop w:val="0"/>
      <w:marBottom w:val="0"/>
      <w:divBdr>
        <w:top w:val="none" w:sz="0" w:space="0" w:color="auto"/>
        <w:left w:val="none" w:sz="0" w:space="0" w:color="auto"/>
        <w:bottom w:val="none" w:sz="0" w:space="0" w:color="auto"/>
        <w:right w:val="none" w:sz="0" w:space="0" w:color="auto"/>
      </w:divBdr>
    </w:div>
    <w:div w:id="1988439794">
      <w:marLeft w:val="0"/>
      <w:marRight w:val="0"/>
      <w:marTop w:val="0"/>
      <w:marBottom w:val="0"/>
      <w:divBdr>
        <w:top w:val="none" w:sz="0" w:space="0" w:color="auto"/>
        <w:left w:val="none" w:sz="0" w:space="0" w:color="auto"/>
        <w:bottom w:val="none" w:sz="0" w:space="0" w:color="auto"/>
        <w:right w:val="none" w:sz="0" w:space="0" w:color="auto"/>
      </w:divBdr>
    </w:div>
    <w:div w:id="1988439795">
      <w:marLeft w:val="0"/>
      <w:marRight w:val="0"/>
      <w:marTop w:val="0"/>
      <w:marBottom w:val="0"/>
      <w:divBdr>
        <w:top w:val="none" w:sz="0" w:space="0" w:color="auto"/>
        <w:left w:val="none" w:sz="0" w:space="0" w:color="auto"/>
        <w:bottom w:val="none" w:sz="0" w:space="0" w:color="auto"/>
        <w:right w:val="none" w:sz="0" w:space="0" w:color="auto"/>
      </w:divBdr>
    </w:div>
    <w:div w:id="1988439796">
      <w:marLeft w:val="0"/>
      <w:marRight w:val="0"/>
      <w:marTop w:val="0"/>
      <w:marBottom w:val="0"/>
      <w:divBdr>
        <w:top w:val="none" w:sz="0" w:space="0" w:color="auto"/>
        <w:left w:val="none" w:sz="0" w:space="0" w:color="auto"/>
        <w:bottom w:val="none" w:sz="0" w:space="0" w:color="auto"/>
        <w:right w:val="none" w:sz="0" w:space="0" w:color="auto"/>
      </w:divBdr>
    </w:div>
    <w:div w:id="1988439797">
      <w:marLeft w:val="0"/>
      <w:marRight w:val="0"/>
      <w:marTop w:val="0"/>
      <w:marBottom w:val="0"/>
      <w:divBdr>
        <w:top w:val="none" w:sz="0" w:space="0" w:color="auto"/>
        <w:left w:val="none" w:sz="0" w:space="0" w:color="auto"/>
        <w:bottom w:val="none" w:sz="0" w:space="0" w:color="auto"/>
        <w:right w:val="none" w:sz="0" w:space="0" w:color="auto"/>
      </w:divBdr>
    </w:div>
    <w:div w:id="1988439798">
      <w:marLeft w:val="0"/>
      <w:marRight w:val="0"/>
      <w:marTop w:val="0"/>
      <w:marBottom w:val="0"/>
      <w:divBdr>
        <w:top w:val="none" w:sz="0" w:space="0" w:color="auto"/>
        <w:left w:val="none" w:sz="0" w:space="0" w:color="auto"/>
        <w:bottom w:val="none" w:sz="0" w:space="0" w:color="auto"/>
        <w:right w:val="none" w:sz="0" w:space="0" w:color="auto"/>
      </w:divBdr>
    </w:div>
    <w:div w:id="1988439799">
      <w:marLeft w:val="0"/>
      <w:marRight w:val="0"/>
      <w:marTop w:val="0"/>
      <w:marBottom w:val="0"/>
      <w:divBdr>
        <w:top w:val="none" w:sz="0" w:space="0" w:color="auto"/>
        <w:left w:val="none" w:sz="0" w:space="0" w:color="auto"/>
        <w:bottom w:val="none" w:sz="0" w:space="0" w:color="auto"/>
        <w:right w:val="none" w:sz="0" w:space="0" w:color="auto"/>
      </w:divBdr>
    </w:div>
    <w:div w:id="1988439800">
      <w:marLeft w:val="0"/>
      <w:marRight w:val="0"/>
      <w:marTop w:val="0"/>
      <w:marBottom w:val="0"/>
      <w:divBdr>
        <w:top w:val="none" w:sz="0" w:space="0" w:color="auto"/>
        <w:left w:val="none" w:sz="0" w:space="0" w:color="auto"/>
        <w:bottom w:val="none" w:sz="0" w:space="0" w:color="auto"/>
        <w:right w:val="none" w:sz="0" w:space="0" w:color="auto"/>
      </w:divBdr>
    </w:div>
    <w:div w:id="1988439801">
      <w:marLeft w:val="0"/>
      <w:marRight w:val="0"/>
      <w:marTop w:val="0"/>
      <w:marBottom w:val="0"/>
      <w:divBdr>
        <w:top w:val="none" w:sz="0" w:space="0" w:color="auto"/>
        <w:left w:val="none" w:sz="0" w:space="0" w:color="auto"/>
        <w:bottom w:val="none" w:sz="0" w:space="0" w:color="auto"/>
        <w:right w:val="none" w:sz="0" w:space="0" w:color="auto"/>
      </w:divBdr>
    </w:div>
    <w:div w:id="1988439802">
      <w:marLeft w:val="0"/>
      <w:marRight w:val="0"/>
      <w:marTop w:val="0"/>
      <w:marBottom w:val="0"/>
      <w:divBdr>
        <w:top w:val="none" w:sz="0" w:space="0" w:color="auto"/>
        <w:left w:val="none" w:sz="0" w:space="0" w:color="auto"/>
        <w:bottom w:val="none" w:sz="0" w:space="0" w:color="auto"/>
        <w:right w:val="none" w:sz="0" w:space="0" w:color="auto"/>
      </w:divBdr>
    </w:div>
    <w:div w:id="1988439803">
      <w:marLeft w:val="0"/>
      <w:marRight w:val="0"/>
      <w:marTop w:val="0"/>
      <w:marBottom w:val="0"/>
      <w:divBdr>
        <w:top w:val="none" w:sz="0" w:space="0" w:color="auto"/>
        <w:left w:val="none" w:sz="0" w:space="0" w:color="auto"/>
        <w:bottom w:val="none" w:sz="0" w:space="0" w:color="auto"/>
        <w:right w:val="none" w:sz="0" w:space="0" w:color="auto"/>
      </w:divBdr>
    </w:div>
    <w:div w:id="1988439804">
      <w:marLeft w:val="0"/>
      <w:marRight w:val="0"/>
      <w:marTop w:val="0"/>
      <w:marBottom w:val="0"/>
      <w:divBdr>
        <w:top w:val="none" w:sz="0" w:space="0" w:color="auto"/>
        <w:left w:val="none" w:sz="0" w:space="0" w:color="auto"/>
        <w:bottom w:val="none" w:sz="0" w:space="0" w:color="auto"/>
        <w:right w:val="none" w:sz="0" w:space="0" w:color="auto"/>
      </w:divBdr>
    </w:div>
    <w:div w:id="1988439805">
      <w:marLeft w:val="0"/>
      <w:marRight w:val="0"/>
      <w:marTop w:val="0"/>
      <w:marBottom w:val="0"/>
      <w:divBdr>
        <w:top w:val="none" w:sz="0" w:space="0" w:color="auto"/>
        <w:left w:val="none" w:sz="0" w:space="0" w:color="auto"/>
        <w:bottom w:val="none" w:sz="0" w:space="0" w:color="auto"/>
        <w:right w:val="none" w:sz="0" w:space="0" w:color="auto"/>
      </w:divBdr>
    </w:div>
    <w:div w:id="1988439806">
      <w:marLeft w:val="0"/>
      <w:marRight w:val="0"/>
      <w:marTop w:val="0"/>
      <w:marBottom w:val="0"/>
      <w:divBdr>
        <w:top w:val="none" w:sz="0" w:space="0" w:color="auto"/>
        <w:left w:val="none" w:sz="0" w:space="0" w:color="auto"/>
        <w:bottom w:val="none" w:sz="0" w:space="0" w:color="auto"/>
        <w:right w:val="none" w:sz="0" w:space="0" w:color="auto"/>
      </w:divBdr>
    </w:div>
    <w:div w:id="1988439807">
      <w:marLeft w:val="0"/>
      <w:marRight w:val="0"/>
      <w:marTop w:val="0"/>
      <w:marBottom w:val="0"/>
      <w:divBdr>
        <w:top w:val="none" w:sz="0" w:space="0" w:color="auto"/>
        <w:left w:val="none" w:sz="0" w:space="0" w:color="auto"/>
        <w:bottom w:val="none" w:sz="0" w:space="0" w:color="auto"/>
        <w:right w:val="none" w:sz="0" w:space="0" w:color="auto"/>
      </w:divBdr>
    </w:div>
    <w:div w:id="1988439808">
      <w:marLeft w:val="0"/>
      <w:marRight w:val="0"/>
      <w:marTop w:val="0"/>
      <w:marBottom w:val="0"/>
      <w:divBdr>
        <w:top w:val="none" w:sz="0" w:space="0" w:color="auto"/>
        <w:left w:val="none" w:sz="0" w:space="0" w:color="auto"/>
        <w:bottom w:val="none" w:sz="0" w:space="0" w:color="auto"/>
        <w:right w:val="none" w:sz="0" w:space="0" w:color="auto"/>
      </w:divBdr>
    </w:div>
    <w:div w:id="1988439809">
      <w:marLeft w:val="0"/>
      <w:marRight w:val="0"/>
      <w:marTop w:val="0"/>
      <w:marBottom w:val="0"/>
      <w:divBdr>
        <w:top w:val="none" w:sz="0" w:space="0" w:color="auto"/>
        <w:left w:val="none" w:sz="0" w:space="0" w:color="auto"/>
        <w:bottom w:val="none" w:sz="0" w:space="0" w:color="auto"/>
        <w:right w:val="none" w:sz="0" w:space="0" w:color="auto"/>
      </w:divBdr>
    </w:div>
    <w:div w:id="1988439810">
      <w:marLeft w:val="0"/>
      <w:marRight w:val="0"/>
      <w:marTop w:val="0"/>
      <w:marBottom w:val="0"/>
      <w:divBdr>
        <w:top w:val="none" w:sz="0" w:space="0" w:color="auto"/>
        <w:left w:val="none" w:sz="0" w:space="0" w:color="auto"/>
        <w:bottom w:val="none" w:sz="0" w:space="0" w:color="auto"/>
        <w:right w:val="none" w:sz="0" w:space="0" w:color="auto"/>
      </w:divBdr>
    </w:div>
    <w:div w:id="1988439811">
      <w:marLeft w:val="0"/>
      <w:marRight w:val="0"/>
      <w:marTop w:val="0"/>
      <w:marBottom w:val="0"/>
      <w:divBdr>
        <w:top w:val="none" w:sz="0" w:space="0" w:color="auto"/>
        <w:left w:val="none" w:sz="0" w:space="0" w:color="auto"/>
        <w:bottom w:val="none" w:sz="0" w:space="0" w:color="auto"/>
        <w:right w:val="none" w:sz="0" w:space="0" w:color="auto"/>
      </w:divBdr>
    </w:div>
    <w:div w:id="1988439812">
      <w:marLeft w:val="0"/>
      <w:marRight w:val="0"/>
      <w:marTop w:val="0"/>
      <w:marBottom w:val="0"/>
      <w:divBdr>
        <w:top w:val="none" w:sz="0" w:space="0" w:color="auto"/>
        <w:left w:val="none" w:sz="0" w:space="0" w:color="auto"/>
        <w:bottom w:val="none" w:sz="0" w:space="0" w:color="auto"/>
        <w:right w:val="none" w:sz="0" w:space="0" w:color="auto"/>
      </w:divBdr>
    </w:div>
    <w:div w:id="1988439813">
      <w:marLeft w:val="0"/>
      <w:marRight w:val="0"/>
      <w:marTop w:val="0"/>
      <w:marBottom w:val="0"/>
      <w:divBdr>
        <w:top w:val="none" w:sz="0" w:space="0" w:color="auto"/>
        <w:left w:val="none" w:sz="0" w:space="0" w:color="auto"/>
        <w:bottom w:val="none" w:sz="0" w:space="0" w:color="auto"/>
        <w:right w:val="none" w:sz="0" w:space="0" w:color="auto"/>
      </w:divBdr>
    </w:div>
    <w:div w:id="1988439814">
      <w:marLeft w:val="0"/>
      <w:marRight w:val="0"/>
      <w:marTop w:val="0"/>
      <w:marBottom w:val="0"/>
      <w:divBdr>
        <w:top w:val="none" w:sz="0" w:space="0" w:color="auto"/>
        <w:left w:val="none" w:sz="0" w:space="0" w:color="auto"/>
        <w:bottom w:val="none" w:sz="0" w:space="0" w:color="auto"/>
        <w:right w:val="none" w:sz="0" w:space="0" w:color="auto"/>
      </w:divBdr>
    </w:div>
    <w:div w:id="1988439815">
      <w:marLeft w:val="0"/>
      <w:marRight w:val="0"/>
      <w:marTop w:val="0"/>
      <w:marBottom w:val="0"/>
      <w:divBdr>
        <w:top w:val="none" w:sz="0" w:space="0" w:color="auto"/>
        <w:left w:val="none" w:sz="0" w:space="0" w:color="auto"/>
        <w:bottom w:val="none" w:sz="0" w:space="0" w:color="auto"/>
        <w:right w:val="none" w:sz="0" w:space="0" w:color="auto"/>
      </w:divBdr>
    </w:div>
    <w:div w:id="1988439816">
      <w:marLeft w:val="0"/>
      <w:marRight w:val="0"/>
      <w:marTop w:val="0"/>
      <w:marBottom w:val="0"/>
      <w:divBdr>
        <w:top w:val="none" w:sz="0" w:space="0" w:color="auto"/>
        <w:left w:val="none" w:sz="0" w:space="0" w:color="auto"/>
        <w:bottom w:val="none" w:sz="0" w:space="0" w:color="auto"/>
        <w:right w:val="none" w:sz="0" w:space="0" w:color="auto"/>
      </w:divBdr>
    </w:div>
    <w:div w:id="1988439817">
      <w:marLeft w:val="0"/>
      <w:marRight w:val="0"/>
      <w:marTop w:val="0"/>
      <w:marBottom w:val="0"/>
      <w:divBdr>
        <w:top w:val="none" w:sz="0" w:space="0" w:color="auto"/>
        <w:left w:val="none" w:sz="0" w:space="0" w:color="auto"/>
        <w:bottom w:val="none" w:sz="0" w:space="0" w:color="auto"/>
        <w:right w:val="none" w:sz="0" w:space="0" w:color="auto"/>
      </w:divBdr>
    </w:div>
    <w:div w:id="1988439818">
      <w:marLeft w:val="0"/>
      <w:marRight w:val="0"/>
      <w:marTop w:val="0"/>
      <w:marBottom w:val="0"/>
      <w:divBdr>
        <w:top w:val="none" w:sz="0" w:space="0" w:color="auto"/>
        <w:left w:val="none" w:sz="0" w:space="0" w:color="auto"/>
        <w:bottom w:val="none" w:sz="0" w:space="0" w:color="auto"/>
        <w:right w:val="none" w:sz="0" w:space="0" w:color="auto"/>
      </w:divBdr>
    </w:div>
    <w:div w:id="1988439819">
      <w:marLeft w:val="0"/>
      <w:marRight w:val="0"/>
      <w:marTop w:val="0"/>
      <w:marBottom w:val="0"/>
      <w:divBdr>
        <w:top w:val="none" w:sz="0" w:space="0" w:color="auto"/>
        <w:left w:val="none" w:sz="0" w:space="0" w:color="auto"/>
        <w:bottom w:val="none" w:sz="0" w:space="0" w:color="auto"/>
        <w:right w:val="none" w:sz="0" w:space="0" w:color="auto"/>
      </w:divBdr>
    </w:div>
    <w:div w:id="1988439820">
      <w:marLeft w:val="0"/>
      <w:marRight w:val="0"/>
      <w:marTop w:val="0"/>
      <w:marBottom w:val="0"/>
      <w:divBdr>
        <w:top w:val="none" w:sz="0" w:space="0" w:color="auto"/>
        <w:left w:val="none" w:sz="0" w:space="0" w:color="auto"/>
        <w:bottom w:val="none" w:sz="0" w:space="0" w:color="auto"/>
        <w:right w:val="none" w:sz="0" w:space="0" w:color="auto"/>
      </w:divBdr>
    </w:div>
    <w:div w:id="1988439821">
      <w:marLeft w:val="0"/>
      <w:marRight w:val="0"/>
      <w:marTop w:val="0"/>
      <w:marBottom w:val="0"/>
      <w:divBdr>
        <w:top w:val="none" w:sz="0" w:space="0" w:color="auto"/>
        <w:left w:val="none" w:sz="0" w:space="0" w:color="auto"/>
        <w:bottom w:val="none" w:sz="0" w:space="0" w:color="auto"/>
        <w:right w:val="none" w:sz="0" w:space="0" w:color="auto"/>
      </w:divBdr>
    </w:div>
    <w:div w:id="1988439822">
      <w:marLeft w:val="0"/>
      <w:marRight w:val="0"/>
      <w:marTop w:val="0"/>
      <w:marBottom w:val="0"/>
      <w:divBdr>
        <w:top w:val="none" w:sz="0" w:space="0" w:color="auto"/>
        <w:left w:val="none" w:sz="0" w:space="0" w:color="auto"/>
        <w:bottom w:val="none" w:sz="0" w:space="0" w:color="auto"/>
        <w:right w:val="none" w:sz="0" w:space="0" w:color="auto"/>
      </w:divBdr>
    </w:div>
    <w:div w:id="1988439823">
      <w:marLeft w:val="0"/>
      <w:marRight w:val="0"/>
      <w:marTop w:val="0"/>
      <w:marBottom w:val="0"/>
      <w:divBdr>
        <w:top w:val="none" w:sz="0" w:space="0" w:color="auto"/>
        <w:left w:val="none" w:sz="0" w:space="0" w:color="auto"/>
        <w:bottom w:val="none" w:sz="0" w:space="0" w:color="auto"/>
        <w:right w:val="none" w:sz="0" w:space="0" w:color="auto"/>
      </w:divBdr>
    </w:div>
    <w:div w:id="1988439824">
      <w:marLeft w:val="0"/>
      <w:marRight w:val="0"/>
      <w:marTop w:val="0"/>
      <w:marBottom w:val="0"/>
      <w:divBdr>
        <w:top w:val="none" w:sz="0" w:space="0" w:color="auto"/>
        <w:left w:val="none" w:sz="0" w:space="0" w:color="auto"/>
        <w:bottom w:val="none" w:sz="0" w:space="0" w:color="auto"/>
        <w:right w:val="none" w:sz="0" w:space="0" w:color="auto"/>
      </w:divBdr>
    </w:div>
    <w:div w:id="1988439825">
      <w:marLeft w:val="0"/>
      <w:marRight w:val="0"/>
      <w:marTop w:val="0"/>
      <w:marBottom w:val="0"/>
      <w:divBdr>
        <w:top w:val="none" w:sz="0" w:space="0" w:color="auto"/>
        <w:left w:val="none" w:sz="0" w:space="0" w:color="auto"/>
        <w:bottom w:val="none" w:sz="0" w:space="0" w:color="auto"/>
        <w:right w:val="none" w:sz="0" w:space="0" w:color="auto"/>
      </w:divBdr>
    </w:div>
    <w:div w:id="1988439826">
      <w:marLeft w:val="0"/>
      <w:marRight w:val="0"/>
      <w:marTop w:val="0"/>
      <w:marBottom w:val="0"/>
      <w:divBdr>
        <w:top w:val="none" w:sz="0" w:space="0" w:color="auto"/>
        <w:left w:val="none" w:sz="0" w:space="0" w:color="auto"/>
        <w:bottom w:val="none" w:sz="0" w:space="0" w:color="auto"/>
        <w:right w:val="none" w:sz="0" w:space="0" w:color="auto"/>
      </w:divBdr>
    </w:div>
    <w:div w:id="1988439827">
      <w:marLeft w:val="0"/>
      <w:marRight w:val="0"/>
      <w:marTop w:val="0"/>
      <w:marBottom w:val="0"/>
      <w:divBdr>
        <w:top w:val="none" w:sz="0" w:space="0" w:color="auto"/>
        <w:left w:val="none" w:sz="0" w:space="0" w:color="auto"/>
        <w:bottom w:val="none" w:sz="0" w:space="0" w:color="auto"/>
        <w:right w:val="none" w:sz="0" w:space="0" w:color="auto"/>
      </w:divBdr>
    </w:div>
    <w:div w:id="1988439828">
      <w:marLeft w:val="0"/>
      <w:marRight w:val="0"/>
      <w:marTop w:val="0"/>
      <w:marBottom w:val="0"/>
      <w:divBdr>
        <w:top w:val="none" w:sz="0" w:space="0" w:color="auto"/>
        <w:left w:val="none" w:sz="0" w:space="0" w:color="auto"/>
        <w:bottom w:val="none" w:sz="0" w:space="0" w:color="auto"/>
        <w:right w:val="none" w:sz="0" w:space="0" w:color="auto"/>
      </w:divBdr>
    </w:div>
    <w:div w:id="1988439829">
      <w:marLeft w:val="0"/>
      <w:marRight w:val="0"/>
      <w:marTop w:val="0"/>
      <w:marBottom w:val="0"/>
      <w:divBdr>
        <w:top w:val="none" w:sz="0" w:space="0" w:color="auto"/>
        <w:left w:val="none" w:sz="0" w:space="0" w:color="auto"/>
        <w:bottom w:val="none" w:sz="0" w:space="0" w:color="auto"/>
        <w:right w:val="none" w:sz="0" w:space="0" w:color="auto"/>
      </w:divBdr>
    </w:div>
    <w:div w:id="1988439830">
      <w:marLeft w:val="0"/>
      <w:marRight w:val="0"/>
      <w:marTop w:val="0"/>
      <w:marBottom w:val="0"/>
      <w:divBdr>
        <w:top w:val="none" w:sz="0" w:space="0" w:color="auto"/>
        <w:left w:val="none" w:sz="0" w:space="0" w:color="auto"/>
        <w:bottom w:val="none" w:sz="0" w:space="0" w:color="auto"/>
        <w:right w:val="none" w:sz="0" w:space="0" w:color="auto"/>
      </w:divBdr>
    </w:div>
    <w:div w:id="1988439831">
      <w:marLeft w:val="0"/>
      <w:marRight w:val="0"/>
      <w:marTop w:val="0"/>
      <w:marBottom w:val="0"/>
      <w:divBdr>
        <w:top w:val="none" w:sz="0" w:space="0" w:color="auto"/>
        <w:left w:val="none" w:sz="0" w:space="0" w:color="auto"/>
        <w:bottom w:val="none" w:sz="0" w:space="0" w:color="auto"/>
        <w:right w:val="none" w:sz="0" w:space="0" w:color="auto"/>
      </w:divBdr>
    </w:div>
    <w:div w:id="1988439832">
      <w:marLeft w:val="0"/>
      <w:marRight w:val="0"/>
      <w:marTop w:val="0"/>
      <w:marBottom w:val="0"/>
      <w:divBdr>
        <w:top w:val="none" w:sz="0" w:space="0" w:color="auto"/>
        <w:left w:val="none" w:sz="0" w:space="0" w:color="auto"/>
        <w:bottom w:val="none" w:sz="0" w:space="0" w:color="auto"/>
        <w:right w:val="none" w:sz="0" w:space="0" w:color="auto"/>
      </w:divBdr>
    </w:div>
    <w:div w:id="1988439833">
      <w:marLeft w:val="0"/>
      <w:marRight w:val="0"/>
      <w:marTop w:val="0"/>
      <w:marBottom w:val="0"/>
      <w:divBdr>
        <w:top w:val="none" w:sz="0" w:space="0" w:color="auto"/>
        <w:left w:val="none" w:sz="0" w:space="0" w:color="auto"/>
        <w:bottom w:val="none" w:sz="0" w:space="0" w:color="auto"/>
        <w:right w:val="none" w:sz="0" w:space="0" w:color="auto"/>
      </w:divBdr>
    </w:div>
    <w:div w:id="1988439835">
      <w:marLeft w:val="0"/>
      <w:marRight w:val="0"/>
      <w:marTop w:val="0"/>
      <w:marBottom w:val="0"/>
      <w:divBdr>
        <w:top w:val="none" w:sz="0" w:space="0" w:color="auto"/>
        <w:left w:val="none" w:sz="0" w:space="0" w:color="auto"/>
        <w:bottom w:val="none" w:sz="0" w:space="0" w:color="auto"/>
        <w:right w:val="none" w:sz="0" w:space="0" w:color="auto"/>
      </w:divBdr>
    </w:div>
    <w:div w:id="1988439836">
      <w:marLeft w:val="0"/>
      <w:marRight w:val="0"/>
      <w:marTop w:val="0"/>
      <w:marBottom w:val="0"/>
      <w:divBdr>
        <w:top w:val="none" w:sz="0" w:space="0" w:color="auto"/>
        <w:left w:val="none" w:sz="0" w:space="0" w:color="auto"/>
        <w:bottom w:val="none" w:sz="0" w:space="0" w:color="auto"/>
        <w:right w:val="none" w:sz="0" w:space="0" w:color="auto"/>
      </w:divBdr>
    </w:div>
    <w:div w:id="1988439837">
      <w:marLeft w:val="0"/>
      <w:marRight w:val="0"/>
      <w:marTop w:val="0"/>
      <w:marBottom w:val="0"/>
      <w:divBdr>
        <w:top w:val="none" w:sz="0" w:space="0" w:color="auto"/>
        <w:left w:val="none" w:sz="0" w:space="0" w:color="auto"/>
        <w:bottom w:val="none" w:sz="0" w:space="0" w:color="auto"/>
        <w:right w:val="none" w:sz="0" w:space="0" w:color="auto"/>
      </w:divBdr>
    </w:div>
    <w:div w:id="1988439838">
      <w:marLeft w:val="0"/>
      <w:marRight w:val="0"/>
      <w:marTop w:val="0"/>
      <w:marBottom w:val="0"/>
      <w:divBdr>
        <w:top w:val="none" w:sz="0" w:space="0" w:color="auto"/>
        <w:left w:val="none" w:sz="0" w:space="0" w:color="auto"/>
        <w:bottom w:val="none" w:sz="0" w:space="0" w:color="auto"/>
        <w:right w:val="none" w:sz="0" w:space="0" w:color="auto"/>
      </w:divBdr>
    </w:div>
    <w:div w:id="1988439839">
      <w:marLeft w:val="0"/>
      <w:marRight w:val="0"/>
      <w:marTop w:val="0"/>
      <w:marBottom w:val="0"/>
      <w:divBdr>
        <w:top w:val="none" w:sz="0" w:space="0" w:color="auto"/>
        <w:left w:val="none" w:sz="0" w:space="0" w:color="auto"/>
        <w:bottom w:val="none" w:sz="0" w:space="0" w:color="auto"/>
        <w:right w:val="none" w:sz="0" w:space="0" w:color="auto"/>
      </w:divBdr>
    </w:div>
    <w:div w:id="1988439840">
      <w:marLeft w:val="0"/>
      <w:marRight w:val="0"/>
      <w:marTop w:val="0"/>
      <w:marBottom w:val="0"/>
      <w:divBdr>
        <w:top w:val="none" w:sz="0" w:space="0" w:color="auto"/>
        <w:left w:val="none" w:sz="0" w:space="0" w:color="auto"/>
        <w:bottom w:val="none" w:sz="0" w:space="0" w:color="auto"/>
        <w:right w:val="none" w:sz="0" w:space="0" w:color="auto"/>
      </w:divBdr>
    </w:div>
    <w:div w:id="1988439841">
      <w:marLeft w:val="0"/>
      <w:marRight w:val="0"/>
      <w:marTop w:val="0"/>
      <w:marBottom w:val="0"/>
      <w:divBdr>
        <w:top w:val="none" w:sz="0" w:space="0" w:color="auto"/>
        <w:left w:val="none" w:sz="0" w:space="0" w:color="auto"/>
        <w:bottom w:val="none" w:sz="0" w:space="0" w:color="auto"/>
        <w:right w:val="none" w:sz="0" w:space="0" w:color="auto"/>
      </w:divBdr>
    </w:div>
    <w:div w:id="1988439842">
      <w:marLeft w:val="0"/>
      <w:marRight w:val="0"/>
      <w:marTop w:val="0"/>
      <w:marBottom w:val="0"/>
      <w:divBdr>
        <w:top w:val="none" w:sz="0" w:space="0" w:color="auto"/>
        <w:left w:val="none" w:sz="0" w:space="0" w:color="auto"/>
        <w:bottom w:val="none" w:sz="0" w:space="0" w:color="auto"/>
        <w:right w:val="none" w:sz="0" w:space="0" w:color="auto"/>
      </w:divBdr>
    </w:div>
    <w:div w:id="1988439843">
      <w:marLeft w:val="0"/>
      <w:marRight w:val="0"/>
      <w:marTop w:val="0"/>
      <w:marBottom w:val="0"/>
      <w:divBdr>
        <w:top w:val="none" w:sz="0" w:space="0" w:color="auto"/>
        <w:left w:val="none" w:sz="0" w:space="0" w:color="auto"/>
        <w:bottom w:val="none" w:sz="0" w:space="0" w:color="auto"/>
        <w:right w:val="none" w:sz="0" w:space="0" w:color="auto"/>
      </w:divBdr>
    </w:div>
    <w:div w:id="1988439844">
      <w:marLeft w:val="0"/>
      <w:marRight w:val="0"/>
      <w:marTop w:val="0"/>
      <w:marBottom w:val="0"/>
      <w:divBdr>
        <w:top w:val="none" w:sz="0" w:space="0" w:color="auto"/>
        <w:left w:val="none" w:sz="0" w:space="0" w:color="auto"/>
        <w:bottom w:val="none" w:sz="0" w:space="0" w:color="auto"/>
        <w:right w:val="none" w:sz="0" w:space="0" w:color="auto"/>
      </w:divBdr>
    </w:div>
    <w:div w:id="1988439845">
      <w:marLeft w:val="0"/>
      <w:marRight w:val="0"/>
      <w:marTop w:val="0"/>
      <w:marBottom w:val="0"/>
      <w:divBdr>
        <w:top w:val="none" w:sz="0" w:space="0" w:color="auto"/>
        <w:left w:val="none" w:sz="0" w:space="0" w:color="auto"/>
        <w:bottom w:val="none" w:sz="0" w:space="0" w:color="auto"/>
        <w:right w:val="none" w:sz="0" w:space="0" w:color="auto"/>
      </w:divBdr>
    </w:div>
    <w:div w:id="1988439846">
      <w:marLeft w:val="0"/>
      <w:marRight w:val="0"/>
      <w:marTop w:val="0"/>
      <w:marBottom w:val="0"/>
      <w:divBdr>
        <w:top w:val="none" w:sz="0" w:space="0" w:color="auto"/>
        <w:left w:val="none" w:sz="0" w:space="0" w:color="auto"/>
        <w:bottom w:val="none" w:sz="0" w:space="0" w:color="auto"/>
        <w:right w:val="none" w:sz="0" w:space="0" w:color="auto"/>
      </w:divBdr>
    </w:div>
    <w:div w:id="1988439847">
      <w:marLeft w:val="0"/>
      <w:marRight w:val="0"/>
      <w:marTop w:val="0"/>
      <w:marBottom w:val="0"/>
      <w:divBdr>
        <w:top w:val="none" w:sz="0" w:space="0" w:color="auto"/>
        <w:left w:val="none" w:sz="0" w:space="0" w:color="auto"/>
        <w:bottom w:val="none" w:sz="0" w:space="0" w:color="auto"/>
        <w:right w:val="none" w:sz="0" w:space="0" w:color="auto"/>
      </w:divBdr>
    </w:div>
    <w:div w:id="1988439848">
      <w:marLeft w:val="0"/>
      <w:marRight w:val="0"/>
      <w:marTop w:val="0"/>
      <w:marBottom w:val="0"/>
      <w:divBdr>
        <w:top w:val="none" w:sz="0" w:space="0" w:color="auto"/>
        <w:left w:val="none" w:sz="0" w:space="0" w:color="auto"/>
        <w:bottom w:val="none" w:sz="0" w:space="0" w:color="auto"/>
        <w:right w:val="none" w:sz="0" w:space="0" w:color="auto"/>
      </w:divBdr>
    </w:div>
    <w:div w:id="1988439849">
      <w:marLeft w:val="0"/>
      <w:marRight w:val="0"/>
      <w:marTop w:val="0"/>
      <w:marBottom w:val="0"/>
      <w:divBdr>
        <w:top w:val="none" w:sz="0" w:space="0" w:color="auto"/>
        <w:left w:val="none" w:sz="0" w:space="0" w:color="auto"/>
        <w:bottom w:val="none" w:sz="0" w:space="0" w:color="auto"/>
        <w:right w:val="none" w:sz="0" w:space="0" w:color="auto"/>
      </w:divBdr>
    </w:div>
    <w:div w:id="1988439850">
      <w:marLeft w:val="0"/>
      <w:marRight w:val="0"/>
      <w:marTop w:val="0"/>
      <w:marBottom w:val="0"/>
      <w:divBdr>
        <w:top w:val="none" w:sz="0" w:space="0" w:color="auto"/>
        <w:left w:val="none" w:sz="0" w:space="0" w:color="auto"/>
        <w:bottom w:val="none" w:sz="0" w:space="0" w:color="auto"/>
        <w:right w:val="none" w:sz="0" w:space="0" w:color="auto"/>
      </w:divBdr>
    </w:div>
    <w:div w:id="1988439851">
      <w:marLeft w:val="0"/>
      <w:marRight w:val="0"/>
      <w:marTop w:val="0"/>
      <w:marBottom w:val="0"/>
      <w:divBdr>
        <w:top w:val="none" w:sz="0" w:space="0" w:color="auto"/>
        <w:left w:val="none" w:sz="0" w:space="0" w:color="auto"/>
        <w:bottom w:val="none" w:sz="0" w:space="0" w:color="auto"/>
        <w:right w:val="none" w:sz="0" w:space="0" w:color="auto"/>
      </w:divBdr>
    </w:div>
    <w:div w:id="1988439852">
      <w:marLeft w:val="0"/>
      <w:marRight w:val="0"/>
      <w:marTop w:val="0"/>
      <w:marBottom w:val="0"/>
      <w:divBdr>
        <w:top w:val="none" w:sz="0" w:space="0" w:color="auto"/>
        <w:left w:val="none" w:sz="0" w:space="0" w:color="auto"/>
        <w:bottom w:val="none" w:sz="0" w:space="0" w:color="auto"/>
        <w:right w:val="none" w:sz="0" w:space="0" w:color="auto"/>
      </w:divBdr>
    </w:div>
    <w:div w:id="1988439853">
      <w:marLeft w:val="0"/>
      <w:marRight w:val="0"/>
      <w:marTop w:val="0"/>
      <w:marBottom w:val="0"/>
      <w:divBdr>
        <w:top w:val="none" w:sz="0" w:space="0" w:color="auto"/>
        <w:left w:val="none" w:sz="0" w:space="0" w:color="auto"/>
        <w:bottom w:val="none" w:sz="0" w:space="0" w:color="auto"/>
        <w:right w:val="none" w:sz="0" w:space="0" w:color="auto"/>
      </w:divBdr>
    </w:div>
    <w:div w:id="1988439854">
      <w:marLeft w:val="0"/>
      <w:marRight w:val="0"/>
      <w:marTop w:val="0"/>
      <w:marBottom w:val="0"/>
      <w:divBdr>
        <w:top w:val="none" w:sz="0" w:space="0" w:color="auto"/>
        <w:left w:val="none" w:sz="0" w:space="0" w:color="auto"/>
        <w:bottom w:val="none" w:sz="0" w:space="0" w:color="auto"/>
        <w:right w:val="none" w:sz="0" w:space="0" w:color="auto"/>
      </w:divBdr>
    </w:div>
    <w:div w:id="1988439855">
      <w:marLeft w:val="0"/>
      <w:marRight w:val="0"/>
      <w:marTop w:val="0"/>
      <w:marBottom w:val="0"/>
      <w:divBdr>
        <w:top w:val="none" w:sz="0" w:space="0" w:color="auto"/>
        <w:left w:val="none" w:sz="0" w:space="0" w:color="auto"/>
        <w:bottom w:val="none" w:sz="0" w:space="0" w:color="auto"/>
        <w:right w:val="none" w:sz="0" w:space="0" w:color="auto"/>
      </w:divBdr>
    </w:div>
    <w:div w:id="1988439856">
      <w:marLeft w:val="0"/>
      <w:marRight w:val="0"/>
      <w:marTop w:val="0"/>
      <w:marBottom w:val="0"/>
      <w:divBdr>
        <w:top w:val="none" w:sz="0" w:space="0" w:color="auto"/>
        <w:left w:val="none" w:sz="0" w:space="0" w:color="auto"/>
        <w:bottom w:val="none" w:sz="0" w:space="0" w:color="auto"/>
        <w:right w:val="none" w:sz="0" w:space="0" w:color="auto"/>
      </w:divBdr>
    </w:div>
    <w:div w:id="1988439857">
      <w:marLeft w:val="0"/>
      <w:marRight w:val="0"/>
      <w:marTop w:val="0"/>
      <w:marBottom w:val="0"/>
      <w:divBdr>
        <w:top w:val="none" w:sz="0" w:space="0" w:color="auto"/>
        <w:left w:val="none" w:sz="0" w:space="0" w:color="auto"/>
        <w:bottom w:val="none" w:sz="0" w:space="0" w:color="auto"/>
        <w:right w:val="none" w:sz="0" w:space="0" w:color="auto"/>
      </w:divBdr>
    </w:div>
    <w:div w:id="1988439858">
      <w:marLeft w:val="0"/>
      <w:marRight w:val="0"/>
      <w:marTop w:val="0"/>
      <w:marBottom w:val="0"/>
      <w:divBdr>
        <w:top w:val="none" w:sz="0" w:space="0" w:color="auto"/>
        <w:left w:val="none" w:sz="0" w:space="0" w:color="auto"/>
        <w:bottom w:val="none" w:sz="0" w:space="0" w:color="auto"/>
        <w:right w:val="none" w:sz="0" w:space="0" w:color="auto"/>
      </w:divBdr>
    </w:div>
    <w:div w:id="1988439859">
      <w:marLeft w:val="0"/>
      <w:marRight w:val="0"/>
      <w:marTop w:val="0"/>
      <w:marBottom w:val="0"/>
      <w:divBdr>
        <w:top w:val="none" w:sz="0" w:space="0" w:color="auto"/>
        <w:left w:val="none" w:sz="0" w:space="0" w:color="auto"/>
        <w:bottom w:val="none" w:sz="0" w:space="0" w:color="auto"/>
        <w:right w:val="none" w:sz="0" w:space="0" w:color="auto"/>
      </w:divBdr>
    </w:div>
    <w:div w:id="1988439860">
      <w:marLeft w:val="0"/>
      <w:marRight w:val="0"/>
      <w:marTop w:val="0"/>
      <w:marBottom w:val="0"/>
      <w:divBdr>
        <w:top w:val="none" w:sz="0" w:space="0" w:color="auto"/>
        <w:left w:val="none" w:sz="0" w:space="0" w:color="auto"/>
        <w:bottom w:val="none" w:sz="0" w:space="0" w:color="auto"/>
        <w:right w:val="none" w:sz="0" w:space="0" w:color="auto"/>
      </w:divBdr>
    </w:div>
    <w:div w:id="1988439861">
      <w:marLeft w:val="0"/>
      <w:marRight w:val="0"/>
      <w:marTop w:val="0"/>
      <w:marBottom w:val="0"/>
      <w:divBdr>
        <w:top w:val="none" w:sz="0" w:space="0" w:color="auto"/>
        <w:left w:val="none" w:sz="0" w:space="0" w:color="auto"/>
        <w:bottom w:val="none" w:sz="0" w:space="0" w:color="auto"/>
        <w:right w:val="none" w:sz="0" w:space="0" w:color="auto"/>
      </w:divBdr>
    </w:div>
    <w:div w:id="1988439862">
      <w:marLeft w:val="0"/>
      <w:marRight w:val="0"/>
      <w:marTop w:val="0"/>
      <w:marBottom w:val="0"/>
      <w:divBdr>
        <w:top w:val="none" w:sz="0" w:space="0" w:color="auto"/>
        <w:left w:val="none" w:sz="0" w:space="0" w:color="auto"/>
        <w:bottom w:val="none" w:sz="0" w:space="0" w:color="auto"/>
        <w:right w:val="none" w:sz="0" w:space="0" w:color="auto"/>
      </w:divBdr>
    </w:div>
    <w:div w:id="1988439863">
      <w:marLeft w:val="0"/>
      <w:marRight w:val="0"/>
      <w:marTop w:val="0"/>
      <w:marBottom w:val="0"/>
      <w:divBdr>
        <w:top w:val="none" w:sz="0" w:space="0" w:color="auto"/>
        <w:left w:val="none" w:sz="0" w:space="0" w:color="auto"/>
        <w:bottom w:val="none" w:sz="0" w:space="0" w:color="auto"/>
        <w:right w:val="none" w:sz="0" w:space="0" w:color="auto"/>
      </w:divBdr>
    </w:div>
    <w:div w:id="1988439864">
      <w:marLeft w:val="0"/>
      <w:marRight w:val="0"/>
      <w:marTop w:val="0"/>
      <w:marBottom w:val="0"/>
      <w:divBdr>
        <w:top w:val="none" w:sz="0" w:space="0" w:color="auto"/>
        <w:left w:val="none" w:sz="0" w:space="0" w:color="auto"/>
        <w:bottom w:val="none" w:sz="0" w:space="0" w:color="auto"/>
        <w:right w:val="none" w:sz="0" w:space="0" w:color="auto"/>
      </w:divBdr>
    </w:div>
    <w:div w:id="1988439865">
      <w:marLeft w:val="0"/>
      <w:marRight w:val="0"/>
      <w:marTop w:val="0"/>
      <w:marBottom w:val="0"/>
      <w:divBdr>
        <w:top w:val="none" w:sz="0" w:space="0" w:color="auto"/>
        <w:left w:val="none" w:sz="0" w:space="0" w:color="auto"/>
        <w:bottom w:val="none" w:sz="0" w:space="0" w:color="auto"/>
        <w:right w:val="none" w:sz="0" w:space="0" w:color="auto"/>
      </w:divBdr>
    </w:div>
    <w:div w:id="1988439866">
      <w:marLeft w:val="0"/>
      <w:marRight w:val="0"/>
      <w:marTop w:val="0"/>
      <w:marBottom w:val="0"/>
      <w:divBdr>
        <w:top w:val="none" w:sz="0" w:space="0" w:color="auto"/>
        <w:left w:val="none" w:sz="0" w:space="0" w:color="auto"/>
        <w:bottom w:val="none" w:sz="0" w:space="0" w:color="auto"/>
        <w:right w:val="none" w:sz="0" w:space="0" w:color="auto"/>
      </w:divBdr>
    </w:div>
    <w:div w:id="1988439867">
      <w:marLeft w:val="0"/>
      <w:marRight w:val="0"/>
      <w:marTop w:val="0"/>
      <w:marBottom w:val="0"/>
      <w:divBdr>
        <w:top w:val="none" w:sz="0" w:space="0" w:color="auto"/>
        <w:left w:val="none" w:sz="0" w:space="0" w:color="auto"/>
        <w:bottom w:val="none" w:sz="0" w:space="0" w:color="auto"/>
        <w:right w:val="none" w:sz="0" w:space="0" w:color="auto"/>
      </w:divBdr>
    </w:div>
    <w:div w:id="1988439868">
      <w:marLeft w:val="0"/>
      <w:marRight w:val="0"/>
      <w:marTop w:val="0"/>
      <w:marBottom w:val="0"/>
      <w:divBdr>
        <w:top w:val="none" w:sz="0" w:space="0" w:color="auto"/>
        <w:left w:val="none" w:sz="0" w:space="0" w:color="auto"/>
        <w:bottom w:val="none" w:sz="0" w:space="0" w:color="auto"/>
        <w:right w:val="none" w:sz="0" w:space="0" w:color="auto"/>
      </w:divBdr>
    </w:div>
    <w:div w:id="1988439869">
      <w:marLeft w:val="0"/>
      <w:marRight w:val="0"/>
      <w:marTop w:val="0"/>
      <w:marBottom w:val="0"/>
      <w:divBdr>
        <w:top w:val="none" w:sz="0" w:space="0" w:color="auto"/>
        <w:left w:val="none" w:sz="0" w:space="0" w:color="auto"/>
        <w:bottom w:val="none" w:sz="0" w:space="0" w:color="auto"/>
        <w:right w:val="none" w:sz="0" w:space="0" w:color="auto"/>
      </w:divBdr>
    </w:div>
    <w:div w:id="1988439870">
      <w:marLeft w:val="0"/>
      <w:marRight w:val="0"/>
      <w:marTop w:val="0"/>
      <w:marBottom w:val="0"/>
      <w:divBdr>
        <w:top w:val="none" w:sz="0" w:space="0" w:color="auto"/>
        <w:left w:val="none" w:sz="0" w:space="0" w:color="auto"/>
        <w:bottom w:val="none" w:sz="0" w:space="0" w:color="auto"/>
        <w:right w:val="none" w:sz="0" w:space="0" w:color="auto"/>
      </w:divBdr>
    </w:div>
    <w:div w:id="1988439871">
      <w:marLeft w:val="0"/>
      <w:marRight w:val="0"/>
      <w:marTop w:val="0"/>
      <w:marBottom w:val="0"/>
      <w:divBdr>
        <w:top w:val="none" w:sz="0" w:space="0" w:color="auto"/>
        <w:left w:val="none" w:sz="0" w:space="0" w:color="auto"/>
        <w:bottom w:val="none" w:sz="0" w:space="0" w:color="auto"/>
        <w:right w:val="none" w:sz="0" w:space="0" w:color="auto"/>
      </w:divBdr>
    </w:div>
    <w:div w:id="1988439872">
      <w:marLeft w:val="0"/>
      <w:marRight w:val="0"/>
      <w:marTop w:val="0"/>
      <w:marBottom w:val="0"/>
      <w:divBdr>
        <w:top w:val="none" w:sz="0" w:space="0" w:color="auto"/>
        <w:left w:val="none" w:sz="0" w:space="0" w:color="auto"/>
        <w:bottom w:val="none" w:sz="0" w:space="0" w:color="auto"/>
        <w:right w:val="none" w:sz="0" w:space="0" w:color="auto"/>
      </w:divBdr>
    </w:div>
    <w:div w:id="1988439873">
      <w:marLeft w:val="0"/>
      <w:marRight w:val="0"/>
      <w:marTop w:val="0"/>
      <w:marBottom w:val="0"/>
      <w:divBdr>
        <w:top w:val="none" w:sz="0" w:space="0" w:color="auto"/>
        <w:left w:val="none" w:sz="0" w:space="0" w:color="auto"/>
        <w:bottom w:val="none" w:sz="0" w:space="0" w:color="auto"/>
        <w:right w:val="none" w:sz="0" w:space="0" w:color="auto"/>
      </w:divBdr>
    </w:div>
    <w:div w:id="1988439874">
      <w:marLeft w:val="0"/>
      <w:marRight w:val="0"/>
      <w:marTop w:val="0"/>
      <w:marBottom w:val="0"/>
      <w:divBdr>
        <w:top w:val="none" w:sz="0" w:space="0" w:color="auto"/>
        <w:left w:val="none" w:sz="0" w:space="0" w:color="auto"/>
        <w:bottom w:val="none" w:sz="0" w:space="0" w:color="auto"/>
        <w:right w:val="none" w:sz="0" w:space="0" w:color="auto"/>
      </w:divBdr>
    </w:div>
    <w:div w:id="1988439875">
      <w:marLeft w:val="0"/>
      <w:marRight w:val="0"/>
      <w:marTop w:val="0"/>
      <w:marBottom w:val="0"/>
      <w:divBdr>
        <w:top w:val="none" w:sz="0" w:space="0" w:color="auto"/>
        <w:left w:val="none" w:sz="0" w:space="0" w:color="auto"/>
        <w:bottom w:val="none" w:sz="0" w:space="0" w:color="auto"/>
        <w:right w:val="none" w:sz="0" w:space="0" w:color="auto"/>
      </w:divBdr>
    </w:div>
    <w:div w:id="1988439876">
      <w:marLeft w:val="0"/>
      <w:marRight w:val="0"/>
      <w:marTop w:val="0"/>
      <w:marBottom w:val="0"/>
      <w:divBdr>
        <w:top w:val="none" w:sz="0" w:space="0" w:color="auto"/>
        <w:left w:val="none" w:sz="0" w:space="0" w:color="auto"/>
        <w:bottom w:val="none" w:sz="0" w:space="0" w:color="auto"/>
        <w:right w:val="none" w:sz="0" w:space="0" w:color="auto"/>
      </w:divBdr>
    </w:div>
    <w:div w:id="1988439877">
      <w:marLeft w:val="0"/>
      <w:marRight w:val="0"/>
      <w:marTop w:val="0"/>
      <w:marBottom w:val="0"/>
      <w:divBdr>
        <w:top w:val="none" w:sz="0" w:space="0" w:color="auto"/>
        <w:left w:val="none" w:sz="0" w:space="0" w:color="auto"/>
        <w:bottom w:val="none" w:sz="0" w:space="0" w:color="auto"/>
        <w:right w:val="none" w:sz="0" w:space="0" w:color="auto"/>
      </w:divBdr>
    </w:div>
    <w:div w:id="1988439878">
      <w:marLeft w:val="0"/>
      <w:marRight w:val="0"/>
      <w:marTop w:val="0"/>
      <w:marBottom w:val="0"/>
      <w:divBdr>
        <w:top w:val="none" w:sz="0" w:space="0" w:color="auto"/>
        <w:left w:val="none" w:sz="0" w:space="0" w:color="auto"/>
        <w:bottom w:val="none" w:sz="0" w:space="0" w:color="auto"/>
        <w:right w:val="none" w:sz="0" w:space="0" w:color="auto"/>
      </w:divBdr>
    </w:div>
    <w:div w:id="1988439879">
      <w:marLeft w:val="0"/>
      <w:marRight w:val="0"/>
      <w:marTop w:val="0"/>
      <w:marBottom w:val="0"/>
      <w:divBdr>
        <w:top w:val="none" w:sz="0" w:space="0" w:color="auto"/>
        <w:left w:val="none" w:sz="0" w:space="0" w:color="auto"/>
        <w:bottom w:val="none" w:sz="0" w:space="0" w:color="auto"/>
        <w:right w:val="none" w:sz="0" w:space="0" w:color="auto"/>
      </w:divBdr>
    </w:div>
    <w:div w:id="1988439880">
      <w:marLeft w:val="0"/>
      <w:marRight w:val="0"/>
      <w:marTop w:val="0"/>
      <w:marBottom w:val="0"/>
      <w:divBdr>
        <w:top w:val="none" w:sz="0" w:space="0" w:color="auto"/>
        <w:left w:val="none" w:sz="0" w:space="0" w:color="auto"/>
        <w:bottom w:val="none" w:sz="0" w:space="0" w:color="auto"/>
        <w:right w:val="none" w:sz="0" w:space="0" w:color="auto"/>
      </w:divBdr>
    </w:div>
    <w:div w:id="1988439881">
      <w:marLeft w:val="0"/>
      <w:marRight w:val="0"/>
      <w:marTop w:val="0"/>
      <w:marBottom w:val="0"/>
      <w:divBdr>
        <w:top w:val="none" w:sz="0" w:space="0" w:color="auto"/>
        <w:left w:val="none" w:sz="0" w:space="0" w:color="auto"/>
        <w:bottom w:val="none" w:sz="0" w:space="0" w:color="auto"/>
        <w:right w:val="none" w:sz="0" w:space="0" w:color="auto"/>
      </w:divBdr>
    </w:div>
    <w:div w:id="1988439882">
      <w:marLeft w:val="0"/>
      <w:marRight w:val="0"/>
      <w:marTop w:val="0"/>
      <w:marBottom w:val="0"/>
      <w:divBdr>
        <w:top w:val="none" w:sz="0" w:space="0" w:color="auto"/>
        <w:left w:val="none" w:sz="0" w:space="0" w:color="auto"/>
        <w:bottom w:val="none" w:sz="0" w:space="0" w:color="auto"/>
        <w:right w:val="none" w:sz="0" w:space="0" w:color="auto"/>
      </w:divBdr>
    </w:div>
    <w:div w:id="1988439883">
      <w:marLeft w:val="0"/>
      <w:marRight w:val="0"/>
      <w:marTop w:val="0"/>
      <w:marBottom w:val="0"/>
      <w:divBdr>
        <w:top w:val="none" w:sz="0" w:space="0" w:color="auto"/>
        <w:left w:val="none" w:sz="0" w:space="0" w:color="auto"/>
        <w:bottom w:val="none" w:sz="0" w:space="0" w:color="auto"/>
        <w:right w:val="none" w:sz="0" w:space="0" w:color="auto"/>
      </w:divBdr>
    </w:div>
    <w:div w:id="1988439884">
      <w:marLeft w:val="0"/>
      <w:marRight w:val="0"/>
      <w:marTop w:val="0"/>
      <w:marBottom w:val="0"/>
      <w:divBdr>
        <w:top w:val="none" w:sz="0" w:space="0" w:color="auto"/>
        <w:left w:val="none" w:sz="0" w:space="0" w:color="auto"/>
        <w:bottom w:val="none" w:sz="0" w:space="0" w:color="auto"/>
        <w:right w:val="none" w:sz="0" w:space="0" w:color="auto"/>
      </w:divBdr>
    </w:div>
    <w:div w:id="1988439885">
      <w:marLeft w:val="0"/>
      <w:marRight w:val="0"/>
      <w:marTop w:val="0"/>
      <w:marBottom w:val="0"/>
      <w:divBdr>
        <w:top w:val="none" w:sz="0" w:space="0" w:color="auto"/>
        <w:left w:val="none" w:sz="0" w:space="0" w:color="auto"/>
        <w:bottom w:val="none" w:sz="0" w:space="0" w:color="auto"/>
        <w:right w:val="none" w:sz="0" w:space="0" w:color="auto"/>
      </w:divBdr>
    </w:div>
    <w:div w:id="1988439886">
      <w:marLeft w:val="0"/>
      <w:marRight w:val="0"/>
      <w:marTop w:val="0"/>
      <w:marBottom w:val="0"/>
      <w:divBdr>
        <w:top w:val="none" w:sz="0" w:space="0" w:color="auto"/>
        <w:left w:val="none" w:sz="0" w:space="0" w:color="auto"/>
        <w:bottom w:val="none" w:sz="0" w:space="0" w:color="auto"/>
        <w:right w:val="none" w:sz="0" w:space="0" w:color="auto"/>
      </w:divBdr>
    </w:div>
    <w:div w:id="1988439887">
      <w:marLeft w:val="0"/>
      <w:marRight w:val="0"/>
      <w:marTop w:val="0"/>
      <w:marBottom w:val="0"/>
      <w:divBdr>
        <w:top w:val="none" w:sz="0" w:space="0" w:color="auto"/>
        <w:left w:val="none" w:sz="0" w:space="0" w:color="auto"/>
        <w:bottom w:val="none" w:sz="0" w:space="0" w:color="auto"/>
        <w:right w:val="none" w:sz="0" w:space="0" w:color="auto"/>
      </w:divBdr>
    </w:div>
    <w:div w:id="1988439888">
      <w:marLeft w:val="0"/>
      <w:marRight w:val="0"/>
      <w:marTop w:val="0"/>
      <w:marBottom w:val="0"/>
      <w:divBdr>
        <w:top w:val="none" w:sz="0" w:space="0" w:color="auto"/>
        <w:left w:val="none" w:sz="0" w:space="0" w:color="auto"/>
        <w:bottom w:val="none" w:sz="0" w:space="0" w:color="auto"/>
        <w:right w:val="none" w:sz="0" w:space="0" w:color="auto"/>
      </w:divBdr>
    </w:div>
    <w:div w:id="1988439889">
      <w:marLeft w:val="0"/>
      <w:marRight w:val="0"/>
      <w:marTop w:val="0"/>
      <w:marBottom w:val="0"/>
      <w:divBdr>
        <w:top w:val="none" w:sz="0" w:space="0" w:color="auto"/>
        <w:left w:val="none" w:sz="0" w:space="0" w:color="auto"/>
        <w:bottom w:val="none" w:sz="0" w:space="0" w:color="auto"/>
        <w:right w:val="none" w:sz="0" w:space="0" w:color="auto"/>
      </w:divBdr>
    </w:div>
    <w:div w:id="1988439890">
      <w:marLeft w:val="0"/>
      <w:marRight w:val="0"/>
      <w:marTop w:val="0"/>
      <w:marBottom w:val="0"/>
      <w:divBdr>
        <w:top w:val="none" w:sz="0" w:space="0" w:color="auto"/>
        <w:left w:val="none" w:sz="0" w:space="0" w:color="auto"/>
        <w:bottom w:val="none" w:sz="0" w:space="0" w:color="auto"/>
        <w:right w:val="none" w:sz="0" w:space="0" w:color="auto"/>
      </w:divBdr>
    </w:div>
    <w:div w:id="1988439891">
      <w:marLeft w:val="0"/>
      <w:marRight w:val="0"/>
      <w:marTop w:val="0"/>
      <w:marBottom w:val="0"/>
      <w:divBdr>
        <w:top w:val="none" w:sz="0" w:space="0" w:color="auto"/>
        <w:left w:val="none" w:sz="0" w:space="0" w:color="auto"/>
        <w:bottom w:val="none" w:sz="0" w:space="0" w:color="auto"/>
        <w:right w:val="none" w:sz="0" w:space="0" w:color="auto"/>
      </w:divBdr>
    </w:div>
    <w:div w:id="1988439892">
      <w:marLeft w:val="0"/>
      <w:marRight w:val="0"/>
      <w:marTop w:val="0"/>
      <w:marBottom w:val="0"/>
      <w:divBdr>
        <w:top w:val="none" w:sz="0" w:space="0" w:color="auto"/>
        <w:left w:val="none" w:sz="0" w:space="0" w:color="auto"/>
        <w:bottom w:val="none" w:sz="0" w:space="0" w:color="auto"/>
        <w:right w:val="none" w:sz="0" w:space="0" w:color="auto"/>
      </w:divBdr>
    </w:div>
    <w:div w:id="1988439893">
      <w:marLeft w:val="0"/>
      <w:marRight w:val="0"/>
      <w:marTop w:val="0"/>
      <w:marBottom w:val="0"/>
      <w:divBdr>
        <w:top w:val="none" w:sz="0" w:space="0" w:color="auto"/>
        <w:left w:val="none" w:sz="0" w:space="0" w:color="auto"/>
        <w:bottom w:val="none" w:sz="0" w:space="0" w:color="auto"/>
        <w:right w:val="none" w:sz="0" w:space="0" w:color="auto"/>
      </w:divBdr>
    </w:div>
    <w:div w:id="1988439894">
      <w:marLeft w:val="0"/>
      <w:marRight w:val="0"/>
      <w:marTop w:val="0"/>
      <w:marBottom w:val="0"/>
      <w:divBdr>
        <w:top w:val="none" w:sz="0" w:space="0" w:color="auto"/>
        <w:left w:val="none" w:sz="0" w:space="0" w:color="auto"/>
        <w:bottom w:val="none" w:sz="0" w:space="0" w:color="auto"/>
        <w:right w:val="none" w:sz="0" w:space="0" w:color="auto"/>
      </w:divBdr>
    </w:div>
    <w:div w:id="1988439895">
      <w:marLeft w:val="0"/>
      <w:marRight w:val="0"/>
      <w:marTop w:val="0"/>
      <w:marBottom w:val="0"/>
      <w:divBdr>
        <w:top w:val="none" w:sz="0" w:space="0" w:color="auto"/>
        <w:left w:val="none" w:sz="0" w:space="0" w:color="auto"/>
        <w:bottom w:val="none" w:sz="0" w:space="0" w:color="auto"/>
        <w:right w:val="none" w:sz="0" w:space="0" w:color="auto"/>
      </w:divBdr>
    </w:div>
    <w:div w:id="1988439896">
      <w:marLeft w:val="0"/>
      <w:marRight w:val="0"/>
      <w:marTop w:val="0"/>
      <w:marBottom w:val="0"/>
      <w:divBdr>
        <w:top w:val="none" w:sz="0" w:space="0" w:color="auto"/>
        <w:left w:val="none" w:sz="0" w:space="0" w:color="auto"/>
        <w:bottom w:val="none" w:sz="0" w:space="0" w:color="auto"/>
        <w:right w:val="none" w:sz="0" w:space="0" w:color="auto"/>
      </w:divBdr>
    </w:div>
    <w:div w:id="1988439897">
      <w:marLeft w:val="0"/>
      <w:marRight w:val="0"/>
      <w:marTop w:val="0"/>
      <w:marBottom w:val="0"/>
      <w:divBdr>
        <w:top w:val="none" w:sz="0" w:space="0" w:color="auto"/>
        <w:left w:val="none" w:sz="0" w:space="0" w:color="auto"/>
        <w:bottom w:val="none" w:sz="0" w:space="0" w:color="auto"/>
        <w:right w:val="none" w:sz="0" w:space="0" w:color="auto"/>
      </w:divBdr>
    </w:div>
    <w:div w:id="1988439898">
      <w:marLeft w:val="0"/>
      <w:marRight w:val="0"/>
      <w:marTop w:val="0"/>
      <w:marBottom w:val="0"/>
      <w:divBdr>
        <w:top w:val="none" w:sz="0" w:space="0" w:color="auto"/>
        <w:left w:val="none" w:sz="0" w:space="0" w:color="auto"/>
        <w:bottom w:val="none" w:sz="0" w:space="0" w:color="auto"/>
        <w:right w:val="none" w:sz="0" w:space="0" w:color="auto"/>
      </w:divBdr>
    </w:div>
    <w:div w:id="1988439899">
      <w:marLeft w:val="0"/>
      <w:marRight w:val="0"/>
      <w:marTop w:val="0"/>
      <w:marBottom w:val="0"/>
      <w:divBdr>
        <w:top w:val="none" w:sz="0" w:space="0" w:color="auto"/>
        <w:left w:val="none" w:sz="0" w:space="0" w:color="auto"/>
        <w:bottom w:val="none" w:sz="0" w:space="0" w:color="auto"/>
        <w:right w:val="none" w:sz="0" w:space="0" w:color="auto"/>
      </w:divBdr>
    </w:div>
    <w:div w:id="1988439900">
      <w:marLeft w:val="0"/>
      <w:marRight w:val="0"/>
      <w:marTop w:val="0"/>
      <w:marBottom w:val="0"/>
      <w:divBdr>
        <w:top w:val="none" w:sz="0" w:space="0" w:color="auto"/>
        <w:left w:val="none" w:sz="0" w:space="0" w:color="auto"/>
        <w:bottom w:val="none" w:sz="0" w:space="0" w:color="auto"/>
        <w:right w:val="none" w:sz="0" w:space="0" w:color="auto"/>
      </w:divBdr>
    </w:div>
    <w:div w:id="1988439901">
      <w:marLeft w:val="0"/>
      <w:marRight w:val="0"/>
      <w:marTop w:val="0"/>
      <w:marBottom w:val="0"/>
      <w:divBdr>
        <w:top w:val="none" w:sz="0" w:space="0" w:color="auto"/>
        <w:left w:val="none" w:sz="0" w:space="0" w:color="auto"/>
        <w:bottom w:val="none" w:sz="0" w:space="0" w:color="auto"/>
        <w:right w:val="none" w:sz="0" w:space="0" w:color="auto"/>
      </w:divBdr>
    </w:div>
    <w:div w:id="1988439902">
      <w:marLeft w:val="0"/>
      <w:marRight w:val="0"/>
      <w:marTop w:val="0"/>
      <w:marBottom w:val="0"/>
      <w:divBdr>
        <w:top w:val="none" w:sz="0" w:space="0" w:color="auto"/>
        <w:left w:val="none" w:sz="0" w:space="0" w:color="auto"/>
        <w:bottom w:val="none" w:sz="0" w:space="0" w:color="auto"/>
        <w:right w:val="none" w:sz="0" w:space="0" w:color="auto"/>
      </w:divBdr>
    </w:div>
    <w:div w:id="1988439903">
      <w:marLeft w:val="0"/>
      <w:marRight w:val="0"/>
      <w:marTop w:val="0"/>
      <w:marBottom w:val="0"/>
      <w:divBdr>
        <w:top w:val="none" w:sz="0" w:space="0" w:color="auto"/>
        <w:left w:val="none" w:sz="0" w:space="0" w:color="auto"/>
        <w:bottom w:val="none" w:sz="0" w:space="0" w:color="auto"/>
        <w:right w:val="none" w:sz="0" w:space="0" w:color="auto"/>
      </w:divBdr>
    </w:div>
    <w:div w:id="1988439904">
      <w:marLeft w:val="0"/>
      <w:marRight w:val="0"/>
      <w:marTop w:val="0"/>
      <w:marBottom w:val="0"/>
      <w:divBdr>
        <w:top w:val="none" w:sz="0" w:space="0" w:color="auto"/>
        <w:left w:val="none" w:sz="0" w:space="0" w:color="auto"/>
        <w:bottom w:val="none" w:sz="0" w:space="0" w:color="auto"/>
        <w:right w:val="none" w:sz="0" w:space="0" w:color="auto"/>
      </w:divBdr>
    </w:div>
    <w:div w:id="1988439905">
      <w:marLeft w:val="0"/>
      <w:marRight w:val="0"/>
      <w:marTop w:val="0"/>
      <w:marBottom w:val="0"/>
      <w:divBdr>
        <w:top w:val="none" w:sz="0" w:space="0" w:color="auto"/>
        <w:left w:val="none" w:sz="0" w:space="0" w:color="auto"/>
        <w:bottom w:val="none" w:sz="0" w:space="0" w:color="auto"/>
        <w:right w:val="none" w:sz="0" w:space="0" w:color="auto"/>
      </w:divBdr>
    </w:div>
    <w:div w:id="1988439906">
      <w:marLeft w:val="0"/>
      <w:marRight w:val="0"/>
      <w:marTop w:val="0"/>
      <w:marBottom w:val="0"/>
      <w:divBdr>
        <w:top w:val="none" w:sz="0" w:space="0" w:color="auto"/>
        <w:left w:val="none" w:sz="0" w:space="0" w:color="auto"/>
        <w:bottom w:val="none" w:sz="0" w:space="0" w:color="auto"/>
        <w:right w:val="none" w:sz="0" w:space="0" w:color="auto"/>
      </w:divBdr>
    </w:div>
    <w:div w:id="1988439907">
      <w:marLeft w:val="0"/>
      <w:marRight w:val="0"/>
      <w:marTop w:val="0"/>
      <w:marBottom w:val="0"/>
      <w:divBdr>
        <w:top w:val="none" w:sz="0" w:space="0" w:color="auto"/>
        <w:left w:val="none" w:sz="0" w:space="0" w:color="auto"/>
        <w:bottom w:val="none" w:sz="0" w:space="0" w:color="auto"/>
        <w:right w:val="none" w:sz="0" w:space="0" w:color="auto"/>
      </w:divBdr>
    </w:div>
    <w:div w:id="1988439908">
      <w:marLeft w:val="0"/>
      <w:marRight w:val="0"/>
      <w:marTop w:val="0"/>
      <w:marBottom w:val="0"/>
      <w:divBdr>
        <w:top w:val="none" w:sz="0" w:space="0" w:color="auto"/>
        <w:left w:val="none" w:sz="0" w:space="0" w:color="auto"/>
        <w:bottom w:val="none" w:sz="0" w:space="0" w:color="auto"/>
        <w:right w:val="none" w:sz="0" w:space="0" w:color="auto"/>
      </w:divBdr>
      <w:divsChild>
        <w:div w:id="1988439634">
          <w:marLeft w:val="0"/>
          <w:marRight w:val="0"/>
          <w:marTop w:val="0"/>
          <w:marBottom w:val="0"/>
          <w:divBdr>
            <w:top w:val="none" w:sz="0" w:space="0" w:color="auto"/>
            <w:left w:val="none" w:sz="0" w:space="0" w:color="auto"/>
            <w:bottom w:val="none" w:sz="0" w:space="0" w:color="auto"/>
            <w:right w:val="none" w:sz="0" w:space="0" w:color="auto"/>
          </w:divBdr>
          <w:divsChild>
            <w:div w:id="1988439664">
              <w:marLeft w:val="0"/>
              <w:marRight w:val="0"/>
              <w:marTop w:val="0"/>
              <w:marBottom w:val="0"/>
              <w:divBdr>
                <w:top w:val="none" w:sz="0" w:space="0" w:color="auto"/>
                <w:left w:val="none" w:sz="0" w:space="0" w:color="auto"/>
                <w:bottom w:val="none" w:sz="0" w:space="0" w:color="auto"/>
                <w:right w:val="none" w:sz="0" w:space="0" w:color="auto"/>
              </w:divBdr>
              <w:divsChild>
                <w:div w:id="1988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4399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95</Pages>
  <Words>30784</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School of Economics</dc:title>
  <dc:subject/>
  <dc:creator>Home</dc:creator>
  <cp:keywords/>
  <dc:description/>
  <cp:lastModifiedBy>Kim Steenbeek</cp:lastModifiedBy>
  <cp:revision>2</cp:revision>
  <cp:lastPrinted>2009-07-13T20:27:00Z</cp:lastPrinted>
  <dcterms:created xsi:type="dcterms:W3CDTF">2009-07-16T09:31:00Z</dcterms:created>
  <dcterms:modified xsi:type="dcterms:W3CDTF">2009-07-16T09:31:00Z</dcterms:modified>
</cp:coreProperties>
</file>